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686D0">
      <w:pPr>
        <w:jc w:val="center"/>
        <w:rPr>
          <w:color w:val="000000" w:themeColor="text1"/>
          <w14:textFill>
            <w14:solidFill>
              <w14:schemeClr w14:val="tx1"/>
            </w14:solidFill>
          </w14:textFill>
        </w:rPr>
        <w:sectPr>
          <w:headerReference r:id="rId5" w:type="default"/>
          <w:footerReference r:id="rId6" w:type="default"/>
          <w:footerReference r:id="rId7" w:type="even"/>
          <w:pgSz w:w="11906" w:h="16838"/>
          <w:pgMar w:top="1701" w:right="1531" w:bottom="1701" w:left="1531" w:header="851" w:footer="1077" w:gutter="0"/>
          <w:pgNumType w:start="1"/>
          <w:cols w:space="720" w:num="1"/>
          <w:docGrid w:linePitch="312" w:charSpace="0"/>
        </w:sectPr>
      </w:pPr>
      <w:r>
        <w:rPr>
          <w:color w:val="000000" w:themeColor="text1"/>
          <w14:textFill>
            <w14:solidFill>
              <w14:schemeClr w14:val="tx1"/>
            </w14:solidFill>
          </w14:textFill>
        </w:rPr>
        <w:drawing>
          <wp:anchor distT="0" distB="0" distL="114300" distR="114300" simplePos="0" relativeHeight="251662336" behindDoc="1" locked="0" layoutInCell="1" allowOverlap="1">
            <wp:simplePos x="0" y="0"/>
            <wp:positionH relativeFrom="column">
              <wp:posOffset>-967740</wp:posOffset>
            </wp:positionH>
            <wp:positionV relativeFrom="paragraph">
              <wp:posOffset>-1071880</wp:posOffset>
            </wp:positionV>
            <wp:extent cx="7560310" cy="10695305"/>
            <wp:effectExtent l="0" t="0" r="2540" b="10795"/>
            <wp:wrapNone/>
            <wp:docPr id="12" name="图片 12" descr="富赫需要盖章文件(12.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富赫需要盖章文件(12.29)_01"/>
                    <pic:cNvPicPr>
                      <a:picLocks noChangeAspect="1"/>
                    </pic:cNvPicPr>
                  </pic:nvPicPr>
                  <pic:blipFill>
                    <a:blip r:embed="rId14"/>
                    <a:stretch>
                      <a:fillRect/>
                    </a:stretch>
                  </pic:blipFill>
                  <pic:spPr>
                    <a:xfrm>
                      <a:off x="0" y="0"/>
                      <a:ext cx="7560310" cy="10695305"/>
                    </a:xfrm>
                    <a:prstGeom prst="rect">
                      <a:avLst/>
                    </a:prstGeom>
                  </pic:spPr>
                </pic:pic>
              </a:graphicData>
            </a:graphic>
          </wp:anchor>
        </w:drawing>
      </w:r>
      <w:r>
        <w:rPr>
          <w:color w:val="000000" w:themeColor="text1"/>
          <w14:textFill>
            <w14:solidFill>
              <w14:schemeClr w14:val="tx1"/>
            </w14:solidFill>
          </w14:textFill>
        </w:rPr>
        <w:br w:type="page"/>
      </w:r>
    </w:p>
    <w:p w14:paraId="7E45FA6F">
      <w:pPr>
        <w:pStyle w:val="224"/>
        <w:rPr>
          <w:bCs/>
          <w:snapToGrid w:val="0"/>
          <w:color w:val="000000" w:themeColor="text1"/>
          <w:sz w:val="32"/>
          <w:szCs w:val="32"/>
          <w14:textFill>
            <w14:solidFill>
              <w14:schemeClr w14:val="tx1"/>
            </w14:solidFill>
          </w14:textFill>
        </w:rPr>
        <w:sectPr>
          <w:headerReference r:id="rId8" w:type="default"/>
          <w:footerReference r:id="rId9" w:type="default"/>
          <w:pgSz w:w="11906" w:h="16838"/>
          <w:pgMar w:top="1417" w:right="1417" w:bottom="1417" w:left="1417" w:header="992" w:footer="992" w:gutter="0"/>
          <w:pgNumType w:start="1"/>
          <w:cols w:space="720" w:num="1"/>
          <w:docGrid w:linePitch="312" w:charSpace="0"/>
        </w:sectPr>
      </w:pPr>
      <w:bookmarkStart w:id="0" w:name="_Toc27258"/>
    </w:p>
    <w:p w14:paraId="45287284">
      <w:pPr>
        <w:pStyle w:val="224"/>
        <w:sectPr>
          <w:pgSz w:w="11906" w:h="16838"/>
          <w:pgMar w:top="1417" w:right="1417" w:bottom="1417" w:left="1417" w:header="992" w:footer="992" w:gutter="0"/>
          <w:pgNumType w:start="1"/>
          <w:cols w:space="720" w:num="1"/>
          <w:docGrid w:linePitch="312" w:charSpace="0"/>
        </w:sectPr>
      </w:pPr>
      <w:r>
        <w:rPr>
          <w14:ligatures w14:val="none"/>
        </w:rPr>
        <mc:AlternateContent>
          <mc:Choice Requires="wps">
            <w:drawing>
              <wp:anchor distT="0" distB="0" distL="114300" distR="114300" simplePos="0" relativeHeight="251664384" behindDoc="0" locked="0" layoutInCell="1" allowOverlap="1">
                <wp:simplePos x="0" y="0"/>
                <wp:positionH relativeFrom="column">
                  <wp:posOffset>2262505</wp:posOffset>
                </wp:positionH>
                <wp:positionV relativeFrom="paragraph">
                  <wp:posOffset>2176780</wp:posOffset>
                </wp:positionV>
                <wp:extent cx="2152650" cy="180975"/>
                <wp:effectExtent l="0" t="0" r="19050" b="28575"/>
                <wp:wrapNone/>
                <wp:docPr id="1947205366" name="矩形 4"/>
                <wp:cNvGraphicFramePr/>
                <a:graphic xmlns:a="http://schemas.openxmlformats.org/drawingml/2006/main">
                  <a:graphicData uri="http://schemas.microsoft.com/office/word/2010/wordprocessingShape">
                    <wps:wsp>
                      <wps:cNvSpPr/>
                      <wps:spPr>
                        <a:xfrm>
                          <a:off x="0" y="0"/>
                          <a:ext cx="2152650"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78.15pt;margin-top:171.4pt;height:14.25pt;width:169.5pt;z-index:251664384;v-text-anchor:middle;mso-width-relative:page;mso-height-relative:page;" fillcolor="#FFFFFF [3212]" filled="t" stroked="t" coordsize="21600,21600" o:gfxdata="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PsKfHbAAAACwEAAA8AAAAAAAAAAQAgAAAAIgAAAGRycy9kb3ducmV2LnhtbFBL&#10;AQIUABQAAAAIAIdO4kDdm6DaZQIAAOYEAAAOAAAAAAAAAAEAIAAAACoBAABkcnMvZTJvRG9jLnht&#10;bFBLBQYAAAAABgAGAFkBAAABBgAAAAA=&#10;">
                <v:fill on="t" focussize="0,0"/>
                <v:stroke weight="2pt" color="#FFFFFF [3212]" joinstyle="round"/>
                <v:imagedata o:title=""/>
                <o:lock v:ext="edit" aspectratio="f"/>
              </v:rect>
            </w:pict>
          </mc:Fallback>
        </mc:AlternateContent>
      </w:r>
      <w:r>
        <w:rPr>
          <w14:ligatures w14:val="none"/>
        </w:rPr>
        <mc:AlternateContent>
          <mc:Choice Requires="wps">
            <w:drawing>
              <wp:anchor distT="0" distB="0" distL="114300" distR="114300" simplePos="0" relativeHeight="251665408" behindDoc="0" locked="0" layoutInCell="1" allowOverlap="1">
                <wp:simplePos x="0" y="0"/>
                <wp:positionH relativeFrom="column">
                  <wp:posOffset>2138680</wp:posOffset>
                </wp:positionH>
                <wp:positionV relativeFrom="paragraph">
                  <wp:posOffset>2300605</wp:posOffset>
                </wp:positionV>
                <wp:extent cx="1952625" cy="180975"/>
                <wp:effectExtent l="0" t="0" r="28575" b="28575"/>
                <wp:wrapNone/>
                <wp:docPr id="1236484788"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68.4pt;margin-top:181.15pt;height:14.25pt;width:153.75pt;z-index:251665408;v-text-anchor:middle;mso-width-relative:page;mso-height-relative:page;" fillcolor="#FFFFFF [3212]" filled="t" stroked="t" coordsize="21600,21600" o:gfxdata="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ve2El2gAAAAsBAAAPAAAAAAAAAAEAIAAAACIAAABkcnMvZG93bnJldi54bWxQ&#10;SwECFAAUAAAACACHTuJAYpyqs2cCAADmBAAADgAAAAAAAAABACAAAAApAQAAZHJzL2Uyb0RvYy54&#10;bWxQSwUGAAAAAAYABgBZAQAAAgYAAAAA&#10;">
                <v:fill on="t" focussize="0,0"/>
                <v:stroke weight="2pt" color="#FFFFFF [3212]" joinstyle="round"/>
                <v:imagedata o:title=""/>
                <o:lock v:ext="edit" aspectratio="f"/>
              </v:rect>
            </w:pict>
          </mc:Fallback>
        </mc:AlternateContent>
      </w:r>
    </w:p>
    <w:p w14:paraId="3E2BE499">
      <w:pPr>
        <w:pStyle w:val="224"/>
        <w:sectPr>
          <w:pgSz w:w="16838" w:h="11906" w:orient="landscape"/>
          <w:pgMar w:top="1417" w:right="1417" w:bottom="1417" w:left="1417" w:header="992" w:footer="992" w:gutter="0"/>
          <w:pgNumType w:start="1"/>
          <w:cols w:space="720" w:num="1"/>
          <w:docGrid w:linePitch="312" w:charSpace="0"/>
        </w:sectPr>
      </w:pPr>
    </w:p>
    <w:p w14:paraId="27282B76">
      <w:pPr>
        <w:pStyle w:val="224"/>
      </w:pPr>
    </w:p>
    <w:p w14:paraId="3021A182">
      <w:pPr>
        <w:pStyle w:val="224"/>
      </w:pPr>
      <w:r>
        <w:rPr>
          <w14:ligatures w14:val="none"/>
        </w:rPr>
        <mc:AlternateContent>
          <mc:Choice Requires="wps">
            <w:drawing>
              <wp:anchor distT="0" distB="0" distL="114300" distR="114300" simplePos="0" relativeHeight="251666432" behindDoc="0" locked="0" layoutInCell="1" allowOverlap="1">
                <wp:simplePos x="0" y="0"/>
                <wp:positionH relativeFrom="margin">
                  <wp:posOffset>3776980</wp:posOffset>
                </wp:positionH>
                <wp:positionV relativeFrom="paragraph">
                  <wp:posOffset>5314315</wp:posOffset>
                </wp:positionV>
                <wp:extent cx="1085850" cy="247650"/>
                <wp:effectExtent l="0" t="0" r="19050" b="19050"/>
                <wp:wrapNone/>
                <wp:docPr id="1466589190" name="矩形 4"/>
                <wp:cNvGraphicFramePr/>
                <a:graphic xmlns:a="http://schemas.openxmlformats.org/drawingml/2006/main">
                  <a:graphicData uri="http://schemas.microsoft.com/office/word/2010/wordprocessingShape">
                    <wps:wsp>
                      <wps:cNvSpPr/>
                      <wps:spPr>
                        <a:xfrm>
                          <a:off x="0" y="0"/>
                          <a:ext cx="1085850" cy="2476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297.4pt;margin-top:418.45pt;height:19.5pt;width:85.5pt;mso-position-horizontal-relative:margin;z-index:251666432;v-text-anchor:middle;mso-width-relative:page;mso-height-relative:page;" fillcolor="#FFFFFF [3212]" filled="t" stroked="t" coordsize="21600,21600" o:gfxdata="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9kONsAAAALAQAADwAAAAAAAAABACAAAAAiAAAAZHJzL2Rvd25yZXYueG1sUEsB&#10;AhQAFAAAAAgAh07iQK0fgIdkAgAA5gQAAA4AAAAAAAAAAQAgAAAAKgEAAGRycy9lMm9Eb2MueG1s&#10;UEsFBgAAAAAGAAYAWQEAAAAGAAAAAA==&#10;">
                <v:fill on="t" focussize="0,0"/>
                <v:stroke weight="2pt" color="#FFFFFF [3212]" joinstyle="round"/>
                <v:imagedata o:title=""/>
                <o:lock v:ext="edit" aspectratio="f"/>
              </v:rect>
            </w:pict>
          </mc:Fallback>
        </mc:AlternateContent>
      </w:r>
    </w:p>
    <w:p w14:paraId="41FFC65D">
      <w:pPr>
        <w:pStyle w:val="224"/>
        <w:rPr>
          <w:snapToGrid w:val="0"/>
          <w:color w:val="000000" w:themeColor="text1"/>
          <w14:textFill>
            <w14:solidFill>
              <w14:schemeClr w14:val="tx1"/>
            </w14:solidFill>
          </w14:textFill>
        </w:rPr>
        <w:sectPr>
          <w:pgSz w:w="11906" w:h="16838"/>
          <w:pgMar w:top="1417" w:right="1417" w:bottom="1417" w:left="1417" w:header="992" w:footer="992" w:gutter="0"/>
          <w:pgNumType w:start="1"/>
          <w:cols w:space="720" w:num="1"/>
          <w:docGrid w:linePitch="312" w:charSpace="0"/>
        </w:sectPr>
      </w:pPr>
    </w:p>
    <w:p w14:paraId="7149E6CC">
      <w:pPr>
        <w:pStyle w:val="224"/>
        <w:rPr>
          <w:bCs/>
          <w:snapToGrid w:val="0"/>
          <w:color w:val="000000" w:themeColor="text1"/>
          <w:sz w:val="32"/>
          <w:szCs w:val="32"/>
          <w14:textFill>
            <w14:solidFill>
              <w14:schemeClr w14:val="tx1"/>
            </w14:solidFill>
          </w14:textFill>
        </w:rPr>
      </w:pPr>
      <w:r>
        <w:rPr>
          <w14:ligatures w14:val="none"/>
        </w:rPr>
        <mc:AlternateContent>
          <mc:Choice Requires="wps">
            <w:drawing>
              <wp:anchor distT="0" distB="0" distL="114300" distR="114300" simplePos="0" relativeHeight="251667456" behindDoc="0" locked="0" layoutInCell="1" allowOverlap="1">
                <wp:simplePos x="0" y="0"/>
                <wp:positionH relativeFrom="column">
                  <wp:posOffset>2281555</wp:posOffset>
                </wp:positionH>
                <wp:positionV relativeFrom="paragraph">
                  <wp:posOffset>1433830</wp:posOffset>
                </wp:positionV>
                <wp:extent cx="1952625" cy="180975"/>
                <wp:effectExtent l="0" t="0" r="28575" b="28575"/>
                <wp:wrapNone/>
                <wp:docPr id="196907774"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79.65pt;margin-top:112.9pt;height:14.25pt;width:153.75pt;z-index:251667456;v-text-anchor:middle;mso-width-relative:page;mso-height-relative:page;" fillcolor="#FFFFFF [3212]" filled="t" stroked="t" coordsize="21600,21600" o:gfxdata="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nWw3z2wAAAAsBAAAPAAAAAAAAAAEAIAAAACIAAABkcnMvZG93bnJldi54bWxQ&#10;SwECFAAUAAAACACHTuJAlr+SiWYCAADlBAAADgAAAAAAAAABACAAAAAqAQAAZHJzL2Uyb0RvYy54&#10;bWxQSwUGAAAAAAYABgBZAQAAAgYAAAAA&#10;">
                <v:fill on="t" focussize="0,0"/>
                <v:stroke weight="2pt" color="#FFFFFF [3212]" joinstyle="round"/>
                <v:imagedata o:title=""/>
                <o:lock v:ext="edit" aspectratio="f"/>
              </v:rect>
            </w:pict>
          </mc:Fallback>
        </mc:AlternateContent>
      </w:r>
    </w:p>
    <w:p w14:paraId="25EC2899">
      <w:pPr>
        <w:pStyle w:val="224"/>
        <w:rPr>
          <w:bCs/>
          <w:snapToGrid w:val="0"/>
          <w:color w:val="000000" w:themeColor="text1"/>
          <w:sz w:val="32"/>
          <w:szCs w:val="32"/>
          <w14:textFill>
            <w14:solidFill>
              <w14:schemeClr w14:val="tx1"/>
            </w14:solidFill>
          </w14:textFill>
        </w:rPr>
      </w:pPr>
      <w:r>
        <w:rPr>
          <w14:ligatures w14:val="none"/>
        </w:rPr>
        <mc:AlternateContent>
          <mc:Choice Requires="wps">
            <w:drawing>
              <wp:anchor distT="0" distB="0" distL="114300" distR="114300" simplePos="0" relativeHeight="251668480" behindDoc="0" locked="0" layoutInCell="1" allowOverlap="1">
                <wp:simplePos x="0" y="0"/>
                <wp:positionH relativeFrom="column">
                  <wp:posOffset>2472055</wp:posOffset>
                </wp:positionH>
                <wp:positionV relativeFrom="paragraph">
                  <wp:posOffset>1443355</wp:posOffset>
                </wp:positionV>
                <wp:extent cx="1952625" cy="180975"/>
                <wp:effectExtent l="0" t="0" r="28575" b="28575"/>
                <wp:wrapNone/>
                <wp:docPr id="974520829"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94.65pt;margin-top:113.65pt;height:14.25pt;width:153.75pt;z-index:251668480;v-text-anchor:middle;mso-width-relative:page;mso-height-relative:page;" fillcolor="#FFFFFF [3212]" filled="t" stroked="t" coordsize="21600,21600" o:gfxdata="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hzmCtwAAAALAQAADwAAAAAAAAABACAAAAAiAAAAZHJzL2Rvd25yZXYueG1s&#10;UEsBAhQAFAAAAAgAh07iQEGDjRtmAgAA5QQAAA4AAAAAAAAAAQAgAAAAKwEAAGRycy9lMm9Eb2Mu&#10;eG1sUEsFBgAAAAAGAAYAWQEAAAMGAAAAAA==&#10;">
                <v:fill on="t" focussize="0,0"/>
                <v:stroke weight="2pt" color="#FFFFFF [3212]" joinstyle="round"/>
                <v:imagedata o:title=""/>
                <o:lock v:ext="edit" aspectratio="f"/>
              </v:rect>
            </w:pict>
          </mc:Fallback>
        </mc:AlternateContent>
      </w:r>
    </w:p>
    <w:p w14:paraId="21F7D18E">
      <w:pPr>
        <w:pStyle w:val="224"/>
        <w:rPr>
          <w:bCs/>
          <w:snapToGrid w:val="0"/>
          <w:color w:val="000000" w:themeColor="text1"/>
          <w:sz w:val="32"/>
          <w:szCs w:val="32"/>
          <w14:textFill>
            <w14:solidFill>
              <w14:schemeClr w14:val="tx1"/>
            </w14:solidFill>
          </w14:textFill>
        </w:rPr>
        <w:sectPr>
          <w:pgSz w:w="16838" w:h="11906" w:orient="landscape"/>
          <w:pgMar w:top="1417" w:right="1417" w:bottom="1417" w:left="1417" w:header="992" w:footer="992" w:gutter="0"/>
          <w:pgNumType w:start="1"/>
          <w:cols w:space="720" w:num="1"/>
          <w:docGrid w:linePitch="326" w:charSpace="0"/>
        </w:sectPr>
      </w:pPr>
    </w:p>
    <w:p w14:paraId="1BC972A5">
      <w:pPr>
        <w:pStyle w:val="29"/>
        <w:widowControl w:val="0"/>
        <w:topLinePunct/>
        <w:spacing w:before="0" w:beforeAutospacing="0" w:after="0" w:afterAutospacing="0"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r>
        <w:rPr>
          <w:rFonts w:ascii="Times New Roman" w:hAnsi="Times New Roman" w:eastAsia="宋体" w:cs="Times New Roman"/>
          <w:b/>
          <w:bCs/>
          <w:snapToGrid w:val="0"/>
          <w:color w:val="000000" w:themeColor="text1"/>
          <w:sz w:val="32"/>
          <w:szCs w:val="32"/>
          <w14:textFill>
            <w14:solidFill>
              <w14:schemeClr w14:val="tx1"/>
            </w14:solidFill>
          </w14:textFill>
        </w:rPr>
        <w:t>一、建设项目基本情况</w:t>
      </w:r>
      <w:bookmarkEnd w:id="0"/>
    </w:p>
    <w:tbl>
      <w:tblPr>
        <w:tblStyle w:val="37"/>
        <w:tblpPr w:leftFromText="180" w:rightFromText="180" w:vertAnchor="text" w:horzAnchor="page" w:tblpX="1469" w:tblpY="212"/>
        <w:tblOverlap w:val="never"/>
        <w:tblW w:w="498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38"/>
        <w:gridCol w:w="2974"/>
        <w:gridCol w:w="1777"/>
        <w:gridCol w:w="3185"/>
      </w:tblGrid>
      <w:tr w14:paraId="76EE35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3F3345F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14:paraId="2DCADE5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名称</w:t>
            </w:r>
          </w:p>
        </w:tc>
        <w:tc>
          <w:tcPr>
            <w:tcW w:w="4373" w:type="pct"/>
            <w:gridSpan w:val="3"/>
            <w:vAlign w:val="center"/>
          </w:tcPr>
          <w:p w14:paraId="5D3C00F2">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bookmarkStart w:id="26" w:name="_GoBack"/>
            <w:r>
              <w:rPr>
                <w:rFonts w:hint="eastAsia" w:ascii="Times New Roman" w:hAnsi="Times New Roman" w:eastAsia="宋体" w:cs="Times New Roman"/>
                <w:color w:val="000000" w:themeColor="text1"/>
                <w:sz w:val="24"/>
                <w:szCs w:val="24"/>
                <w14:textFill>
                  <w14:solidFill>
                    <w14:schemeClr w14:val="tx1"/>
                  </w14:solidFill>
                </w14:textFill>
              </w:rPr>
              <w:t>福州市富赫橡塑科技有限公司年加工橡胶片4000吨、橡胶条5000吨</w:t>
            </w:r>
            <w:bookmarkEnd w:id="26"/>
          </w:p>
        </w:tc>
      </w:tr>
      <w:tr w14:paraId="2CA42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9" w:hRule="atLeast"/>
        </w:trPr>
        <w:tc>
          <w:tcPr>
            <w:tcW w:w="627" w:type="pct"/>
            <w:tcMar>
              <w:top w:w="16" w:type="dxa"/>
              <w:left w:w="16" w:type="dxa"/>
              <w:right w:w="16" w:type="dxa"/>
            </w:tcMar>
            <w:vAlign w:val="center"/>
          </w:tcPr>
          <w:p w14:paraId="0530A7E4">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项目代码</w:t>
            </w:r>
          </w:p>
        </w:tc>
        <w:tc>
          <w:tcPr>
            <w:tcW w:w="4373" w:type="pct"/>
            <w:gridSpan w:val="3"/>
            <w:vAlign w:val="center"/>
          </w:tcPr>
          <w:p w14:paraId="44E171D6">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2510-350181-04-01-182149</w:t>
            </w:r>
          </w:p>
        </w:tc>
      </w:tr>
      <w:tr w14:paraId="326664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06E80D79">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w:t>
            </w:r>
          </w:p>
          <w:p w14:paraId="72285ABA">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联系人</w:t>
            </w:r>
          </w:p>
        </w:tc>
        <w:tc>
          <w:tcPr>
            <w:tcW w:w="1639" w:type="pct"/>
            <w:vAlign w:val="center"/>
          </w:tcPr>
          <w:p w14:paraId="06D07E0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p>
        </w:tc>
        <w:tc>
          <w:tcPr>
            <w:tcW w:w="979" w:type="pct"/>
            <w:vAlign w:val="center"/>
          </w:tcPr>
          <w:p w14:paraId="4CE1A35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联系方式</w:t>
            </w:r>
          </w:p>
        </w:tc>
        <w:tc>
          <w:tcPr>
            <w:tcW w:w="1755" w:type="pct"/>
            <w:vAlign w:val="center"/>
          </w:tcPr>
          <w:p w14:paraId="78CFBC4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p>
        </w:tc>
      </w:tr>
      <w:tr w14:paraId="367D64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2" w:hRule="atLeast"/>
        </w:trPr>
        <w:tc>
          <w:tcPr>
            <w:tcW w:w="627" w:type="pct"/>
            <w:tcMar>
              <w:top w:w="16" w:type="dxa"/>
              <w:left w:w="16" w:type="dxa"/>
              <w:right w:w="16" w:type="dxa"/>
            </w:tcMar>
            <w:vAlign w:val="center"/>
          </w:tcPr>
          <w:p w14:paraId="3983193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w:t>
            </w:r>
          </w:p>
        </w:tc>
        <w:tc>
          <w:tcPr>
            <w:tcW w:w="4373" w:type="pct"/>
            <w:gridSpan w:val="3"/>
            <w:vAlign w:val="center"/>
          </w:tcPr>
          <w:p w14:paraId="207A16E5">
            <w:pPr>
              <w:spacing w:after="0" w:line="240" w:lineRule="auto"/>
              <w:jc w:val="center"/>
              <w:rPr>
                <w:color w:val="000000" w:themeColor="text1"/>
                <w14:textFill>
                  <w14:solidFill>
                    <w14:schemeClr w14:val="tx1"/>
                  </w14:solidFill>
                </w14:textFill>
              </w:rPr>
            </w:pPr>
            <w:bookmarkStart w:id="1" w:name="_Hlk217232115"/>
            <w:r>
              <w:rPr>
                <w:rFonts w:ascii="宋体" w:hAnsi="宋体"/>
                <w:color w:val="000000" w:themeColor="text1"/>
                <w14:textFill>
                  <w14:solidFill>
                    <w14:schemeClr w14:val="tx1"/>
                  </w14:solidFill>
                </w14:textFill>
              </w:rPr>
              <w:t>闽台（福州）蓝色经济产业园（福建省蓝谷海工装备产业综合体</w:t>
            </w:r>
            <w:r>
              <w:rPr>
                <w:rFonts w:hint="eastAsia" w:ascii="宋体" w:hAnsi="宋体"/>
                <w:color w:val="000000" w:themeColor="text1"/>
                <w14:textFill>
                  <w14:solidFill>
                    <w14:schemeClr w14:val="tx1"/>
                  </w14:solidFill>
                </w14:textFill>
              </w:rPr>
              <w:t>A32</w:t>
            </w:r>
            <w:r>
              <w:rPr>
                <w:rFonts w:ascii="宋体" w:hAnsi="宋体"/>
                <w:color w:val="000000" w:themeColor="text1"/>
                <w14:textFill>
                  <w14:solidFill>
                    <w14:schemeClr w14:val="tx1"/>
                  </w14:solidFill>
                </w14:textFill>
              </w:rPr>
              <w:t>厂房（</w:t>
            </w:r>
            <w:r>
              <w:rPr>
                <w:rFonts w:hint="eastAsia" w:ascii="宋体" w:hAnsi="宋体"/>
                <w:color w:val="000000" w:themeColor="text1"/>
                <w14:textFill>
                  <w14:solidFill>
                    <w14:schemeClr w14:val="tx1"/>
                  </w14:solidFill>
                </w14:textFill>
              </w:rPr>
              <w:t>二</w:t>
            </w:r>
            <w:r>
              <w:rPr>
                <w:rFonts w:ascii="宋体" w:hAnsi="宋体"/>
                <w:color w:val="000000" w:themeColor="text1"/>
                <w14:textFill>
                  <w14:solidFill>
                    <w14:schemeClr w14:val="tx1"/>
                  </w14:solidFill>
                </w14:textFill>
              </w:rPr>
              <w:t>期）</w:t>
            </w:r>
            <w:r>
              <w:rPr>
                <w:rFonts w:hint="eastAsia" w:ascii="宋体" w:hAnsi="宋体"/>
                <w:color w:val="000000" w:themeColor="text1"/>
                <w14:textFill>
                  <w14:solidFill>
                    <w14:schemeClr w14:val="tx1"/>
                  </w14:solidFill>
                </w14:textFill>
              </w:rPr>
              <w:t>整座</w:t>
            </w:r>
            <w:r>
              <w:rPr>
                <w:rFonts w:ascii="宋体" w:hAnsi="宋体"/>
                <w:color w:val="000000" w:themeColor="text1"/>
                <w14:textFill>
                  <w14:solidFill>
                    <w14:schemeClr w14:val="tx1"/>
                  </w14:solidFill>
                </w14:textFill>
              </w:rPr>
              <w:t>）</w:t>
            </w:r>
            <w:bookmarkEnd w:id="1"/>
          </w:p>
        </w:tc>
      </w:tr>
      <w:tr w14:paraId="518CD1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Borders>
              <w:bottom w:val="single" w:color="auto" w:sz="4" w:space="0"/>
            </w:tcBorders>
            <w:tcMar>
              <w:top w:w="16" w:type="dxa"/>
              <w:left w:w="16" w:type="dxa"/>
              <w:right w:w="16" w:type="dxa"/>
            </w:tcMar>
            <w:vAlign w:val="center"/>
          </w:tcPr>
          <w:p w14:paraId="5D90FC2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地理坐标</w:t>
            </w:r>
          </w:p>
        </w:tc>
        <w:tc>
          <w:tcPr>
            <w:tcW w:w="4373" w:type="pct"/>
            <w:gridSpan w:val="3"/>
            <w:tcBorders>
              <w:bottom w:val="single" w:color="auto" w:sz="4" w:space="0"/>
            </w:tcBorders>
            <w:vAlign w:val="center"/>
          </w:tcPr>
          <w:p w14:paraId="63F3F67A">
            <w:pPr>
              <w:widowControl w:val="0"/>
              <w:topLinePunct/>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东经119°23'40.239″，北纬25°31'39.784″</w:t>
            </w:r>
          </w:p>
        </w:tc>
      </w:tr>
      <w:tr w14:paraId="58D51D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27" w:type="pct"/>
            <w:tcBorders>
              <w:top w:val="single" w:color="auto" w:sz="4" w:space="0"/>
              <w:left w:val="single" w:color="auto" w:sz="4" w:space="0"/>
              <w:bottom w:val="single" w:color="auto" w:sz="4" w:space="0"/>
            </w:tcBorders>
            <w:tcMar>
              <w:top w:w="16" w:type="dxa"/>
              <w:left w:w="16" w:type="dxa"/>
              <w:right w:w="16" w:type="dxa"/>
            </w:tcMar>
            <w:vAlign w:val="center"/>
          </w:tcPr>
          <w:p w14:paraId="1176F4D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国民经济</w:t>
            </w:r>
          </w:p>
          <w:p w14:paraId="611C6BFA">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p>
        </w:tc>
        <w:tc>
          <w:tcPr>
            <w:tcW w:w="1639" w:type="pct"/>
            <w:tcBorders>
              <w:top w:val="single" w:color="auto" w:sz="4" w:space="0"/>
              <w:bottom w:val="single" w:color="auto" w:sz="4" w:space="0"/>
            </w:tcBorders>
            <w:vAlign w:val="center"/>
          </w:tcPr>
          <w:p w14:paraId="1C183AC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C2913橡胶零件制造</w:t>
            </w:r>
          </w:p>
        </w:tc>
        <w:tc>
          <w:tcPr>
            <w:tcW w:w="979" w:type="pct"/>
            <w:tcBorders>
              <w:top w:val="single" w:color="auto" w:sz="4" w:space="0"/>
              <w:bottom w:val="single" w:color="auto" w:sz="4" w:space="0"/>
            </w:tcBorders>
            <w:vAlign w:val="center"/>
          </w:tcPr>
          <w:p w14:paraId="314F5640">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2" w:name="_Hlk49843745"/>
            <w:r>
              <w:rPr>
                <w:rFonts w:ascii="Times New Roman" w:hAnsi="Times New Roman" w:eastAsia="宋体" w:cs="Times New Roman"/>
                <w:color w:val="000000" w:themeColor="text1"/>
                <w:szCs w:val="24"/>
                <w14:textFill>
                  <w14:solidFill>
                    <w14:schemeClr w14:val="tx1"/>
                  </w14:solidFill>
                </w14:textFill>
              </w:rPr>
              <w:t>建设项目</w:t>
            </w:r>
          </w:p>
          <w:p w14:paraId="02F98F56">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bookmarkEnd w:id="2"/>
          </w:p>
        </w:tc>
        <w:tc>
          <w:tcPr>
            <w:tcW w:w="1755" w:type="pct"/>
            <w:tcBorders>
              <w:top w:val="single" w:color="auto" w:sz="4" w:space="0"/>
              <w:bottom w:val="single" w:color="auto" w:sz="4" w:space="0"/>
              <w:right w:val="single" w:color="auto" w:sz="4" w:space="0"/>
            </w:tcBorders>
            <w:vAlign w:val="center"/>
          </w:tcPr>
          <w:p w14:paraId="4956A00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二十六、橡胶和塑料制品业</w:t>
            </w:r>
            <w:r>
              <w:rPr>
                <w:rFonts w:ascii="Times New Roman" w:hAnsi="Times New Roman" w:eastAsia="宋体" w:cs="Times New Roman"/>
                <w:color w:val="000000" w:themeColor="text1"/>
                <w:szCs w:val="24"/>
                <w14:textFill>
                  <w14:solidFill>
                    <w14:schemeClr w14:val="tx1"/>
                  </w14:solidFill>
                </w14:textFill>
              </w:rPr>
              <w:t>29：</w:t>
            </w:r>
            <w:r>
              <w:rPr>
                <w:rFonts w:hint="eastAsia" w:ascii="Times New Roman" w:hAnsi="Times New Roman" w:eastAsia="宋体" w:cs="Times New Roman"/>
                <w:color w:val="000000" w:themeColor="text1"/>
                <w:szCs w:val="24"/>
                <w14:textFill>
                  <w14:solidFill>
                    <w14:schemeClr w14:val="tx1"/>
                  </w14:solidFill>
                </w14:textFill>
              </w:rPr>
              <w:t>橡胶制品业</w:t>
            </w:r>
            <w:r>
              <w:rPr>
                <w:rFonts w:ascii="Times New Roman" w:hAnsi="Times New Roman" w:eastAsia="宋体" w:cs="Times New Roman"/>
                <w:color w:val="000000" w:themeColor="text1"/>
                <w:szCs w:val="24"/>
                <w14:textFill>
                  <w14:solidFill>
                    <w14:schemeClr w14:val="tx1"/>
                  </w14:solidFill>
                </w14:textFill>
              </w:rPr>
              <w:t>291</w:t>
            </w:r>
            <w:r>
              <w:rPr>
                <w:rFonts w:hint="eastAsia" w:ascii="Times New Roman" w:hAnsi="Times New Roman" w:eastAsia="宋体" w:cs="Times New Roman"/>
                <w:color w:val="000000" w:themeColor="text1"/>
                <w:szCs w:val="24"/>
                <w14:textFill>
                  <w14:solidFill>
                    <w14:schemeClr w14:val="tx1"/>
                  </w14:solidFill>
                </w14:textFill>
              </w:rPr>
              <w:t>；</w:t>
            </w:r>
          </w:p>
        </w:tc>
      </w:tr>
      <w:tr w14:paraId="748E14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627" w:type="pct"/>
            <w:tcBorders>
              <w:top w:val="single" w:color="auto" w:sz="4" w:space="0"/>
            </w:tcBorders>
            <w:tcMar>
              <w:top w:w="16" w:type="dxa"/>
              <w:left w:w="16" w:type="dxa"/>
              <w:right w:w="16" w:type="dxa"/>
            </w:tcMar>
            <w:vAlign w:val="center"/>
          </w:tcPr>
          <w:p w14:paraId="24F61FBE">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建设性质</w:t>
            </w:r>
          </w:p>
        </w:tc>
        <w:tc>
          <w:tcPr>
            <w:tcW w:w="1639" w:type="pct"/>
            <w:tcBorders>
              <w:top w:val="single" w:color="auto" w:sz="4" w:space="0"/>
            </w:tcBorders>
            <w:vAlign w:val="center"/>
          </w:tcPr>
          <w:p w14:paraId="63E72A43">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新建</w:t>
            </w:r>
          </w:p>
          <w:p w14:paraId="2059AA75">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改建</w:t>
            </w:r>
          </w:p>
          <w:p w14:paraId="2DFF1ED5">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扩建</w:t>
            </w:r>
          </w:p>
          <w:p w14:paraId="0F333116">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技术改造</w:t>
            </w:r>
          </w:p>
        </w:tc>
        <w:tc>
          <w:tcPr>
            <w:tcW w:w="979" w:type="pct"/>
            <w:tcBorders>
              <w:top w:val="single" w:color="auto" w:sz="4" w:space="0"/>
            </w:tcBorders>
            <w:vAlign w:val="center"/>
          </w:tcPr>
          <w:p w14:paraId="1AD45BE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14:paraId="6EB0B03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申报情形</w:t>
            </w:r>
          </w:p>
        </w:tc>
        <w:tc>
          <w:tcPr>
            <w:tcW w:w="1755" w:type="pct"/>
            <w:tcBorders>
              <w:top w:val="single" w:color="auto" w:sz="4" w:space="0"/>
            </w:tcBorders>
            <w:vAlign w:val="center"/>
          </w:tcPr>
          <w:p w14:paraId="5866BFC6">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 xml:space="preserve">首次申报项目             </w:t>
            </w:r>
          </w:p>
          <w:p w14:paraId="112B6FD8">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不予批准后再次申报项目</w:t>
            </w:r>
          </w:p>
          <w:p w14:paraId="725E9F28">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超五年重新审核项目</w:t>
            </w:r>
          </w:p>
          <w:p w14:paraId="6692E4CD">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重大变动重新报批项目</w:t>
            </w:r>
          </w:p>
        </w:tc>
      </w:tr>
      <w:tr w14:paraId="136BD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627" w:type="pct"/>
            <w:tcMar>
              <w:top w:w="16" w:type="dxa"/>
              <w:left w:w="16" w:type="dxa"/>
              <w:right w:w="16" w:type="dxa"/>
            </w:tcMar>
            <w:vAlign w:val="center"/>
          </w:tcPr>
          <w:p w14:paraId="5CE94754">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项目审批（核准/备案）部门（选填）</w:t>
            </w:r>
          </w:p>
        </w:tc>
        <w:tc>
          <w:tcPr>
            <w:tcW w:w="1639" w:type="pct"/>
            <w:vAlign w:val="center"/>
          </w:tcPr>
          <w:p w14:paraId="394E145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福清市发展和改革局</w:t>
            </w:r>
          </w:p>
        </w:tc>
        <w:tc>
          <w:tcPr>
            <w:tcW w:w="979" w:type="pct"/>
            <w:vAlign w:val="center"/>
          </w:tcPr>
          <w:p w14:paraId="2249E3A0">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w:t>
            </w:r>
          </w:p>
          <w:p w14:paraId="1569DEB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备案）文号（选填）</w:t>
            </w:r>
          </w:p>
        </w:tc>
        <w:tc>
          <w:tcPr>
            <w:tcW w:w="1755" w:type="pct"/>
            <w:vAlign w:val="center"/>
          </w:tcPr>
          <w:p w14:paraId="485B4A9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闽工信备[202</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]A060392号</w:t>
            </w:r>
          </w:p>
        </w:tc>
      </w:tr>
      <w:tr w14:paraId="2F9A3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189016F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w:t>
            </w:r>
          </w:p>
          <w:p w14:paraId="12CC26A6">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（万元）</w:t>
            </w:r>
          </w:p>
        </w:tc>
        <w:tc>
          <w:tcPr>
            <w:tcW w:w="1639" w:type="pct"/>
            <w:vAlign w:val="center"/>
          </w:tcPr>
          <w:p w14:paraId="54B09EA4">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500</w:t>
            </w:r>
          </w:p>
        </w:tc>
        <w:tc>
          <w:tcPr>
            <w:tcW w:w="979" w:type="pct"/>
            <w:tcMar>
              <w:top w:w="16" w:type="dxa"/>
              <w:left w:w="16" w:type="dxa"/>
              <w:right w:w="16" w:type="dxa"/>
            </w:tcMar>
            <w:vAlign w:val="center"/>
          </w:tcPr>
          <w:p w14:paraId="614F5159">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环保投资（万元）</w:t>
            </w:r>
          </w:p>
        </w:tc>
        <w:tc>
          <w:tcPr>
            <w:tcW w:w="1755" w:type="pct"/>
            <w:vAlign w:val="center"/>
          </w:tcPr>
          <w:p w14:paraId="72DB313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10</w:t>
            </w:r>
          </w:p>
        </w:tc>
      </w:tr>
      <w:tr w14:paraId="0391A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4451C84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w:t>
            </w:r>
          </w:p>
          <w:p w14:paraId="25C9D67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占比（%）</w:t>
            </w:r>
          </w:p>
        </w:tc>
        <w:tc>
          <w:tcPr>
            <w:tcW w:w="1639" w:type="pct"/>
            <w:vAlign w:val="center"/>
          </w:tcPr>
          <w:p w14:paraId="6080045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w:t>
            </w:r>
          </w:p>
        </w:tc>
        <w:tc>
          <w:tcPr>
            <w:tcW w:w="979" w:type="pct"/>
            <w:tcMar>
              <w:top w:w="16" w:type="dxa"/>
              <w:left w:w="16" w:type="dxa"/>
              <w:right w:w="16" w:type="dxa"/>
            </w:tcMar>
            <w:vAlign w:val="center"/>
          </w:tcPr>
          <w:p w14:paraId="4B1A469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施工工期</w:t>
            </w:r>
          </w:p>
        </w:tc>
        <w:tc>
          <w:tcPr>
            <w:tcW w:w="1755" w:type="pct"/>
            <w:vAlign w:val="center"/>
          </w:tcPr>
          <w:p w14:paraId="118AFA5E">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个月</w:t>
            </w:r>
          </w:p>
        </w:tc>
      </w:tr>
      <w:tr w14:paraId="089CB0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70C41E4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是否开工</w:t>
            </w:r>
          </w:p>
          <w:p w14:paraId="15FB8C7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w:t>
            </w:r>
          </w:p>
        </w:tc>
        <w:tc>
          <w:tcPr>
            <w:tcW w:w="1639" w:type="pct"/>
            <w:vAlign w:val="center"/>
          </w:tcPr>
          <w:p w14:paraId="164CA2B1">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F052"/>
            </w:r>
            <w:r>
              <w:rPr>
                <w:rFonts w:ascii="Times New Roman" w:hAnsi="Times New Roman" w:eastAsia="宋体" w:cs="Times New Roman"/>
                <w:color w:val="000000" w:themeColor="text1"/>
                <w:szCs w:val="24"/>
                <w14:textFill>
                  <w14:solidFill>
                    <w14:schemeClr w14:val="tx1"/>
                  </w14:solidFill>
                </w14:textFill>
              </w:rPr>
              <w:t>否</w:t>
            </w:r>
          </w:p>
          <w:p w14:paraId="73FEAD45">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是：</w:t>
            </w:r>
            <w:r>
              <w:rPr>
                <w:rFonts w:ascii="Times New Roman" w:hAnsi="Times New Roman" w:eastAsia="宋体" w:cs="Times New Roman"/>
                <w:color w:val="000000" w:themeColor="text1"/>
                <w:szCs w:val="24"/>
                <w:u w:val="single"/>
                <w14:textFill>
                  <w14:solidFill>
                    <w14:schemeClr w14:val="tx1"/>
                  </w14:solidFill>
                </w14:textFill>
              </w:rPr>
              <w:t xml:space="preserve">           </w:t>
            </w:r>
          </w:p>
        </w:tc>
        <w:tc>
          <w:tcPr>
            <w:tcW w:w="979" w:type="pct"/>
            <w:tcMar>
              <w:top w:w="16" w:type="dxa"/>
              <w:left w:w="16" w:type="dxa"/>
              <w:right w:w="16" w:type="dxa"/>
            </w:tcMar>
            <w:vAlign w:val="center"/>
          </w:tcPr>
          <w:p w14:paraId="46C32245">
            <w:pPr>
              <w:widowControl w:val="0"/>
              <w:topLinePunct/>
              <w:adjustRightInd w:val="0"/>
              <w:snapToGrid w:val="0"/>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用地面积（m</w:t>
            </w:r>
            <w:r>
              <w:rPr>
                <w:rFonts w:ascii="Times New Roman" w:hAnsi="Times New Roman" w:eastAsia="宋体" w:cs="Times New Roman"/>
                <w:color w:val="000000" w:themeColor="text1"/>
                <w:szCs w:val="24"/>
                <w:vertAlign w:val="super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p>
        </w:tc>
        <w:tc>
          <w:tcPr>
            <w:tcW w:w="1755" w:type="pct"/>
            <w:vAlign w:val="center"/>
          </w:tcPr>
          <w:p w14:paraId="3C2AC425">
            <w:pPr>
              <w:pStyle w:val="35"/>
              <w:widowControl w:val="0"/>
              <w:topLinePunct/>
              <w:jc w:val="center"/>
              <w:rPr>
                <w:rFonts w:ascii="Times New Roman" w:hAnsi="Times New Roman" w:eastAsia="宋体" w:cs="Times New Roman"/>
                <w:color w:val="000000" w:themeColor="text1"/>
                <w:spacing w:val="0"/>
                <w:sz w:val="24"/>
                <w:szCs w:val="24"/>
                <w14:textFill>
                  <w14:solidFill>
                    <w14:schemeClr w14:val="tx1"/>
                  </w14:solidFill>
                </w14:textFill>
              </w:rPr>
            </w:pPr>
            <w:r>
              <w:rPr>
                <w:rFonts w:hint="eastAsia" w:ascii="Times New Roman" w:hAnsi="Times New Roman" w:eastAsia="宋体" w:cs="Times New Roman"/>
                <w:color w:val="000000" w:themeColor="text1"/>
                <w:spacing w:val="0"/>
                <w:sz w:val="24"/>
                <w:szCs w:val="24"/>
                <w14:textFill>
                  <w14:solidFill>
                    <w14:schemeClr w14:val="tx1"/>
                  </w14:solidFill>
                </w14:textFill>
              </w:rPr>
              <w:t>2246.55</w:t>
            </w:r>
          </w:p>
        </w:tc>
      </w:tr>
      <w:tr w14:paraId="13EA1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27" w:type="pct"/>
            <w:vAlign w:val="center"/>
          </w:tcPr>
          <w:p w14:paraId="5309775D">
            <w:pPr>
              <w:widowControl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专项评价设置情况</w:t>
            </w:r>
          </w:p>
        </w:tc>
        <w:tc>
          <w:tcPr>
            <w:tcW w:w="4373" w:type="pct"/>
            <w:gridSpan w:val="3"/>
            <w:vAlign w:val="center"/>
          </w:tcPr>
          <w:p w14:paraId="70FCF234">
            <w:pPr>
              <w:widowControl w:val="0"/>
              <w:topLinePunct/>
              <w:adjustRightInd w:val="0"/>
              <w:snapToGri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对照《建设项目环境影响报告表编制建设指南——污染影响类》专项评价设置原则表，本项目专题评价设置情况判定如表1.1-1，经判定，本项目无需设置专项评价。</w:t>
            </w:r>
          </w:p>
          <w:p w14:paraId="4E525D87">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表1.1-1  项目专项评价设置情况一览表</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3269"/>
              <w:gridCol w:w="2380"/>
              <w:gridCol w:w="1056"/>
            </w:tblGrid>
            <w:tr w14:paraId="04A51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56" w:type="pct"/>
                  <w:vAlign w:val="center"/>
                </w:tcPr>
                <w:p w14:paraId="5DCD7ECF">
                  <w:pPr>
                    <w:pStyle w:val="221"/>
                    <w:rPr>
                      <w:b/>
                      <w:color w:val="000000" w:themeColor="text1"/>
                      <w14:textFill>
                        <w14:solidFill>
                          <w14:schemeClr w14:val="tx1"/>
                        </w14:solidFill>
                      </w14:textFill>
                    </w:rPr>
                  </w:pPr>
                  <w:r>
                    <w:rPr>
                      <w:b/>
                      <w:color w:val="000000" w:themeColor="text1"/>
                      <w14:textFill>
                        <w14:solidFill>
                          <w14:schemeClr w14:val="tx1"/>
                        </w14:solidFill>
                      </w14:textFill>
                    </w:rPr>
                    <w:t>专项评价类别</w:t>
                  </w:r>
                </w:p>
              </w:tc>
              <w:tc>
                <w:tcPr>
                  <w:tcW w:w="2118" w:type="pct"/>
                  <w:vAlign w:val="center"/>
                </w:tcPr>
                <w:p w14:paraId="266AF364">
                  <w:pPr>
                    <w:pStyle w:val="221"/>
                    <w:rPr>
                      <w:b/>
                      <w:color w:val="000000" w:themeColor="text1"/>
                      <w14:textFill>
                        <w14:solidFill>
                          <w14:schemeClr w14:val="tx1"/>
                        </w14:solidFill>
                      </w14:textFill>
                    </w:rPr>
                  </w:pPr>
                  <w:r>
                    <w:rPr>
                      <w:b/>
                      <w:color w:val="000000" w:themeColor="text1"/>
                      <w14:textFill>
                        <w14:solidFill>
                          <w14:schemeClr w14:val="tx1"/>
                        </w14:solidFill>
                      </w14:textFill>
                    </w:rPr>
                    <w:t>设置原则</w:t>
                  </w:r>
                </w:p>
              </w:tc>
              <w:tc>
                <w:tcPr>
                  <w:tcW w:w="1542" w:type="pct"/>
                  <w:vAlign w:val="center"/>
                </w:tcPr>
                <w:p w14:paraId="3DDC1E4D">
                  <w:pPr>
                    <w:pStyle w:val="221"/>
                    <w:rPr>
                      <w:b/>
                      <w:color w:val="000000" w:themeColor="text1"/>
                      <w14:textFill>
                        <w14:solidFill>
                          <w14:schemeClr w14:val="tx1"/>
                        </w14:solidFill>
                      </w14:textFill>
                    </w:rPr>
                  </w:pPr>
                  <w:r>
                    <w:rPr>
                      <w:b/>
                      <w:color w:val="000000" w:themeColor="text1"/>
                      <w14:textFill>
                        <w14:solidFill>
                          <w14:schemeClr w14:val="tx1"/>
                        </w14:solidFill>
                      </w14:textFill>
                    </w:rPr>
                    <w:t>项目情况</w:t>
                  </w:r>
                </w:p>
              </w:tc>
              <w:tc>
                <w:tcPr>
                  <w:tcW w:w="684" w:type="pct"/>
                  <w:vAlign w:val="center"/>
                </w:tcPr>
                <w:p w14:paraId="64D8D200">
                  <w:pPr>
                    <w:pStyle w:val="221"/>
                    <w:rPr>
                      <w:b/>
                      <w:color w:val="000000" w:themeColor="text1"/>
                      <w14:textFill>
                        <w14:solidFill>
                          <w14:schemeClr w14:val="tx1"/>
                        </w14:solidFill>
                      </w14:textFill>
                    </w:rPr>
                  </w:pPr>
                  <w:r>
                    <w:rPr>
                      <w:b/>
                      <w:color w:val="000000" w:themeColor="text1"/>
                      <w14:textFill>
                        <w14:solidFill>
                          <w14:schemeClr w14:val="tx1"/>
                        </w14:solidFill>
                      </w14:textFill>
                    </w:rPr>
                    <w:t>判定</w:t>
                  </w:r>
                </w:p>
                <w:p w14:paraId="2CAC441B">
                  <w:pPr>
                    <w:pStyle w:val="221"/>
                    <w:rPr>
                      <w:b/>
                      <w:color w:val="000000" w:themeColor="text1"/>
                      <w14:textFill>
                        <w14:solidFill>
                          <w14:schemeClr w14:val="tx1"/>
                        </w14:solidFill>
                      </w14:textFill>
                    </w:rPr>
                  </w:pPr>
                  <w:r>
                    <w:rPr>
                      <w:b/>
                      <w:color w:val="000000" w:themeColor="text1"/>
                      <w14:textFill>
                        <w14:solidFill>
                          <w14:schemeClr w14:val="tx1"/>
                        </w14:solidFill>
                      </w14:textFill>
                    </w:rPr>
                    <w:t>结果</w:t>
                  </w:r>
                </w:p>
              </w:tc>
            </w:tr>
            <w:tr w14:paraId="0B330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06E089F6">
                  <w:pPr>
                    <w:pStyle w:val="221"/>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2118" w:type="pct"/>
                  <w:vAlign w:val="center"/>
                </w:tcPr>
                <w:p w14:paraId="64D8574D">
                  <w:pPr>
                    <w:pStyle w:val="221"/>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排放废气含有毒有害污染物、二噁英、苯并芘、氰化物、氯气</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厂界外500米范围内有环境空气保护目标的项目</w:t>
                  </w:r>
                </w:p>
              </w:tc>
              <w:tc>
                <w:tcPr>
                  <w:tcW w:w="1542" w:type="pct"/>
                  <w:vAlign w:val="center"/>
                </w:tcPr>
                <w:p w14:paraId="728619BA">
                  <w:pPr>
                    <w:pStyle w:val="221"/>
                    <w:rPr>
                      <w:color w:val="000000" w:themeColor="text1"/>
                      <w14:textFill>
                        <w14:solidFill>
                          <w14:schemeClr w14:val="tx1"/>
                        </w14:solidFill>
                      </w14:textFill>
                    </w:rPr>
                  </w:pPr>
                  <w:r>
                    <w:rPr>
                      <w:color w:val="000000" w:themeColor="text1"/>
                      <w14:textFill>
                        <w14:solidFill>
                          <w14:schemeClr w14:val="tx1"/>
                        </w14:solidFill>
                      </w14:textFill>
                    </w:rPr>
                    <w:t>废气排放不含有毒有害污染物、二噁英、苯并芘、氰化物、氯气</w:t>
                  </w:r>
                </w:p>
              </w:tc>
              <w:tc>
                <w:tcPr>
                  <w:tcW w:w="684" w:type="pct"/>
                  <w:vAlign w:val="center"/>
                </w:tcPr>
                <w:p w14:paraId="5DE635E0">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439B6966">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27B63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8" w:hRule="atLeast"/>
              </w:trPr>
              <w:tc>
                <w:tcPr>
                  <w:tcW w:w="656" w:type="pct"/>
                  <w:vAlign w:val="center"/>
                </w:tcPr>
                <w:p w14:paraId="3449C772">
                  <w:pPr>
                    <w:pStyle w:val="221"/>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2118" w:type="pct"/>
                  <w:vAlign w:val="center"/>
                </w:tcPr>
                <w:p w14:paraId="304E3941">
                  <w:pPr>
                    <w:pStyle w:val="221"/>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1542" w:type="pct"/>
                  <w:vAlign w:val="center"/>
                </w:tcPr>
                <w:p w14:paraId="7DB3C084">
                  <w:pPr>
                    <w:pStyle w:val="221"/>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不排放生产废水，生活污水排入</w:t>
                  </w:r>
                  <w:r>
                    <w:rPr>
                      <w:color w:val="000000" w:themeColor="text1"/>
                      <w14:textFill>
                        <w14:solidFill>
                          <w14:schemeClr w14:val="tx1"/>
                        </w14:solidFill>
                      </w14:textFill>
                    </w:rPr>
                    <w:t>江镜华侨农场污水处理厂集中处理</w:t>
                  </w:r>
                </w:p>
              </w:tc>
              <w:tc>
                <w:tcPr>
                  <w:tcW w:w="684" w:type="pct"/>
                  <w:vAlign w:val="center"/>
                </w:tcPr>
                <w:p w14:paraId="6BBF5FD1">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3DFADDE1">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2ADB3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275EDE7F">
                  <w:pPr>
                    <w:pStyle w:val="221"/>
                    <w:rPr>
                      <w:color w:val="000000" w:themeColor="text1"/>
                      <w14:textFill>
                        <w14:solidFill>
                          <w14:schemeClr w14:val="tx1"/>
                        </w14:solidFill>
                      </w14:textFill>
                    </w:rPr>
                  </w:pPr>
                  <w:r>
                    <w:rPr>
                      <w:color w:val="000000" w:themeColor="text1"/>
                      <w14:textFill>
                        <w14:solidFill>
                          <w14:schemeClr w14:val="tx1"/>
                        </w14:solidFill>
                      </w14:textFill>
                    </w:rPr>
                    <w:t>环境</w:t>
                  </w:r>
                </w:p>
                <w:p w14:paraId="0C67061C">
                  <w:pPr>
                    <w:pStyle w:val="221"/>
                    <w:rPr>
                      <w:color w:val="000000" w:themeColor="text1"/>
                      <w14:textFill>
                        <w14:solidFill>
                          <w14:schemeClr w14:val="tx1"/>
                        </w14:solidFill>
                      </w14:textFill>
                    </w:rPr>
                  </w:pPr>
                  <w:r>
                    <w:rPr>
                      <w:color w:val="000000" w:themeColor="text1"/>
                      <w14:textFill>
                        <w14:solidFill>
                          <w14:schemeClr w14:val="tx1"/>
                        </w14:solidFill>
                      </w14:textFill>
                    </w:rPr>
                    <w:t>风险</w:t>
                  </w:r>
                </w:p>
              </w:tc>
              <w:tc>
                <w:tcPr>
                  <w:tcW w:w="2118" w:type="pct"/>
                  <w:vAlign w:val="center"/>
                </w:tcPr>
                <w:p w14:paraId="22D70F62">
                  <w:pPr>
                    <w:pStyle w:val="221"/>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有毒有害和易燃易爆危险物质存储量超过临界量的建设项目</w:t>
                  </w:r>
                </w:p>
              </w:tc>
              <w:tc>
                <w:tcPr>
                  <w:tcW w:w="1542" w:type="pct"/>
                  <w:vAlign w:val="center"/>
                </w:tcPr>
                <w:p w14:paraId="547667E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Q值为0.05，未</w:t>
                  </w:r>
                  <w:r>
                    <w:rPr>
                      <w:color w:val="000000" w:themeColor="text1"/>
                      <w14:textFill>
                        <w14:solidFill>
                          <w14:schemeClr w14:val="tx1"/>
                        </w14:solidFill>
                      </w14:textFill>
                    </w:rPr>
                    <w:t>超过临界量</w:t>
                  </w:r>
                </w:p>
              </w:tc>
              <w:tc>
                <w:tcPr>
                  <w:tcW w:w="684" w:type="pct"/>
                  <w:vAlign w:val="center"/>
                </w:tcPr>
                <w:p w14:paraId="24F5552D">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28D81735">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512E2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77F1E3E2">
                  <w:pPr>
                    <w:pStyle w:val="221"/>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2118" w:type="pct"/>
                  <w:vAlign w:val="center"/>
                </w:tcPr>
                <w:p w14:paraId="68E5735C">
                  <w:pPr>
                    <w:pStyle w:val="221"/>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542" w:type="pct"/>
                  <w:vAlign w:val="center"/>
                </w:tcPr>
                <w:p w14:paraId="4F4912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项目不涉及取水</w:t>
                  </w:r>
                </w:p>
              </w:tc>
              <w:tc>
                <w:tcPr>
                  <w:tcW w:w="684" w:type="pct"/>
                  <w:vAlign w:val="center"/>
                </w:tcPr>
                <w:p w14:paraId="529F67AA">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4A89EA31">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67B1A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4D817716">
                  <w:pPr>
                    <w:pStyle w:val="221"/>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2118" w:type="pct"/>
                  <w:vAlign w:val="center"/>
                </w:tcPr>
                <w:p w14:paraId="641A7088">
                  <w:pPr>
                    <w:pStyle w:val="221"/>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1542" w:type="pct"/>
                  <w:vAlign w:val="center"/>
                </w:tcPr>
                <w:p w14:paraId="51EBA142">
                  <w:pPr>
                    <w:pStyle w:val="221"/>
                    <w:rPr>
                      <w:color w:val="000000" w:themeColor="text1"/>
                      <w14:textFill>
                        <w14:solidFill>
                          <w14:schemeClr w14:val="tx1"/>
                        </w14:solidFill>
                      </w14:textFill>
                    </w:rPr>
                  </w:pPr>
                  <w:r>
                    <w:rPr>
                      <w:color w:val="000000" w:themeColor="text1"/>
                      <w14:textFill>
                        <w14:solidFill>
                          <w14:schemeClr w14:val="tx1"/>
                        </w14:solidFill>
                      </w14:textFill>
                    </w:rPr>
                    <w:t>本项目不属于海洋工程建设项目</w:t>
                  </w:r>
                </w:p>
              </w:tc>
              <w:tc>
                <w:tcPr>
                  <w:tcW w:w="684" w:type="pct"/>
                  <w:vAlign w:val="center"/>
                </w:tcPr>
                <w:p w14:paraId="50467E9F">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36CCED15">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bl>
          <w:p w14:paraId="532E5656">
            <w:pPr>
              <w:pStyle w:val="14"/>
              <w:widowControl w:val="0"/>
              <w:topLinePunct/>
              <w:ind w:firstLine="0" w:firstLineChars="0"/>
              <w:rPr>
                <w:rFonts w:ascii="Times New Roman" w:hAnsi="Times New Roman" w:eastAsia="宋体" w:cs="Times New Roman"/>
                <w:color w:val="000000" w:themeColor="text1"/>
                <w:sz w:val="21"/>
                <w:szCs w:val="21"/>
                <w14:textFill>
                  <w14:solidFill>
                    <w14:schemeClr w14:val="tx1"/>
                  </w14:solidFill>
                </w14:textFill>
              </w:rPr>
            </w:pPr>
          </w:p>
        </w:tc>
      </w:tr>
      <w:tr w14:paraId="493555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627" w:type="pct"/>
            <w:vAlign w:val="center"/>
          </w:tcPr>
          <w:p w14:paraId="2C715644">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规划情况</w:t>
            </w:r>
          </w:p>
        </w:tc>
        <w:tc>
          <w:tcPr>
            <w:tcW w:w="4373" w:type="pct"/>
            <w:gridSpan w:val="3"/>
            <w:vAlign w:val="center"/>
          </w:tcPr>
          <w:p w14:paraId="641CD81D">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规划名称：《闽台</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福州</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蓝色经济产业园总体规划修编</w:t>
            </w:r>
            <w:r>
              <w:rPr>
                <w:rFonts w:ascii="Times New Roman" w:hAnsi="Times New Roman" w:eastAsia="宋体" w:cs="Times New Roman"/>
                <w:color w:val="000000" w:themeColor="text1"/>
                <w:szCs w:val="24"/>
                <w14:textFill>
                  <w14:solidFill>
                    <w14:schemeClr w14:val="tx1"/>
                  </w14:solidFill>
                </w14:textFill>
              </w:rPr>
              <w:t>(2017-2035)</w:t>
            </w:r>
            <w:r>
              <w:rPr>
                <w:rFonts w:hint="eastAsia" w:ascii="Times New Roman" w:hAnsi="Times New Roman" w:eastAsia="宋体" w:cs="Times New Roman"/>
                <w:color w:val="000000" w:themeColor="text1"/>
                <w:szCs w:val="24"/>
                <w14:textFill>
                  <w14:solidFill>
                    <w14:schemeClr w14:val="tx1"/>
                  </w14:solidFill>
                </w14:textFill>
              </w:rPr>
              <w:t>》</w:t>
            </w:r>
          </w:p>
          <w:p w14:paraId="21877ACF">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审批机关：福州市人民政府</w:t>
            </w:r>
          </w:p>
          <w:p w14:paraId="36E10C12">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审批文件名称及文号：榕政综〔</w:t>
            </w:r>
            <w:r>
              <w:rPr>
                <w:rFonts w:ascii="Times New Roman" w:hAnsi="Times New Roman" w:eastAsia="宋体" w:cs="Times New Roman"/>
                <w:color w:val="000000" w:themeColor="text1"/>
                <w:szCs w:val="24"/>
                <w14:textFill>
                  <w14:solidFill>
                    <w14:schemeClr w14:val="tx1"/>
                  </w14:solidFill>
                </w14:textFill>
              </w:rPr>
              <w:t>2013</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62</w:t>
            </w:r>
            <w:r>
              <w:rPr>
                <w:rFonts w:hint="eastAsia" w:ascii="Times New Roman" w:hAnsi="Times New Roman" w:eastAsia="宋体" w:cs="Times New Roman"/>
                <w:color w:val="000000" w:themeColor="text1"/>
                <w:szCs w:val="24"/>
                <w14:textFill>
                  <w14:solidFill>
                    <w14:schemeClr w14:val="tx1"/>
                  </w14:solidFill>
                </w14:textFill>
              </w:rPr>
              <w:t>号</w:t>
            </w:r>
          </w:p>
        </w:tc>
      </w:tr>
      <w:tr w14:paraId="6CBF9C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27" w:type="pct"/>
            <w:vAlign w:val="center"/>
          </w:tcPr>
          <w:p w14:paraId="0293524A">
            <w:pPr>
              <w:pStyle w:val="186"/>
              <w:rPr>
                <w:color w:val="000000" w:themeColor="text1"/>
                <w14:textFill>
                  <w14:solidFill>
                    <w14:schemeClr w14:val="tx1"/>
                  </w14:solidFill>
                </w14:textFill>
              </w:rPr>
            </w:pPr>
            <w:r>
              <w:rPr>
                <w:color w:val="000000" w:themeColor="text1"/>
                <w14:textFill>
                  <w14:solidFill>
                    <w14:schemeClr w14:val="tx1"/>
                  </w14:solidFill>
                </w14:textFill>
              </w:rPr>
              <w:t>规划环境影响评价情况</w:t>
            </w:r>
          </w:p>
        </w:tc>
        <w:tc>
          <w:tcPr>
            <w:tcW w:w="4373" w:type="pct"/>
            <w:gridSpan w:val="3"/>
            <w:vAlign w:val="center"/>
          </w:tcPr>
          <w:p w14:paraId="6E311B27">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规划文件名称：《闽台（福州）蓝色经济产业园总体规划修编（</w:t>
            </w:r>
            <w:r>
              <w:rPr>
                <w:rFonts w:ascii="Times New Roman" w:hAnsi="Times New Roman" w:eastAsia="宋体" w:cs="Times New Roman"/>
                <w:color w:val="000000" w:themeColor="text1"/>
                <w:szCs w:val="24"/>
                <w14:textFill>
                  <w14:solidFill>
                    <w14:schemeClr w14:val="tx1"/>
                  </w14:solidFill>
                </w14:textFill>
              </w:rPr>
              <w:t>2017-2035</w:t>
            </w:r>
            <w:r>
              <w:rPr>
                <w:rFonts w:hint="eastAsia" w:ascii="Times New Roman" w:hAnsi="Times New Roman" w:eastAsia="宋体" w:cs="Times New Roman"/>
                <w:color w:val="000000" w:themeColor="text1"/>
                <w:szCs w:val="24"/>
                <w14:textFill>
                  <w14:solidFill>
                    <w14:schemeClr w14:val="tx1"/>
                  </w14:solidFill>
                </w14:textFill>
              </w:rPr>
              <w:t>）环境影响报告书》</w:t>
            </w:r>
          </w:p>
          <w:p w14:paraId="4B5450EF">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审查机关及文号：榕环保评〔</w:t>
            </w:r>
            <w:r>
              <w:rPr>
                <w:rFonts w:ascii="Times New Roman" w:hAnsi="Times New Roman" w:eastAsia="宋体" w:cs="Times New Roman"/>
                <w:color w:val="000000" w:themeColor="text1"/>
                <w:szCs w:val="24"/>
                <w14:textFill>
                  <w14:solidFill>
                    <w14:schemeClr w14:val="tx1"/>
                  </w14:solidFill>
                </w14:textFill>
              </w:rPr>
              <w:t>2019</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7</w:t>
            </w:r>
            <w:r>
              <w:rPr>
                <w:rFonts w:hint="eastAsia" w:ascii="Times New Roman" w:hAnsi="Times New Roman" w:eastAsia="宋体" w:cs="Times New Roman"/>
                <w:color w:val="000000" w:themeColor="text1"/>
                <w:szCs w:val="24"/>
                <w14:textFill>
                  <w14:solidFill>
                    <w14:schemeClr w14:val="tx1"/>
                  </w14:solidFill>
                </w14:textFill>
              </w:rPr>
              <w:t>号（福州市生态环境局）</w:t>
            </w:r>
          </w:p>
        </w:tc>
      </w:tr>
      <w:tr w14:paraId="01B39F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627" w:type="pct"/>
            <w:vAlign w:val="center"/>
          </w:tcPr>
          <w:p w14:paraId="2F55C613">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规划及规划环境影响评价符合性分析</w:t>
            </w:r>
          </w:p>
        </w:tc>
        <w:tc>
          <w:tcPr>
            <w:tcW w:w="4373" w:type="pct"/>
            <w:gridSpan w:val="3"/>
            <w:vAlign w:val="center"/>
          </w:tcPr>
          <w:p w14:paraId="02E11BFD">
            <w:pPr>
              <w:pStyle w:val="223"/>
              <w:spacing w:before="120"/>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、与《闽台</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福州</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蓝色经济产业园总体规划修编</w:t>
            </w:r>
            <w:r>
              <w:rPr>
                <w:b/>
                <w:bCs/>
                <w:color w:val="000000" w:themeColor="text1"/>
                <w14:textFill>
                  <w14:solidFill>
                    <w14:schemeClr w14:val="tx1"/>
                  </w14:solidFill>
                </w14:textFill>
              </w:rPr>
              <w:t>(2017-2035)</w:t>
            </w:r>
            <w:r>
              <w:rPr>
                <w:rFonts w:hint="eastAsia"/>
                <w:b/>
                <w:bCs/>
                <w:color w:val="000000" w:themeColor="text1"/>
                <w14:textFill>
                  <w14:solidFill>
                    <w14:schemeClr w14:val="tx1"/>
                  </w14:solidFill>
                </w14:textFill>
              </w:rPr>
              <w:t>》符合性分析</w:t>
            </w:r>
          </w:p>
          <w:p w14:paraId="5BE05AC9">
            <w:pPr>
              <w:pStyle w:val="225"/>
              <w:ind w:firstLine="480"/>
              <w:rPr>
                <w:color w:val="000000" w:themeColor="text1"/>
                <w:lang w:val="en-GB"/>
                <w14:textFill>
                  <w14:solidFill>
                    <w14:schemeClr w14:val="tx1"/>
                  </w14:solidFill>
                </w14:textFill>
              </w:rPr>
            </w:pPr>
            <w:r>
              <w:rPr>
                <w:rFonts w:hint="eastAsia"/>
                <w:color w:val="000000" w:themeColor="text1"/>
                <w14:textFill>
                  <w14:solidFill>
                    <w14:schemeClr w14:val="tx1"/>
                  </w14:solidFill>
                </w14:textFill>
              </w:rPr>
              <w:t>本项目位于闽台（福州）蓝色经济产业园（福建省蓝谷海工装备产业综合体A32厂房（二期）整座），依据《闽台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》，项目用地性质为工业用地，符合其地块用途要求。项目主要从事的生产，属于工业企业，因此项目选址符合《闽台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》土地利用规划。</w:t>
            </w:r>
          </w:p>
          <w:p w14:paraId="3CF3FF7E">
            <w:pPr>
              <w:pStyle w:val="22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w:t>
            </w:r>
            <w:r>
              <w:rPr>
                <w:rFonts w:hint="eastAsia"/>
                <w:b/>
                <w:bCs/>
                <w:color w:val="000000" w:themeColor="text1"/>
                <w14:textFill>
                  <w14:solidFill>
                    <w14:schemeClr w14:val="tx1"/>
                  </w14:solidFill>
                </w14:textFill>
              </w:rPr>
              <w:t>、与规划环评及批复符合性分析</w:t>
            </w:r>
          </w:p>
          <w:p w14:paraId="7F26455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环境影响报告书》及其审批意见</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榕环保评〔</w:t>
            </w:r>
            <w:r>
              <w:rPr>
                <w:color w:val="000000" w:themeColor="text1"/>
                <w14:textFill>
                  <w14:solidFill>
                    <w14:schemeClr w14:val="tx1"/>
                  </w14:solidFill>
                </w14:textFill>
              </w:rPr>
              <w:t>2019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产业政策符合性分析详见表</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2。</w:t>
            </w:r>
          </w:p>
          <w:p w14:paraId="551D4B66">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表1.1-2 与规划环评及其审批意见产业、环保准入条件符合性分析</w:t>
            </w:r>
          </w:p>
          <w:tbl>
            <w:tblPr>
              <w:tblStyle w:val="37"/>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2979"/>
              <w:gridCol w:w="3193"/>
              <w:gridCol w:w="797"/>
            </w:tblGrid>
            <w:tr w14:paraId="771D7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12" w:space="0"/>
                    <w:left w:val="nil"/>
                    <w:bottom w:val="single" w:color="auto" w:sz="4" w:space="0"/>
                    <w:right w:val="single" w:color="auto" w:sz="4" w:space="0"/>
                  </w:tcBorders>
                  <w:vAlign w:val="center"/>
                </w:tcPr>
                <w:p w14:paraId="113DD58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948" w:type="pct"/>
                  <w:tcBorders>
                    <w:top w:val="single" w:color="auto" w:sz="12" w:space="0"/>
                    <w:left w:val="single" w:color="auto" w:sz="4" w:space="0"/>
                    <w:bottom w:val="single" w:color="auto" w:sz="4" w:space="0"/>
                    <w:right w:val="single" w:color="auto" w:sz="4" w:space="0"/>
                  </w:tcBorders>
                  <w:vAlign w:val="center"/>
                </w:tcPr>
                <w:p w14:paraId="20E664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报告书产业规划及规划审查要求</w:t>
                  </w:r>
                </w:p>
              </w:tc>
              <w:tc>
                <w:tcPr>
                  <w:tcW w:w="2088" w:type="pct"/>
                  <w:tcBorders>
                    <w:top w:val="single" w:color="auto" w:sz="12" w:space="0"/>
                    <w:left w:val="single" w:color="auto" w:sz="4" w:space="0"/>
                    <w:bottom w:val="single" w:color="auto" w:sz="4" w:space="0"/>
                    <w:right w:val="single" w:color="auto" w:sz="4" w:space="0"/>
                  </w:tcBorders>
                  <w:vAlign w:val="center"/>
                </w:tcPr>
                <w:p w14:paraId="3AE9595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本项目情况</w:t>
                  </w:r>
                </w:p>
              </w:tc>
              <w:tc>
                <w:tcPr>
                  <w:tcW w:w="521" w:type="pct"/>
                  <w:tcBorders>
                    <w:top w:val="single" w:color="auto" w:sz="12" w:space="0"/>
                    <w:left w:val="single" w:color="auto" w:sz="4" w:space="0"/>
                    <w:bottom w:val="single" w:color="auto" w:sz="4" w:space="0"/>
                    <w:right w:val="nil"/>
                  </w:tcBorders>
                  <w:vAlign w:val="center"/>
                </w:tcPr>
                <w:p w14:paraId="4E19BDE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符合性</w:t>
                  </w:r>
                </w:p>
              </w:tc>
            </w:tr>
            <w:tr w14:paraId="79DE7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4" w:space="0"/>
                    <w:left w:val="nil"/>
                    <w:bottom w:val="single" w:color="auto" w:sz="4" w:space="0"/>
                    <w:right w:val="single" w:color="auto" w:sz="4" w:space="0"/>
                  </w:tcBorders>
                  <w:vAlign w:val="center"/>
                </w:tcPr>
                <w:p w14:paraId="308B35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产业准入条件要求</w:t>
                  </w:r>
                </w:p>
              </w:tc>
              <w:tc>
                <w:tcPr>
                  <w:tcW w:w="1948" w:type="pct"/>
                  <w:tcBorders>
                    <w:top w:val="single" w:color="auto" w:sz="4" w:space="0"/>
                    <w:left w:val="single" w:color="auto" w:sz="4" w:space="0"/>
                    <w:bottom w:val="single" w:color="auto" w:sz="4" w:space="0"/>
                    <w:right w:val="single" w:color="auto" w:sz="4" w:space="0"/>
                  </w:tcBorders>
                  <w:vAlign w:val="center"/>
                </w:tcPr>
                <w:p w14:paraId="10841E0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本规划区鼓励发展节地、节水、环境风险小、环保型的海洋装备制造产业、智能制造与智能服务产业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新能源汽车产业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、铝精深加工与电子功能性</w:t>
                  </w:r>
                  <w:r>
                    <w:rPr>
                      <w:color w:val="000000" w:themeColor="text1"/>
                      <w14:textFill>
                        <w14:solidFill>
                          <w14:schemeClr w14:val="tx1"/>
                        </w14:solidFill>
                      </w14:textFill>
                    </w:rPr>
                    <w:t>523</w:t>
                  </w:r>
                  <w:r>
                    <w:rPr>
                      <w:rFonts w:hint="eastAsia"/>
                      <w:color w:val="000000" w:themeColor="text1"/>
                      <w14:textFill>
                        <w14:solidFill>
                          <w14:schemeClr w14:val="tx1"/>
                        </w14:solidFill>
                      </w14:textFill>
                    </w:rPr>
                    <w:t>材料产业、海洋生物产业为主导的产业。禁止引进电镀行业等排放有毒有害重金属、持久性有机污染物的工业项目，排放</w:t>
                  </w:r>
                  <w:r>
                    <w:rPr>
                      <w:color w:val="000000" w:themeColor="text1"/>
                      <w14:textFill>
                        <w14:solidFill>
                          <w14:schemeClr w14:val="tx1"/>
                        </w14:solidFill>
                      </w14:textFill>
                    </w:rPr>
                    <w:t>VOCs</w:t>
                  </w:r>
                  <w:r>
                    <w:rPr>
                      <w:rFonts w:hint="eastAsia"/>
                      <w:color w:val="000000" w:themeColor="text1"/>
                      <w14:textFill>
                        <w14:solidFill>
                          <w14:schemeClr w14:val="tx1"/>
                        </w14:solidFill>
                      </w14:textFill>
                    </w:rPr>
                    <w:t>量大的项目。</w:t>
                  </w:r>
                </w:p>
              </w:tc>
              <w:tc>
                <w:tcPr>
                  <w:tcW w:w="2088" w:type="pct"/>
                  <w:tcBorders>
                    <w:top w:val="single" w:color="auto" w:sz="4" w:space="0"/>
                    <w:left w:val="single" w:color="auto" w:sz="4" w:space="0"/>
                    <w:bottom w:val="single" w:color="auto" w:sz="4" w:space="0"/>
                    <w:right w:val="single" w:color="auto" w:sz="4" w:space="0"/>
                  </w:tcBorders>
                  <w:vAlign w:val="center"/>
                </w:tcPr>
                <w:p w14:paraId="2922B4A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产业综合体核心区，从事橡胶制品加工，产品为新能源汽车橡胶零部件，为新能源汽车配套产业。项目不排放有毒有害重金属、持久性有机污染物。本项目不属于产业综合体核心区禁止和限制引入项目。</w:t>
                  </w:r>
                </w:p>
              </w:tc>
              <w:tc>
                <w:tcPr>
                  <w:tcW w:w="521" w:type="pct"/>
                  <w:tcBorders>
                    <w:top w:val="single" w:color="auto" w:sz="4" w:space="0"/>
                    <w:left w:val="single" w:color="auto" w:sz="4" w:space="0"/>
                    <w:bottom w:val="single" w:color="auto" w:sz="4" w:space="0"/>
                    <w:right w:val="nil"/>
                  </w:tcBorders>
                  <w:vAlign w:val="center"/>
                </w:tcPr>
                <w:p w14:paraId="71661A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81295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4" w:space="0"/>
                    <w:left w:val="nil"/>
                    <w:bottom w:val="single" w:color="auto" w:sz="12" w:space="0"/>
                    <w:right w:val="single" w:color="auto" w:sz="4" w:space="0"/>
                  </w:tcBorders>
                  <w:vAlign w:val="center"/>
                </w:tcPr>
                <w:p w14:paraId="6862F88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环保准入条件要求</w:t>
                  </w:r>
                </w:p>
              </w:tc>
              <w:tc>
                <w:tcPr>
                  <w:tcW w:w="1948" w:type="pct"/>
                  <w:tcBorders>
                    <w:top w:val="single" w:color="auto" w:sz="4" w:space="0"/>
                    <w:left w:val="single" w:color="auto" w:sz="4" w:space="0"/>
                    <w:bottom w:val="single" w:color="auto" w:sz="12" w:space="0"/>
                    <w:right w:val="single" w:color="auto" w:sz="4" w:space="0"/>
                  </w:tcBorders>
                  <w:vAlign w:val="center"/>
                </w:tcPr>
                <w:p w14:paraId="5609AB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入区项目在三废排放、环保治理措施方面必须符合国家、地方环保要求，单位工业增加值的主要污染物排放量至少应达到同行业国内先进水平，主要污染物排放必须满足园区总量控制要求。禁止引入以氮、磷排放为主的项目，严格控制挥发性有机物排放，装备涂装鼓励使用水性漆工艺；入园企业的清洁生产要达至国内先进水平。园区应禁止新增排放一类重金属及持久性有机污染物的项目，严格控制以排放氨氮、总磷等为主要污染物的项目。</w:t>
                  </w:r>
                </w:p>
              </w:tc>
              <w:tc>
                <w:tcPr>
                  <w:tcW w:w="2088" w:type="pct"/>
                  <w:tcBorders>
                    <w:top w:val="single" w:color="auto" w:sz="4" w:space="0"/>
                    <w:left w:val="single" w:color="auto" w:sz="4" w:space="0"/>
                    <w:bottom w:val="single" w:color="auto" w:sz="12" w:space="0"/>
                    <w:right w:val="single" w:color="auto" w:sz="4" w:space="0"/>
                  </w:tcBorders>
                  <w:vAlign w:val="center"/>
                </w:tcPr>
                <w:p w14:paraId="7D4CE1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符合国家和地方产业导向；符合国家清洁生产标准要求，属于低污染型企业。项目外排大气污染物为非甲烷总烃，生产废水不含有第一类重金属及持久性有机污染物，不属于以排放氨氮、总磷等为主要污染物的项目。</w:t>
                  </w:r>
                </w:p>
              </w:tc>
              <w:tc>
                <w:tcPr>
                  <w:tcW w:w="521" w:type="pct"/>
                  <w:tcBorders>
                    <w:top w:val="single" w:color="auto" w:sz="4" w:space="0"/>
                    <w:left w:val="single" w:color="auto" w:sz="4" w:space="0"/>
                    <w:bottom w:val="single" w:color="auto" w:sz="12" w:space="0"/>
                    <w:right w:val="nil"/>
                  </w:tcBorders>
                  <w:vAlign w:val="center"/>
                </w:tcPr>
                <w:p w14:paraId="09D283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0CAE8C95">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综上，项目符合《闽台（福州）蓝色经济产业园总体规划修编（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年）环境影响报告书》及其审查小组意见中的相关要求。</w:t>
            </w:r>
          </w:p>
          <w:p w14:paraId="4894E588">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根据《闽台(福州)蓝色经济产业园总体规划修编(2017-2035)环境影响报告书》，园区对VOCs控制要求：限制排放VOCs排放量大的企业，企业规模不得使蓝园经济区敏感点的VOCs浓度占标率超过50%。</w:t>
            </w:r>
          </w:p>
          <w:p w14:paraId="55FAE286">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结合《闽台(福州)蓝色经济产业园总体规划修编(2017-2035)环境影响报告书》的预测评价结论，本项目仅考虑排放的有机废气对附近居民住宅的影响。为此，本评价调查闽台(福州)蓝色经济产业园内已批在建和投产涉VOCs排放企业的排放情况，并预测建设项目对附近居民住宅的贡献浓度及占标率，本项目大气评价范围内</w:t>
            </w:r>
            <w:r>
              <w:rPr>
                <w:rFonts w:hint="eastAsia" w:ascii="Times New Roman" w:hAnsi="Times New Roman" w:eastAsia="宋体" w:cs="Times New Roman"/>
                <w:color w:val="000000" w:themeColor="text1"/>
                <w:szCs w:val="24"/>
                <w14:textFill>
                  <w14:solidFill>
                    <w14:schemeClr w14:val="tx1"/>
                  </w14:solidFill>
                </w14:textFill>
              </w:rPr>
              <w:t>最近敏感目标为北侧430m处前华村，故本项目仅考虑排放的有机废气对前华村的影响，闽台(福州)蓝色经济产业园污染物排放统计表详见表1.1-3。</w:t>
            </w:r>
          </w:p>
          <w:p w14:paraId="1A89FC5D">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表1.1-3 闽台(福州)蓝色经济产业园已批未建、已批在建和投产涉VOCs排放企业非甲烷总烃排放统计表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90"/>
              <w:gridCol w:w="3307"/>
              <w:gridCol w:w="1118"/>
            </w:tblGrid>
            <w:tr w14:paraId="6ACD1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955" w:type="dxa"/>
                  <w:vAlign w:val="center"/>
                </w:tcPr>
                <w:p w14:paraId="7041F28A">
                  <w:pPr>
                    <w:pStyle w:val="221"/>
                    <w:rPr>
                      <w:color w:val="000000" w:themeColor="text1"/>
                      <w14:textFill>
                        <w14:solidFill>
                          <w14:schemeClr w14:val="tx1"/>
                        </w14:solidFill>
                      </w14:textFill>
                    </w:rPr>
                  </w:pPr>
                  <w:r>
                    <w:rPr>
                      <w:color w:val="000000" w:themeColor="text1"/>
                      <w14:textFill>
                        <w14:solidFill>
                          <w14:schemeClr w14:val="tx1"/>
                        </w14:solidFill>
                      </w14:textFill>
                    </w:rPr>
                    <w:t>建设单位</w:t>
                  </w:r>
                </w:p>
              </w:tc>
              <w:tc>
                <w:tcPr>
                  <w:tcW w:w="2970" w:type="dxa"/>
                  <w:vAlign w:val="center"/>
                </w:tcPr>
                <w:p w14:paraId="57F8958E">
                  <w:pPr>
                    <w:pStyle w:val="221"/>
                    <w:rPr>
                      <w:color w:val="000000" w:themeColor="text1"/>
                      <w14:textFill>
                        <w14:solidFill>
                          <w14:schemeClr w14:val="tx1"/>
                        </w14:solidFill>
                      </w14:textFill>
                    </w:rPr>
                  </w:pPr>
                  <w:r>
                    <w:rPr>
                      <w:color w:val="000000" w:themeColor="text1"/>
                      <w14:textFill>
                        <w14:solidFill>
                          <w14:schemeClr w14:val="tx1"/>
                        </w14:solidFill>
                      </w14:textFill>
                    </w:rPr>
                    <w:t>项目名称</w:t>
                  </w:r>
                </w:p>
              </w:tc>
              <w:tc>
                <w:tcPr>
                  <w:tcW w:w="1004" w:type="dxa"/>
                  <w:vAlign w:val="center"/>
                </w:tcPr>
                <w:p w14:paraId="1791ACE0">
                  <w:pPr>
                    <w:pStyle w:val="221"/>
                    <w:rPr>
                      <w:color w:val="000000" w:themeColor="text1"/>
                      <w14:textFill>
                        <w14:solidFill>
                          <w14:schemeClr w14:val="tx1"/>
                        </w14:solidFill>
                      </w14:textFill>
                    </w:rPr>
                  </w:pPr>
                  <w:r>
                    <w:rPr>
                      <w:color w:val="000000" w:themeColor="text1"/>
                      <w14:textFill>
                        <w14:solidFill>
                          <w14:schemeClr w14:val="tx1"/>
                        </w14:solidFill>
                      </w14:textFill>
                    </w:rPr>
                    <w:t>新增VOCs（吨/年）</w:t>
                  </w:r>
                </w:p>
              </w:tc>
            </w:tr>
            <w:tr w14:paraId="4C332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F02CB1B">
                  <w:pPr>
                    <w:pStyle w:val="221"/>
                    <w:rPr>
                      <w:color w:val="000000" w:themeColor="text1"/>
                      <w14:textFill>
                        <w14:solidFill>
                          <w14:schemeClr w14:val="tx1"/>
                        </w14:solidFill>
                      </w14:textFill>
                    </w:rPr>
                  </w:pPr>
                  <w:r>
                    <w:rPr>
                      <w:color w:val="000000" w:themeColor="text1"/>
                      <w14:textFill>
                        <w14:solidFill>
                          <w14:schemeClr w14:val="tx1"/>
                        </w14:solidFill>
                      </w14:textFill>
                    </w:rPr>
                    <w:t>荣德铵家新型材料（福州）有限公司</w:t>
                  </w:r>
                </w:p>
              </w:tc>
              <w:tc>
                <w:tcPr>
                  <w:tcW w:w="2970" w:type="dxa"/>
                  <w:vAlign w:val="center"/>
                </w:tcPr>
                <w:p w14:paraId="7AE0081D">
                  <w:pPr>
                    <w:pStyle w:val="221"/>
                    <w:rPr>
                      <w:color w:val="000000" w:themeColor="text1"/>
                      <w14:textFill>
                        <w14:solidFill>
                          <w14:schemeClr w14:val="tx1"/>
                        </w14:solidFill>
                      </w14:textFill>
                    </w:rPr>
                  </w:pPr>
                  <w:r>
                    <w:rPr>
                      <w:color w:val="000000" w:themeColor="text1"/>
                      <w14:textFill>
                        <w14:solidFill>
                          <w14:schemeClr w14:val="tx1"/>
                        </w14:solidFill>
                      </w14:textFill>
                    </w:rPr>
                    <w:t>荣德铵家集成墙面及智能化背景墙装饰线条相关智能化生产基地（一期）项目</w:t>
                  </w:r>
                </w:p>
              </w:tc>
              <w:tc>
                <w:tcPr>
                  <w:tcW w:w="1004" w:type="dxa"/>
                  <w:vAlign w:val="center"/>
                </w:tcPr>
                <w:p w14:paraId="789AC095">
                  <w:pPr>
                    <w:pStyle w:val="221"/>
                    <w:rPr>
                      <w:color w:val="000000" w:themeColor="text1"/>
                      <w14:textFill>
                        <w14:solidFill>
                          <w14:schemeClr w14:val="tx1"/>
                        </w14:solidFill>
                      </w14:textFill>
                    </w:rPr>
                  </w:pPr>
                  <w:r>
                    <w:rPr>
                      <w:color w:val="000000" w:themeColor="text1"/>
                      <w14:textFill>
                        <w14:solidFill>
                          <w14:schemeClr w14:val="tx1"/>
                        </w14:solidFill>
                      </w14:textFill>
                    </w:rPr>
                    <w:t>0.864</w:t>
                  </w:r>
                </w:p>
              </w:tc>
            </w:tr>
            <w:tr w14:paraId="5B66D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5A94B4A">
                  <w:pPr>
                    <w:pStyle w:val="221"/>
                    <w:rPr>
                      <w:color w:val="000000" w:themeColor="text1"/>
                      <w14:textFill>
                        <w14:solidFill>
                          <w14:schemeClr w14:val="tx1"/>
                        </w14:solidFill>
                      </w14:textFill>
                    </w:rPr>
                  </w:pPr>
                  <w:r>
                    <w:rPr>
                      <w:color w:val="000000" w:themeColor="text1"/>
                      <w14:textFill>
                        <w14:solidFill>
                          <w14:schemeClr w14:val="tx1"/>
                        </w14:solidFill>
                      </w14:textFill>
                    </w:rPr>
                    <w:t>福清市精诚机械制造有限公司</w:t>
                  </w:r>
                </w:p>
              </w:tc>
              <w:tc>
                <w:tcPr>
                  <w:tcW w:w="2970" w:type="dxa"/>
                  <w:vAlign w:val="center"/>
                </w:tcPr>
                <w:p w14:paraId="28B4B1FE">
                  <w:pPr>
                    <w:pStyle w:val="221"/>
                    <w:rPr>
                      <w:color w:val="000000" w:themeColor="text1"/>
                      <w14:textFill>
                        <w14:solidFill>
                          <w14:schemeClr w14:val="tx1"/>
                        </w14:solidFill>
                      </w14:textFill>
                    </w:rPr>
                  </w:pPr>
                  <w:r>
                    <w:rPr>
                      <w:color w:val="000000" w:themeColor="text1"/>
                      <w14:textFill>
                        <w14:solidFill>
                          <w14:schemeClr w14:val="tx1"/>
                        </w14:solidFill>
                      </w14:textFill>
                    </w:rPr>
                    <w:t>年加工各类机械配件8万件</w:t>
                  </w:r>
                </w:p>
              </w:tc>
              <w:tc>
                <w:tcPr>
                  <w:tcW w:w="1004" w:type="dxa"/>
                  <w:vAlign w:val="center"/>
                </w:tcPr>
                <w:p w14:paraId="55F91E39">
                  <w:pPr>
                    <w:pStyle w:val="221"/>
                    <w:rPr>
                      <w:color w:val="000000" w:themeColor="text1"/>
                      <w14:textFill>
                        <w14:solidFill>
                          <w14:schemeClr w14:val="tx1"/>
                        </w14:solidFill>
                      </w14:textFill>
                    </w:rPr>
                  </w:pPr>
                  <w:r>
                    <w:rPr>
                      <w:color w:val="000000" w:themeColor="text1"/>
                      <w14:textFill>
                        <w14:solidFill>
                          <w14:schemeClr w14:val="tx1"/>
                        </w14:solidFill>
                      </w14:textFill>
                    </w:rPr>
                    <w:t>0.003</w:t>
                  </w:r>
                </w:p>
              </w:tc>
            </w:tr>
            <w:tr w14:paraId="4CBE2F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40B3247">
                  <w:pPr>
                    <w:pStyle w:val="221"/>
                    <w:rPr>
                      <w:color w:val="000000" w:themeColor="text1"/>
                      <w14:textFill>
                        <w14:solidFill>
                          <w14:schemeClr w14:val="tx1"/>
                        </w14:solidFill>
                      </w14:textFill>
                    </w:rPr>
                  </w:pPr>
                  <w:r>
                    <w:rPr>
                      <w:color w:val="000000" w:themeColor="text1"/>
                      <w14:textFill>
                        <w14:solidFill>
                          <w14:schemeClr w14:val="tx1"/>
                        </w14:solidFill>
                      </w14:textFill>
                    </w:rPr>
                    <w:t>福清市龙江彩印有限公司</w:t>
                  </w:r>
                </w:p>
              </w:tc>
              <w:tc>
                <w:tcPr>
                  <w:tcW w:w="2970" w:type="dxa"/>
                  <w:vAlign w:val="center"/>
                </w:tcPr>
                <w:p w14:paraId="489B8112">
                  <w:pPr>
                    <w:pStyle w:val="221"/>
                    <w:rPr>
                      <w:color w:val="000000" w:themeColor="text1"/>
                      <w14:textFill>
                        <w14:solidFill>
                          <w14:schemeClr w14:val="tx1"/>
                        </w14:solidFill>
                      </w14:textFill>
                    </w:rPr>
                  </w:pPr>
                  <w:r>
                    <w:rPr>
                      <w:color w:val="000000" w:themeColor="text1"/>
                      <w14:textFill>
                        <w14:solidFill>
                          <w14:schemeClr w14:val="tx1"/>
                        </w14:solidFill>
                      </w14:textFill>
                    </w:rPr>
                    <w:t>年印刷作本450吨建设项目</w:t>
                  </w:r>
                </w:p>
              </w:tc>
              <w:tc>
                <w:tcPr>
                  <w:tcW w:w="1004" w:type="dxa"/>
                  <w:vAlign w:val="center"/>
                </w:tcPr>
                <w:p w14:paraId="55B16319">
                  <w:pPr>
                    <w:pStyle w:val="221"/>
                    <w:rPr>
                      <w:color w:val="000000" w:themeColor="text1"/>
                      <w14:textFill>
                        <w14:solidFill>
                          <w14:schemeClr w14:val="tx1"/>
                        </w14:solidFill>
                      </w14:textFill>
                    </w:rPr>
                  </w:pPr>
                  <w:r>
                    <w:rPr>
                      <w:color w:val="000000" w:themeColor="text1"/>
                      <w14:textFill>
                        <w14:solidFill>
                          <w14:schemeClr w14:val="tx1"/>
                        </w14:solidFill>
                      </w14:textFill>
                    </w:rPr>
                    <w:t>0.098</w:t>
                  </w:r>
                </w:p>
              </w:tc>
            </w:tr>
            <w:tr w14:paraId="40B78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B8A9DCC">
                  <w:pPr>
                    <w:pStyle w:val="221"/>
                    <w:rPr>
                      <w:color w:val="000000" w:themeColor="text1"/>
                      <w14:textFill>
                        <w14:solidFill>
                          <w14:schemeClr w14:val="tx1"/>
                        </w14:solidFill>
                      </w14:textFill>
                    </w:rPr>
                  </w:pPr>
                  <w:r>
                    <w:rPr>
                      <w:color w:val="000000" w:themeColor="text1"/>
                      <w14:textFill>
                        <w14:solidFill>
                          <w14:schemeClr w14:val="tx1"/>
                        </w14:solidFill>
                      </w14:textFill>
                    </w:rPr>
                    <w:t>福州正实机电有限公司</w:t>
                  </w:r>
                </w:p>
              </w:tc>
              <w:tc>
                <w:tcPr>
                  <w:tcW w:w="2970" w:type="dxa"/>
                  <w:vAlign w:val="center"/>
                </w:tcPr>
                <w:p w14:paraId="468AAFD9">
                  <w:pPr>
                    <w:pStyle w:val="221"/>
                    <w:rPr>
                      <w:color w:val="000000" w:themeColor="text1"/>
                      <w14:textFill>
                        <w14:solidFill>
                          <w14:schemeClr w14:val="tx1"/>
                        </w14:solidFill>
                      </w14:textFill>
                    </w:rPr>
                  </w:pPr>
                  <w:r>
                    <w:rPr>
                      <w:color w:val="000000" w:themeColor="text1"/>
                      <w14:textFill>
                        <w14:solidFill>
                          <w14:schemeClr w14:val="tx1"/>
                        </w14:solidFill>
                      </w14:textFill>
                    </w:rPr>
                    <w:t>年产铝铸件230万件、塑料零部件60万件项目</w:t>
                  </w:r>
                </w:p>
              </w:tc>
              <w:tc>
                <w:tcPr>
                  <w:tcW w:w="1004" w:type="dxa"/>
                  <w:vAlign w:val="center"/>
                </w:tcPr>
                <w:p w14:paraId="08042C30">
                  <w:pPr>
                    <w:pStyle w:val="221"/>
                    <w:rPr>
                      <w:color w:val="000000" w:themeColor="text1"/>
                      <w14:textFill>
                        <w14:solidFill>
                          <w14:schemeClr w14:val="tx1"/>
                        </w14:solidFill>
                      </w14:textFill>
                    </w:rPr>
                  </w:pPr>
                  <w:r>
                    <w:rPr>
                      <w:color w:val="000000" w:themeColor="text1"/>
                      <w14:textFill>
                        <w14:solidFill>
                          <w14:schemeClr w14:val="tx1"/>
                        </w14:solidFill>
                      </w14:textFill>
                    </w:rPr>
                    <w:t>0.0462</w:t>
                  </w:r>
                </w:p>
              </w:tc>
            </w:tr>
            <w:tr w14:paraId="3B11D1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BE783E2">
                  <w:pPr>
                    <w:pStyle w:val="221"/>
                    <w:rPr>
                      <w:color w:val="000000" w:themeColor="text1"/>
                      <w14:textFill>
                        <w14:solidFill>
                          <w14:schemeClr w14:val="tx1"/>
                        </w14:solidFill>
                      </w14:textFill>
                    </w:rPr>
                  </w:pPr>
                  <w:r>
                    <w:rPr>
                      <w:color w:val="000000" w:themeColor="text1"/>
                      <w14:textFill>
                        <w14:solidFill>
                          <w14:schemeClr w14:val="tx1"/>
                        </w14:solidFill>
                      </w14:textFill>
                    </w:rPr>
                    <w:t>福建新展自动化科技有限公司</w:t>
                  </w:r>
                </w:p>
              </w:tc>
              <w:tc>
                <w:tcPr>
                  <w:tcW w:w="2970" w:type="dxa"/>
                  <w:vAlign w:val="center"/>
                </w:tcPr>
                <w:p w14:paraId="1F4302A1">
                  <w:pPr>
                    <w:pStyle w:val="221"/>
                    <w:rPr>
                      <w:color w:val="000000" w:themeColor="text1"/>
                      <w14:textFill>
                        <w14:solidFill>
                          <w14:schemeClr w14:val="tx1"/>
                        </w14:solidFill>
                      </w14:textFill>
                    </w:rPr>
                  </w:pPr>
                  <w:r>
                    <w:rPr>
                      <w:color w:val="000000" w:themeColor="text1"/>
                      <w14:textFill>
                        <w14:solidFill>
                          <w14:schemeClr w14:val="tx1"/>
                        </w14:solidFill>
                      </w14:textFill>
                    </w:rPr>
                    <w:t>年产非标焊接设备300套项目</w:t>
                  </w:r>
                </w:p>
              </w:tc>
              <w:tc>
                <w:tcPr>
                  <w:tcW w:w="1004" w:type="dxa"/>
                  <w:vAlign w:val="center"/>
                </w:tcPr>
                <w:p w14:paraId="0B7212B5">
                  <w:pPr>
                    <w:pStyle w:val="221"/>
                    <w:rPr>
                      <w:color w:val="000000" w:themeColor="text1"/>
                      <w14:textFill>
                        <w14:solidFill>
                          <w14:schemeClr w14:val="tx1"/>
                        </w14:solidFill>
                      </w14:textFill>
                    </w:rPr>
                  </w:pPr>
                  <w:r>
                    <w:rPr>
                      <w:color w:val="000000" w:themeColor="text1"/>
                      <w14:textFill>
                        <w14:solidFill>
                          <w14:schemeClr w14:val="tx1"/>
                        </w14:solidFill>
                      </w14:textFill>
                    </w:rPr>
                    <w:t>0.1067</w:t>
                  </w:r>
                </w:p>
              </w:tc>
            </w:tr>
            <w:tr w14:paraId="34534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A834D02">
                  <w:pPr>
                    <w:pStyle w:val="221"/>
                    <w:rPr>
                      <w:color w:val="000000" w:themeColor="text1"/>
                      <w14:textFill>
                        <w14:solidFill>
                          <w14:schemeClr w14:val="tx1"/>
                        </w14:solidFill>
                      </w14:textFill>
                    </w:rPr>
                  </w:pPr>
                  <w:r>
                    <w:rPr>
                      <w:color w:val="000000" w:themeColor="text1"/>
                      <w14:textFill>
                        <w14:solidFill>
                          <w14:schemeClr w14:val="tx1"/>
                        </w14:solidFill>
                      </w14:textFill>
                    </w:rPr>
                    <w:t>福州佳亿福塑胶制品有限公司</w:t>
                  </w:r>
                </w:p>
              </w:tc>
              <w:tc>
                <w:tcPr>
                  <w:tcW w:w="2970" w:type="dxa"/>
                  <w:vAlign w:val="center"/>
                </w:tcPr>
                <w:p w14:paraId="3AC6DF25">
                  <w:pPr>
                    <w:pStyle w:val="221"/>
                    <w:rPr>
                      <w:color w:val="000000" w:themeColor="text1"/>
                      <w14:textFill>
                        <w14:solidFill>
                          <w14:schemeClr w14:val="tx1"/>
                        </w14:solidFill>
                      </w14:textFill>
                    </w:rPr>
                  </w:pPr>
                  <w:r>
                    <w:rPr>
                      <w:color w:val="000000" w:themeColor="text1"/>
                      <w14:textFill>
                        <w14:solidFill>
                          <w14:schemeClr w14:val="tx1"/>
                        </w14:solidFill>
                      </w14:textFill>
                    </w:rPr>
                    <w:t>年加工塑胶零部件300吨项目</w:t>
                  </w:r>
                </w:p>
              </w:tc>
              <w:tc>
                <w:tcPr>
                  <w:tcW w:w="1004" w:type="dxa"/>
                  <w:vAlign w:val="center"/>
                </w:tcPr>
                <w:p w14:paraId="46276B83">
                  <w:pPr>
                    <w:pStyle w:val="221"/>
                    <w:rPr>
                      <w:color w:val="000000" w:themeColor="text1"/>
                      <w14:textFill>
                        <w14:solidFill>
                          <w14:schemeClr w14:val="tx1"/>
                        </w14:solidFill>
                      </w14:textFill>
                    </w:rPr>
                  </w:pPr>
                  <w:r>
                    <w:rPr>
                      <w:color w:val="000000" w:themeColor="text1"/>
                      <w14:textFill>
                        <w14:solidFill>
                          <w14:schemeClr w14:val="tx1"/>
                        </w14:solidFill>
                      </w14:textFill>
                    </w:rPr>
                    <w:t>0.0451</w:t>
                  </w:r>
                </w:p>
              </w:tc>
            </w:tr>
            <w:tr w14:paraId="7DC8D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8120069">
                  <w:pPr>
                    <w:pStyle w:val="221"/>
                    <w:rPr>
                      <w:color w:val="000000" w:themeColor="text1"/>
                      <w14:textFill>
                        <w14:solidFill>
                          <w14:schemeClr w14:val="tx1"/>
                        </w14:solidFill>
                      </w14:textFill>
                    </w:rPr>
                  </w:pPr>
                  <w:r>
                    <w:rPr>
                      <w:color w:val="000000" w:themeColor="text1"/>
                      <w14:textFill>
                        <w14:solidFill>
                          <w14:schemeClr w14:val="tx1"/>
                        </w14:solidFill>
                      </w14:textFill>
                    </w:rPr>
                    <w:t>福建易佳环保科技有限公司</w:t>
                  </w:r>
                </w:p>
              </w:tc>
              <w:tc>
                <w:tcPr>
                  <w:tcW w:w="2970" w:type="dxa"/>
                  <w:vAlign w:val="center"/>
                </w:tcPr>
                <w:p w14:paraId="3334796A">
                  <w:pPr>
                    <w:pStyle w:val="221"/>
                    <w:rPr>
                      <w:color w:val="000000" w:themeColor="text1"/>
                      <w14:textFill>
                        <w14:solidFill>
                          <w14:schemeClr w14:val="tx1"/>
                        </w14:solidFill>
                      </w14:textFill>
                    </w:rPr>
                  </w:pPr>
                  <w:r>
                    <w:rPr>
                      <w:color w:val="000000" w:themeColor="text1"/>
                      <w14:textFill>
                        <w14:solidFill>
                          <w14:schemeClr w14:val="tx1"/>
                        </w14:solidFill>
                      </w14:textFill>
                    </w:rPr>
                    <w:t>年加工玻璃钢成品化粪池10000立方米、碳钢污水处理设备800立方米项目</w:t>
                  </w:r>
                </w:p>
              </w:tc>
              <w:tc>
                <w:tcPr>
                  <w:tcW w:w="1004" w:type="dxa"/>
                  <w:vAlign w:val="center"/>
                </w:tcPr>
                <w:p w14:paraId="75D20EA1">
                  <w:pPr>
                    <w:pStyle w:val="221"/>
                    <w:rPr>
                      <w:color w:val="000000" w:themeColor="text1"/>
                      <w14:textFill>
                        <w14:solidFill>
                          <w14:schemeClr w14:val="tx1"/>
                        </w14:solidFill>
                      </w14:textFill>
                    </w:rPr>
                  </w:pPr>
                  <w:r>
                    <w:rPr>
                      <w:color w:val="000000" w:themeColor="text1"/>
                      <w14:textFill>
                        <w14:solidFill>
                          <w14:schemeClr w14:val="tx1"/>
                        </w14:solidFill>
                      </w14:textFill>
                    </w:rPr>
                    <w:t>0.108</w:t>
                  </w:r>
                </w:p>
              </w:tc>
            </w:tr>
            <w:tr w14:paraId="3661B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7004CFE">
                  <w:pPr>
                    <w:pStyle w:val="221"/>
                    <w:rPr>
                      <w:color w:val="000000" w:themeColor="text1"/>
                      <w14:textFill>
                        <w14:solidFill>
                          <w14:schemeClr w14:val="tx1"/>
                        </w14:solidFill>
                      </w14:textFill>
                    </w:rPr>
                  </w:pPr>
                  <w:r>
                    <w:rPr>
                      <w:color w:val="000000" w:themeColor="text1"/>
                      <w14:textFill>
                        <w14:solidFill>
                          <w14:schemeClr w14:val="tx1"/>
                        </w14:solidFill>
                      </w14:textFill>
                    </w:rPr>
                    <w:t>福州祖根堂工艺品有限公司</w:t>
                  </w:r>
                </w:p>
              </w:tc>
              <w:tc>
                <w:tcPr>
                  <w:tcW w:w="2970" w:type="dxa"/>
                  <w:vAlign w:val="center"/>
                </w:tcPr>
                <w:p w14:paraId="50D4E77F">
                  <w:pPr>
                    <w:pStyle w:val="221"/>
                    <w:rPr>
                      <w:color w:val="000000" w:themeColor="text1"/>
                      <w14:textFill>
                        <w14:solidFill>
                          <w14:schemeClr w14:val="tx1"/>
                        </w14:solidFill>
                      </w14:textFill>
                    </w:rPr>
                  </w:pPr>
                  <w:r>
                    <w:rPr>
                      <w:color w:val="000000" w:themeColor="text1"/>
                      <w14:textFill>
                        <w14:solidFill>
                          <w14:schemeClr w14:val="tx1"/>
                        </w14:solidFill>
                      </w14:textFill>
                    </w:rPr>
                    <w:t>年加工根雕工艺品1200件项目</w:t>
                  </w:r>
                </w:p>
              </w:tc>
              <w:tc>
                <w:tcPr>
                  <w:tcW w:w="1004" w:type="dxa"/>
                  <w:vAlign w:val="center"/>
                </w:tcPr>
                <w:p w14:paraId="035B95B3">
                  <w:pPr>
                    <w:pStyle w:val="221"/>
                    <w:rPr>
                      <w:color w:val="000000" w:themeColor="text1"/>
                      <w14:textFill>
                        <w14:solidFill>
                          <w14:schemeClr w14:val="tx1"/>
                        </w14:solidFill>
                      </w14:textFill>
                    </w:rPr>
                  </w:pPr>
                  <w:r>
                    <w:rPr>
                      <w:color w:val="000000" w:themeColor="text1"/>
                      <w14:textFill>
                        <w14:solidFill>
                          <w14:schemeClr w14:val="tx1"/>
                        </w14:solidFill>
                      </w14:textFill>
                    </w:rPr>
                    <w:t>0.042</w:t>
                  </w:r>
                </w:p>
              </w:tc>
            </w:tr>
            <w:tr w14:paraId="56072B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7E4FAA8">
                  <w:pPr>
                    <w:pStyle w:val="221"/>
                    <w:rPr>
                      <w:color w:val="000000" w:themeColor="text1"/>
                      <w14:textFill>
                        <w14:solidFill>
                          <w14:schemeClr w14:val="tx1"/>
                        </w14:solidFill>
                      </w14:textFill>
                    </w:rPr>
                  </w:pPr>
                  <w:r>
                    <w:rPr>
                      <w:color w:val="000000" w:themeColor="text1"/>
                      <w14:textFill>
                        <w14:solidFill>
                          <w14:schemeClr w14:val="tx1"/>
                        </w14:solidFill>
                      </w14:textFill>
                    </w:rPr>
                    <w:t>福清市湘明家居有限公司</w:t>
                  </w:r>
                </w:p>
              </w:tc>
              <w:tc>
                <w:tcPr>
                  <w:tcW w:w="2970" w:type="dxa"/>
                  <w:vAlign w:val="center"/>
                </w:tcPr>
                <w:p w14:paraId="00595355">
                  <w:pPr>
                    <w:pStyle w:val="221"/>
                    <w:rPr>
                      <w:color w:val="000000" w:themeColor="text1"/>
                      <w14:textFill>
                        <w14:solidFill>
                          <w14:schemeClr w14:val="tx1"/>
                        </w14:solidFill>
                      </w14:textFill>
                    </w:rPr>
                  </w:pPr>
                  <w:r>
                    <w:rPr>
                      <w:color w:val="000000" w:themeColor="text1"/>
                      <w14:textFill>
                        <w14:solidFill>
                          <w14:schemeClr w14:val="tx1"/>
                        </w14:solidFill>
                      </w14:textFill>
                    </w:rPr>
                    <w:t>年加工板式家具20000套</w:t>
                  </w:r>
                </w:p>
              </w:tc>
              <w:tc>
                <w:tcPr>
                  <w:tcW w:w="1004" w:type="dxa"/>
                  <w:vAlign w:val="center"/>
                </w:tcPr>
                <w:p w14:paraId="7F314195">
                  <w:pPr>
                    <w:pStyle w:val="221"/>
                    <w:rPr>
                      <w:color w:val="000000" w:themeColor="text1"/>
                      <w14:textFill>
                        <w14:solidFill>
                          <w14:schemeClr w14:val="tx1"/>
                        </w14:solidFill>
                      </w14:textFill>
                    </w:rPr>
                  </w:pPr>
                  <w:r>
                    <w:rPr>
                      <w:color w:val="000000" w:themeColor="text1"/>
                      <w14:textFill>
                        <w14:solidFill>
                          <w14:schemeClr w14:val="tx1"/>
                        </w14:solidFill>
                      </w14:textFill>
                    </w:rPr>
                    <w:t>0.075</w:t>
                  </w:r>
                </w:p>
              </w:tc>
            </w:tr>
            <w:tr w14:paraId="3E587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62178E5">
                  <w:pPr>
                    <w:pStyle w:val="221"/>
                    <w:rPr>
                      <w:color w:val="000000" w:themeColor="text1"/>
                      <w14:textFill>
                        <w14:solidFill>
                          <w14:schemeClr w14:val="tx1"/>
                        </w14:solidFill>
                      </w14:textFill>
                    </w:rPr>
                  </w:pPr>
                  <w:r>
                    <w:rPr>
                      <w:color w:val="000000" w:themeColor="text1"/>
                      <w14:textFill>
                        <w14:solidFill>
                          <w14:schemeClr w14:val="tx1"/>
                        </w14:solidFill>
                      </w14:textFill>
                    </w:rPr>
                    <w:t>福州海德龙科技有限公司</w:t>
                  </w:r>
                </w:p>
              </w:tc>
              <w:tc>
                <w:tcPr>
                  <w:tcW w:w="2970" w:type="dxa"/>
                  <w:vAlign w:val="center"/>
                </w:tcPr>
                <w:p w14:paraId="72EC0F97">
                  <w:pPr>
                    <w:pStyle w:val="221"/>
                    <w:rPr>
                      <w:color w:val="000000" w:themeColor="text1"/>
                      <w14:textFill>
                        <w14:solidFill>
                          <w14:schemeClr w14:val="tx1"/>
                        </w14:solidFill>
                      </w14:textFill>
                    </w:rPr>
                  </w:pPr>
                  <w:r>
                    <w:rPr>
                      <w:color w:val="000000" w:themeColor="text1"/>
                      <w14:textFill>
                        <w14:solidFill>
                          <w14:schemeClr w14:val="tx1"/>
                        </w14:solidFill>
                      </w14:textFill>
                    </w:rPr>
                    <w:t>年加工车门防水膜100万件、塑料制品6000万件项目</w:t>
                  </w:r>
                </w:p>
              </w:tc>
              <w:tc>
                <w:tcPr>
                  <w:tcW w:w="1004" w:type="dxa"/>
                  <w:vAlign w:val="center"/>
                </w:tcPr>
                <w:p w14:paraId="5CA99928">
                  <w:pPr>
                    <w:pStyle w:val="221"/>
                    <w:rPr>
                      <w:color w:val="000000" w:themeColor="text1"/>
                      <w14:textFill>
                        <w14:solidFill>
                          <w14:schemeClr w14:val="tx1"/>
                        </w14:solidFill>
                      </w14:textFill>
                    </w:rPr>
                  </w:pPr>
                  <w:r>
                    <w:rPr>
                      <w:color w:val="000000" w:themeColor="text1"/>
                      <w14:textFill>
                        <w14:solidFill>
                          <w14:schemeClr w14:val="tx1"/>
                        </w14:solidFill>
                      </w14:textFill>
                    </w:rPr>
                    <w:t>0.3863</w:t>
                  </w:r>
                </w:p>
              </w:tc>
            </w:tr>
            <w:tr w14:paraId="732F1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60B9E18">
                  <w:pPr>
                    <w:pStyle w:val="221"/>
                    <w:rPr>
                      <w:color w:val="000000" w:themeColor="text1"/>
                      <w14:textFill>
                        <w14:solidFill>
                          <w14:schemeClr w14:val="tx1"/>
                        </w14:solidFill>
                      </w14:textFill>
                    </w:rPr>
                  </w:pPr>
                  <w:r>
                    <w:rPr>
                      <w:color w:val="000000" w:themeColor="text1"/>
                      <w14:textFill>
                        <w14:solidFill>
                          <w14:schemeClr w14:val="tx1"/>
                        </w14:solidFill>
                      </w14:textFill>
                    </w:rPr>
                    <w:t>鑫泓泰（福建）新型材料科技有限公司</w:t>
                  </w:r>
                </w:p>
              </w:tc>
              <w:tc>
                <w:tcPr>
                  <w:tcW w:w="2970" w:type="dxa"/>
                  <w:vAlign w:val="center"/>
                </w:tcPr>
                <w:p w14:paraId="5112B4C6">
                  <w:pPr>
                    <w:pStyle w:val="221"/>
                    <w:rPr>
                      <w:color w:val="000000" w:themeColor="text1"/>
                      <w14:textFill>
                        <w14:solidFill>
                          <w14:schemeClr w14:val="tx1"/>
                        </w14:solidFill>
                      </w14:textFill>
                    </w:rPr>
                  </w:pPr>
                  <w:r>
                    <w:rPr>
                      <w:color w:val="000000" w:themeColor="text1"/>
                      <w14:textFill>
                        <w14:solidFill>
                          <w14:schemeClr w14:val="tx1"/>
                        </w14:solidFill>
                      </w14:textFill>
                    </w:rPr>
                    <w:t>年产新型生物全降解颗粒4000吨项目</w:t>
                  </w:r>
                </w:p>
              </w:tc>
              <w:tc>
                <w:tcPr>
                  <w:tcW w:w="1004" w:type="dxa"/>
                  <w:vAlign w:val="center"/>
                </w:tcPr>
                <w:p w14:paraId="65FF111B">
                  <w:pPr>
                    <w:pStyle w:val="221"/>
                    <w:rPr>
                      <w:color w:val="000000" w:themeColor="text1"/>
                      <w14:textFill>
                        <w14:solidFill>
                          <w14:schemeClr w14:val="tx1"/>
                        </w14:solidFill>
                      </w14:textFill>
                    </w:rPr>
                  </w:pPr>
                  <w:r>
                    <w:rPr>
                      <w:color w:val="000000" w:themeColor="text1"/>
                      <w14:textFill>
                        <w14:solidFill>
                          <w14:schemeClr w14:val="tx1"/>
                        </w14:solidFill>
                      </w14:textFill>
                    </w:rPr>
                    <w:t>0.461</w:t>
                  </w:r>
                </w:p>
              </w:tc>
            </w:tr>
            <w:tr w14:paraId="21364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83C71E4">
                  <w:pPr>
                    <w:pStyle w:val="221"/>
                    <w:rPr>
                      <w:color w:val="000000" w:themeColor="text1"/>
                      <w14:textFill>
                        <w14:solidFill>
                          <w14:schemeClr w14:val="tx1"/>
                        </w14:solidFill>
                      </w14:textFill>
                    </w:rPr>
                  </w:pPr>
                  <w:r>
                    <w:rPr>
                      <w:color w:val="000000" w:themeColor="text1"/>
                      <w14:textFill>
                        <w14:solidFill>
                          <w14:schemeClr w14:val="tx1"/>
                        </w14:solidFill>
                      </w14:textFill>
                    </w:rPr>
                    <w:t>福州格莱特新材料科技有限公司</w:t>
                  </w:r>
                </w:p>
              </w:tc>
              <w:tc>
                <w:tcPr>
                  <w:tcW w:w="2970" w:type="dxa"/>
                  <w:vAlign w:val="center"/>
                </w:tcPr>
                <w:p w14:paraId="0E113FF9">
                  <w:pPr>
                    <w:pStyle w:val="221"/>
                    <w:rPr>
                      <w:color w:val="000000" w:themeColor="text1"/>
                      <w14:textFill>
                        <w14:solidFill>
                          <w14:schemeClr w14:val="tx1"/>
                        </w14:solidFill>
                      </w14:textFill>
                    </w:rPr>
                  </w:pPr>
                  <w:r>
                    <w:rPr>
                      <w:color w:val="000000" w:themeColor="text1"/>
                      <w14:textFill>
                        <w14:solidFill>
                          <w14:schemeClr w14:val="tx1"/>
                        </w14:solidFill>
                      </w14:textFill>
                    </w:rPr>
                    <w:t>年加工ABS塑料颗粒1000吨项目</w:t>
                  </w:r>
                </w:p>
              </w:tc>
              <w:tc>
                <w:tcPr>
                  <w:tcW w:w="1004" w:type="dxa"/>
                  <w:vAlign w:val="center"/>
                </w:tcPr>
                <w:p w14:paraId="35C8B648">
                  <w:pPr>
                    <w:pStyle w:val="221"/>
                    <w:rPr>
                      <w:color w:val="000000" w:themeColor="text1"/>
                      <w14:textFill>
                        <w14:solidFill>
                          <w14:schemeClr w14:val="tx1"/>
                        </w14:solidFill>
                      </w14:textFill>
                    </w:rPr>
                  </w:pPr>
                  <w:r>
                    <w:rPr>
                      <w:color w:val="000000" w:themeColor="text1"/>
                      <w14:textFill>
                        <w14:solidFill>
                          <w14:schemeClr w14:val="tx1"/>
                        </w14:solidFill>
                      </w14:textFill>
                    </w:rPr>
                    <w:t>0.36</w:t>
                  </w:r>
                </w:p>
              </w:tc>
            </w:tr>
            <w:tr w14:paraId="5ABF1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80211D7">
                  <w:pPr>
                    <w:pStyle w:val="221"/>
                    <w:rPr>
                      <w:color w:val="000000" w:themeColor="text1"/>
                      <w14:textFill>
                        <w14:solidFill>
                          <w14:schemeClr w14:val="tx1"/>
                        </w14:solidFill>
                      </w14:textFill>
                    </w:rPr>
                  </w:pPr>
                  <w:r>
                    <w:rPr>
                      <w:color w:val="000000" w:themeColor="text1"/>
                      <w14:textFill>
                        <w14:solidFill>
                          <w14:schemeClr w14:val="tx1"/>
                        </w14:solidFill>
                      </w14:textFill>
                    </w:rPr>
                    <w:t>福州丹海塑料制品有限公司</w:t>
                  </w:r>
                </w:p>
              </w:tc>
              <w:tc>
                <w:tcPr>
                  <w:tcW w:w="2970" w:type="dxa"/>
                  <w:vAlign w:val="center"/>
                </w:tcPr>
                <w:p w14:paraId="23BE461B">
                  <w:pPr>
                    <w:pStyle w:val="221"/>
                    <w:rPr>
                      <w:color w:val="000000" w:themeColor="text1"/>
                      <w14:textFill>
                        <w14:solidFill>
                          <w14:schemeClr w14:val="tx1"/>
                        </w14:solidFill>
                      </w14:textFill>
                    </w:rPr>
                  </w:pPr>
                  <w:r>
                    <w:rPr>
                      <w:color w:val="000000" w:themeColor="text1"/>
                      <w14:textFill>
                        <w14:solidFill>
                          <w14:schemeClr w14:val="tx1"/>
                        </w14:solidFill>
                      </w14:textFill>
                    </w:rPr>
                    <w:t>年加工聚乙烯气泡膜360吨、厚度0.03mm塑料袋24吨项目</w:t>
                  </w:r>
                </w:p>
              </w:tc>
              <w:tc>
                <w:tcPr>
                  <w:tcW w:w="1004" w:type="dxa"/>
                  <w:vAlign w:val="center"/>
                </w:tcPr>
                <w:p w14:paraId="515542F2">
                  <w:pPr>
                    <w:pStyle w:val="221"/>
                    <w:rPr>
                      <w:color w:val="000000" w:themeColor="text1"/>
                      <w14:textFill>
                        <w14:solidFill>
                          <w14:schemeClr w14:val="tx1"/>
                        </w14:solidFill>
                      </w14:textFill>
                    </w:rPr>
                  </w:pPr>
                  <w:r>
                    <w:rPr>
                      <w:color w:val="000000" w:themeColor="text1"/>
                      <w14:textFill>
                        <w14:solidFill>
                          <w14:schemeClr w14:val="tx1"/>
                        </w14:solidFill>
                      </w14:textFill>
                    </w:rPr>
                    <w:t>0.072</w:t>
                  </w:r>
                </w:p>
              </w:tc>
            </w:tr>
            <w:tr w14:paraId="0DF88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E303909">
                  <w:pPr>
                    <w:pStyle w:val="221"/>
                    <w:rPr>
                      <w:color w:val="000000" w:themeColor="text1"/>
                      <w14:textFill>
                        <w14:solidFill>
                          <w14:schemeClr w14:val="tx1"/>
                        </w14:solidFill>
                      </w14:textFill>
                    </w:rPr>
                  </w:pPr>
                  <w:r>
                    <w:rPr>
                      <w:color w:val="000000" w:themeColor="text1"/>
                      <w14:textFill>
                        <w14:solidFill>
                          <w14:schemeClr w14:val="tx1"/>
                        </w14:solidFill>
                      </w14:textFill>
                    </w:rPr>
                    <w:t>福清科中硕新材料有限公司</w:t>
                  </w:r>
                </w:p>
              </w:tc>
              <w:tc>
                <w:tcPr>
                  <w:tcW w:w="2970" w:type="dxa"/>
                  <w:vAlign w:val="center"/>
                </w:tcPr>
                <w:p w14:paraId="6D83B5A1">
                  <w:pPr>
                    <w:pStyle w:val="221"/>
                    <w:rPr>
                      <w:color w:val="000000" w:themeColor="text1"/>
                      <w14:textFill>
                        <w14:solidFill>
                          <w14:schemeClr w14:val="tx1"/>
                        </w14:solidFill>
                      </w14:textFill>
                    </w:rPr>
                  </w:pPr>
                  <w:r>
                    <w:rPr>
                      <w:color w:val="000000" w:themeColor="text1"/>
                      <w14:textFill>
                        <w14:solidFill>
                          <w14:schemeClr w14:val="tx1"/>
                        </w14:solidFill>
                      </w14:textFill>
                    </w:rPr>
                    <w:t>年加工废塑料造粒3000吨项目</w:t>
                  </w:r>
                </w:p>
              </w:tc>
              <w:tc>
                <w:tcPr>
                  <w:tcW w:w="1004" w:type="dxa"/>
                  <w:vAlign w:val="center"/>
                </w:tcPr>
                <w:p w14:paraId="025C1ACA">
                  <w:pPr>
                    <w:pStyle w:val="221"/>
                    <w:rPr>
                      <w:color w:val="000000" w:themeColor="text1"/>
                      <w14:textFill>
                        <w14:solidFill>
                          <w14:schemeClr w14:val="tx1"/>
                        </w14:solidFill>
                      </w14:textFill>
                    </w:rPr>
                  </w:pPr>
                  <w:r>
                    <w:rPr>
                      <w:color w:val="000000" w:themeColor="text1"/>
                      <w14:textFill>
                        <w14:solidFill>
                          <w14:schemeClr w14:val="tx1"/>
                        </w14:solidFill>
                      </w14:textFill>
                    </w:rPr>
                    <w:t>0.461</w:t>
                  </w:r>
                </w:p>
              </w:tc>
            </w:tr>
            <w:tr w14:paraId="2AD64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1D8691F">
                  <w:pPr>
                    <w:pStyle w:val="221"/>
                    <w:rPr>
                      <w:color w:val="000000" w:themeColor="text1"/>
                      <w14:textFill>
                        <w14:solidFill>
                          <w14:schemeClr w14:val="tx1"/>
                        </w14:solidFill>
                      </w14:textFill>
                    </w:rPr>
                  </w:pPr>
                  <w:r>
                    <w:rPr>
                      <w:color w:val="000000" w:themeColor="text1"/>
                      <w14:textFill>
                        <w14:solidFill>
                          <w14:schemeClr w14:val="tx1"/>
                        </w14:solidFill>
                      </w14:textFill>
                    </w:rPr>
                    <w:t>汉纱合纺（福州）新材料科技有限公司</w:t>
                  </w:r>
                </w:p>
              </w:tc>
              <w:tc>
                <w:tcPr>
                  <w:tcW w:w="2970" w:type="dxa"/>
                  <w:vAlign w:val="center"/>
                </w:tcPr>
                <w:p w14:paraId="1632B2C1">
                  <w:pPr>
                    <w:pStyle w:val="221"/>
                    <w:rPr>
                      <w:color w:val="000000" w:themeColor="text1"/>
                      <w14:textFill>
                        <w14:solidFill>
                          <w14:schemeClr w14:val="tx1"/>
                        </w14:solidFill>
                      </w14:textFill>
                    </w:rPr>
                  </w:pPr>
                  <w:r>
                    <w:rPr>
                      <w:color w:val="000000" w:themeColor="text1"/>
                      <w14:textFill>
                        <w14:solidFill>
                          <w14:schemeClr w14:val="tx1"/>
                        </w14:solidFill>
                      </w14:textFill>
                    </w:rPr>
                    <w:t>年加工TPU复合面料、TPU薄膜、TPU热封带5000吨项目</w:t>
                  </w:r>
                </w:p>
              </w:tc>
              <w:tc>
                <w:tcPr>
                  <w:tcW w:w="1004" w:type="dxa"/>
                  <w:vAlign w:val="center"/>
                </w:tcPr>
                <w:p w14:paraId="7E20E064">
                  <w:pPr>
                    <w:pStyle w:val="221"/>
                    <w:rPr>
                      <w:color w:val="000000" w:themeColor="text1"/>
                      <w14:textFill>
                        <w14:solidFill>
                          <w14:schemeClr w14:val="tx1"/>
                        </w14:solidFill>
                      </w14:textFill>
                    </w:rPr>
                  </w:pPr>
                  <w:r>
                    <w:rPr>
                      <w:color w:val="000000" w:themeColor="text1"/>
                      <w14:textFill>
                        <w14:solidFill>
                          <w14:schemeClr w14:val="tx1"/>
                        </w14:solidFill>
                      </w14:textFill>
                    </w:rPr>
                    <w:t>0.214</w:t>
                  </w:r>
                </w:p>
              </w:tc>
            </w:tr>
            <w:tr w14:paraId="2AEAB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4665C13F">
                  <w:pPr>
                    <w:pStyle w:val="221"/>
                    <w:rPr>
                      <w:color w:val="000000" w:themeColor="text1"/>
                      <w14:textFill>
                        <w14:solidFill>
                          <w14:schemeClr w14:val="tx1"/>
                        </w14:solidFill>
                      </w14:textFill>
                    </w:rPr>
                  </w:pPr>
                  <w:r>
                    <w:rPr>
                      <w:color w:val="000000" w:themeColor="text1"/>
                      <w14:textFill>
                        <w14:solidFill>
                          <w14:schemeClr w14:val="tx1"/>
                        </w14:solidFill>
                      </w14:textFill>
                    </w:rPr>
                    <w:t>福清市新时代金属制品厂</w:t>
                  </w:r>
                </w:p>
              </w:tc>
              <w:tc>
                <w:tcPr>
                  <w:tcW w:w="2970" w:type="dxa"/>
                  <w:vAlign w:val="center"/>
                </w:tcPr>
                <w:p w14:paraId="687425A3">
                  <w:pPr>
                    <w:pStyle w:val="221"/>
                    <w:rPr>
                      <w:color w:val="000000" w:themeColor="text1"/>
                      <w14:textFill>
                        <w14:solidFill>
                          <w14:schemeClr w14:val="tx1"/>
                        </w14:solidFill>
                      </w14:textFill>
                    </w:rPr>
                  </w:pPr>
                  <w:r>
                    <w:rPr>
                      <w:color w:val="000000" w:themeColor="text1"/>
                      <w14:textFill>
                        <w14:solidFill>
                          <w14:schemeClr w14:val="tx1"/>
                        </w14:solidFill>
                      </w14:textFill>
                    </w:rPr>
                    <w:t>年加工钢板货架9000套钢木结构货架1000套项目</w:t>
                  </w:r>
                </w:p>
              </w:tc>
              <w:tc>
                <w:tcPr>
                  <w:tcW w:w="1004" w:type="dxa"/>
                  <w:vAlign w:val="center"/>
                </w:tcPr>
                <w:p w14:paraId="07E9150F">
                  <w:pPr>
                    <w:pStyle w:val="221"/>
                    <w:rPr>
                      <w:color w:val="000000" w:themeColor="text1"/>
                      <w14:textFill>
                        <w14:solidFill>
                          <w14:schemeClr w14:val="tx1"/>
                        </w14:solidFill>
                      </w14:textFill>
                    </w:rPr>
                  </w:pPr>
                  <w:r>
                    <w:rPr>
                      <w:color w:val="000000" w:themeColor="text1"/>
                      <w14:textFill>
                        <w14:solidFill>
                          <w14:schemeClr w14:val="tx1"/>
                        </w14:solidFill>
                      </w14:textFill>
                    </w:rPr>
                    <w:t>0.03008</w:t>
                  </w:r>
                </w:p>
              </w:tc>
            </w:tr>
            <w:tr w14:paraId="39E78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41B7967">
                  <w:pPr>
                    <w:pStyle w:val="221"/>
                    <w:rPr>
                      <w:color w:val="000000" w:themeColor="text1"/>
                      <w14:textFill>
                        <w14:solidFill>
                          <w14:schemeClr w14:val="tx1"/>
                        </w14:solidFill>
                      </w14:textFill>
                    </w:rPr>
                  </w:pPr>
                  <w:r>
                    <w:rPr>
                      <w:color w:val="000000" w:themeColor="text1"/>
                      <w14:textFill>
                        <w14:solidFill>
                          <w14:schemeClr w14:val="tx1"/>
                        </w14:solidFill>
                      </w14:textFill>
                    </w:rPr>
                    <w:t>福建兴进源塑料制品有限公司</w:t>
                  </w:r>
                </w:p>
              </w:tc>
              <w:tc>
                <w:tcPr>
                  <w:tcW w:w="2970" w:type="dxa"/>
                  <w:vAlign w:val="center"/>
                </w:tcPr>
                <w:p w14:paraId="18FB4F9A">
                  <w:pPr>
                    <w:pStyle w:val="221"/>
                    <w:rPr>
                      <w:color w:val="000000" w:themeColor="text1"/>
                      <w14:textFill>
                        <w14:solidFill>
                          <w14:schemeClr w14:val="tx1"/>
                        </w14:solidFill>
                      </w14:textFill>
                    </w:rPr>
                  </w:pPr>
                  <w:r>
                    <w:rPr>
                      <w:color w:val="000000" w:themeColor="text1"/>
                      <w14:textFill>
                        <w14:solidFill>
                          <w14:schemeClr w14:val="tx1"/>
                        </w14:solidFill>
                      </w14:textFill>
                    </w:rPr>
                    <w:t>年产200万件塑料配件项目</w:t>
                  </w:r>
                </w:p>
              </w:tc>
              <w:tc>
                <w:tcPr>
                  <w:tcW w:w="1004" w:type="dxa"/>
                  <w:vAlign w:val="center"/>
                </w:tcPr>
                <w:p w14:paraId="25F9D9DE">
                  <w:pPr>
                    <w:pStyle w:val="221"/>
                    <w:rPr>
                      <w:color w:val="000000" w:themeColor="text1"/>
                      <w14:textFill>
                        <w14:solidFill>
                          <w14:schemeClr w14:val="tx1"/>
                        </w14:solidFill>
                      </w14:textFill>
                    </w:rPr>
                  </w:pPr>
                  <w:r>
                    <w:rPr>
                      <w:color w:val="000000" w:themeColor="text1"/>
                      <w14:textFill>
                        <w14:solidFill>
                          <w14:schemeClr w14:val="tx1"/>
                        </w14:solidFill>
                      </w14:textFill>
                    </w:rPr>
                    <w:t>0.2022</w:t>
                  </w:r>
                </w:p>
              </w:tc>
            </w:tr>
            <w:tr w14:paraId="74C84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1866E6D">
                  <w:pPr>
                    <w:pStyle w:val="221"/>
                    <w:rPr>
                      <w:color w:val="000000" w:themeColor="text1"/>
                      <w14:textFill>
                        <w14:solidFill>
                          <w14:schemeClr w14:val="tx1"/>
                        </w14:solidFill>
                      </w14:textFill>
                    </w:rPr>
                  </w:pPr>
                  <w:r>
                    <w:rPr>
                      <w:color w:val="000000" w:themeColor="text1"/>
                      <w14:textFill>
                        <w14:solidFill>
                          <w14:schemeClr w14:val="tx1"/>
                        </w14:solidFill>
                      </w14:textFill>
                    </w:rPr>
                    <w:t>福州一泽船舶科技有限公司</w:t>
                  </w:r>
                </w:p>
              </w:tc>
              <w:tc>
                <w:tcPr>
                  <w:tcW w:w="2970" w:type="dxa"/>
                  <w:vAlign w:val="center"/>
                </w:tcPr>
                <w:p w14:paraId="406011E6">
                  <w:pPr>
                    <w:pStyle w:val="221"/>
                    <w:rPr>
                      <w:color w:val="000000" w:themeColor="text1"/>
                      <w14:textFill>
                        <w14:solidFill>
                          <w14:schemeClr w14:val="tx1"/>
                        </w14:solidFill>
                      </w14:textFill>
                    </w:rPr>
                  </w:pPr>
                  <w:r>
                    <w:rPr>
                      <w:color w:val="000000" w:themeColor="text1"/>
                      <w14:textFill>
                        <w14:solidFill>
                          <w14:schemeClr w14:val="tx1"/>
                        </w14:solidFill>
                      </w14:textFill>
                    </w:rPr>
                    <w:t>年加工螺旋桨10万件项目</w:t>
                  </w:r>
                </w:p>
              </w:tc>
              <w:tc>
                <w:tcPr>
                  <w:tcW w:w="1004" w:type="dxa"/>
                  <w:vAlign w:val="center"/>
                </w:tcPr>
                <w:p w14:paraId="1AA35415">
                  <w:pPr>
                    <w:pStyle w:val="221"/>
                    <w:rPr>
                      <w:color w:val="000000" w:themeColor="text1"/>
                      <w14:textFill>
                        <w14:solidFill>
                          <w14:schemeClr w14:val="tx1"/>
                        </w14:solidFill>
                      </w14:textFill>
                    </w:rPr>
                  </w:pPr>
                  <w:r>
                    <w:rPr>
                      <w:color w:val="000000" w:themeColor="text1"/>
                      <w14:textFill>
                        <w14:solidFill>
                          <w14:schemeClr w14:val="tx1"/>
                        </w14:solidFill>
                      </w14:textFill>
                    </w:rPr>
                    <w:t>0.02194</w:t>
                  </w:r>
                </w:p>
              </w:tc>
            </w:tr>
            <w:tr w14:paraId="72E50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EEEE7BF">
                  <w:pPr>
                    <w:pStyle w:val="221"/>
                    <w:rPr>
                      <w:color w:val="000000" w:themeColor="text1"/>
                      <w14:textFill>
                        <w14:solidFill>
                          <w14:schemeClr w14:val="tx1"/>
                        </w14:solidFill>
                      </w14:textFill>
                    </w:rPr>
                  </w:pPr>
                  <w:r>
                    <w:rPr>
                      <w:color w:val="000000" w:themeColor="text1"/>
                      <w14:textFill>
                        <w14:solidFill>
                          <w14:schemeClr w14:val="tx1"/>
                        </w14:solidFill>
                      </w14:textFill>
                    </w:rPr>
                    <w:t>福州宏伟包装材料有限公司</w:t>
                  </w:r>
                </w:p>
              </w:tc>
              <w:tc>
                <w:tcPr>
                  <w:tcW w:w="2970" w:type="dxa"/>
                  <w:vAlign w:val="center"/>
                </w:tcPr>
                <w:p w14:paraId="030AD433">
                  <w:pPr>
                    <w:pStyle w:val="221"/>
                    <w:rPr>
                      <w:color w:val="000000" w:themeColor="text1"/>
                      <w14:textFill>
                        <w14:solidFill>
                          <w14:schemeClr w14:val="tx1"/>
                        </w14:solidFill>
                      </w14:textFill>
                    </w:rPr>
                  </w:pPr>
                  <w:r>
                    <w:rPr>
                      <w:color w:val="000000" w:themeColor="text1"/>
                      <w14:textFill>
                        <w14:solidFill>
                          <w14:schemeClr w14:val="tx1"/>
                        </w14:solidFill>
                      </w14:textFill>
                    </w:rPr>
                    <w:t>年加工瓦楞纸箱500万平方米项目</w:t>
                  </w:r>
                </w:p>
              </w:tc>
              <w:tc>
                <w:tcPr>
                  <w:tcW w:w="1004" w:type="dxa"/>
                  <w:vAlign w:val="center"/>
                </w:tcPr>
                <w:p w14:paraId="346E1245">
                  <w:pPr>
                    <w:pStyle w:val="221"/>
                    <w:rPr>
                      <w:color w:val="000000" w:themeColor="text1"/>
                      <w14:textFill>
                        <w14:solidFill>
                          <w14:schemeClr w14:val="tx1"/>
                        </w14:solidFill>
                      </w14:textFill>
                    </w:rPr>
                  </w:pPr>
                  <w:r>
                    <w:rPr>
                      <w:color w:val="000000" w:themeColor="text1"/>
                      <w14:textFill>
                        <w14:solidFill>
                          <w14:schemeClr w14:val="tx1"/>
                        </w14:solidFill>
                      </w14:textFill>
                    </w:rPr>
                    <w:t>0.0456</w:t>
                  </w:r>
                </w:p>
              </w:tc>
            </w:tr>
            <w:tr w14:paraId="5B373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294DDF0">
                  <w:pPr>
                    <w:pStyle w:val="221"/>
                    <w:rPr>
                      <w:color w:val="000000" w:themeColor="text1"/>
                      <w14:textFill>
                        <w14:solidFill>
                          <w14:schemeClr w14:val="tx1"/>
                        </w14:solidFill>
                      </w14:textFill>
                    </w:rPr>
                  </w:pPr>
                  <w:r>
                    <w:rPr>
                      <w:color w:val="000000" w:themeColor="text1"/>
                      <w14:textFill>
                        <w14:solidFill>
                          <w14:schemeClr w14:val="tx1"/>
                        </w14:solidFill>
                      </w14:textFill>
                    </w:rPr>
                    <w:t>福州与同经扬日用品有限公司</w:t>
                  </w:r>
                </w:p>
              </w:tc>
              <w:tc>
                <w:tcPr>
                  <w:tcW w:w="2970" w:type="dxa"/>
                  <w:vAlign w:val="center"/>
                </w:tcPr>
                <w:p w14:paraId="01971E37">
                  <w:pPr>
                    <w:pStyle w:val="221"/>
                    <w:rPr>
                      <w:color w:val="000000" w:themeColor="text1"/>
                      <w14:textFill>
                        <w14:solidFill>
                          <w14:schemeClr w14:val="tx1"/>
                        </w14:solidFill>
                      </w14:textFill>
                    </w:rPr>
                  </w:pPr>
                  <w:r>
                    <w:rPr>
                      <w:color w:val="000000" w:themeColor="text1"/>
                      <w14:textFill>
                        <w14:solidFill>
                          <w14:schemeClr w14:val="tx1"/>
                        </w14:solidFill>
                      </w14:textFill>
                    </w:rPr>
                    <w:t>年加工聚乙烯包装袋300吨、0.07mm食品塑料包装袋300吨项目</w:t>
                  </w:r>
                </w:p>
              </w:tc>
              <w:tc>
                <w:tcPr>
                  <w:tcW w:w="1004" w:type="dxa"/>
                  <w:vAlign w:val="center"/>
                </w:tcPr>
                <w:p w14:paraId="3275045F">
                  <w:pPr>
                    <w:pStyle w:val="221"/>
                    <w:rPr>
                      <w:color w:val="000000" w:themeColor="text1"/>
                      <w14:textFill>
                        <w14:solidFill>
                          <w14:schemeClr w14:val="tx1"/>
                        </w14:solidFill>
                      </w14:textFill>
                    </w:rPr>
                  </w:pPr>
                  <w:r>
                    <w:rPr>
                      <w:color w:val="000000" w:themeColor="text1"/>
                      <w14:textFill>
                        <w14:solidFill>
                          <w14:schemeClr w14:val="tx1"/>
                        </w14:solidFill>
                      </w14:textFill>
                    </w:rPr>
                    <w:t>1.083</w:t>
                  </w:r>
                </w:p>
              </w:tc>
            </w:tr>
            <w:tr w14:paraId="7F19E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59EDCA5">
                  <w:pPr>
                    <w:pStyle w:val="221"/>
                    <w:rPr>
                      <w:color w:val="000000" w:themeColor="text1"/>
                      <w14:textFill>
                        <w14:solidFill>
                          <w14:schemeClr w14:val="tx1"/>
                        </w14:solidFill>
                      </w14:textFill>
                    </w:rPr>
                  </w:pPr>
                  <w:r>
                    <w:rPr>
                      <w:color w:val="000000" w:themeColor="text1"/>
                      <w14:textFill>
                        <w14:solidFill>
                          <w14:schemeClr w14:val="tx1"/>
                        </w14:solidFill>
                      </w14:textFill>
                    </w:rPr>
                    <w:t>福清万鑫塑业有限公司</w:t>
                  </w:r>
                </w:p>
              </w:tc>
              <w:tc>
                <w:tcPr>
                  <w:tcW w:w="2970" w:type="dxa"/>
                  <w:vAlign w:val="center"/>
                </w:tcPr>
                <w:p w14:paraId="30D0F7EF">
                  <w:pPr>
                    <w:pStyle w:val="221"/>
                    <w:rPr>
                      <w:color w:val="000000" w:themeColor="text1"/>
                      <w14:textFill>
                        <w14:solidFill>
                          <w14:schemeClr w14:val="tx1"/>
                        </w14:solidFill>
                      </w14:textFill>
                    </w:rPr>
                  </w:pPr>
                  <w:r>
                    <w:rPr>
                      <w:color w:val="000000" w:themeColor="text1"/>
                      <w14:textFill>
                        <w14:solidFill>
                          <w14:schemeClr w14:val="tx1"/>
                        </w14:solidFill>
                      </w14:textFill>
                    </w:rPr>
                    <w:t>年产吹塑水马围挡25000个项目</w:t>
                  </w:r>
                </w:p>
              </w:tc>
              <w:tc>
                <w:tcPr>
                  <w:tcW w:w="1004" w:type="dxa"/>
                  <w:vAlign w:val="center"/>
                </w:tcPr>
                <w:p w14:paraId="760E7A1A">
                  <w:pPr>
                    <w:pStyle w:val="221"/>
                    <w:rPr>
                      <w:color w:val="000000" w:themeColor="text1"/>
                      <w14:textFill>
                        <w14:solidFill>
                          <w14:schemeClr w14:val="tx1"/>
                        </w14:solidFill>
                      </w14:textFill>
                    </w:rPr>
                  </w:pPr>
                  <w:r>
                    <w:rPr>
                      <w:color w:val="000000" w:themeColor="text1"/>
                      <w14:textFill>
                        <w14:solidFill>
                          <w14:schemeClr w14:val="tx1"/>
                        </w14:solidFill>
                      </w14:textFill>
                    </w:rPr>
                    <w:t>0.06254</w:t>
                  </w:r>
                </w:p>
              </w:tc>
            </w:tr>
            <w:tr w14:paraId="7A853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4BF4DDE8">
                  <w:pPr>
                    <w:pStyle w:val="221"/>
                    <w:rPr>
                      <w:color w:val="000000" w:themeColor="text1"/>
                      <w14:textFill>
                        <w14:solidFill>
                          <w14:schemeClr w14:val="tx1"/>
                        </w14:solidFill>
                      </w14:textFill>
                    </w:rPr>
                  </w:pPr>
                  <w:r>
                    <w:rPr>
                      <w:color w:val="000000" w:themeColor="text1"/>
                      <w14:textFill>
                        <w14:solidFill>
                          <w14:schemeClr w14:val="tx1"/>
                        </w14:solidFill>
                      </w14:textFill>
                    </w:rPr>
                    <w:t>福建石竹瑞力恒环保科技有限公司</w:t>
                  </w:r>
                </w:p>
              </w:tc>
              <w:tc>
                <w:tcPr>
                  <w:tcW w:w="2970" w:type="dxa"/>
                  <w:vAlign w:val="center"/>
                </w:tcPr>
                <w:p w14:paraId="340251D3">
                  <w:pPr>
                    <w:pStyle w:val="221"/>
                    <w:rPr>
                      <w:color w:val="000000" w:themeColor="text1"/>
                      <w14:textFill>
                        <w14:solidFill>
                          <w14:schemeClr w14:val="tx1"/>
                        </w14:solidFill>
                      </w14:textFill>
                    </w:rPr>
                  </w:pPr>
                  <w:r>
                    <w:rPr>
                      <w:color w:val="000000" w:themeColor="text1"/>
                      <w14:textFill>
                        <w14:solidFill>
                          <w14:schemeClr w14:val="tx1"/>
                        </w14:solidFill>
                      </w14:textFill>
                    </w:rPr>
                    <w:t>年产一次性可降解塑料背心袋等2500吨，全降解吸管、容器、食品包装袋等2300吨项目</w:t>
                  </w:r>
                </w:p>
              </w:tc>
              <w:tc>
                <w:tcPr>
                  <w:tcW w:w="1004" w:type="dxa"/>
                  <w:vAlign w:val="center"/>
                </w:tcPr>
                <w:p w14:paraId="4769F668">
                  <w:pPr>
                    <w:pStyle w:val="221"/>
                    <w:rPr>
                      <w:color w:val="000000" w:themeColor="text1"/>
                      <w14:textFill>
                        <w14:solidFill>
                          <w14:schemeClr w14:val="tx1"/>
                        </w14:solidFill>
                      </w14:textFill>
                    </w:rPr>
                  </w:pPr>
                  <w:r>
                    <w:rPr>
                      <w:color w:val="000000" w:themeColor="text1"/>
                      <w14:textFill>
                        <w14:solidFill>
                          <w14:schemeClr w14:val="tx1"/>
                        </w14:solidFill>
                      </w14:textFill>
                    </w:rPr>
                    <w:t>0.614</w:t>
                  </w:r>
                </w:p>
              </w:tc>
            </w:tr>
            <w:tr w14:paraId="66AC2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33623A2">
                  <w:pPr>
                    <w:pStyle w:val="221"/>
                    <w:rPr>
                      <w:color w:val="000000" w:themeColor="text1"/>
                      <w14:textFill>
                        <w14:solidFill>
                          <w14:schemeClr w14:val="tx1"/>
                        </w14:solidFill>
                      </w14:textFill>
                    </w:rPr>
                  </w:pPr>
                  <w:r>
                    <w:rPr>
                      <w:color w:val="000000" w:themeColor="text1"/>
                      <w14:textFill>
                        <w14:solidFill>
                          <w14:schemeClr w14:val="tx1"/>
                        </w14:solidFill>
                      </w14:textFill>
                    </w:rPr>
                    <w:t>福州市轻迈鞋业有限公司</w:t>
                  </w:r>
                </w:p>
              </w:tc>
              <w:tc>
                <w:tcPr>
                  <w:tcW w:w="2970" w:type="dxa"/>
                  <w:vAlign w:val="center"/>
                </w:tcPr>
                <w:p w14:paraId="706094FC">
                  <w:pPr>
                    <w:pStyle w:val="221"/>
                    <w:rPr>
                      <w:color w:val="000000" w:themeColor="text1"/>
                      <w14:textFill>
                        <w14:solidFill>
                          <w14:schemeClr w14:val="tx1"/>
                        </w14:solidFill>
                      </w14:textFill>
                    </w:rPr>
                  </w:pPr>
                  <w:r>
                    <w:rPr>
                      <w:color w:val="000000" w:themeColor="text1"/>
                      <w14:textFill>
                        <w14:solidFill>
                          <w14:schemeClr w14:val="tx1"/>
                        </w14:solidFill>
                      </w14:textFill>
                    </w:rPr>
                    <w:t>年产EVA拖鞋200万双项目</w:t>
                  </w:r>
                </w:p>
              </w:tc>
              <w:tc>
                <w:tcPr>
                  <w:tcW w:w="1004" w:type="dxa"/>
                  <w:vAlign w:val="center"/>
                </w:tcPr>
                <w:p w14:paraId="630AE050">
                  <w:pPr>
                    <w:pStyle w:val="221"/>
                    <w:rPr>
                      <w:color w:val="000000" w:themeColor="text1"/>
                      <w14:textFill>
                        <w14:solidFill>
                          <w14:schemeClr w14:val="tx1"/>
                        </w14:solidFill>
                      </w14:textFill>
                    </w:rPr>
                  </w:pPr>
                  <w:r>
                    <w:rPr>
                      <w:color w:val="000000" w:themeColor="text1"/>
                      <w14:textFill>
                        <w14:solidFill>
                          <w14:schemeClr w14:val="tx1"/>
                        </w14:solidFill>
                      </w14:textFill>
                    </w:rPr>
                    <w:t>0.087</w:t>
                  </w:r>
                </w:p>
              </w:tc>
            </w:tr>
            <w:tr w14:paraId="40762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2A77DE0">
                  <w:pPr>
                    <w:pStyle w:val="221"/>
                    <w:rPr>
                      <w:color w:val="000000" w:themeColor="text1"/>
                      <w14:textFill>
                        <w14:solidFill>
                          <w14:schemeClr w14:val="tx1"/>
                        </w14:solidFill>
                      </w14:textFill>
                    </w:rPr>
                  </w:pPr>
                  <w:r>
                    <w:rPr>
                      <w:color w:val="000000" w:themeColor="text1"/>
                      <w14:textFill>
                        <w14:solidFill>
                          <w14:schemeClr w14:val="tx1"/>
                        </w14:solidFill>
                      </w14:textFill>
                    </w:rPr>
                    <w:t>福州中科芯创机电有限公司</w:t>
                  </w:r>
                </w:p>
              </w:tc>
              <w:tc>
                <w:tcPr>
                  <w:tcW w:w="2970" w:type="dxa"/>
                  <w:vAlign w:val="center"/>
                </w:tcPr>
                <w:p w14:paraId="76A6C58A">
                  <w:pPr>
                    <w:pStyle w:val="221"/>
                    <w:rPr>
                      <w:color w:val="000000" w:themeColor="text1"/>
                      <w14:textFill>
                        <w14:solidFill>
                          <w14:schemeClr w14:val="tx1"/>
                        </w14:solidFill>
                      </w14:textFill>
                    </w:rPr>
                  </w:pPr>
                  <w:r>
                    <w:rPr>
                      <w:color w:val="000000" w:themeColor="text1"/>
                      <w14:textFill>
                        <w14:solidFill>
                          <w14:schemeClr w14:val="tx1"/>
                        </w14:solidFill>
                      </w14:textFill>
                    </w:rPr>
                    <w:t>年加工多功能合杆2500根项目</w:t>
                  </w:r>
                </w:p>
              </w:tc>
              <w:tc>
                <w:tcPr>
                  <w:tcW w:w="1004" w:type="dxa"/>
                  <w:vAlign w:val="center"/>
                </w:tcPr>
                <w:p w14:paraId="7DD02072">
                  <w:pPr>
                    <w:pStyle w:val="221"/>
                    <w:rPr>
                      <w:color w:val="000000" w:themeColor="text1"/>
                      <w14:textFill>
                        <w14:solidFill>
                          <w14:schemeClr w14:val="tx1"/>
                        </w14:solidFill>
                      </w14:textFill>
                    </w:rPr>
                  </w:pPr>
                  <w:r>
                    <w:rPr>
                      <w:color w:val="000000" w:themeColor="text1"/>
                      <w14:textFill>
                        <w14:solidFill>
                          <w14:schemeClr w14:val="tx1"/>
                        </w14:solidFill>
                      </w14:textFill>
                    </w:rPr>
                    <w:t>0.342</w:t>
                  </w:r>
                </w:p>
              </w:tc>
            </w:tr>
            <w:tr w14:paraId="6216A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0032052">
                  <w:pPr>
                    <w:pStyle w:val="221"/>
                    <w:rPr>
                      <w:color w:val="000000" w:themeColor="text1"/>
                      <w14:textFill>
                        <w14:solidFill>
                          <w14:schemeClr w14:val="tx1"/>
                        </w14:solidFill>
                      </w14:textFill>
                    </w:rPr>
                  </w:pPr>
                  <w:r>
                    <w:rPr>
                      <w:color w:val="000000" w:themeColor="text1"/>
                      <w14:textFill>
                        <w14:solidFill>
                          <w14:schemeClr w14:val="tx1"/>
                        </w14:solidFill>
                      </w14:textFill>
                    </w:rPr>
                    <w:t>福清泰吉塑胶有限公司</w:t>
                  </w:r>
                </w:p>
              </w:tc>
              <w:tc>
                <w:tcPr>
                  <w:tcW w:w="2970" w:type="dxa"/>
                  <w:vAlign w:val="center"/>
                </w:tcPr>
                <w:p w14:paraId="58D36A0A">
                  <w:pPr>
                    <w:pStyle w:val="221"/>
                    <w:rPr>
                      <w:color w:val="000000" w:themeColor="text1"/>
                      <w14:textFill>
                        <w14:solidFill>
                          <w14:schemeClr w14:val="tx1"/>
                        </w14:solidFill>
                      </w14:textFill>
                    </w:rPr>
                  </w:pPr>
                  <w:r>
                    <w:rPr>
                      <w:color w:val="000000" w:themeColor="text1"/>
                      <w14:textFill>
                        <w14:solidFill>
                          <w14:schemeClr w14:val="tx1"/>
                        </w14:solidFill>
                      </w14:textFill>
                    </w:rPr>
                    <w:t>年产ABS塑胶颗粒1000吨，PC-ABS塑胶颗粒1000吨项目</w:t>
                  </w:r>
                </w:p>
              </w:tc>
              <w:tc>
                <w:tcPr>
                  <w:tcW w:w="1004" w:type="dxa"/>
                  <w:vAlign w:val="center"/>
                </w:tcPr>
                <w:p w14:paraId="6634BF91">
                  <w:pPr>
                    <w:pStyle w:val="221"/>
                    <w:rPr>
                      <w:color w:val="000000" w:themeColor="text1"/>
                      <w14:textFill>
                        <w14:solidFill>
                          <w14:schemeClr w14:val="tx1"/>
                        </w14:solidFill>
                      </w14:textFill>
                    </w:rPr>
                  </w:pPr>
                  <w:r>
                    <w:rPr>
                      <w:color w:val="000000" w:themeColor="text1"/>
                      <w14:textFill>
                        <w14:solidFill>
                          <w14:schemeClr w14:val="tx1"/>
                        </w14:solidFill>
                      </w14:textFill>
                    </w:rPr>
                    <w:t>0.3604</w:t>
                  </w:r>
                </w:p>
              </w:tc>
            </w:tr>
            <w:tr w14:paraId="65DE0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9F1F7E9">
                  <w:pPr>
                    <w:pStyle w:val="221"/>
                    <w:rPr>
                      <w:color w:val="000000" w:themeColor="text1"/>
                      <w14:textFill>
                        <w14:solidFill>
                          <w14:schemeClr w14:val="tx1"/>
                        </w14:solidFill>
                      </w14:textFill>
                    </w:rPr>
                  </w:pPr>
                  <w:r>
                    <w:rPr>
                      <w:color w:val="000000" w:themeColor="text1"/>
                      <w14:textFill>
                        <w14:solidFill>
                          <w14:schemeClr w14:val="tx1"/>
                        </w14:solidFill>
                      </w14:textFill>
                    </w:rPr>
                    <w:t>福州森艺生态环境工程有限公司</w:t>
                  </w:r>
                </w:p>
              </w:tc>
              <w:tc>
                <w:tcPr>
                  <w:tcW w:w="2970" w:type="dxa"/>
                  <w:vAlign w:val="center"/>
                </w:tcPr>
                <w:p w14:paraId="25C15ED9">
                  <w:pPr>
                    <w:pStyle w:val="221"/>
                    <w:rPr>
                      <w:color w:val="000000" w:themeColor="text1"/>
                      <w14:textFill>
                        <w14:solidFill>
                          <w14:schemeClr w14:val="tx1"/>
                        </w14:solidFill>
                      </w14:textFill>
                    </w:rPr>
                  </w:pPr>
                  <w:r>
                    <w:rPr>
                      <w:color w:val="000000" w:themeColor="text1"/>
                      <w14:textFill>
                        <w14:solidFill>
                          <w14:schemeClr w14:val="tx1"/>
                        </w14:solidFill>
                      </w14:textFill>
                    </w:rPr>
                    <w:t>年产各类标本模型10万套项目</w:t>
                  </w:r>
                </w:p>
              </w:tc>
              <w:tc>
                <w:tcPr>
                  <w:tcW w:w="1004" w:type="dxa"/>
                  <w:vAlign w:val="center"/>
                </w:tcPr>
                <w:p w14:paraId="1E9528D0">
                  <w:pPr>
                    <w:pStyle w:val="221"/>
                    <w:rPr>
                      <w:color w:val="000000" w:themeColor="text1"/>
                      <w14:textFill>
                        <w14:solidFill>
                          <w14:schemeClr w14:val="tx1"/>
                        </w14:solidFill>
                      </w14:textFill>
                    </w:rPr>
                  </w:pPr>
                  <w:r>
                    <w:rPr>
                      <w:color w:val="000000" w:themeColor="text1"/>
                      <w14:textFill>
                        <w14:solidFill>
                          <w14:schemeClr w14:val="tx1"/>
                        </w14:solidFill>
                      </w14:textFill>
                    </w:rPr>
                    <w:t>0.218</w:t>
                  </w:r>
                </w:p>
              </w:tc>
            </w:tr>
            <w:tr w14:paraId="4588C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E63BB41">
                  <w:pPr>
                    <w:pStyle w:val="221"/>
                    <w:rPr>
                      <w:color w:val="000000" w:themeColor="text1"/>
                      <w14:textFill>
                        <w14:solidFill>
                          <w14:schemeClr w14:val="tx1"/>
                        </w14:solidFill>
                      </w14:textFill>
                    </w:rPr>
                  </w:pPr>
                  <w:r>
                    <w:rPr>
                      <w:color w:val="000000" w:themeColor="text1"/>
                      <w14:textFill>
                        <w14:solidFill>
                          <w14:schemeClr w14:val="tx1"/>
                        </w14:solidFill>
                      </w14:textFill>
                    </w:rPr>
                    <w:t>福建兴弘业塑料制品有限公司</w:t>
                  </w:r>
                </w:p>
              </w:tc>
              <w:tc>
                <w:tcPr>
                  <w:tcW w:w="2970" w:type="dxa"/>
                  <w:vAlign w:val="center"/>
                </w:tcPr>
                <w:p w14:paraId="16F3B6B7">
                  <w:pPr>
                    <w:pStyle w:val="221"/>
                    <w:rPr>
                      <w:color w:val="000000" w:themeColor="text1"/>
                      <w14:textFill>
                        <w14:solidFill>
                          <w14:schemeClr w14:val="tx1"/>
                        </w14:solidFill>
                      </w14:textFill>
                    </w:rPr>
                  </w:pPr>
                  <w:r>
                    <w:rPr>
                      <w:color w:val="000000" w:themeColor="text1"/>
                      <w14:textFill>
                        <w14:solidFill>
                          <w14:schemeClr w14:val="tx1"/>
                        </w14:solidFill>
                      </w14:textFill>
                    </w:rPr>
                    <w:t>年产塑料桶40万个项目</w:t>
                  </w:r>
                </w:p>
              </w:tc>
              <w:tc>
                <w:tcPr>
                  <w:tcW w:w="1004" w:type="dxa"/>
                  <w:vAlign w:val="center"/>
                </w:tcPr>
                <w:p w14:paraId="392D8219">
                  <w:pPr>
                    <w:pStyle w:val="221"/>
                    <w:rPr>
                      <w:color w:val="000000" w:themeColor="text1"/>
                      <w14:textFill>
                        <w14:solidFill>
                          <w14:schemeClr w14:val="tx1"/>
                        </w14:solidFill>
                      </w14:textFill>
                    </w:rPr>
                  </w:pPr>
                  <w:r>
                    <w:rPr>
                      <w:color w:val="000000" w:themeColor="text1"/>
                      <w14:textFill>
                        <w14:solidFill>
                          <w14:schemeClr w14:val="tx1"/>
                        </w14:solidFill>
                      </w14:textFill>
                    </w:rPr>
                    <w:t>0.0224</w:t>
                  </w:r>
                </w:p>
              </w:tc>
            </w:tr>
            <w:tr w14:paraId="79D6C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E5DD8A2">
                  <w:pPr>
                    <w:pStyle w:val="221"/>
                    <w:rPr>
                      <w:color w:val="000000" w:themeColor="text1"/>
                      <w14:textFill>
                        <w14:solidFill>
                          <w14:schemeClr w14:val="tx1"/>
                        </w14:solidFill>
                      </w14:textFill>
                    </w:rPr>
                  </w:pPr>
                  <w:r>
                    <w:rPr>
                      <w:color w:val="000000" w:themeColor="text1"/>
                      <w14:textFill>
                        <w14:solidFill>
                          <w14:schemeClr w14:val="tx1"/>
                        </w14:solidFill>
                      </w14:textFill>
                    </w:rPr>
                    <w:t>福州恒升塑胶有限公司</w:t>
                  </w:r>
                </w:p>
              </w:tc>
              <w:tc>
                <w:tcPr>
                  <w:tcW w:w="2970" w:type="dxa"/>
                  <w:vAlign w:val="center"/>
                </w:tcPr>
                <w:p w14:paraId="60C582C1">
                  <w:pPr>
                    <w:pStyle w:val="221"/>
                    <w:rPr>
                      <w:color w:val="000000" w:themeColor="text1"/>
                      <w14:textFill>
                        <w14:solidFill>
                          <w14:schemeClr w14:val="tx1"/>
                        </w14:solidFill>
                      </w14:textFill>
                    </w:rPr>
                  </w:pPr>
                  <w:r>
                    <w:rPr>
                      <w:color w:val="000000" w:themeColor="text1"/>
                      <w14:textFill>
                        <w14:solidFill>
                          <w14:schemeClr w14:val="tx1"/>
                        </w14:solidFill>
                      </w14:textFill>
                    </w:rPr>
                    <w:t>年产塑料盒1200万个项目</w:t>
                  </w:r>
                </w:p>
              </w:tc>
              <w:tc>
                <w:tcPr>
                  <w:tcW w:w="1004" w:type="dxa"/>
                  <w:vAlign w:val="center"/>
                </w:tcPr>
                <w:p w14:paraId="77E87C68">
                  <w:pPr>
                    <w:pStyle w:val="221"/>
                    <w:rPr>
                      <w:color w:val="000000" w:themeColor="text1"/>
                      <w14:textFill>
                        <w14:solidFill>
                          <w14:schemeClr w14:val="tx1"/>
                        </w14:solidFill>
                      </w14:textFill>
                    </w:rPr>
                  </w:pPr>
                  <w:r>
                    <w:rPr>
                      <w:color w:val="000000" w:themeColor="text1"/>
                      <w14:textFill>
                        <w14:solidFill>
                          <w14:schemeClr w14:val="tx1"/>
                        </w14:solidFill>
                      </w14:textFill>
                    </w:rPr>
                    <w:t>0.1382</w:t>
                  </w:r>
                </w:p>
              </w:tc>
            </w:tr>
            <w:tr w14:paraId="4D85CE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Merge w:val="restart"/>
                  <w:vAlign w:val="center"/>
                </w:tcPr>
                <w:p w14:paraId="7DAB841C">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Merge w:val="restart"/>
                  <w:vAlign w:val="center"/>
                </w:tcPr>
                <w:p w14:paraId="402CEE60">
                  <w:pPr>
                    <w:pStyle w:val="221"/>
                    <w:rPr>
                      <w:color w:val="000000" w:themeColor="text1"/>
                      <w14:textFill>
                        <w14:solidFill>
                          <w14:schemeClr w14:val="tx1"/>
                        </w14:solidFill>
                      </w14:textFill>
                    </w:rPr>
                  </w:pPr>
                  <w:r>
                    <w:rPr>
                      <w:color w:val="000000" w:themeColor="text1"/>
                      <w14:textFill>
                        <w14:solidFill>
                          <w14:schemeClr w14:val="tx1"/>
                        </w14:solidFill>
                      </w14:textFill>
                    </w:rPr>
                    <w:t>现有工程及循环经济扁锭生产线项目（其中取消涂层项目建设）</w:t>
                  </w:r>
                </w:p>
              </w:tc>
              <w:tc>
                <w:tcPr>
                  <w:tcW w:w="1004" w:type="dxa"/>
                  <w:vAlign w:val="center"/>
                </w:tcPr>
                <w:p w14:paraId="115EED38">
                  <w:pPr>
                    <w:pStyle w:val="221"/>
                    <w:rPr>
                      <w:color w:val="000000" w:themeColor="text1"/>
                      <w14:textFill>
                        <w14:solidFill>
                          <w14:schemeClr w14:val="tx1"/>
                        </w14:solidFill>
                      </w14:textFill>
                    </w:rPr>
                  </w:pPr>
                  <w:r>
                    <w:rPr>
                      <w:color w:val="000000" w:themeColor="text1"/>
                      <w14:textFill>
                        <w14:solidFill>
                          <w14:schemeClr w14:val="tx1"/>
                        </w14:solidFill>
                      </w14:textFill>
                    </w:rPr>
                    <w:t>60.126</w:t>
                  </w:r>
                </w:p>
              </w:tc>
            </w:tr>
            <w:tr w14:paraId="764D3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Merge w:val="continue"/>
                  <w:vAlign w:val="center"/>
                </w:tcPr>
                <w:p w14:paraId="13E3A739">
                  <w:pPr>
                    <w:pStyle w:val="221"/>
                    <w:rPr>
                      <w:color w:val="000000" w:themeColor="text1"/>
                      <w14:textFill>
                        <w14:solidFill>
                          <w14:schemeClr w14:val="tx1"/>
                        </w14:solidFill>
                      </w14:textFill>
                    </w:rPr>
                  </w:pPr>
                </w:p>
              </w:tc>
              <w:tc>
                <w:tcPr>
                  <w:tcW w:w="2970" w:type="dxa"/>
                  <w:vMerge w:val="continue"/>
                  <w:vAlign w:val="center"/>
                </w:tcPr>
                <w:p w14:paraId="0FDF6716">
                  <w:pPr>
                    <w:pStyle w:val="221"/>
                    <w:rPr>
                      <w:color w:val="000000" w:themeColor="text1"/>
                      <w14:textFill>
                        <w14:solidFill>
                          <w14:schemeClr w14:val="tx1"/>
                        </w14:solidFill>
                      </w14:textFill>
                    </w:rPr>
                  </w:pPr>
                </w:p>
              </w:tc>
              <w:tc>
                <w:tcPr>
                  <w:tcW w:w="1004" w:type="dxa"/>
                  <w:vAlign w:val="center"/>
                </w:tcPr>
                <w:p w14:paraId="2064CAFF">
                  <w:pPr>
                    <w:pStyle w:val="221"/>
                    <w:rPr>
                      <w:color w:val="000000" w:themeColor="text1"/>
                      <w14:textFill>
                        <w14:solidFill>
                          <w14:schemeClr w14:val="tx1"/>
                        </w14:solidFill>
                      </w14:textFill>
                    </w:rPr>
                  </w:pPr>
                  <w:r>
                    <w:rPr>
                      <w:color w:val="000000" w:themeColor="text1"/>
                      <w14:textFill>
                        <w14:solidFill>
                          <w14:schemeClr w14:val="tx1"/>
                        </w14:solidFill>
                      </w14:textFill>
                    </w:rPr>
                    <w:t>-57.71</w:t>
                  </w:r>
                </w:p>
              </w:tc>
            </w:tr>
            <w:tr w14:paraId="779F5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32967C5">
                  <w:pPr>
                    <w:pStyle w:val="221"/>
                    <w:rPr>
                      <w:color w:val="000000" w:themeColor="text1"/>
                      <w14:textFill>
                        <w14:solidFill>
                          <w14:schemeClr w14:val="tx1"/>
                        </w14:solidFill>
                      </w14:textFill>
                    </w:rPr>
                  </w:pPr>
                  <w:r>
                    <w:rPr>
                      <w:color w:val="000000" w:themeColor="text1"/>
                      <w14:textFill>
                        <w14:solidFill>
                          <w14:schemeClr w14:val="tx1"/>
                        </w14:solidFill>
                      </w14:textFill>
                    </w:rPr>
                    <w:t>福建北辰星科技有限公司</w:t>
                  </w:r>
                </w:p>
              </w:tc>
              <w:tc>
                <w:tcPr>
                  <w:tcW w:w="2970" w:type="dxa"/>
                  <w:vAlign w:val="center"/>
                </w:tcPr>
                <w:p w14:paraId="3346BF84">
                  <w:pPr>
                    <w:pStyle w:val="221"/>
                    <w:rPr>
                      <w:color w:val="000000" w:themeColor="text1"/>
                      <w14:textFill>
                        <w14:solidFill>
                          <w14:schemeClr w14:val="tx1"/>
                        </w14:solidFill>
                      </w14:textFill>
                    </w:rPr>
                  </w:pPr>
                  <w:r>
                    <w:rPr>
                      <w:color w:val="000000" w:themeColor="text1"/>
                      <w14:textFill>
                        <w14:solidFill>
                          <w14:schemeClr w14:val="tx1"/>
                        </w14:solidFill>
                      </w14:textFill>
                    </w:rPr>
                    <w:t>年组装制冷设备1200套项目</w:t>
                  </w:r>
                </w:p>
              </w:tc>
              <w:tc>
                <w:tcPr>
                  <w:tcW w:w="1004" w:type="dxa"/>
                  <w:vAlign w:val="center"/>
                </w:tcPr>
                <w:p w14:paraId="7DD84799">
                  <w:pPr>
                    <w:pStyle w:val="221"/>
                    <w:rPr>
                      <w:color w:val="000000" w:themeColor="text1"/>
                      <w14:textFill>
                        <w14:solidFill>
                          <w14:schemeClr w14:val="tx1"/>
                        </w14:solidFill>
                      </w14:textFill>
                    </w:rPr>
                  </w:pPr>
                  <w:r>
                    <w:rPr>
                      <w:color w:val="000000" w:themeColor="text1"/>
                      <w14:textFill>
                        <w14:solidFill>
                          <w14:schemeClr w14:val="tx1"/>
                        </w14:solidFill>
                      </w14:textFill>
                    </w:rPr>
                    <w:t>0.106</w:t>
                  </w:r>
                </w:p>
              </w:tc>
            </w:tr>
            <w:tr w14:paraId="502B2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7F4010C">
                  <w:pPr>
                    <w:pStyle w:val="221"/>
                    <w:rPr>
                      <w:color w:val="000000" w:themeColor="text1"/>
                      <w14:textFill>
                        <w14:solidFill>
                          <w14:schemeClr w14:val="tx1"/>
                        </w14:solidFill>
                      </w14:textFill>
                    </w:rPr>
                  </w:pPr>
                  <w:r>
                    <w:rPr>
                      <w:color w:val="000000" w:themeColor="text1"/>
                      <w14:textFill>
                        <w14:solidFill>
                          <w14:schemeClr w14:val="tx1"/>
                        </w14:solidFill>
                      </w14:textFill>
                    </w:rPr>
                    <w:t>福清蓝谷丰月塑胶制品有限公司</w:t>
                  </w:r>
                </w:p>
              </w:tc>
              <w:tc>
                <w:tcPr>
                  <w:tcW w:w="2970" w:type="dxa"/>
                  <w:vAlign w:val="center"/>
                </w:tcPr>
                <w:p w14:paraId="1D41665D">
                  <w:pPr>
                    <w:pStyle w:val="221"/>
                    <w:rPr>
                      <w:color w:val="000000" w:themeColor="text1"/>
                      <w14:textFill>
                        <w14:solidFill>
                          <w14:schemeClr w14:val="tx1"/>
                        </w14:solidFill>
                      </w14:textFill>
                    </w:rPr>
                  </w:pPr>
                  <w:r>
                    <w:rPr>
                      <w:color w:val="000000" w:themeColor="text1"/>
                      <w14:textFill>
                        <w14:solidFill>
                          <w14:schemeClr w14:val="tx1"/>
                        </w14:solidFill>
                      </w14:textFill>
                    </w:rPr>
                    <w:t>年加工PE塑料颗粒3000吨</w:t>
                  </w:r>
                </w:p>
              </w:tc>
              <w:tc>
                <w:tcPr>
                  <w:tcW w:w="1004" w:type="dxa"/>
                  <w:vAlign w:val="center"/>
                </w:tcPr>
                <w:p w14:paraId="0EE59E63">
                  <w:pPr>
                    <w:pStyle w:val="221"/>
                    <w:rPr>
                      <w:color w:val="000000" w:themeColor="text1"/>
                      <w14:textFill>
                        <w14:solidFill>
                          <w14:schemeClr w14:val="tx1"/>
                        </w14:solidFill>
                      </w14:textFill>
                    </w:rPr>
                  </w:pPr>
                  <w:r>
                    <w:rPr>
                      <w:color w:val="000000" w:themeColor="text1"/>
                      <w14:textFill>
                        <w14:solidFill>
                          <w14:schemeClr w14:val="tx1"/>
                        </w14:solidFill>
                      </w14:textFill>
                    </w:rPr>
                    <w:t>0.553</w:t>
                  </w:r>
                </w:p>
              </w:tc>
            </w:tr>
            <w:tr w14:paraId="53B72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BCEDFDB">
                  <w:pPr>
                    <w:pStyle w:val="221"/>
                    <w:rPr>
                      <w:color w:val="000000" w:themeColor="text1"/>
                      <w14:textFill>
                        <w14:solidFill>
                          <w14:schemeClr w14:val="tx1"/>
                        </w14:solidFill>
                      </w14:textFill>
                    </w:rPr>
                  </w:pPr>
                  <w:r>
                    <w:rPr>
                      <w:color w:val="000000" w:themeColor="text1"/>
                      <w14:textFill>
                        <w14:solidFill>
                          <w14:schemeClr w14:val="tx1"/>
                        </w14:solidFill>
                      </w14:textFill>
                    </w:rPr>
                    <w:t>福建省恭源塑胶制品有限公司</w:t>
                  </w:r>
                </w:p>
              </w:tc>
              <w:tc>
                <w:tcPr>
                  <w:tcW w:w="2970" w:type="dxa"/>
                  <w:vAlign w:val="center"/>
                </w:tcPr>
                <w:p w14:paraId="4871ED09">
                  <w:pPr>
                    <w:pStyle w:val="221"/>
                    <w:rPr>
                      <w:color w:val="000000" w:themeColor="text1"/>
                      <w14:textFill>
                        <w14:solidFill>
                          <w14:schemeClr w14:val="tx1"/>
                        </w14:solidFill>
                      </w14:textFill>
                    </w:rPr>
                  </w:pPr>
                  <w:r>
                    <w:rPr>
                      <w:color w:val="000000" w:themeColor="text1"/>
                      <w14:textFill>
                        <w14:solidFill>
                          <w14:schemeClr w14:val="tx1"/>
                        </w14:solidFill>
                      </w14:textFill>
                    </w:rPr>
                    <w:t>年产聚乙烯包装袋2000吨项目</w:t>
                  </w:r>
                </w:p>
              </w:tc>
              <w:tc>
                <w:tcPr>
                  <w:tcW w:w="1004" w:type="dxa"/>
                  <w:vAlign w:val="center"/>
                </w:tcPr>
                <w:p w14:paraId="4A18887A">
                  <w:pPr>
                    <w:pStyle w:val="221"/>
                    <w:rPr>
                      <w:color w:val="000000" w:themeColor="text1"/>
                      <w14:textFill>
                        <w14:solidFill>
                          <w14:schemeClr w14:val="tx1"/>
                        </w14:solidFill>
                      </w14:textFill>
                    </w:rPr>
                  </w:pPr>
                  <w:r>
                    <w:rPr>
                      <w:color w:val="000000" w:themeColor="text1"/>
                      <w14:textFill>
                        <w14:solidFill>
                          <w14:schemeClr w14:val="tx1"/>
                        </w14:solidFill>
                      </w14:textFill>
                    </w:rPr>
                    <w:t>1.5392</w:t>
                  </w:r>
                </w:p>
              </w:tc>
            </w:tr>
            <w:tr w14:paraId="5B20F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5826FF6">
                  <w:pPr>
                    <w:pStyle w:val="221"/>
                    <w:rPr>
                      <w:color w:val="000000" w:themeColor="text1"/>
                      <w14:textFill>
                        <w14:solidFill>
                          <w14:schemeClr w14:val="tx1"/>
                        </w14:solidFill>
                      </w14:textFill>
                    </w:rPr>
                  </w:pPr>
                  <w:r>
                    <w:rPr>
                      <w:color w:val="000000" w:themeColor="text1"/>
                      <w14:textFill>
                        <w14:solidFill>
                          <w14:schemeClr w14:val="tx1"/>
                        </w14:solidFill>
                      </w14:textFill>
                    </w:rPr>
                    <w:t>福建省万德木艺有限公司</w:t>
                  </w:r>
                </w:p>
              </w:tc>
              <w:tc>
                <w:tcPr>
                  <w:tcW w:w="2970" w:type="dxa"/>
                  <w:vAlign w:val="center"/>
                </w:tcPr>
                <w:p w14:paraId="1165C5DA">
                  <w:pPr>
                    <w:pStyle w:val="221"/>
                    <w:rPr>
                      <w:color w:val="000000" w:themeColor="text1"/>
                      <w14:textFill>
                        <w14:solidFill>
                          <w14:schemeClr w14:val="tx1"/>
                        </w14:solidFill>
                      </w14:textFill>
                    </w:rPr>
                  </w:pPr>
                  <w:r>
                    <w:rPr>
                      <w:color w:val="000000" w:themeColor="text1"/>
                      <w14:textFill>
                        <w14:solidFill>
                          <w14:schemeClr w14:val="tx1"/>
                        </w14:solidFill>
                      </w14:textFill>
                    </w:rPr>
                    <w:t>年加工红木家具1000套</w:t>
                  </w:r>
                </w:p>
              </w:tc>
              <w:tc>
                <w:tcPr>
                  <w:tcW w:w="1004" w:type="dxa"/>
                  <w:vAlign w:val="center"/>
                </w:tcPr>
                <w:p w14:paraId="14CB7029">
                  <w:pPr>
                    <w:pStyle w:val="221"/>
                    <w:rPr>
                      <w:color w:val="000000" w:themeColor="text1"/>
                      <w14:textFill>
                        <w14:solidFill>
                          <w14:schemeClr w14:val="tx1"/>
                        </w14:solidFill>
                      </w14:textFill>
                    </w:rPr>
                  </w:pPr>
                  <w:r>
                    <w:rPr>
                      <w:color w:val="000000" w:themeColor="text1"/>
                      <w14:textFill>
                        <w14:solidFill>
                          <w14:schemeClr w14:val="tx1"/>
                        </w14:solidFill>
                      </w14:textFill>
                    </w:rPr>
                    <w:t>0.183</w:t>
                  </w:r>
                </w:p>
              </w:tc>
            </w:tr>
            <w:tr w14:paraId="62FE7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4674EB6">
                  <w:pPr>
                    <w:pStyle w:val="221"/>
                    <w:rPr>
                      <w:color w:val="000000" w:themeColor="text1"/>
                      <w14:textFill>
                        <w14:solidFill>
                          <w14:schemeClr w14:val="tx1"/>
                        </w14:solidFill>
                      </w14:textFill>
                    </w:rPr>
                  </w:pPr>
                  <w:r>
                    <w:rPr>
                      <w:color w:val="000000" w:themeColor="text1"/>
                      <w14:textFill>
                        <w14:solidFill>
                          <w14:schemeClr w14:val="tx1"/>
                        </w14:solidFill>
                      </w14:textFill>
                    </w:rPr>
                    <w:t>福清市锦泓工贸有限公司</w:t>
                  </w:r>
                </w:p>
              </w:tc>
              <w:tc>
                <w:tcPr>
                  <w:tcW w:w="2970" w:type="dxa"/>
                  <w:vAlign w:val="center"/>
                </w:tcPr>
                <w:p w14:paraId="737A6DB3">
                  <w:pPr>
                    <w:pStyle w:val="221"/>
                    <w:rPr>
                      <w:color w:val="000000" w:themeColor="text1"/>
                      <w14:textFill>
                        <w14:solidFill>
                          <w14:schemeClr w14:val="tx1"/>
                        </w14:solidFill>
                      </w14:textFill>
                    </w:rPr>
                  </w:pPr>
                  <w:r>
                    <w:rPr>
                      <w:color w:val="000000" w:themeColor="text1"/>
                      <w14:textFill>
                        <w14:solidFill>
                          <w14:schemeClr w14:val="tx1"/>
                        </w14:solidFill>
                      </w14:textFill>
                    </w:rPr>
                    <w:t>年加工光伏支架35万套</w:t>
                  </w:r>
                </w:p>
              </w:tc>
              <w:tc>
                <w:tcPr>
                  <w:tcW w:w="1004" w:type="dxa"/>
                  <w:vAlign w:val="center"/>
                </w:tcPr>
                <w:p w14:paraId="3B7FDD2E">
                  <w:pPr>
                    <w:pStyle w:val="221"/>
                    <w:rPr>
                      <w:color w:val="000000" w:themeColor="text1"/>
                      <w14:textFill>
                        <w14:solidFill>
                          <w14:schemeClr w14:val="tx1"/>
                        </w14:solidFill>
                      </w14:textFill>
                    </w:rPr>
                  </w:pPr>
                  <w:r>
                    <w:rPr>
                      <w:color w:val="000000" w:themeColor="text1"/>
                      <w14:textFill>
                        <w14:solidFill>
                          <w14:schemeClr w14:val="tx1"/>
                        </w14:solidFill>
                      </w14:textFill>
                    </w:rPr>
                    <w:t>0.0595</w:t>
                  </w:r>
                </w:p>
              </w:tc>
            </w:tr>
            <w:tr w14:paraId="70912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A747158">
                  <w:pPr>
                    <w:pStyle w:val="221"/>
                    <w:rPr>
                      <w:color w:val="000000" w:themeColor="text1"/>
                      <w14:textFill>
                        <w14:solidFill>
                          <w14:schemeClr w14:val="tx1"/>
                        </w14:solidFill>
                      </w14:textFill>
                    </w:rPr>
                  </w:pPr>
                  <w:r>
                    <w:rPr>
                      <w:color w:val="000000" w:themeColor="text1"/>
                      <w14:textFill>
                        <w14:solidFill>
                          <w14:schemeClr w14:val="tx1"/>
                        </w14:solidFill>
                      </w14:textFill>
                    </w:rPr>
                    <w:t>福清市捷盛新材料科技有限公司</w:t>
                  </w:r>
                </w:p>
              </w:tc>
              <w:tc>
                <w:tcPr>
                  <w:tcW w:w="2970" w:type="dxa"/>
                  <w:vAlign w:val="center"/>
                </w:tcPr>
                <w:p w14:paraId="5E5626B6">
                  <w:pPr>
                    <w:pStyle w:val="221"/>
                    <w:rPr>
                      <w:color w:val="000000" w:themeColor="text1"/>
                      <w14:textFill>
                        <w14:solidFill>
                          <w14:schemeClr w14:val="tx1"/>
                        </w14:solidFill>
                      </w14:textFill>
                    </w:rPr>
                  </w:pPr>
                  <w:r>
                    <w:rPr>
                      <w:color w:val="000000" w:themeColor="text1"/>
                      <w14:textFill>
                        <w14:solidFill>
                          <w14:schemeClr w14:val="tx1"/>
                        </w14:solidFill>
                      </w14:textFill>
                    </w:rPr>
                    <w:t>福清市捷盛新材料科技有限公司年产改性塑料颗粒5000吨</w:t>
                  </w:r>
                </w:p>
              </w:tc>
              <w:tc>
                <w:tcPr>
                  <w:tcW w:w="1004" w:type="dxa"/>
                  <w:vAlign w:val="center"/>
                </w:tcPr>
                <w:p w14:paraId="78E012B9">
                  <w:pPr>
                    <w:pStyle w:val="221"/>
                    <w:rPr>
                      <w:color w:val="000000" w:themeColor="text1"/>
                      <w14:textFill>
                        <w14:solidFill>
                          <w14:schemeClr w14:val="tx1"/>
                        </w14:solidFill>
                      </w14:textFill>
                    </w:rPr>
                  </w:pPr>
                  <w:r>
                    <w:rPr>
                      <w:color w:val="000000" w:themeColor="text1"/>
                      <w14:textFill>
                        <w14:solidFill>
                          <w14:schemeClr w14:val="tx1"/>
                        </w14:solidFill>
                      </w14:textFill>
                    </w:rPr>
                    <w:t>3.3956</w:t>
                  </w:r>
                </w:p>
              </w:tc>
            </w:tr>
            <w:tr w14:paraId="5A971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ABAD747">
                  <w:pPr>
                    <w:pStyle w:val="221"/>
                    <w:rPr>
                      <w:color w:val="000000" w:themeColor="text1"/>
                      <w14:textFill>
                        <w14:solidFill>
                          <w14:schemeClr w14:val="tx1"/>
                        </w14:solidFill>
                      </w14:textFill>
                    </w:rPr>
                  </w:pPr>
                  <w:r>
                    <w:rPr>
                      <w:color w:val="000000" w:themeColor="text1"/>
                      <w14:textFill>
                        <w14:solidFill>
                          <w14:schemeClr w14:val="tx1"/>
                        </w14:solidFill>
                      </w14:textFill>
                    </w:rPr>
                    <w:t>福州鑫时尚家纺有限公司</w:t>
                  </w:r>
                </w:p>
              </w:tc>
              <w:tc>
                <w:tcPr>
                  <w:tcW w:w="2970" w:type="dxa"/>
                  <w:vAlign w:val="center"/>
                </w:tcPr>
                <w:p w14:paraId="7585026D">
                  <w:pPr>
                    <w:pStyle w:val="221"/>
                    <w:rPr>
                      <w:color w:val="000000" w:themeColor="text1"/>
                      <w14:textFill>
                        <w14:solidFill>
                          <w14:schemeClr w14:val="tx1"/>
                        </w14:solidFill>
                      </w14:textFill>
                    </w:rPr>
                  </w:pPr>
                  <w:r>
                    <w:rPr>
                      <w:color w:val="000000" w:themeColor="text1"/>
                      <w14:textFill>
                        <w14:solidFill>
                          <w14:schemeClr w14:val="tx1"/>
                        </w14:solidFill>
                      </w14:textFill>
                    </w:rPr>
                    <w:t>福州鑫时尚家纺有限公司年加工棉被22000套</w:t>
                  </w:r>
                </w:p>
              </w:tc>
              <w:tc>
                <w:tcPr>
                  <w:tcW w:w="1004" w:type="dxa"/>
                  <w:vAlign w:val="center"/>
                </w:tcPr>
                <w:p w14:paraId="74E26043">
                  <w:pPr>
                    <w:pStyle w:val="221"/>
                    <w:rPr>
                      <w:color w:val="000000" w:themeColor="text1"/>
                      <w14:textFill>
                        <w14:solidFill>
                          <w14:schemeClr w14:val="tx1"/>
                        </w14:solidFill>
                      </w14:textFill>
                    </w:rPr>
                  </w:pPr>
                  <w:r>
                    <w:rPr>
                      <w:color w:val="000000" w:themeColor="text1"/>
                      <w14:textFill>
                        <w14:solidFill>
                          <w14:schemeClr w14:val="tx1"/>
                        </w14:solidFill>
                      </w14:textFill>
                    </w:rPr>
                    <w:t>0.00035</w:t>
                  </w:r>
                </w:p>
              </w:tc>
            </w:tr>
            <w:tr w14:paraId="1DCEC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8ADBDE3">
                  <w:pPr>
                    <w:pStyle w:val="221"/>
                    <w:rPr>
                      <w:color w:val="000000" w:themeColor="text1"/>
                      <w14:textFill>
                        <w14:solidFill>
                          <w14:schemeClr w14:val="tx1"/>
                        </w14:solidFill>
                      </w14:textFill>
                    </w:rPr>
                  </w:pPr>
                  <w:r>
                    <w:rPr>
                      <w:color w:val="000000" w:themeColor="text1"/>
                      <w14:textFill>
                        <w14:solidFill>
                          <w14:schemeClr w14:val="tx1"/>
                        </w14:solidFill>
                      </w14:textFill>
                    </w:rPr>
                    <w:t>福建省鑫海盛水产养殖有限公司</w:t>
                  </w:r>
                </w:p>
              </w:tc>
              <w:tc>
                <w:tcPr>
                  <w:tcW w:w="2970" w:type="dxa"/>
                  <w:vAlign w:val="center"/>
                </w:tcPr>
                <w:p w14:paraId="4A38C47B">
                  <w:pPr>
                    <w:pStyle w:val="221"/>
                    <w:rPr>
                      <w:color w:val="000000" w:themeColor="text1"/>
                      <w14:textFill>
                        <w14:solidFill>
                          <w14:schemeClr w14:val="tx1"/>
                        </w14:solidFill>
                      </w14:textFill>
                    </w:rPr>
                  </w:pPr>
                  <w:r>
                    <w:rPr>
                      <w:color w:val="000000" w:themeColor="text1"/>
                      <w14:textFill>
                        <w14:solidFill>
                          <w14:schemeClr w14:val="tx1"/>
                        </w14:solidFill>
                      </w14:textFill>
                    </w:rPr>
                    <w:t>年加工珍珠棉1000吨项目</w:t>
                  </w:r>
                </w:p>
              </w:tc>
              <w:tc>
                <w:tcPr>
                  <w:tcW w:w="1004" w:type="dxa"/>
                  <w:vAlign w:val="center"/>
                </w:tcPr>
                <w:p w14:paraId="61A9366F">
                  <w:pPr>
                    <w:pStyle w:val="221"/>
                    <w:rPr>
                      <w:color w:val="000000" w:themeColor="text1"/>
                      <w14:textFill>
                        <w14:solidFill>
                          <w14:schemeClr w14:val="tx1"/>
                        </w14:solidFill>
                      </w14:textFill>
                    </w:rPr>
                  </w:pPr>
                  <w:r>
                    <w:rPr>
                      <w:color w:val="000000" w:themeColor="text1"/>
                      <w14:textFill>
                        <w14:solidFill>
                          <w14:schemeClr w14:val="tx1"/>
                        </w14:solidFill>
                      </w14:textFill>
                    </w:rPr>
                    <w:t>0.54</w:t>
                  </w:r>
                </w:p>
              </w:tc>
            </w:tr>
            <w:tr w14:paraId="0E59B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389C066">
                  <w:pPr>
                    <w:pStyle w:val="221"/>
                    <w:rPr>
                      <w:color w:val="000000" w:themeColor="text1"/>
                      <w14:textFill>
                        <w14:solidFill>
                          <w14:schemeClr w14:val="tx1"/>
                        </w14:solidFill>
                      </w14:textFill>
                    </w:rPr>
                  </w:pPr>
                  <w:r>
                    <w:rPr>
                      <w:color w:val="000000" w:themeColor="text1"/>
                      <w14:textFill>
                        <w14:solidFill>
                          <w14:schemeClr w14:val="tx1"/>
                        </w14:solidFill>
                      </w14:textFill>
                    </w:rPr>
                    <w:t>福建省小树林环保科技有限公司</w:t>
                  </w:r>
                </w:p>
              </w:tc>
              <w:tc>
                <w:tcPr>
                  <w:tcW w:w="2970" w:type="dxa"/>
                  <w:vAlign w:val="center"/>
                </w:tcPr>
                <w:p w14:paraId="0B527069">
                  <w:pPr>
                    <w:pStyle w:val="221"/>
                    <w:rPr>
                      <w:color w:val="000000" w:themeColor="text1"/>
                      <w14:textFill>
                        <w14:solidFill>
                          <w14:schemeClr w14:val="tx1"/>
                        </w14:solidFill>
                      </w14:textFill>
                    </w:rPr>
                  </w:pPr>
                  <w:r>
                    <w:rPr>
                      <w:color w:val="000000" w:themeColor="text1"/>
                      <w14:textFill>
                        <w14:solidFill>
                          <w14:schemeClr w14:val="tx1"/>
                        </w14:solidFill>
                      </w14:textFill>
                    </w:rPr>
                    <w:t>年回收加工PP、PE塑料颗粒6000吨，破碎废旧玻璃1万吨项目</w:t>
                  </w:r>
                </w:p>
              </w:tc>
              <w:tc>
                <w:tcPr>
                  <w:tcW w:w="1004" w:type="dxa"/>
                  <w:vAlign w:val="center"/>
                </w:tcPr>
                <w:p w14:paraId="27A5C12E">
                  <w:pPr>
                    <w:pStyle w:val="221"/>
                    <w:rPr>
                      <w:color w:val="000000" w:themeColor="text1"/>
                      <w14:textFill>
                        <w14:solidFill>
                          <w14:schemeClr w14:val="tx1"/>
                        </w14:solidFill>
                      </w14:textFill>
                    </w:rPr>
                  </w:pPr>
                  <w:r>
                    <w:rPr>
                      <w:color w:val="000000" w:themeColor="text1"/>
                      <w14:textFill>
                        <w14:solidFill>
                          <w14:schemeClr w14:val="tx1"/>
                        </w14:solidFill>
                      </w14:textFill>
                    </w:rPr>
                    <w:t>0.53</w:t>
                  </w:r>
                </w:p>
              </w:tc>
            </w:tr>
            <w:tr w14:paraId="4AB51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4DD6014B">
                  <w:pPr>
                    <w:pStyle w:val="221"/>
                    <w:rPr>
                      <w:color w:val="000000" w:themeColor="text1"/>
                      <w14:textFill>
                        <w14:solidFill>
                          <w14:schemeClr w14:val="tx1"/>
                        </w14:solidFill>
                      </w14:textFill>
                    </w:rPr>
                  </w:pPr>
                  <w:r>
                    <w:rPr>
                      <w:color w:val="000000" w:themeColor="text1"/>
                      <w14:textFill>
                        <w14:solidFill>
                          <w14:schemeClr w14:val="tx1"/>
                        </w14:solidFill>
                      </w14:textFill>
                    </w:rPr>
                    <w:t>福建福鑫轮毂有限公司</w:t>
                  </w:r>
                </w:p>
              </w:tc>
              <w:tc>
                <w:tcPr>
                  <w:tcW w:w="2970" w:type="dxa"/>
                  <w:vAlign w:val="center"/>
                </w:tcPr>
                <w:p w14:paraId="61A89A15">
                  <w:pPr>
                    <w:pStyle w:val="221"/>
                    <w:rPr>
                      <w:color w:val="000000" w:themeColor="text1"/>
                      <w14:textFill>
                        <w14:solidFill>
                          <w14:schemeClr w14:val="tx1"/>
                        </w14:solidFill>
                      </w14:textFill>
                    </w:rPr>
                  </w:pPr>
                  <w:r>
                    <w:rPr>
                      <w:color w:val="000000" w:themeColor="text1"/>
                      <w14:textFill>
                        <w14:solidFill>
                          <w14:schemeClr w14:val="tx1"/>
                        </w14:solidFill>
                      </w14:textFill>
                    </w:rPr>
                    <w:t>福建福鑫轮毂有限公司年产90万件高强度超轻量化锻造镁铝合金车轮项目</w:t>
                  </w:r>
                </w:p>
              </w:tc>
              <w:tc>
                <w:tcPr>
                  <w:tcW w:w="1004" w:type="dxa"/>
                  <w:vAlign w:val="center"/>
                </w:tcPr>
                <w:p w14:paraId="5574E9FD">
                  <w:pPr>
                    <w:pStyle w:val="221"/>
                    <w:rPr>
                      <w:color w:val="000000" w:themeColor="text1"/>
                      <w14:textFill>
                        <w14:solidFill>
                          <w14:schemeClr w14:val="tx1"/>
                        </w14:solidFill>
                      </w14:textFill>
                    </w:rPr>
                  </w:pPr>
                  <w:r>
                    <w:rPr>
                      <w:color w:val="000000" w:themeColor="text1"/>
                      <w14:textFill>
                        <w14:solidFill>
                          <w14:schemeClr w14:val="tx1"/>
                        </w14:solidFill>
                      </w14:textFill>
                    </w:rPr>
                    <w:t>9.022</w:t>
                  </w:r>
                </w:p>
              </w:tc>
            </w:tr>
            <w:tr w14:paraId="1B519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D886C91">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Align w:val="center"/>
                </w:tcPr>
                <w:p w14:paraId="7C77CB22">
                  <w:pPr>
                    <w:pStyle w:val="221"/>
                    <w:rPr>
                      <w:color w:val="000000" w:themeColor="text1"/>
                      <w14:textFill>
                        <w14:solidFill>
                          <w14:schemeClr w14:val="tx1"/>
                        </w14:solidFill>
                      </w14:textFill>
                    </w:rPr>
                  </w:pPr>
                  <w:r>
                    <w:rPr>
                      <w:color w:val="000000" w:themeColor="text1"/>
                      <w14:textFill>
                        <w14:solidFill>
                          <w14:schemeClr w14:val="tx1"/>
                        </w14:solidFill>
                      </w14:textFill>
                    </w:rPr>
                    <w:t>汽车用铝合金板带材生产线项目</w:t>
                  </w:r>
                </w:p>
              </w:tc>
              <w:tc>
                <w:tcPr>
                  <w:tcW w:w="1004" w:type="dxa"/>
                  <w:vAlign w:val="center"/>
                </w:tcPr>
                <w:p w14:paraId="59B5B1EE">
                  <w:pPr>
                    <w:pStyle w:val="221"/>
                    <w:rPr>
                      <w:color w:val="000000" w:themeColor="text1"/>
                      <w14:textFill>
                        <w14:solidFill>
                          <w14:schemeClr w14:val="tx1"/>
                        </w14:solidFill>
                      </w14:textFill>
                    </w:rPr>
                  </w:pPr>
                  <w:r>
                    <w:rPr>
                      <w:color w:val="000000" w:themeColor="text1"/>
                      <w14:textFill>
                        <w14:solidFill>
                          <w14:schemeClr w14:val="tx1"/>
                        </w14:solidFill>
                      </w14:textFill>
                    </w:rPr>
                    <w:t>0.68</w:t>
                  </w:r>
                </w:p>
              </w:tc>
            </w:tr>
            <w:tr w14:paraId="140B5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5A4E162">
                  <w:pPr>
                    <w:pStyle w:val="221"/>
                    <w:rPr>
                      <w:color w:val="000000" w:themeColor="text1"/>
                      <w14:textFill>
                        <w14:solidFill>
                          <w14:schemeClr w14:val="tx1"/>
                        </w14:solidFill>
                      </w14:textFill>
                    </w:rPr>
                  </w:pPr>
                  <w:r>
                    <w:rPr>
                      <w:color w:val="000000" w:themeColor="text1"/>
                      <w14:textFill>
                        <w14:solidFill>
                          <w14:schemeClr w14:val="tx1"/>
                        </w14:solidFill>
                      </w14:textFill>
                    </w:rPr>
                    <w:t>福州盛钜塑胶有限公司</w:t>
                  </w:r>
                </w:p>
              </w:tc>
              <w:tc>
                <w:tcPr>
                  <w:tcW w:w="2970" w:type="dxa"/>
                  <w:vAlign w:val="center"/>
                </w:tcPr>
                <w:p w14:paraId="15A5EF63">
                  <w:pPr>
                    <w:pStyle w:val="221"/>
                    <w:rPr>
                      <w:color w:val="000000" w:themeColor="text1"/>
                      <w14:textFill>
                        <w14:solidFill>
                          <w14:schemeClr w14:val="tx1"/>
                        </w14:solidFill>
                      </w14:textFill>
                    </w:rPr>
                  </w:pPr>
                  <w:r>
                    <w:rPr>
                      <w:color w:val="000000" w:themeColor="text1"/>
                      <w14:textFill>
                        <w14:solidFill>
                          <w14:schemeClr w14:val="tx1"/>
                        </w14:solidFill>
                      </w14:textFill>
                    </w:rPr>
                    <w:t>福州盛钜塑胶有限公司年加工塑料零部件100吨</w:t>
                  </w:r>
                </w:p>
              </w:tc>
              <w:tc>
                <w:tcPr>
                  <w:tcW w:w="1004" w:type="dxa"/>
                  <w:vAlign w:val="center"/>
                </w:tcPr>
                <w:p w14:paraId="57DB7D00">
                  <w:pPr>
                    <w:pStyle w:val="221"/>
                    <w:rPr>
                      <w:color w:val="000000" w:themeColor="text1"/>
                      <w14:textFill>
                        <w14:solidFill>
                          <w14:schemeClr w14:val="tx1"/>
                        </w14:solidFill>
                      </w14:textFill>
                    </w:rPr>
                  </w:pPr>
                  <w:r>
                    <w:rPr>
                      <w:color w:val="000000" w:themeColor="text1"/>
                      <w14:textFill>
                        <w14:solidFill>
                          <w14:schemeClr w14:val="tx1"/>
                        </w14:solidFill>
                      </w14:textFill>
                    </w:rPr>
                    <w:t>0.076</w:t>
                  </w:r>
                </w:p>
              </w:tc>
            </w:tr>
            <w:tr w14:paraId="07307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572F369">
                  <w:pPr>
                    <w:pStyle w:val="221"/>
                    <w:rPr>
                      <w:color w:val="000000" w:themeColor="text1"/>
                      <w14:textFill>
                        <w14:solidFill>
                          <w14:schemeClr w14:val="tx1"/>
                        </w14:solidFill>
                      </w14:textFill>
                    </w:rPr>
                  </w:pPr>
                  <w:r>
                    <w:rPr>
                      <w:color w:val="000000" w:themeColor="text1"/>
                      <w14:textFill>
                        <w14:solidFill>
                          <w14:schemeClr w14:val="tx1"/>
                        </w14:solidFill>
                      </w14:textFill>
                    </w:rPr>
                    <w:t>福州市轻迈鞋业有限公司</w:t>
                  </w:r>
                </w:p>
              </w:tc>
              <w:tc>
                <w:tcPr>
                  <w:tcW w:w="2970" w:type="dxa"/>
                  <w:vAlign w:val="center"/>
                </w:tcPr>
                <w:p w14:paraId="7F054255">
                  <w:pPr>
                    <w:pStyle w:val="221"/>
                    <w:rPr>
                      <w:color w:val="000000" w:themeColor="text1"/>
                      <w14:textFill>
                        <w14:solidFill>
                          <w14:schemeClr w14:val="tx1"/>
                        </w14:solidFill>
                      </w14:textFill>
                    </w:rPr>
                  </w:pPr>
                  <w:r>
                    <w:rPr>
                      <w:color w:val="000000" w:themeColor="text1"/>
                      <w14:textFill>
                        <w14:solidFill>
                          <w14:schemeClr w14:val="tx1"/>
                        </w14:solidFill>
                      </w14:textFill>
                    </w:rPr>
                    <w:t>年产EVA拖鞋400万双项目</w:t>
                  </w:r>
                </w:p>
              </w:tc>
              <w:tc>
                <w:tcPr>
                  <w:tcW w:w="1004" w:type="dxa"/>
                  <w:vAlign w:val="center"/>
                </w:tcPr>
                <w:p w14:paraId="68DD11FC">
                  <w:pPr>
                    <w:pStyle w:val="221"/>
                    <w:rPr>
                      <w:color w:val="000000" w:themeColor="text1"/>
                      <w14:textFill>
                        <w14:solidFill>
                          <w14:schemeClr w14:val="tx1"/>
                        </w14:solidFill>
                      </w14:textFill>
                    </w:rPr>
                  </w:pPr>
                  <w:r>
                    <w:rPr>
                      <w:color w:val="000000" w:themeColor="text1"/>
                      <w14:textFill>
                        <w14:solidFill>
                          <w14:schemeClr w14:val="tx1"/>
                        </w14:solidFill>
                      </w14:textFill>
                    </w:rPr>
                    <w:t>0.11844</w:t>
                  </w:r>
                </w:p>
              </w:tc>
            </w:tr>
            <w:tr w14:paraId="2575E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5290352">
                  <w:pPr>
                    <w:pStyle w:val="221"/>
                    <w:rPr>
                      <w:color w:val="000000" w:themeColor="text1"/>
                      <w14:textFill>
                        <w14:solidFill>
                          <w14:schemeClr w14:val="tx1"/>
                        </w14:solidFill>
                      </w14:textFill>
                    </w:rPr>
                  </w:pPr>
                  <w:r>
                    <w:rPr>
                      <w:color w:val="000000" w:themeColor="text1"/>
                      <w14:textFill>
                        <w14:solidFill>
                          <w14:schemeClr w14:val="tx1"/>
                        </w14:solidFill>
                      </w14:textFill>
                    </w:rPr>
                    <w:t>福州同步鞋业有限公司</w:t>
                  </w:r>
                </w:p>
              </w:tc>
              <w:tc>
                <w:tcPr>
                  <w:tcW w:w="2970" w:type="dxa"/>
                  <w:vAlign w:val="center"/>
                </w:tcPr>
                <w:p w14:paraId="115B49CE">
                  <w:pPr>
                    <w:pStyle w:val="221"/>
                    <w:rPr>
                      <w:color w:val="000000" w:themeColor="text1"/>
                      <w14:textFill>
                        <w14:solidFill>
                          <w14:schemeClr w14:val="tx1"/>
                        </w14:solidFill>
                      </w14:textFill>
                    </w:rPr>
                  </w:pPr>
                  <w:r>
                    <w:rPr>
                      <w:color w:val="000000" w:themeColor="text1"/>
                      <w14:textFill>
                        <w14:solidFill>
                          <w14:schemeClr w14:val="tx1"/>
                        </w14:solidFill>
                      </w14:textFill>
                    </w:rPr>
                    <w:t>年加工凉鞋500万双项目</w:t>
                  </w:r>
                </w:p>
              </w:tc>
              <w:tc>
                <w:tcPr>
                  <w:tcW w:w="1004" w:type="dxa"/>
                  <w:vAlign w:val="center"/>
                </w:tcPr>
                <w:p w14:paraId="3FE92A21">
                  <w:pPr>
                    <w:pStyle w:val="221"/>
                    <w:rPr>
                      <w:color w:val="000000" w:themeColor="text1"/>
                      <w14:textFill>
                        <w14:solidFill>
                          <w14:schemeClr w14:val="tx1"/>
                        </w14:solidFill>
                      </w14:textFill>
                    </w:rPr>
                  </w:pPr>
                  <w:r>
                    <w:rPr>
                      <w:color w:val="000000" w:themeColor="text1"/>
                      <w14:textFill>
                        <w14:solidFill>
                          <w14:schemeClr w14:val="tx1"/>
                        </w14:solidFill>
                      </w14:textFill>
                    </w:rPr>
                    <w:t>0.1512</w:t>
                  </w:r>
                </w:p>
              </w:tc>
            </w:tr>
            <w:tr w14:paraId="6DBD7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3EE2110">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Align w:val="center"/>
                </w:tcPr>
                <w:p w14:paraId="1399590A">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中铝瑞闽股份有限公司铝精深加工循环经济扩能项目</w:t>
                  </w:r>
                </w:p>
              </w:tc>
              <w:tc>
                <w:tcPr>
                  <w:tcW w:w="1004" w:type="dxa"/>
                  <w:vAlign w:val="center"/>
                </w:tcPr>
                <w:p w14:paraId="08891472">
                  <w:pPr>
                    <w:pStyle w:val="221"/>
                    <w:rPr>
                      <w:color w:val="000000" w:themeColor="text1"/>
                      <w14:textFill>
                        <w14:solidFill>
                          <w14:schemeClr w14:val="tx1"/>
                        </w14:solidFill>
                      </w14:textFill>
                    </w:rPr>
                  </w:pPr>
                  <w:r>
                    <w:rPr>
                      <w:color w:val="000000" w:themeColor="text1"/>
                      <w14:textFill>
                        <w14:solidFill>
                          <w14:schemeClr w14:val="tx1"/>
                        </w14:solidFill>
                      </w14:textFill>
                    </w:rPr>
                    <w:t>0.16</w:t>
                  </w:r>
                </w:p>
              </w:tc>
            </w:tr>
            <w:tr w14:paraId="6EB66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F526B51">
                  <w:pPr>
                    <w:pStyle w:val="221"/>
                    <w:rPr>
                      <w:color w:val="000000" w:themeColor="text1"/>
                      <w14:textFill>
                        <w14:solidFill>
                          <w14:schemeClr w14:val="tx1"/>
                        </w14:solidFill>
                      </w14:textFill>
                    </w:rPr>
                  </w:pPr>
                  <w:r>
                    <w:rPr>
                      <w:color w:val="000000" w:themeColor="text1"/>
                      <w14:textFill>
                        <w14:solidFill>
                          <w14:schemeClr w14:val="tx1"/>
                        </w14:solidFill>
                      </w14:textFill>
                    </w:rPr>
                    <w:t>福清市恒景环保科技有限公司</w:t>
                  </w:r>
                </w:p>
              </w:tc>
              <w:tc>
                <w:tcPr>
                  <w:tcW w:w="2970" w:type="dxa"/>
                  <w:vAlign w:val="center"/>
                </w:tcPr>
                <w:p w14:paraId="791EDACB">
                  <w:pPr>
                    <w:pStyle w:val="221"/>
                    <w:rPr>
                      <w:color w:val="000000" w:themeColor="text1"/>
                      <w14:textFill>
                        <w14:solidFill>
                          <w14:schemeClr w14:val="tx1"/>
                        </w14:solidFill>
                      </w14:textFill>
                    </w:rPr>
                  </w:pPr>
                  <w:r>
                    <w:rPr>
                      <w:color w:val="000000" w:themeColor="text1"/>
                      <w14:textFill>
                        <w14:solidFill>
                          <w14:schemeClr w14:val="tx1"/>
                        </w14:solidFill>
                      </w14:textFill>
                    </w:rPr>
                    <w:t>福清市恒景环保科技有限公司年加工一次性可降解塑料0.04毫米-0.08毫米背心袋1300吨、0.026毫米-0.2毫米食品包装袋1200吨</w:t>
                  </w:r>
                </w:p>
              </w:tc>
              <w:tc>
                <w:tcPr>
                  <w:tcW w:w="1004" w:type="dxa"/>
                  <w:vAlign w:val="center"/>
                </w:tcPr>
                <w:p w14:paraId="1998F710">
                  <w:pPr>
                    <w:pStyle w:val="221"/>
                    <w:rPr>
                      <w:color w:val="000000" w:themeColor="text1"/>
                      <w14:textFill>
                        <w14:solidFill>
                          <w14:schemeClr w14:val="tx1"/>
                        </w14:solidFill>
                      </w14:textFill>
                    </w:rPr>
                  </w:pPr>
                  <w:r>
                    <w:rPr>
                      <w:color w:val="000000" w:themeColor="text1"/>
                      <w14:textFill>
                        <w14:solidFill>
                          <w14:schemeClr w14:val="tx1"/>
                        </w14:solidFill>
                      </w14:textFill>
                    </w:rPr>
                    <w:t>1.444</w:t>
                  </w:r>
                </w:p>
              </w:tc>
            </w:tr>
            <w:tr w14:paraId="35239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55FC5C64">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noWrap/>
                  <w:vAlign w:val="center"/>
                </w:tcPr>
                <w:p w14:paraId="134C10F1">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中铝瑞闽大数据存储HDD用铝合金基片精深加工项目</w:t>
                  </w:r>
                </w:p>
              </w:tc>
              <w:tc>
                <w:tcPr>
                  <w:tcW w:w="1004" w:type="dxa"/>
                  <w:vAlign w:val="center"/>
                </w:tcPr>
                <w:p w14:paraId="3264554D">
                  <w:pPr>
                    <w:pStyle w:val="221"/>
                    <w:rPr>
                      <w:color w:val="000000" w:themeColor="text1"/>
                      <w14:textFill>
                        <w14:solidFill>
                          <w14:schemeClr w14:val="tx1"/>
                        </w14:solidFill>
                      </w14:textFill>
                    </w:rPr>
                  </w:pPr>
                  <w:r>
                    <w:rPr>
                      <w:color w:val="000000" w:themeColor="text1"/>
                      <w14:textFill>
                        <w14:solidFill>
                          <w14:schemeClr w14:val="tx1"/>
                        </w14:solidFill>
                      </w14:textFill>
                    </w:rPr>
                    <w:t>0.076</w:t>
                  </w:r>
                </w:p>
              </w:tc>
            </w:tr>
            <w:tr w14:paraId="4B2261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0E2521D4">
                  <w:pPr>
                    <w:pStyle w:val="221"/>
                    <w:rPr>
                      <w:color w:val="000000" w:themeColor="text1"/>
                      <w14:textFill>
                        <w14:solidFill>
                          <w14:schemeClr w14:val="tx1"/>
                        </w14:solidFill>
                      </w14:textFill>
                    </w:rPr>
                  </w:pPr>
                  <w:r>
                    <w:rPr>
                      <w:color w:val="000000" w:themeColor="text1"/>
                      <w14:textFill>
                        <w14:solidFill>
                          <w14:schemeClr w14:val="tx1"/>
                        </w14:solidFill>
                      </w14:textFill>
                    </w:rPr>
                    <w:t>福清市江镜玉桂塑料加工厂</w:t>
                  </w:r>
                </w:p>
              </w:tc>
              <w:tc>
                <w:tcPr>
                  <w:tcW w:w="2970" w:type="dxa"/>
                  <w:noWrap/>
                  <w:vAlign w:val="center"/>
                </w:tcPr>
                <w:p w14:paraId="7B6487BB">
                  <w:pPr>
                    <w:pStyle w:val="221"/>
                    <w:rPr>
                      <w:color w:val="000000" w:themeColor="text1"/>
                      <w14:textFill>
                        <w14:solidFill>
                          <w14:schemeClr w14:val="tx1"/>
                        </w14:solidFill>
                      </w14:textFill>
                    </w:rPr>
                  </w:pPr>
                  <w:r>
                    <w:rPr>
                      <w:color w:val="000000" w:themeColor="text1"/>
                      <w14:textFill>
                        <w14:solidFill>
                          <w14:schemeClr w14:val="tx1"/>
                        </w14:solidFill>
                      </w14:textFill>
                    </w:rPr>
                    <w:t>福清市江镜玉桂塑料加工厂年加工塑料筐80万套、塑料浮球20万个</w:t>
                  </w:r>
                </w:p>
              </w:tc>
              <w:tc>
                <w:tcPr>
                  <w:tcW w:w="1004" w:type="dxa"/>
                  <w:vAlign w:val="center"/>
                </w:tcPr>
                <w:p w14:paraId="7E060D02">
                  <w:pPr>
                    <w:pStyle w:val="221"/>
                    <w:rPr>
                      <w:color w:val="000000" w:themeColor="text1"/>
                      <w14:textFill>
                        <w14:solidFill>
                          <w14:schemeClr w14:val="tx1"/>
                        </w14:solidFill>
                      </w14:textFill>
                    </w:rPr>
                  </w:pPr>
                  <w:r>
                    <w:rPr>
                      <w:color w:val="000000" w:themeColor="text1"/>
                      <w14:textFill>
                        <w14:solidFill>
                          <w14:schemeClr w14:val="tx1"/>
                        </w14:solidFill>
                      </w14:textFill>
                    </w:rPr>
                    <w:t>0.3</w:t>
                  </w:r>
                </w:p>
              </w:tc>
            </w:tr>
            <w:tr w14:paraId="61A6B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222ABE7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福州华闽红门窗有限公司</w:t>
                  </w:r>
                </w:p>
              </w:tc>
              <w:tc>
                <w:tcPr>
                  <w:tcW w:w="2970" w:type="dxa"/>
                  <w:noWrap/>
                  <w:vAlign w:val="center"/>
                </w:tcPr>
                <w:p w14:paraId="617A922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福州华闽红门窗有限公司年加工铝合金门窗3500平方米</w:t>
                  </w:r>
                </w:p>
              </w:tc>
              <w:tc>
                <w:tcPr>
                  <w:tcW w:w="1004" w:type="dxa"/>
                  <w:vAlign w:val="center"/>
                </w:tcPr>
                <w:p w14:paraId="0E933B1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0.0941</w:t>
                  </w:r>
                </w:p>
              </w:tc>
            </w:tr>
            <w:tr w14:paraId="5512F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5EACD42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w:t>
                  </w:r>
                </w:p>
              </w:tc>
              <w:tc>
                <w:tcPr>
                  <w:tcW w:w="2970" w:type="dxa"/>
                  <w:noWrap/>
                  <w:vAlign w:val="center"/>
                </w:tcPr>
                <w:p w14:paraId="2115FDB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福州市富赫橡塑科技有限公司年加工橡胶片4000吨、橡胶条5000吨（本项目）</w:t>
                  </w:r>
                </w:p>
              </w:tc>
              <w:tc>
                <w:tcPr>
                  <w:tcW w:w="1004" w:type="dxa"/>
                  <w:vAlign w:val="center"/>
                </w:tcPr>
                <w:p w14:paraId="21B159C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r>
            <w:tr w14:paraId="07051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5" w:type="dxa"/>
                  <w:gridSpan w:val="2"/>
                  <w:vAlign w:val="center"/>
                </w:tcPr>
                <w:p w14:paraId="63F4018F">
                  <w:pPr>
                    <w:pStyle w:val="221"/>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1004" w:type="dxa"/>
                  <w:vAlign w:val="center"/>
                </w:tcPr>
                <w:p w14:paraId="35A5812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28.3360</w:t>
                  </w:r>
                </w:p>
              </w:tc>
            </w:tr>
          </w:tbl>
          <w:p w14:paraId="16F9AF7B">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大气环境》（HJ2.2-2018）推荐的AERSCREEN估算模式预测，</w:t>
            </w:r>
            <w:r>
              <w:rPr>
                <w:rFonts w:hint="eastAsia"/>
                <w:color w:val="000000" w:themeColor="text1"/>
                <w14:textFill>
                  <w14:solidFill>
                    <w14:schemeClr w14:val="tx1"/>
                  </w14:solidFill>
                </w14:textFill>
              </w:rPr>
              <w:t>本项目投产前，前华村</w:t>
            </w:r>
            <w:r>
              <w:rPr>
                <w:color w:val="000000" w:themeColor="text1"/>
                <w14:textFill>
                  <w14:solidFill>
                    <w14:schemeClr w14:val="tx1"/>
                  </w14:solidFill>
                </w14:textFill>
              </w:rPr>
              <w:t>预测</w:t>
            </w: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852.5</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14:textFill>
                  <w14:solidFill>
                    <w14:schemeClr w14:val="tx1"/>
                  </w14:solidFill>
                </w14:textFill>
              </w:rPr>
              <w:t>42.6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本项目投产后排放的非甲烷总烃</w:t>
            </w:r>
            <w:r>
              <w:rPr>
                <w:rFonts w:hint="eastAsia"/>
                <w:color w:val="000000" w:themeColor="text1"/>
                <w14:textFill>
                  <w14:solidFill>
                    <w14:schemeClr w14:val="tx1"/>
                  </w14:solidFill>
                </w14:textFill>
              </w:rPr>
              <w:t>对前华村最大贡献浓度为10.6</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叠加背景值后的预测值为</w:t>
            </w:r>
            <w:r>
              <w:rPr>
                <w:rFonts w:hint="eastAsia"/>
                <w:color w:val="000000" w:themeColor="text1"/>
                <w14:textFill>
                  <w14:solidFill>
                    <w14:schemeClr w14:val="tx1"/>
                  </w14:solidFill>
                </w14:textFill>
              </w:rPr>
              <w:t>863.1</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14:textFill>
                  <w14:solidFill>
                    <w14:schemeClr w14:val="tx1"/>
                  </w14:solidFill>
                </w14:textFill>
              </w:rPr>
              <w:t>43.2</w:t>
            </w:r>
            <w:r>
              <w:rPr>
                <w:color w:val="000000" w:themeColor="text1"/>
                <w14:textFill>
                  <w14:solidFill>
                    <w14:schemeClr w14:val="tx1"/>
                  </w14:solidFill>
                </w14:textFill>
              </w:rPr>
              <w:t>%。</w:t>
            </w:r>
          </w:p>
          <w:p w14:paraId="409FA9C0">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园区内非甲烷总烃排放量仍有一定余量，因此符合《闽台（福州）蓝色经济产业园总体规划修编（2017-2035年）环境影响报告书》及其审查小组意见中的企业规模不得使蓝园经济区敏感点的VOCs浓度占标率超过50%的要求。</w:t>
            </w:r>
          </w:p>
        </w:tc>
      </w:tr>
      <w:tr w14:paraId="44BDB1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27" w:type="pct"/>
            <w:vAlign w:val="center"/>
          </w:tcPr>
          <w:p w14:paraId="24BF9A24">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其他符合性分析</w:t>
            </w:r>
          </w:p>
        </w:tc>
        <w:tc>
          <w:tcPr>
            <w:tcW w:w="4373" w:type="pct"/>
            <w:gridSpan w:val="3"/>
            <w:vAlign w:val="center"/>
          </w:tcPr>
          <w:p w14:paraId="0C7742AB">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1、产业政策符合性分析</w:t>
            </w:r>
          </w:p>
          <w:p w14:paraId="60FD71B6">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本项目属于</w:t>
            </w:r>
            <w:r>
              <w:rPr>
                <w:rFonts w:hint="eastAsia" w:ascii="Times New Roman" w:hAnsi="Times New Roman" w:eastAsia="宋体" w:cs="Times New Roman"/>
                <w:color w:val="000000" w:themeColor="text1"/>
                <w:szCs w:val="24"/>
                <w14:textFill>
                  <w14:solidFill>
                    <w14:schemeClr w14:val="tx1"/>
                  </w14:solidFill>
                </w14:textFill>
              </w:rPr>
              <w:t>C2913橡胶零件制造</w:t>
            </w:r>
            <w:r>
              <w:rPr>
                <w:rFonts w:ascii="Times New Roman" w:hAnsi="Times New Roman" w:eastAsia="宋体" w:cs="Times New Roman"/>
                <w:color w:val="000000" w:themeColor="text1"/>
                <w:szCs w:val="24"/>
                <w14:textFill>
                  <w14:solidFill>
                    <w14:schemeClr w14:val="tx1"/>
                  </w14:solidFill>
                </w14:textFill>
              </w:rPr>
              <w:t>，项目不属于《产业结构调整指导目录（2024年本）》中限制和淘汰类的项目，</w:t>
            </w:r>
            <w:r>
              <w:rPr>
                <w:rFonts w:hint="eastAsia" w:ascii="Times New Roman" w:hAnsi="Times New Roman" w:eastAsia="宋体" w:cs="Times New Roman"/>
                <w:color w:val="000000" w:themeColor="text1"/>
                <w:szCs w:val="24"/>
                <w14:textFill>
                  <w14:solidFill>
                    <w14:schemeClr w14:val="tx1"/>
                  </w14:solidFill>
                </w14:textFill>
              </w:rPr>
              <w:t>项目</w:t>
            </w:r>
            <w:r>
              <w:rPr>
                <w:rFonts w:ascii="Times New Roman" w:hAnsi="Times New Roman" w:eastAsia="宋体" w:cs="Times New Roman"/>
                <w:color w:val="000000" w:themeColor="text1"/>
                <w:szCs w:val="24"/>
                <w14:textFill>
                  <w14:solidFill>
                    <w14:schemeClr w14:val="tx1"/>
                  </w14:solidFill>
                </w14:textFill>
              </w:rPr>
              <w:t>通过了福清市</w:t>
            </w:r>
            <w:r>
              <w:rPr>
                <w:rFonts w:hint="eastAsia" w:ascii="Times New Roman" w:hAnsi="Times New Roman" w:eastAsia="宋体" w:cs="Times New Roman"/>
                <w:color w:val="000000" w:themeColor="text1"/>
                <w:szCs w:val="24"/>
                <w14:textFill>
                  <w14:solidFill>
                    <w14:schemeClr w14:val="tx1"/>
                  </w14:solidFill>
                </w14:textFill>
              </w:rPr>
              <w:t>发展和改革局</w:t>
            </w:r>
            <w:r>
              <w:rPr>
                <w:rFonts w:ascii="Times New Roman" w:hAnsi="Times New Roman" w:eastAsia="宋体" w:cs="Times New Roman"/>
                <w:color w:val="000000" w:themeColor="text1"/>
                <w:szCs w:val="24"/>
                <w14:textFill>
                  <w14:solidFill>
                    <w14:schemeClr w14:val="tx1"/>
                  </w14:solidFill>
                </w14:textFill>
              </w:rPr>
              <w:t>的备案（</w:t>
            </w:r>
            <w:r>
              <w:rPr>
                <w:rFonts w:hint="eastAsia" w:ascii="Times New Roman" w:hAnsi="Times New Roman" w:eastAsia="宋体" w:cs="Times New Roman"/>
                <w:color w:val="000000" w:themeColor="text1"/>
                <w:szCs w:val="24"/>
                <w14:textFill>
                  <w14:solidFill>
                    <w14:schemeClr w14:val="tx1"/>
                  </w14:solidFill>
                </w14:textFill>
              </w:rPr>
              <w:t>闽工信备[2025]A060392号</w:t>
            </w:r>
            <w:r>
              <w:rPr>
                <w:rFonts w:ascii="Times New Roman" w:hAnsi="Times New Roman" w:eastAsia="宋体" w:cs="Times New Roman"/>
                <w:color w:val="000000" w:themeColor="text1"/>
                <w:szCs w:val="24"/>
                <w14:textFill>
                  <w14:solidFill>
                    <w14:schemeClr w14:val="tx1"/>
                  </w14:solidFill>
                </w14:textFill>
              </w:rPr>
              <w:t>，详见附件2），因此项目的建设内容符合国家和地方相关产业政策要求。</w:t>
            </w:r>
          </w:p>
          <w:p w14:paraId="7AC4D804">
            <w:pPr>
              <w:widowControl w:val="0"/>
              <w:topLinePunct/>
              <w:spacing w:after="0" w:line="360" w:lineRule="auto"/>
              <w:ind w:firstLine="482" w:firstLineChars="200"/>
              <w:jc w:val="both"/>
              <w:rPr>
                <w:rFonts w:ascii="Times New Roman" w:hAnsi="Times New Roman" w:eastAsia="宋体" w:cs="Times New Roman"/>
                <w:b/>
                <w:bCs/>
                <w:color w:val="000000" w:themeColor="text1"/>
                <w:kern w:val="21"/>
                <w:szCs w:val="24"/>
                <w14:textFill>
                  <w14:solidFill>
                    <w14:schemeClr w14:val="tx1"/>
                  </w14:solidFill>
                </w14:textFill>
              </w:rPr>
            </w:pPr>
            <w:r>
              <w:rPr>
                <w:rFonts w:ascii="Times New Roman" w:hAnsi="Times New Roman" w:eastAsia="宋体" w:cs="Times New Roman"/>
                <w:b/>
                <w:bCs/>
                <w:color w:val="000000" w:themeColor="text1"/>
                <w:kern w:val="21"/>
                <w:szCs w:val="24"/>
                <w14:textFill>
                  <w14:solidFill>
                    <w14:schemeClr w14:val="tx1"/>
                  </w14:solidFill>
                </w14:textFill>
              </w:rPr>
              <w:t>2、土地利用总体规划符合性分析</w:t>
            </w:r>
          </w:p>
          <w:p w14:paraId="6BBEA5C6">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闽台（福州）蓝色经济产业园（福建省蓝谷海工装备产业综合体A32厂房（二期）整座），为租赁福州恒荣塑胶有限公司厂房（租赁合同见附件4），根据出租方产权证可知（</w:t>
            </w:r>
            <w:r>
              <w:rPr>
                <w:rFonts w:ascii="Times New Roman" w:hAnsi="Times New Roman" w:eastAsia="宋体" w:cs="Times New Roman"/>
                <w:color w:val="000000" w:themeColor="text1"/>
                <w:szCs w:val="24"/>
                <w14:textFill>
                  <w14:solidFill>
                    <w14:schemeClr w14:val="tx1"/>
                  </w14:solidFill>
                </w14:textFill>
              </w:rPr>
              <w:t>见附件</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，项目用地性质为工业用地</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项目选址合理。</w:t>
            </w:r>
          </w:p>
          <w:p w14:paraId="3F475808">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w:t>
            </w:r>
            <w:r>
              <w:rPr>
                <w:rFonts w:hint="eastAsia" w:ascii="Times New Roman" w:hAnsi="Times New Roman" w:eastAsia="宋体" w:cs="Times New Roman"/>
                <w:b/>
                <w:bCs/>
                <w:color w:val="000000" w:themeColor="text1"/>
                <w:szCs w:val="24"/>
                <w14:textFill>
                  <w14:solidFill>
                    <w14:schemeClr w14:val="tx1"/>
                  </w14:solidFill>
                </w14:textFill>
              </w:rPr>
              <w:t>生态环境分区管控符合性</w:t>
            </w:r>
            <w:r>
              <w:rPr>
                <w:rFonts w:ascii="Times New Roman" w:hAnsi="Times New Roman" w:eastAsia="宋体" w:cs="Times New Roman"/>
                <w:b/>
                <w:bCs/>
                <w:color w:val="000000" w:themeColor="text1"/>
                <w:szCs w:val="24"/>
                <w14:textFill>
                  <w14:solidFill>
                    <w14:schemeClr w14:val="tx1"/>
                  </w14:solidFill>
                </w14:textFill>
              </w:rPr>
              <w:t>分析</w:t>
            </w:r>
          </w:p>
          <w:p w14:paraId="43D9DED6">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生态保护红线符合性分析</w:t>
            </w:r>
          </w:p>
          <w:p w14:paraId="5AFDBF73">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对照《福建省生态保护红线划定方案》及其调整方案，本项目位于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r>
              <w:rPr>
                <w:rFonts w:ascii="Times New Roman" w:hAnsi="Times New Roman" w:eastAsia="宋体" w:cs="Times New Roman"/>
                <w:color w:val="000000" w:themeColor="text1"/>
                <w:szCs w:val="24"/>
                <w14:textFill>
                  <w14:solidFill>
                    <w14:schemeClr w14:val="tx1"/>
                  </w14:solidFill>
                </w14:textFill>
              </w:rPr>
              <w:t>，属于</w:t>
            </w:r>
            <w:r>
              <w:rPr>
                <w:rFonts w:hint="eastAsia" w:ascii="Times New Roman" w:hAnsi="Times New Roman" w:eastAsia="宋体" w:cs="Times New Roman"/>
                <w:color w:val="000000" w:themeColor="text1"/>
                <w:szCs w:val="24"/>
                <w14:textFill>
                  <w14:solidFill>
                    <w14:schemeClr w14:val="tx1"/>
                  </w14:solidFill>
                </w14:textFill>
              </w:rPr>
              <w:t>闽台（福州）蓝色经济产业园</w:t>
            </w:r>
            <w:r>
              <w:rPr>
                <w:rFonts w:ascii="Times New Roman" w:hAnsi="Times New Roman" w:eastAsia="宋体" w:cs="Times New Roman"/>
                <w:color w:val="000000" w:themeColor="text1"/>
                <w:szCs w:val="24"/>
                <w14:textFill>
                  <w14:solidFill>
                    <w14:schemeClr w14:val="tx1"/>
                  </w14:solidFill>
                </w14:textFill>
              </w:rPr>
              <w:t>范围内，</w:t>
            </w:r>
            <w:r>
              <w:rPr>
                <w:rFonts w:ascii="Times New Roman" w:hAnsi="Times New Roman" w:eastAsia="宋体" w:cs="Times New Roman"/>
                <w:color w:val="000000" w:themeColor="text1"/>
                <w:szCs w:val="24"/>
                <w:lang w:bidi="ar"/>
                <w14:textFill>
                  <w14:solidFill>
                    <w14:schemeClr w14:val="tx1"/>
                  </w14:solidFill>
                </w14:textFill>
              </w:rPr>
              <w:t>本评价范围内不涉及重要生态保护红线</w:t>
            </w:r>
            <w:r>
              <w:rPr>
                <w:rFonts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（环境管控</w:t>
            </w:r>
            <w:r>
              <w:rPr>
                <w:rFonts w:ascii="Times New Roman" w:hAnsi="Times New Roman" w:cs="Times New Roman"/>
                <w:color w:val="000000" w:themeColor="text1"/>
                <w:szCs w:val="24"/>
                <w:lang w:bidi="ar"/>
                <w14:textFill>
                  <w14:solidFill>
                    <w14:schemeClr w14:val="tx1"/>
                  </w14:solidFill>
                </w14:textFill>
              </w:rPr>
              <w:t>名称：</w:t>
            </w:r>
            <w:r>
              <w:rPr>
                <w:rFonts w:hint="eastAsia" w:ascii="Times New Roman" w:hAnsi="Times New Roman" w:cs="Times New Roman"/>
                <w:color w:val="000000" w:themeColor="text1"/>
                <w:szCs w:val="24"/>
                <w:lang w:bidi="ar"/>
                <w14:textFill>
                  <w14:solidFill>
                    <w14:schemeClr w14:val="tx1"/>
                  </w14:solidFill>
                </w14:textFill>
              </w:rPr>
              <w:t>闽台（福州）蓝色经济产业园（蓝园片区）-重点管控单元-ZH35018120005</w:t>
            </w:r>
            <w:r>
              <w:rPr>
                <w:rFonts w:ascii="Times New Roman" w:hAnsi="Times New Roman" w:cs="Times New Roman"/>
                <w:color w:val="000000" w:themeColor="text1"/>
                <w:szCs w:val="24"/>
                <w:lang w:bidi="ar"/>
                <w14:textFill>
                  <w14:solidFill>
                    <w14:schemeClr w14:val="tx1"/>
                  </w14:solidFill>
                </w14:textFill>
              </w:rPr>
              <w:t>，详见附件</w:t>
            </w:r>
            <w:r>
              <w:rPr>
                <w:rFonts w:hint="eastAsia" w:ascii="Times New Roman" w:hAnsi="Times New Roman" w:cs="Times New Roman"/>
                <w:color w:val="000000" w:themeColor="text1"/>
                <w:szCs w:val="24"/>
                <w:lang w:bidi="ar"/>
                <w14:textFill>
                  <w14:solidFill>
                    <w14:schemeClr w14:val="tx1"/>
                  </w14:solidFill>
                </w14:textFill>
              </w:rPr>
              <w:t>5</w:t>
            </w:r>
            <w:r>
              <w:rPr>
                <w:rFonts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14:paraId="4CC0AF9F">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环境质量底线符合性分析</w:t>
            </w:r>
          </w:p>
          <w:p w14:paraId="79622C78">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w:t>
            </w:r>
            <w:r>
              <w:rPr>
                <w:rFonts w:hint="eastAsia" w:ascii="Times New Roman" w:hAnsi="Times New Roman" w:eastAsia="宋体" w:cs="Times New Roman"/>
                <w:color w:val="000000" w:themeColor="text1"/>
                <w:szCs w:val="24"/>
                <w14:textFill>
                  <w14:solidFill>
                    <w14:schemeClr w14:val="tx1"/>
                  </w14:solidFill>
                </w14:textFill>
              </w:rPr>
              <w:t>所在海域为兴化湾</w:t>
            </w:r>
            <w:r>
              <w:rPr>
                <w:rFonts w:ascii="Times New Roman" w:hAnsi="Times New Roman" w:eastAsia="宋体" w:cs="Times New Roman"/>
                <w:color w:val="000000" w:themeColor="text1"/>
                <w:szCs w:val="24"/>
                <w14:textFill>
                  <w14:solidFill>
                    <w14:schemeClr w14:val="tx1"/>
                  </w14:solidFill>
                </w14:textFill>
              </w:rPr>
              <w:t>，各因子均符合</w:t>
            </w:r>
            <w:r>
              <w:rPr>
                <w:rFonts w:hint="eastAsia" w:ascii="Times New Roman" w:hAnsi="Times New Roman" w:eastAsia="宋体" w:cs="Times New Roman"/>
                <w:color w:val="000000" w:themeColor="text1"/>
                <w:szCs w:val="24"/>
                <w14:textFill>
                  <w14:solidFill>
                    <w14:schemeClr w14:val="tx1"/>
                  </w14:solidFill>
                </w14:textFill>
              </w:rPr>
              <w:t>《海水水质标准》（GB3097-1997）中第四类海水水质标准</w:t>
            </w:r>
            <w:r>
              <w:rPr>
                <w:rFonts w:ascii="Times New Roman" w:hAnsi="Times New Roman" w:eastAsia="宋体" w:cs="Times New Roman"/>
                <w:color w:val="000000" w:themeColor="text1"/>
                <w:szCs w:val="24"/>
                <w14:textFill>
                  <w14:solidFill>
                    <w14:schemeClr w14:val="tx1"/>
                  </w14:solidFill>
                </w14:textFill>
              </w:rPr>
              <w:t>；项目所在区域的环境空气质量现状符合《环境空气质量标准》（GB3095-2012）二级标准，属于达标区；项目所在区域声环境质量现状符合《声环境质量标准》（GB3096-2008）中3类标准。因此，项目所在区域环境现状质量良好。</w:t>
            </w:r>
          </w:p>
          <w:p w14:paraId="0AFAC28A">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废气对周围大气环境影响较小；各生产设备产生的噪声经隔声、减震等降噪措施处理后也不会对周边声环境造成重大影响。综上分析，项目在采取本环评提出的防治措施后，运营期排放的污染物不会对区域环境质量底线造成冲击。</w:t>
            </w:r>
          </w:p>
          <w:p w14:paraId="209984D6">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w:t>
            </w:r>
            <w:r>
              <w:rPr>
                <w:color w:val="000000" w:themeColor="text1"/>
                <w14:textFill>
                  <w14:solidFill>
                    <w14:schemeClr w14:val="tx1"/>
                  </w14:solidFill>
                </w14:textFill>
              </w:rPr>
              <w:t>资源利用上线符合性分析</w:t>
            </w:r>
          </w:p>
          <w:p w14:paraId="324B7C38">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本项目原料均从正规合法单位购得，水和电等公共资源由当地相关单位供应，</w:t>
            </w:r>
            <w:r>
              <w:rPr>
                <w:color w:val="000000" w:themeColor="text1"/>
                <w:spacing w:val="3"/>
                <w14:textFill>
                  <w14:solidFill>
                    <w14:schemeClr w14:val="tx1"/>
                  </w14:solidFill>
                </w14:textFill>
              </w:rPr>
              <w:t>设备选择、原辅材料的选用和管理、污染治理等多方面采取合理可</w:t>
            </w:r>
            <w:r>
              <w:rPr>
                <w:color w:val="000000" w:themeColor="text1"/>
                <w:spacing w:val="13"/>
                <w14:textFill>
                  <w14:solidFill>
                    <w14:schemeClr w14:val="tx1"/>
                  </w14:solidFill>
                </w14:textFill>
              </w:rPr>
              <w:t xml:space="preserve"> </w:t>
            </w:r>
            <w:r>
              <w:rPr>
                <w:color w:val="000000" w:themeColor="text1"/>
                <w:spacing w:val="-3"/>
                <w14:textFill>
                  <w14:solidFill>
                    <w14:schemeClr w14:val="tx1"/>
                  </w14:solidFill>
                </w14:textFill>
              </w:rPr>
              <w:t>行的防治措施，以“节能、降耗、减污</w:t>
            </w:r>
            <w:r>
              <w:rPr>
                <w:color w:val="000000" w:themeColor="text1"/>
                <w:spacing w:val="-86"/>
                <w14:textFill>
                  <w14:solidFill>
                    <w14:schemeClr w14:val="tx1"/>
                  </w14:solidFill>
                </w14:textFill>
              </w:rPr>
              <w:t xml:space="preserve"> </w:t>
            </w:r>
            <w:r>
              <w:rPr>
                <w:color w:val="000000" w:themeColor="text1"/>
                <w:spacing w:val="-3"/>
                <w14:textFill>
                  <w14:solidFill>
                    <w14:schemeClr w14:val="tx1"/>
                  </w14:solidFill>
                </w14:textFill>
              </w:rPr>
              <w:t>”为目标，有效的控制污染。</w:t>
            </w:r>
            <w:r>
              <w:rPr>
                <w:color w:val="000000" w:themeColor="text1"/>
                <w14:textFill>
                  <w14:solidFill>
                    <w14:schemeClr w14:val="tx1"/>
                  </w14:solidFill>
                </w14:textFill>
              </w:rPr>
              <w:t xml:space="preserve"> </w:t>
            </w:r>
            <w:r>
              <w:rPr>
                <w:color w:val="000000" w:themeColor="text1"/>
                <w:spacing w:val="-1"/>
                <w14:textFill>
                  <w14:solidFill>
                    <w14:schemeClr w14:val="tx1"/>
                  </w14:solidFill>
                </w14:textFill>
              </w:rPr>
              <w:t>项目的水、电等资源利用不会突破区域的资源利用上线</w:t>
            </w:r>
            <w:r>
              <w:rPr>
                <w:color w:val="000000" w:themeColor="text1"/>
                <w14:textFill>
                  <w14:solidFill>
                    <w14:schemeClr w14:val="tx1"/>
                  </w14:solidFill>
                </w14:textFill>
              </w:rPr>
              <w:t>。</w:t>
            </w:r>
          </w:p>
          <w:p w14:paraId="060A8CB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环境准入清单</w:t>
            </w:r>
          </w:p>
          <w:p w14:paraId="292076CD">
            <w:pPr>
              <w:pStyle w:val="225"/>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①</w:t>
            </w:r>
            <w:r>
              <w:rPr>
                <w:color w:val="000000" w:themeColor="text1"/>
                <w:spacing w:val="2"/>
                <w14:textFill>
                  <w14:solidFill>
                    <w14:schemeClr w14:val="tx1"/>
                  </w14:solidFill>
                </w14:textFill>
              </w:rPr>
              <w:t>与《福建省人民政府关于实施“三线一单</w:t>
            </w:r>
            <w:r>
              <w:rPr>
                <w:color w:val="000000" w:themeColor="text1"/>
                <w:spacing w:val="-69"/>
                <w14:textFill>
                  <w14:solidFill>
                    <w14:schemeClr w14:val="tx1"/>
                  </w14:solidFill>
                </w14:textFill>
              </w:rPr>
              <w:t xml:space="preserve"> </w:t>
            </w:r>
            <w:r>
              <w:rPr>
                <w:color w:val="000000" w:themeColor="text1"/>
                <w:spacing w:val="2"/>
                <w14:textFill>
                  <w14:solidFill>
                    <w14:schemeClr w14:val="tx1"/>
                  </w14:solidFill>
                </w14:textFill>
              </w:rPr>
              <w:t>”生态环境分区管</w:t>
            </w:r>
            <w:r>
              <w:rPr>
                <w:color w:val="000000" w:themeColor="text1"/>
                <w:spacing w:val="-1"/>
                <w14:textFill>
                  <w14:solidFill>
                    <w14:schemeClr w14:val="tx1"/>
                  </w14:solidFill>
                </w14:textFill>
              </w:rPr>
              <w:t>控的通知》符合性分析</w:t>
            </w:r>
          </w:p>
          <w:p w14:paraId="56D68538">
            <w:pPr>
              <w:pStyle w:val="172"/>
              <w:spacing w:after="0" w:line="360" w:lineRule="auto"/>
              <w:ind w:firstLine="488"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项目与《福建省人民政府关于实施“三线一单</w:t>
            </w:r>
            <w:r>
              <w:rPr>
                <w:rFonts w:ascii="Times New Roman" w:hAnsi="Times New Roman" w:cs="Times New Roman"/>
                <w:color w:val="000000" w:themeColor="text1"/>
                <w:spacing w:val="-76"/>
                <w:lang w:eastAsia="zh-CN"/>
                <w14:textFill>
                  <w14:solidFill>
                    <w14:schemeClr w14:val="tx1"/>
                  </w14:solidFill>
                </w14:textFill>
              </w:rPr>
              <w:t xml:space="preserve"> </w:t>
            </w:r>
            <w:r>
              <w:rPr>
                <w:rFonts w:ascii="Times New Roman" w:hAnsi="Times New Roman" w:cs="Times New Roman"/>
                <w:color w:val="000000" w:themeColor="text1"/>
                <w:spacing w:val="2"/>
                <w:lang w:eastAsia="zh-CN"/>
                <w14:textFill>
                  <w14:solidFill>
                    <w14:schemeClr w14:val="tx1"/>
                  </w14:solidFill>
                </w14:textFill>
              </w:rPr>
              <w:t>”生态环境分区</w:t>
            </w:r>
            <w:r>
              <w:rPr>
                <w:rFonts w:ascii="Times New Roman" w:hAnsi="Times New Roman" w:cs="Times New Roman"/>
                <w:color w:val="000000" w:themeColor="text1"/>
                <w:spacing w:val="-6"/>
                <w:lang w:eastAsia="zh-CN"/>
                <w14:textFill>
                  <w14:solidFill>
                    <w14:schemeClr w14:val="tx1"/>
                  </w14:solidFill>
                </w14:textFill>
              </w:rPr>
              <w:t>管控的通知》（闽政</w:t>
            </w:r>
            <w:r>
              <w:rPr>
                <w:rFonts w:ascii="Times New Roman" w:hAnsi="Times New Roman" w:eastAsia="Times New Roman" w:cs="Times New Roman"/>
                <w:color w:val="000000" w:themeColor="text1"/>
                <w:spacing w:val="-6"/>
                <w:lang w:eastAsia="zh-CN"/>
                <w14:textFill>
                  <w14:solidFill>
                    <w14:schemeClr w14:val="tx1"/>
                  </w14:solidFill>
                </w14:textFill>
              </w:rPr>
              <w:t>[2020]</w:t>
            </w:r>
            <w:r>
              <w:rPr>
                <w:rFonts w:ascii="Times New Roman" w:hAnsi="Times New Roman" w:eastAsia="Times New Roman" w:cs="Times New Roman"/>
                <w:color w:val="000000" w:themeColor="text1"/>
                <w:spacing w:val="-31"/>
                <w:lang w:eastAsia="zh-CN"/>
                <w14:textFill>
                  <w14:solidFill>
                    <w14:schemeClr w14:val="tx1"/>
                  </w14:solidFill>
                </w14:textFill>
              </w:rPr>
              <w:t xml:space="preserve"> </w:t>
            </w:r>
            <w:r>
              <w:rPr>
                <w:rFonts w:ascii="Times New Roman" w:hAnsi="Times New Roman" w:eastAsia="Times New Roman" w:cs="Times New Roman"/>
                <w:color w:val="000000" w:themeColor="text1"/>
                <w:spacing w:val="-6"/>
                <w:lang w:eastAsia="zh-CN"/>
                <w14:textFill>
                  <w14:solidFill>
                    <w14:schemeClr w14:val="tx1"/>
                  </w14:solidFill>
                </w14:textFill>
              </w:rPr>
              <w:t>12</w:t>
            </w:r>
            <w:r>
              <w:rPr>
                <w:rFonts w:ascii="Times New Roman" w:hAnsi="Times New Roman" w:eastAsia="Times New Roman" w:cs="Times New Roman"/>
                <w:color w:val="000000" w:themeColor="text1"/>
                <w:spacing w:val="13"/>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号）相关要求</w:t>
            </w:r>
            <w:r>
              <w:rPr>
                <w:rFonts w:ascii="Times New Roman" w:hAnsi="Times New Roman" w:cs="Times New Roman"/>
                <w:color w:val="000000" w:themeColor="text1"/>
                <w:spacing w:val="-7"/>
                <w:lang w:eastAsia="zh-CN"/>
                <w14:textFill>
                  <w14:solidFill>
                    <w14:schemeClr w14:val="tx1"/>
                  </w14:solidFill>
                </w14:textFill>
              </w:rPr>
              <w:t>分析见表</w:t>
            </w:r>
            <w:r>
              <w:rPr>
                <w:rFonts w:ascii="Times New Roman" w:hAnsi="Times New Roman" w:cs="Times New Roman"/>
                <w:color w:val="000000" w:themeColor="text1"/>
                <w:spacing w:val="-32"/>
                <w:lang w:eastAsia="zh-CN"/>
                <w14:textFill>
                  <w14:solidFill>
                    <w14:schemeClr w14:val="tx1"/>
                  </w14:solidFill>
                </w14:textFill>
              </w:rPr>
              <w:t xml:space="preserve"> </w:t>
            </w:r>
            <w:r>
              <w:rPr>
                <w:rFonts w:ascii="Times New Roman" w:hAnsi="Times New Roman" w:eastAsia="宋体" w:cs="Times New Roman"/>
                <w:color w:val="000000" w:themeColor="text1"/>
                <w:spacing w:val="-7"/>
                <w:lang w:eastAsia="zh-CN"/>
                <w14:textFill>
                  <w14:solidFill>
                    <w14:schemeClr w14:val="tx1"/>
                  </w14:solidFill>
                </w14:textFill>
              </w:rPr>
              <w:t>1.1-</w:t>
            </w:r>
            <w:r>
              <w:rPr>
                <w:rFonts w:hint="eastAsia" w:ascii="Times New Roman" w:hAnsi="Times New Roman" w:eastAsia="宋体" w:cs="Times New Roman"/>
                <w:color w:val="000000" w:themeColor="text1"/>
                <w:spacing w:val="-7"/>
                <w:lang w:eastAsia="zh-CN"/>
                <w14:textFill>
                  <w14:solidFill>
                    <w14:schemeClr w14:val="tx1"/>
                  </w14:solidFill>
                </w14:textFill>
              </w:rPr>
              <w:t>4</w:t>
            </w:r>
            <w:r>
              <w:rPr>
                <w:rFonts w:ascii="Times New Roman" w:hAnsi="Times New Roman" w:cs="Times New Roman"/>
                <w:color w:val="000000" w:themeColor="text1"/>
                <w:spacing w:val="-7"/>
                <w:lang w:eastAsia="zh-CN"/>
                <w14:textFill>
                  <w14:solidFill>
                    <w14:schemeClr w14:val="tx1"/>
                  </w14:solidFill>
                </w14:textFill>
              </w:rPr>
              <w:t>。</w:t>
            </w:r>
          </w:p>
          <w:p w14:paraId="02BC249E">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.1</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4  </w:t>
            </w:r>
            <w:r>
              <w:rPr>
                <w:color w:val="000000" w:themeColor="text1"/>
                <w14:textFill>
                  <w14:solidFill>
                    <w14:schemeClr w14:val="tx1"/>
                  </w14:solidFill>
                </w14:textFill>
              </w:rPr>
              <w:t>与全省生态环境总体准入要求的符合性分析</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648"/>
              <w:gridCol w:w="3664"/>
              <w:gridCol w:w="2063"/>
              <w:gridCol w:w="609"/>
            </w:tblGrid>
            <w:tr w14:paraId="4CF8B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475" w:type="pct"/>
                  <w:vAlign w:val="center"/>
                </w:tcPr>
                <w:p w14:paraId="2FAAEEF4">
                  <w:pPr>
                    <w:pStyle w:val="221"/>
                    <w:rPr>
                      <w:b/>
                      <w:color w:val="000000" w:themeColor="text1"/>
                      <w14:textFill>
                        <w14:solidFill>
                          <w14:schemeClr w14:val="tx1"/>
                        </w14:solidFill>
                      </w14:textFill>
                    </w:rPr>
                  </w:pPr>
                  <w:r>
                    <w:rPr>
                      <w:b/>
                      <w:color w:val="000000" w:themeColor="text1"/>
                      <w14:textFill>
                        <w14:solidFill>
                          <w14:schemeClr w14:val="tx1"/>
                        </w14:solidFill>
                      </w14:textFill>
                    </w:rPr>
                    <w:t xml:space="preserve">适用 </w:t>
                  </w:r>
                  <w:r>
                    <w:rPr>
                      <w:b/>
                      <w:color w:val="000000" w:themeColor="text1"/>
                      <w:spacing w:val="2"/>
                      <w14:textFill>
                        <w14:solidFill>
                          <w14:schemeClr w14:val="tx1"/>
                        </w14:solidFill>
                      </w14:textFill>
                    </w:rPr>
                    <w:t>范围</w:t>
                  </w:r>
                </w:p>
              </w:tc>
              <w:tc>
                <w:tcPr>
                  <w:tcW w:w="2793" w:type="pct"/>
                  <w:gridSpan w:val="2"/>
                  <w:vAlign w:val="center"/>
                </w:tcPr>
                <w:p w14:paraId="0D12270B">
                  <w:pPr>
                    <w:pStyle w:val="221"/>
                    <w:rPr>
                      <w:b/>
                      <w:color w:val="000000" w:themeColor="text1"/>
                      <w14:textFill>
                        <w14:solidFill>
                          <w14:schemeClr w14:val="tx1"/>
                        </w14:solidFill>
                      </w14:textFill>
                    </w:rPr>
                  </w:pPr>
                  <w:r>
                    <w:rPr>
                      <w:b/>
                      <w:color w:val="000000" w:themeColor="text1"/>
                      <w:spacing w:val="6"/>
                      <w14:textFill>
                        <w14:solidFill>
                          <w14:schemeClr w14:val="tx1"/>
                        </w14:solidFill>
                      </w14:textFill>
                    </w:rPr>
                    <w:t>准入要求</w:t>
                  </w:r>
                </w:p>
              </w:tc>
              <w:tc>
                <w:tcPr>
                  <w:tcW w:w="1336" w:type="pct"/>
                  <w:vAlign w:val="center"/>
                </w:tcPr>
                <w:p w14:paraId="011EB184">
                  <w:pPr>
                    <w:pStyle w:val="221"/>
                    <w:rPr>
                      <w:b/>
                      <w:color w:val="000000" w:themeColor="text1"/>
                      <w14:textFill>
                        <w14:solidFill>
                          <w14:schemeClr w14:val="tx1"/>
                        </w14:solidFill>
                      </w14:textFill>
                    </w:rPr>
                  </w:pPr>
                  <w:r>
                    <w:rPr>
                      <w:b/>
                      <w:color w:val="000000" w:themeColor="text1"/>
                      <w:spacing w:val="7"/>
                      <w14:textFill>
                        <w14:solidFill>
                          <w14:schemeClr w14:val="tx1"/>
                        </w14:solidFill>
                      </w14:textFill>
                    </w:rPr>
                    <w:t>本项目情况</w:t>
                  </w:r>
                </w:p>
              </w:tc>
              <w:tc>
                <w:tcPr>
                  <w:tcW w:w="394" w:type="pct"/>
                  <w:vAlign w:val="center"/>
                </w:tcPr>
                <w:p w14:paraId="062085FF">
                  <w:pPr>
                    <w:pStyle w:val="221"/>
                    <w:rPr>
                      <w:b/>
                      <w:color w:val="000000" w:themeColor="text1"/>
                      <w14:textFill>
                        <w14:solidFill>
                          <w14:schemeClr w14:val="tx1"/>
                        </w14:solidFill>
                      </w14:textFill>
                    </w:rPr>
                  </w:pPr>
                  <w:r>
                    <w:rPr>
                      <w:b/>
                      <w:color w:val="000000" w:themeColor="text1"/>
                      <w:spacing w:val="3"/>
                      <w14:textFill>
                        <w14:solidFill>
                          <w14:schemeClr w14:val="tx1"/>
                        </w14:solidFill>
                      </w14:textFill>
                    </w:rPr>
                    <w:t>符合</w:t>
                  </w:r>
                  <w:r>
                    <w:rPr>
                      <w:b/>
                      <w:color w:val="000000" w:themeColor="text1"/>
                      <w14:textFill>
                        <w14:solidFill>
                          <w14:schemeClr w14:val="tx1"/>
                        </w14:solidFill>
                      </w14:textFill>
                    </w:rPr>
                    <w:t xml:space="preserve"> 性</w:t>
                  </w:r>
                </w:p>
              </w:tc>
            </w:tr>
            <w:tr w14:paraId="1A6BE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0" w:hRule="atLeast"/>
              </w:trPr>
              <w:tc>
                <w:tcPr>
                  <w:tcW w:w="475" w:type="pct"/>
                  <w:vMerge w:val="restart"/>
                  <w:vAlign w:val="center"/>
                </w:tcPr>
                <w:p w14:paraId="56F07F10">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全省 </w:t>
                  </w:r>
                  <w:r>
                    <w:rPr>
                      <w:color w:val="000000" w:themeColor="text1"/>
                      <w:spacing w:val="-1"/>
                      <w14:textFill>
                        <w14:solidFill>
                          <w14:schemeClr w14:val="tx1"/>
                        </w14:solidFill>
                      </w14:textFill>
                    </w:rPr>
                    <w:t>陆域</w:t>
                  </w:r>
                </w:p>
              </w:tc>
              <w:tc>
                <w:tcPr>
                  <w:tcW w:w="420" w:type="pct"/>
                  <w:vAlign w:val="center"/>
                </w:tcPr>
                <w:p w14:paraId="77EC7A14">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空间</w:t>
                  </w:r>
                  <w:r>
                    <w:rPr>
                      <w:color w:val="000000" w:themeColor="text1"/>
                      <w14:textFill>
                        <w14:solidFill>
                          <w14:schemeClr w14:val="tx1"/>
                        </w14:solidFill>
                      </w14:textFill>
                    </w:rPr>
                    <w:t xml:space="preserve"> 布局 约束</w:t>
                  </w:r>
                </w:p>
              </w:tc>
              <w:tc>
                <w:tcPr>
                  <w:tcW w:w="2373" w:type="pct"/>
                  <w:vAlign w:val="center"/>
                </w:tcPr>
                <w:p w14:paraId="736F0116">
                  <w:pPr>
                    <w:pStyle w:val="221"/>
                    <w:jc w:val="left"/>
                    <w:rPr>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1</w:t>
                  </w:r>
                  <w:r>
                    <w:rPr>
                      <w:rFonts w:eastAsia="Times New Roman"/>
                      <w:color w:val="000000" w:themeColor="text1"/>
                      <w:spacing w:val="-16"/>
                      <w14:textFill>
                        <w14:solidFill>
                          <w14:schemeClr w14:val="tx1"/>
                        </w14:solidFill>
                      </w14:textFill>
                    </w:rPr>
                    <w:t xml:space="preserve"> </w:t>
                  </w:r>
                  <w:r>
                    <w:rPr>
                      <w:color w:val="000000" w:themeColor="text1"/>
                      <w:spacing w:val="-4"/>
                      <w14:textFill>
                        <w14:solidFill>
                          <w14:schemeClr w14:val="tx1"/>
                        </w14:solidFill>
                      </w14:textFill>
                    </w:rPr>
                    <w:t>、石化、汽车、船舶、冶金、水泥、</w:t>
                  </w:r>
                  <w:r>
                    <w:rPr>
                      <w:color w:val="000000" w:themeColor="text1"/>
                      <w14:textFill>
                        <w14:solidFill>
                          <w14:schemeClr w14:val="tx1"/>
                        </w14:solidFill>
                      </w14:textFill>
                    </w:rPr>
                    <w:t xml:space="preserve"> </w:t>
                  </w:r>
                  <w:r>
                    <w:rPr>
                      <w:color w:val="000000" w:themeColor="text1"/>
                      <w:spacing w:val="14"/>
                      <w14:textFill>
                        <w14:solidFill>
                          <w14:schemeClr w14:val="tx1"/>
                        </w14:solidFill>
                      </w14:textFill>
                    </w:rPr>
                    <w:t>制浆造纸、印染等重点产业，要符</w:t>
                  </w:r>
                  <w:r>
                    <w:rPr>
                      <w:color w:val="000000" w:themeColor="text1"/>
                      <w:spacing w:val="1"/>
                      <w14:textFill>
                        <w14:solidFill>
                          <w14:schemeClr w14:val="tx1"/>
                        </w14:solidFill>
                      </w14:textFill>
                    </w:rPr>
                    <w:t xml:space="preserve"> </w:t>
                  </w:r>
                  <w:r>
                    <w:rPr>
                      <w:color w:val="000000" w:themeColor="text1"/>
                      <w:spacing w:val="6"/>
                      <w14:textFill>
                        <w14:solidFill>
                          <w14:schemeClr w14:val="tx1"/>
                        </w14:solidFill>
                      </w14:textFill>
                    </w:rPr>
                    <w:t>合全省规划布局要求。</w:t>
                  </w:r>
                </w:p>
                <w:p w14:paraId="25D8A44D">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2</w:t>
                  </w:r>
                  <w:r>
                    <w:rPr>
                      <w:rFonts w:eastAsia="Times New Roman"/>
                      <w:color w:val="000000" w:themeColor="text1"/>
                      <w:spacing w:val="-28"/>
                      <w14:textFill>
                        <w14:solidFill>
                          <w14:schemeClr w14:val="tx1"/>
                        </w14:solidFill>
                      </w14:textFill>
                    </w:rPr>
                    <w:t xml:space="preserve"> </w:t>
                  </w:r>
                  <w:r>
                    <w:rPr>
                      <w:color w:val="000000" w:themeColor="text1"/>
                      <w:spacing w:val="7"/>
                      <w14:textFill>
                        <w14:solidFill>
                          <w14:schemeClr w14:val="tx1"/>
                        </w14:solidFill>
                      </w14:textFill>
                    </w:rPr>
                    <w:t>、严控钢铁、水泥、平板玻璃等产</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能过剩行业新增产能，新增产能应</w:t>
                  </w:r>
                  <w:r>
                    <w:rPr>
                      <w:color w:val="000000" w:themeColor="text1"/>
                      <w:spacing w:val="1"/>
                      <w14:textFill>
                        <w14:solidFill>
                          <w14:schemeClr w14:val="tx1"/>
                        </w14:solidFill>
                      </w14:textFill>
                    </w:rPr>
                    <w:t xml:space="preserve"> </w:t>
                  </w:r>
                  <w:r>
                    <w:rPr>
                      <w:color w:val="000000" w:themeColor="text1"/>
                      <w:spacing w:val="7"/>
                      <w14:textFill>
                        <w14:solidFill>
                          <w14:schemeClr w14:val="tx1"/>
                        </w14:solidFill>
                      </w14:textFill>
                    </w:rPr>
                    <w:t>实施产能等量或减量置换。</w:t>
                  </w:r>
                </w:p>
                <w:p w14:paraId="6FCB58F0">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3</w:t>
                  </w:r>
                  <w:r>
                    <w:rPr>
                      <w:rFonts w:eastAsia="Times New Roman"/>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、除列入国家规划的大型煤电和符</w:t>
                  </w:r>
                  <w:r>
                    <w:rPr>
                      <w:color w:val="000000" w:themeColor="text1"/>
                      <w14:textFill>
                        <w14:solidFill>
                          <w14:schemeClr w14:val="tx1"/>
                        </w14:solidFill>
                      </w14:textFill>
                    </w:rPr>
                    <w:t xml:space="preserve"> </w:t>
                  </w:r>
                  <w:r>
                    <w:rPr>
                      <w:color w:val="000000" w:themeColor="text1"/>
                      <w:spacing w:val="12"/>
                      <w14:textFill>
                        <w14:solidFill>
                          <w14:schemeClr w14:val="tx1"/>
                        </w14:solidFill>
                      </w14:textFill>
                    </w:rPr>
                    <w:t>合相关要求的等容量替代项目，</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以</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及以供热为主的热电联产项目外，</w:t>
                  </w:r>
                  <w:r>
                    <w:rPr>
                      <w:color w:val="000000" w:themeColor="text1"/>
                      <w:spacing w:val="8"/>
                      <w14:textFill>
                        <w14:solidFill>
                          <w14:schemeClr w14:val="tx1"/>
                        </w14:solidFill>
                      </w14:textFill>
                    </w:rPr>
                    <w:t>原则上不再建设新的煤电项目。</w:t>
                  </w:r>
                </w:p>
                <w:p w14:paraId="7B16C070">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4</w:t>
                  </w:r>
                  <w:r>
                    <w:rPr>
                      <w:rFonts w:eastAsia="Times New Roman"/>
                      <w:color w:val="000000" w:themeColor="text1"/>
                      <w:spacing w:val="-29"/>
                      <w14:textFill>
                        <w14:solidFill>
                          <w14:schemeClr w14:val="tx1"/>
                        </w14:solidFill>
                      </w14:textFill>
                    </w:rPr>
                    <w:t xml:space="preserve"> </w:t>
                  </w:r>
                  <w:r>
                    <w:rPr>
                      <w:color w:val="000000" w:themeColor="text1"/>
                      <w:spacing w:val="7"/>
                      <w14:textFill>
                        <w14:solidFill>
                          <w14:schemeClr w14:val="tx1"/>
                        </w14:solidFill>
                      </w14:textFill>
                    </w:rPr>
                    <w:t>、氟化工产业应集中布局在《关于</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促进我省氟化工产业绿色高效发展</w:t>
                  </w:r>
                  <w:r>
                    <w:rPr>
                      <w:color w:val="000000" w:themeColor="text1"/>
                      <w:spacing w:val="6"/>
                      <w14:textFill>
                        <w14:solidFill>
                          <w14:schemeClr w14:val="tx1"/>
                        </w14:solidFill>
                      </w14:textFill>
                    </w:rPr>
                    <w:t xml:space="preserve"> </w:t>
                  </w:r>
                  <w:r>
                    <w:rPr>
                      <w:color w:val="000000" w:themeColor="text1"/>
                      <w:spacing w:val="12"/>
                      <w14:textFill>
                        <w14:solidFill>
                          <w14:schemeClr w14:val="tx1"/>
                        </w14:solidFill>
                      </w14:textFill>
                    </w:rPr>
                    <w:t>的若干意见》</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中确定的园区，在上</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述园区之外不再新建氟化工项目，</w:t>
                  </w:r>
                  <w:r>
                    <w:rPr>
                      <w:color w:val="000000" w:themeColor="text1"/>
                      <w:spacing w:val="6"/>
                      <w14:textFill>
                        <w14:solidFill>
                          <w14:schemeClr w14:val="tx1"/>
                        </w14:solidFill>
                      </w14:textFill>
                    </w:rPr>
                    <w:t xml:space="preserve"> </w:t>
                  </w:r>
                  <w:r>
                    <w:rPr>
                      <w:color w:val="000000" w:themeColor="text1"/>
                      <w:spacing w:val="15"/>
                      <w14:textFill>
                        <w14:solidFill>
                          <w14:schemeClr w14:val="tx1"/>
                        </w14:solidFill>
                      </w14:textFill>
                    </w:rPr>
                    <w:t>园区之外现有氟化工项目不再扩大</w:t>
                  </w:r>
                  <w:r>
                    <w:rPr>
                      <w:color w:val="000000" w:themeColor="text1"/>
                      <w:spacing w:val="6"/>
                      <w14:textFill>
                        <w14:solidFill>
                          <w14:schemeClr w14:val="tx1"/>
                        </w14:solidFill>
                      </w14:textFill>
                    </w:rPr>
                    <w:t xml:space="preserve"> </w:t>
                  </w:r>
                  <w:r>
                    <w:rPr>
                      <w:color w:val="000000" w:themeColor="text1"/>
                      <w:spacing w:val="3"/>
                      <w14:textFill>
                        <w14:solidFill>
                          <w14:schemeClr w14:val="tx1"/>
                        </w14:solidFill>
                      </w14:textFill>
                    </w:rPr>
                    <w:t>规模。</w:t>
                  </w:r>
                </w:p>
                <w:p w14:paraId="6576232C">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5</w:t>
                  </w:r>
                  <w:r>
                    <w:rPr>
                      <w:rFonts w:eastAsia="Times New Roman"/>
                      <w:color w:val="000000" w:themeColor="text1"/>
                      <w:spacing w:val="-20"/>
                      <w14:textFill>
                        <w14:solidFill>
                          <w14:schemeClr w14:val="tx1"/>
                        </w14:solidFill>
                      </w14:textFill>
                    </w:rPr>
                    <w:t xml:space="preserve"> </w:t>
                  </w:r>
                  <w:r>
                    <w:rPr>
                      <w:color w:val="000000" w:themeColor="text1"/>
                      <w:spacing w:val="6"/>
                      <w14:textFill>
                        <w14:solidFill>
                          <w14:schemeClr w14:val="tx1"/>
                        </w14:solidFill>
                      </w14:textFill>
                    </w:rPr>
                    <w:t>、禁止在水环境质量不能稳定达标</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的区域内，建设新增相应不达标污</w:t>
                  </w:r>
                  <w:r>
                    <w:rPr>
                      <w:color w:val="000000" w:themeColor="text1"/>
                      <w:spacing w:val="2"/>
                      <w14:textFill>
                        <w14:solidFill>
                          <w14:schemeClr w14:val="tx1"/>
                        </w14:solidFill>
                      </w14:textFill>
                    </w:rPr>
                    <w:t xml:space="preserve"> </w:t>
                  </w:r>
                  <w:r>
                    <w:rPr>
                      <w:color w:val="000000" w:themeColor="text1"/>
                      <w:spacing w:val="8"/>
                      <w14:textFill>
                        <w14:solidFill>
                          <w14:schemeClr w14:val="tx1"/>
                        </w14:solidFill>
                      </w14:textFill>
                    </w:rPr>
                    <w:t>染物指标排放量的工业项目。</w:t>
                  </w:r>
                </w:p>
              </w:tc>
              <w:tc>
                <w:tcPr>
                  <w:tcW w:w="1336" w:type="pct"/>
                  <w:vAlign w:val="center"/>
                </w:tcPr>
                <w:p w14:paraId="5571C948">
                  <w:pPr>
                    <w:pStyle w:val="221"/>
                    <w:jc w:val="left"/>
                    <w:rPr>
                      <w:color w:val="000000" w:themeColor="text1"/>
                      <w14:textFill>
                        <w14:solidFill>
                          <w14:schemeClr w14:val="tx1"/>
                        </w14:solidFill>
                      </w14:textFill>
                    </w:rPr>
                  </w:pPr>
                  <w:r>
                    <w:rPr>
                      <w:color w:val="000000" w:themeColor="text1"/>
                      <w:spacing w:val="8"/>
                      <w14:textFill>
                        <w14:solidFill>
                          <w14:schemeClr w14:val="tx1"/>
                        </w14:solidFill>
                      </w14:textFill>
                    </w:rPr>
                    <w:t>本项目主要从</w:t>
                  </w:r>
                  <w:r>
                    <w:rPr>
                      <w:rFonts w:hint="eastAsia"/>
                      <w:color w:val="000000" w:themeColor="text1"/>
                      <w:spacing w:val="8"/>
                      <w14:textFill>
                        <w14:solidFill>
                          <w14:schemeClr w14:val="tx1"/>
                        </w14:solidFill>
                      </w14:textFill>
                    </w:rPr>
                    <w:t>橡胶制品制造</w:t>
                  </w:r>
                  <w:r>
                    <w:rPr>
                      <w:color w:val="000000" w:themeColor="text1"/>
                      <w:spacing w:val="8"/>
                      <w14:textFill>
                        <w14:solidFill>
                          <w14:schemeClr w14:val="tx1"/>
                        </w14:solidFill>
                      </w14:textFill>
                    </w:rPr>
                    <w:t>，不属于左侧所列约束性产业；项目建设与空间布局约束要求不</w:t>
                  </w:r>
                  <w:r>
                    <w:rPr>
                      <w:color w:val="000000" w:themeColor="text1"/>
                      <w:spacing w:val="2"/>
                      <w14:textFill>
                        <w14:solidFill>
                          <w14:schemeClr w14:val="tx1"/>
                        </w14:solidFill>
                      </w14:textFill>
                    </w:rPr>
                    <w:t>冲突。</w:t>
                  </w:r>
                </w:p>
              </w:tc>
              <w:tc>
                <w:tcPr>
                  <w:tcW w:w="394" w:type="pct"/>
                  <w:vAlign w:val="center"/>
                </w:tcPr>
                <w:p w14:paraId="76937529">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r w14:paraId="1F99F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475" w:type="pct"/>
                  <w:vMerge w:val="continue"/>
                  <w:vAlign w:val="center"/>
                </w:tcPr>
                <w:p w14:paraId="771FFDF1">
                  <w:pPr>
                    <w:pStyle w:val="221"/>
                    <w:rPr>
                      <w:color w:val="000000" w:themeColor="text1"/>
                      <w14:textFill>
                        <w14:solidFill>
                          <w14:schemeClr w14:val="tx1"/>
                        </w14:solidFill>
                      </w14:textFill>
                    </w:rPr>
                  </w:pPr>
                </w:p>
              </w:tc>
              <w:tc>
                <w:tcPr>
                  <w:tcW w:w="420" w:type="pct"/>
                  <w:vAlign w:val="center"/>
                </w:tcPr>
                <w:p w14:paraId="2D10F960">
                  <w:pPr>
                    <w:pStyle w:val="221"/>
                    <w:rPr>
                      <w:color w:val="000000" w:themeColor="text1"/>
                      <w:spacing w:val="3"/>
                      <w14:textFill>
                        <w14:solidFill>
                          <w14:schemeClr w14:val="tx1"/>
                        </w14:solidFill>
                      </w14:textFill>
                    </w:rPr>
                  </w:pPr>
                  <w:r>
                    <w:rPr>
                      <w:color w:val="000000" w:themeColor="text1"/>
                      <w:spacing w:val="3"/>
                      <w14:textFill>
                        <w14:solidFill>
                          <w14:schemeClr w14:val="tx1"/>
                        </w14:solidFill>
                      </w14:textFill>
                    </w:rPr>
                    <w:t>污染 物排 放管 控</w:t>
                  </w:r>
                </w:p>
              </w:tc>
              <w:tc>
                <w:tcPr>
                  <w:tcW w:w="2373" w:type="pct"/>
                  <w:vAlign w:val="center"/>
                </w:tcPr>
                <w:p w14:paraId="677FEA4C">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1</w:t>
                  </w:r>
                  <w:r>
                    <w:rPr>
                      <w:rFonts w:eastAsia="Times New Roman"/>
                      <w:color w:val="000000" w:themeColor="text1"/>
                      <w:spacing w:val="-18"/>
                      <w14:textFill>
                        <w14:solidFill>
                          <w14:schemeClr w14:val="tx1"/>
                        </w14:solidFill>
                      </w14:textFill>
                    </w:rPr>
                    <w:t xml:space="preserve"> </w:t>
                  </w:r>
                  <w:r>
                    <w:rPr>
                      <w:color w:val="000000" w:themeColor="text1"/>
                      <w:spacing w:val="5"/>
                      <w14:textFill>
                        <w14:solidFill>
                          <w14:schemeClr w14:val="tx1"/>
                        </w14:solidFill>
                      </w14:textFill>
                    </w:rPr>
                    <w:t>、建设项目新增的主要污染物排放</w:t>
                  </w:r>
                  <w:r>
                    <w:rPr>
                      <w:color w:val="000000" w:themeColor="text1"/>
                      <w14:textFill>
                        <w14:solidFill>
                          <w14:schemeClr w14:val="tx1"/>
                        </w14:solidFill>
                      </w14:textFill>
                    </w:rPr>
                    <w:t xml:space="preserve"> </w:t>
                  </w:r>
                  <w:r>
                    <w:rPr>
                      <w:color w:val="000000" w:themeColor="text1"/>
                      <w:spacing w:val="8"/>
                      <w14:textFill>
                        <w14:solidFill>
                          <w14:schemeClr w14:val="tx1"/>
                        </w14:solidFill>
                      </w14:textFill>
                    </w:rPr>
                    <w:t>量应按要求实行等量或倍量替代。</w:t>
                  </w:r>
                </w:p>
                <w:p w14:paraId="606454F5">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涉及总磷排放的建设项目应按照要求实行总磷排放量倍量或等量削减替代。涉及重金属重点行业建设项目新增的重点重金属污染物应按要</w:t>
                  </w:r>
                  <w:r>
                    <w:rPr>
                      <w:color w:val="000000" w:themeColor="text1"/>
                      <w:spacing w:val="6"/>
                      <w14:textFill>
                        <w14:solidFill>
                          <w14:schemeClr w14:val="tx1"/>
                        </w14:solidFill>
                      </w14:textFill>
                    </w:rPr>
                    <w:t>求实行</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减量置换</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或等量替换</w:t>
                  </w:r>
                  <w:r>
                    <w:rPr>
                      <w:rFonts w:eastAsia="Times New Roman"/>
                      <w:color w:val="000000" w:themeColor="text1"/>
                      <w:spacing w:val="6"/>
                      <w14:textFill>
                        <w14:solidFill>
                          <w14:schemeClr w14:val="tx1"/>
                        </w14:solidFill>
                      </w14:textFill>
                    </w:rPr>
                    <w:t>"</w:t>
                  </w:r>
                  <w:r>
                    <w:rPr>
                      <w:rFonts w:eastAsia="Times New Roman"/>
                      <w:color w:val="000000" w:themeColor="text1"/>
                      <w:spacing w:val="-13"/>
                      <w14:textFill>
                        <w14:solidFill>
                          <w14:schemeClr w14:val="tx1"/>
                        </w14:solidFill>
                      </w14:textFill>
                    </w:rPr>
                    <w:t xml:space="preserve"> </w:t>
                  </w:r>
                  <w:r>
                    <w:rPr>
                      <w:color w:val="000000" w:themeColor="text1"/>
                      <w:spacing w:val="6"/>
                      <w14:textFill>
                        <w14:solidFill>
                          <w14:schemeClr w14:val="tx1"/>
                        </w14:solidFill>
                      </w14:textFill>
                    </w:rPr>
                    <w:t>。涉</w:t>
                  </w:r>
                  <w:r>
                    <w:rPr>
                      <w:color w:val="000000" w:themeColor="text1"/>
                      <w:spacing w:val="10"/>
                      <w14:textFill>
                        <w14:solidFill>
                          <w14:schemeClr w14:val="tx1"/>
                        </w14:solidFill>
                      </w14:textFill>
                    </w:rPr>
                    <w:t>新增</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color w:val="000000" w:themeColor="text1"/>
                      <w:spacing w:val="10"/>
                      <w14:textFill>
                        <w14:solidFill>
                          <w14:schemeClr w14:val="tx1"/>
                        </w14:solidFill>
                      </w14:textFill>
                    </w:rPr>
                    <w:t>排放项目，</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rFonts w:eastAsia="Times New Roman"/>
                      <w:color w:val="000000" w:themeColor="text1"/>
                      <w:spacing w:val="10"/>
                      <w:position w:val="-1"/>
                      <w14:textFill>
                        <w14:solidFill>
                          <w14:schemeClr w14:val="tx1"/>
                        </w14:solidFill>
                      </w14:textFill>
                    </w:rPr>
                    <w:t xml:space="preserve"> </w:t>
                  </w:r>
                  <w:r>
                    <w:rPr>
                      <w:color w:val="000000" w:themeColor="text1"/>
                      <w:spacing w:val="10"/>
                      <w14:textFill>
                        <w14:solidFill>
                          <w14:schemeClr w14:val="tx1"/>
                        </w14:solidFill>
                      </w14:textFill>
                    </w:rPr>
                    <w:t>排放实</w:t>
                  </w:r>
                  <w:r>
                    <w:rPr>
                      <w:color w:val="000000" w:themeColor="text1"/>
                      <w:spacing w:val="9"/>
                      <w14:textFill>
                        <w14:solidFill>
                          <w14:schemeClr w14:val="tx1"/>
                        </w14:solidFill>
                      </w14:textFill>
                    </w:rPr>
                    <w:t>行区域内等量替代。福州、厦门、</w:t>
                  </w:r>
                  <w:r>
                    <w:rPr>
                      <w:color w:val="000000" w:themeColor="text1"/>
                      <w:spacing w:val="7"/>
                      <w14:textFill>
                        <w14:solidFill>
                          <w14:schemeClr w14:val="tx1"/>
                        </w14:solidFill>
                      </w14:textFill>
                    </w:rPr>
                    <w:t>漳州、泉州、莆田、宁德等</w:t>
                  </w:r>
                  <w:r>
                    <w:rPr>
                      <w:color w:val="000000" w:themeColor="text1"/>
                      <w:spacing w:val="-27"/>
                      <w14:textFill>
                        <w14:solidFill>
                          <w14:schemeClr w14:val="tx1"/>
                        </w14:solidFill>
                      </w14:textFill>
                    </w:rPr>
                    <w:t xml:space="preserve"> </w:t>
                  </w:r>
                  <w:r>
                    <w:rPr>
                      <w:rFonts w:eastAsia="Times New Roman"/>
                      <w:color w:val="000000" w:themeColor="text1"/>
                      <w:spacing w:val="7"/>
                      <w14:textFill>
                        <w14:solidFill>
                          <w14:schemeClr w14:val="tx1"/>
                        </w14:solidFill>
                      </w14:textFill>
                    </w:rPr>
                    <w:t>6</w:t>
                  </w:r>
                  <w:r>
                    <w:rPr>
                      <w:color w:val="000000" w:themeColor="text1"/>
                      <w:spacing w:val="7"/>
                      <w14:textFill>
                        <w14:solidFill>
                          <w14:schemeClr w14:val="tx1"/>
                        </w14:solidFill>
                      </w14:textFill>
                    </w:rPr>
                    <w:t>个重</w:t>
                  </w:r>
                  <w:r>
                    <w:rPr>
                      <w:color w:val="000000" w:themeColor="text1"/>
                      <w:spacing w:val="8"/>
                      <w14:textFill>
                        <w14:solidFill>
                          <w14:schemeClr w14:val="tx1"/>
                        </w14:solidFill>
                      </w14:textFill>
                    </w:rPr>
                    <w:t>点控制区可实施倍量替代。</w:t>
                  </w:r>
                </w:p>
                <w:p w14:paraId="479489D1">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2</w:t>
                  </w:r>
                  <w:r>
                    <w:rPr>
                      <w:rFonts w:eastAsia="Times New Roman"/>
                      <w:color w:val="000000" w:themeColor="text1"/>
                      <w:spacing w:val="-14"/>
                      <w14:textFill>
                        <w14:solidFill>
                          <w14:schemeClr w14:val="tx1"/>
                        </w14:solidFill>
                      </w14:textFill>
                    </w:rPr>
                    <w:t xml:space="preserve"> </w:t>
                  </w:r>
                  <w:r>
                    <w:rPr>
                      <w:color w:val="000000" w:themeColor="text1"/>
                      <w:spacing w:val="6"/>
                      <w14:textFill>
                        <w14:solidFill>
                          <w14:schemeClr w14:val="tx1"/>
                        </w14:solidFill>
                      </w14:textFill>
                    </w:rPr>
                    <w:t>、新建水泥、有色金属项目应执行</w:t>
                  </w:r>
                  <w:r>
                    <w:rPr>
                      <w:color w:val="000000" w:themeColor="text1"/>
                      <w:spacing w:val="9"/>
                      <w14:textFill>
                        <w14:solidFill>
                          <w14:schemeClr w14:val="tx1"/>
                        </w14:solidFill>
                      </w14:textFill>
                    </w:rPr>
                    <w:t>大气污染物特别排放限值，钢铁项目应执行超低排放指标要求，火电</w:t>
                  </w:r>
                  <w:r>
                    <w:rPr>
                      <w:color w:val="000000" w:themeColor="text1"/>
                      <w:spacing w:val="8"/>
                      <w14:textFill>
                        <w14:solidFill>
                          <w14:schemeClr w14:val="tx1"/>
                        </w14:solidFill>
                      </w14:textFill>
                    </w:rPr>
                    <w:t>项目应达到超低排放限值。</w:t>
                  </w:r>
                </w:p>
                <w:p w14:paraId="338E9026">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3</w:t>
                  </w:r>
                  <w:r>
                    <w:rPr>
                      <w:color w:val="000000" w:themeColor="text1"/>
                      <w:spacing w:val="2"/>
                      <w14:textFill>
                        <w14:solidFill>
                          <w14:schemeClr w14:val="tx1"/>
                        </w14:solidFill>
                      </w14:textFill>
                    </w:rPr>
                    <w:t>、尾水排入近岸海域汇水区域、</w:t>
                  </w:r>
                  <w:r>
                    <w:rPr>
                      <w:rFonts w:eastAsia="Times New Roman"/>
                      <w:color w:val="000000" w:themeColor="text1"/>
                      <w:spacing w:val="2"/>
                      <w14:textFill>
                        <w14:solidFill>
                          <w14:schemeClr w14:val="tx1"/>
                        </w14:solidFill>
                      </w14:textFill>
                    </w:rPr>
                    <w:t>“</w:t>
                  </w:r>
                  <w:r>
                    <w:rPr>
                      <w:color w:val="000000" w:themeColor="text1"/>
                      <w:spacing w:val="2"/>
                      <w14:textFill>
                        <w14:solidFill>
                          <w14:schemeClr w14:val="tx1"/>
                        </w14:solidFill>
                      </w14:textFill>
                    </w:rPr>
                    <w:t>六</w:t>
                  </w:r>
                  <w:r>
                    <w:rPr>
                      <w:color w:val="000000" w:themeColor="text1"/>
                      <w:spacing w:val="8"/>
                      <w14:textFill>
                        <w14:solidFill>
                          <w14:schemeClr w14:val="tx1"/>
                        </w14:solidFill>
                      </w14:textFill>
                    </w:rPr>
                    <w:t>江两溪</w:t>
                  </w:r>
                  <w:r>
                    <w:rPr>
                      <w:rFonts w:eastAsia="Times New Roman"/>
                      <w:color w:val="000000" w:themeColor="text1"/>
                      <w:spacing w:val="8"/>
                      <w14:textFill>
                        <w14:solidFill>
                          <w14:schemeClr w14:val="tx1"/>
                        </w14:solidFill>
                      </w14:textFill>
                    </w:rPr>
                    <w:t>”</w:t>
                  </w:r>
                  <w:r>
                    <w:rPr>
                      <w:color w:val="000000" w:themeColor="text1"/>
                      <w:spacing w:val="8"/>
                      <w14:textFill>
                        <w14:solidFill>
                          <w14:schemeClr w14:val="tx1"/>
                        </w14:solidFill>
                      </w14:textFill>
                    </w:rPr>
                    <w:t>流域以及湖泊、水库等封</w:t>
                  </w:r>
                </w:p>
                <w:p w14:paraId="52208AA1">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闭、半封闭水域的城镇污水处理设</w:t>
                  </w:r>
                  <w:r>
                    <w:rPr>
                      <w:color w:val="000000" w:themeColor="text1"/>
                      <w:spacing w:val="6"/>
                      <w14:textFill>
                        <w14:solidFill>
                          <w14:schemeClr w14:val="tx1"/>
                        </w14:solidFill>
                      </w14:textFill>
                    </w:rPr>
                    <w:t>施执行不低于一级</w:t>
                  </w:r>
                  <w:r>
                    <w:rPr>
                      <w:rFonts w:eastAsia="Times New Roman"/>
                      <w:color w:val="000000" w:themeColor="text1"/>
                      <w:spacing w:val="6"/>
                      <w14:textFill>
                        <w14:solidFill>
                          <w14:schemeClr w14:val="tx1"/>
                        </w14:solidFill>
                      </w14:textFill>
                    </w:rPr>
                    <w:t>A</w:t>
                  </w:r>
                  <w:r>
                    <w:rPr>
                      <w:color w:val="000000" w:themeColor="text1"/>
                      <w:spacing w:val="6"/>
                      <w14:textFill>
                        <w14:solidFill>
                          <w14:schemeClr w14:val="tx1"/>
                        </w14:solidFill>
                      </w14:textFill>
                    </w:rPr>
                    <w:t>排放标准。</w:t>
                  </w:r>
                </w:p>
              </w:tc>
              <w:tc>
                <w:tcPr>
                  <w:tcW w:w="1336" w:type="pct"/>
                  <w:vAlign w:val="center"/>
                </w:tcPr>
                <w:p w14:paraId="171D2B16">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1</w:t>
                  </w:r>
                  <w:r>
                    <w:rPr>
                      <w:color w:val="000000" w:themeColor="text1"/>
                      <w:spacing w:val="2"/>
                      <w14:textFill>
                        <w14:solidFill>
                          <w14:schemeClr w14:val="tx1"/>
                        </w14:solidFill>
                      </w14:textFill>
                    </w:rPr>
                    <w:t>、项目不涉及重金</w:t>
                  </w:r>
                  <w:r>
                    <w:rPr>
                      <w:color w:val="000000" w:themeColor="text1"/>
                      <w:spacing w:val="8"/>
                      <w14:textFill>
                        <w14:solidFill>
                          <w14:schemeClr w14:val="tx1"/>
                        </w14:solidFill>
                      </w14:textFill>
                    </w:rPr>
                    <w:t>属排放</w:t>
                  </w:r>
                  <w:r>
                    <w:rPr>
                      <w:rFonts w:hint="eastAsia"/>
                      <w:color w:val="000000" w:themeColor="text1"/>
                      <w:spacing w:val="8"/>
                      <w14:textFill>
                        <w14:solidFill>
                          <w14:schemeClr w14:val="tx1"/>
                        </w14:solidFill>
                      </w14:textFill>
                    </w:rPr>
                    <w:t xml:space="preserve">，VOCs排放实行倍量替代 </w:t>
                  </w:r>
                  <w:r>
                    <w:rPr>
                      <w:color w:val="000000" w:themeColor="text1"/>
                      <w:spacing w:val="5"/>
                      <w14:textFill>
                        <w14:solidFill>
                          <w14:schemeClr w14:val="tx1"/>
                        </w14:solidFill>
                      </w14:textFill>
                    </w:rPr>
                    <w:t>。</w:t>
                  </w:r>
                </w:p>
                <w:p w14:paraId="55AD2601">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2</w:t>
                  </w:r>
                  <w:r>
                    <w:rPr>
                      <w:rFonts w:eastAsia="Times New Roman"/>
                      <w:color w:val="000000" w:themeColor="text1"/>
                      <w:spacing w:val="-25"/>
                      <w14:textFill>
                        <w14:solidFill>
                          <w14:schemeClr w14:val="tx1"/>
                        </w14:solidFill>
                      </w14:textFill>
                    </w:rPr>
                    <w:t xml:space="preserve"> </w:t>
                  </w:r>
                  <w:r>
                    <w:rPr>
                      <w:color w:val="000000" w:themeColor="text1"/>
                      <w:spacing w:val="5"/>
                      <w14:textFill>
                        <w14:solidFill>
                          <w14:schemeClr w14:val="tx1"/>
                        </w14:solidFill>
                      </w14:textFill>
                    </w:rPr>
                    <w:t>、本项目主要从事</w:t>
                  </w:r>
                  <w:r>
                    <w:rPr>
                      <w:rFonts w:hint="eastAsia"/>
                      <w:color w:val="000000" w:themeColor="text1"/>
                      <w:spacing w:val="5"/>
                      <w14:textFill>
                        <w14:solidFill>
                          <w14:schemeClr w14:val="tx1"/>
                        </w14:solidFill>
                      </w14:textFill>
                    </w:rPr>
                    <w:t>橡胶制品制造</w:t>
                  </w:r>
                  <w:r>
                    <w:rPr>
                      <w:color w:val="000000" w:themeColor="text1"/>
                      <w:spacing w:val="8"/>
                      <w14:textFill>
                        <w14:solidFill>
                          <w14:schemeClr w14:val="tx1"/>
                        </w14:solidFill>
                      </w14:textFill>
                    </w:rPr>
                    <w:t>，不属于</w:t>
                  </w:r>
                  <w:r>
                    <w:rPr>
                      <w:color w:val="000000" w:themeColor="text1"/>
                      <w:spacing w:val="7"/>
                      <w14:textFill>
                        <w14:solidFill>
                          <w14:schemeClr w14:val="tx1"/>
                        </w14:solidFill>
                      </w14:textFill>
                    </w:rPr>
                    <w:t>水泥、有色金属、钢铁、火电项目。</w:t>
                  </w:r>
                </w:p>
                <w:p w14:paraId="73B21365">
                  <w:pPr>
                    <w:pStyle w:val="221"/>
                    <w:jc w:val="left"/>
                    <w:rPr>
                      <w:color w:val="000000" w:themeColor="text1"/>
                      <w14:textFill>
                        <w14:solidFill>
                          <w14:schemeClr w14:val="tx1"/>
                        </w14:solidFill>
                      </w14:textFill>
                    </w:rPr>
                  </w:pPr>
                  <w:r>
                    <w:rPr>
                      <w:rFonts w:eastAsia="Times New Roman"/>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项目不属于城镇污水处理设施</w:t>
                  </w:r>
                  <w:r>
                    <w:rPr>
                      <w:color w:val="000000" w:themeColor="text1"/>
                      <w14:textFill>
                        <w14:solidFill>
                          <w14:schemeClr w14:val="tx1"/>
                        </w14:solidFill>
                      </w14:textFill>
                    </w:rPr>
                    <w:t>。</w:t>
                  </w:r>
                </w:p>
              </w:tc>
              <w:tc>
                <w:tcPr>
                  <w:tcW w:w="394" w:type="pct"/>
                  <w:vAlign w:val="center"/>
                </w:tcPr>
                <w:p w14:paraId="1C816917">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bl>
          <w:p w14:paraId="4606AF1C">
            <w:pPr>
              <w:pStyle w:val="223"/>
              <w:spacing w:before="120"/>
              <w:ind w:firstLine="480"/>
              <w:rPr>
                <w:color w:val="000000" w:themeColor="text1"/>
                <w:szCs w:val="24"/>
                <w14:textFill>
                  <w14:solidFill>
                    <w14:schemeClr w14:val="tx1"/>
                  </w14:solidFill>
                </w14:textFill>
              </w:rPr>
            </w:pPr>
            <w:r>
              <w:rPr>
                <w:color w:val="000000" w:themeColor="text1"/>
                <w14:textFill>
                  <w14:solidFill>
                    <w14:schemeClr w14:val="tx1"/>
                  </w14:solidFill>
                </w14:textFill>
              </w:rPr>
              <w:t>根据上表分析，项目与《福建省人民政府关于实施“三线一单</w:t>
            </w:r>
            <w:r>
              <w:rPr>
                <w:color w:val="000000" w:themeColor="text1"/>
                <w:spacing w:val="-84"/>
                <w14:textFill>
                  <w14:solidFill>
                    <w14:schemeClr w14:val="tx1"/>
                  </w14:solidFill>
                </w14:textFill>
              </w:rPr>
              <w:t xml:space="preserve"> </w:t>
            </w:r>
            <w:r>
              <w:rPr>
                <w:color w:val="000000" w:themeColor="text1"/>
                <w14:textFill>
                  <w14:solidFill>
                    <w14:schemeClr w14:val="tx1"/>
                  </w14:solidFill>
                </w14:textFill>
              </w:rPr>
              <w:t xml:space="preserve">” </w:t>
            </w:r>
            <w:r>
              <w:rPr>
                <w:color w:val="000000" w:themeColor="text1"/>
                <w:spacing w:val="-5"/>
                <w14:textFill>
                  <w14:solidFill>
                    <w14:schemeClr w14:val="tx1"/>
                  </w14:solidFill>
                </w14:textFill>
              </w:rPr>
              <w:t>生态环境分区管控的通知》相关要求相符合。</w:t>
            </w:r>
          </w:p>
          <w:p w14:paraId="74D60D9D">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与《福州市人民政府关于实施“三线一单”生态分区管控的通知》符合性分析</w:t>
            </w:r>
          </w:p>
          <w:p w14:paraId="2755F7D0">
            <w:pPr>
              <w:spacing w:line="360" w:lineRule="auto"/>
              <w:ind w:firstLine="480" w:firstLineChars="200"/>
              <w:jc w:val="both"/>
              <w:rPr>
                <w:color w:val="000000" w:themeColor="text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r>
              <w:rPr>
                <w:rFonts w:ascii="Times New Roman" w:hAnsi="Times New Roman" w:eastAsia="宋体" w:cs="Times New Roman"/>
                <w:color w:val="000000" w:themeColor="text1"/>
                <w:szCs w:val="24"/>
                <w14:textFill>
                  <w14:solidFill>
                    <w14:schemeClr w14:val="tx1"/>
                  </w14:solidFill>
                </w14:textFill>
              </w:rPr>
              <w:t>，因此本项目对照福州市人民政府办公厅关于印发《福州市生态环境分区管控方案（2023年更新）》的通知（榕政办规〔2024〕20号）相关要求分析，本项目所在位置属于福州市陆域区域、</w:t>
            </w:r>
            <w:r>
              <w:rPr>
                <w:rFonts w:hint="eastAsia" w:ascii="Times New Roman" w:hAnsi="Times New Roman" w:eastAsia="宋体" w:cs="Times New Roman"/>
                <w:color w:val="000000" w:themeColor="text1"/>
                <w:szCs w:val="24"/>
                <w14:textFill>
                  <w14:solidFill>
                    <w14:schemeClr w14:val="tx1"/>
                  </w14:solidFill>
                </w14:textFill>
              </w:rPr>
              <w:t>闽台（福州）蓝色经济产业园（蓝园片区）-重点管控单元-ZH35018120005</w:t>
            </w:r>
            <w:r>
              <w:rPr>
                <w:rFonts w:ascii="Times New Roman" w:hAnsi="Times New Roman" w:eastAsia="宋体" w:cs="Times New Roman"/>
                <w:color w:val="000000" w:themeColor="text1"/>
                <w:szCs w:val="24"/>
                <w14:textFill>
                  <w14:solidFill>
                    <w14:schemeClr w14:val="tx1"/>
                  </w14:solidFill>
                </w14:textFill>
              </w:rPr>
              <w:t>（详见附件</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）。具体见表1.1-</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w:t>
            </w:r>
          </w:p>
          <w:p w14:paraId="53231340">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表1.1-</w:t>
            </w:r>
            <w:r>
              <w:rPr>
                <w:rFonts w:hint="eastAsia"/>
                <w:color w:val="000000" w:themeColor="text1"/>
                <w:shd w:val="clear" w:color="auto" w:fill="FFFFFF"/>
                <w14:textFill>
                  <w14:solidFill>
                    <w14:schemeClr w14:val="tx1"/>
                  </w14:solidFill>
                </w14:textFill>
              </w:rPr>
              <w:t>5</w:t>
            </w:r>
            <w:r>
              <w:rPr>
                <w:color w:val="000000" w:themeColor="text1"/>
                <w:shd w:val="clear" w:color="auto" w:fill="FFFFFF"/>
                <w14:textFill>
                  <w14:solidFill>
                    <w14:schemeClr w14:val="tx1"/>
                  </w14:solidFill>
                </w14:textFill>
              </w:rPr>
              <w:t xml:space="preserve">  福州市生态环境准入要求一览表</w:t>
            </w:r>
          </w:p>
          <w:tbl>
            <w:tblPr>
              <w:tblStyle w:val="16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520"/>
              <w:gridCol w:w="3848"/>
              <w:gridCol w:w="1519"/>
              <w:gridCol w:w="427"/>
            </w:tblGrid>
            <w:tr w14:paraId="1B33E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Align w:val="center"/>
                </w:tcPr>
                <w:p w14:paraId="5DB1A900">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适用</w:t>
                  </w:r>
                </w:p>
                <w:p w14:paraId="46054747">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范围</w:t>
                  </w:r>
                </w:p>
              </w:tc>
              <w:tc>
                <w:tcPr>
                  <w:tcW w:w="2829" w:type="pct"/>
                  <w:gridSpan w:val="2"/>
                  <w:vAlign w:val="center"/>
                </w:tcPr>
                <w:p w14:paraId="6302E1F2">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准入要求</w:t>
                  </w:r>
                </w:p>
              </w:tc>
              <w:tc>
                <w:tcPr>
                  <w:tcW w:w="984" w:type="pct"/>
                  <w:vAlign w:val="center"/>
                </w:tcPr>
                <w:p w14:paraId="774EFC8B">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本项目情况</w:t>
                  </w:r>
                </w:p>
              </w:tc>
              <w:tc>
                <w:tcPr>
                  <w:tcW w:w="277" w:type="pct"/>
                  <w:vAlign w:val="center"/>
                </w:tcPr>
                <w:p w14:paraId="60F4617D">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14:paraId="45A94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restart"/>
                  <w:vAlign w:val="center"/>
                </w:tcPr>
                <w:p w14:paraId="7DE11E50">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福州市陆域</w:t>
                  </w:r>
                </w:p>
              </w:tc>
              <w:tc>
                <w:tcPr>
                  <w:tcW w:w="337" w:type="pct"/>
                  <w:vAlign w:val="center"/>
                </w:tcPr>
                <w:p w14:paraId="5FC0898B">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492" w:type="pct"/>
                  <w:vAlign w:val="center"/>
                </w:tcPr>
                <w:p w14:paraId="066E6AD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三、其它要求</w:t>
                  </w:r>
                </w:p>
                <w:p w14:paraId="4872681B">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1.福州市石化中上游项目重点在福州江阴港城经济区、可门港经济区化工新材料产业园布局。</w:t>
                  </w:r>
                </w:p>
                <w:p w14:paraId="3727FE3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2.禁止在闽江马尾罗星塔以上流域范围新、扩建制革项目，严控新（扩）建植物制浆、印染、合成革及人造革、电镀项目。</w:t>
                  </w:r>
                </w:p>
                <w:p w14:paraId="6A73364E">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3.禁止在通风廊道和主导风向的上风向布局大气重污染企业，推进建成区大气重污染企业搬迁或升级改造、环境风险企业搬迁或关闭退出。</w:t>
                  </w:r>
                </w:p>
                <w:p w14:paraId="747FFC86">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4.禁止新、改、扩建生产高 VOCs 含量有机溶剂型涂料、油墨和胶黏剂的项目。</w:t>
                  </w:r>
                </w:p>
                <w:p w14:paraId="0555B46F">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14:paraId="25D6E437">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6.新建、扩建的涉及重点重金属污染物</w:t>
                  </w:r>
                  <w:r>
                    <w:rPr>
                      <w:rFonts w:ascii="Times New Roman" w:hAnsi="Times New Roman" w:eastAsia="宋体" w:cs="Times New Roman"/>
                      <w:color w:val="000000" w:themeColor="text1"/>
                      <w:sz w:val="21"/>
                      <w:szCs w:val="21"/>
                      <w:vertAlign w:val="superscript"/>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 年底专业电镀企业入园率达到90%以上。</w:t>
                  </w:r>
                </w:p>
                <w:p w14:paraId="50956A77">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7.禁止在流域上游新建、扩建重污染企业和项目。</w:t>
                  </w:r>
                </w:p>
                <w:p w14:paraId="5BD79522">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14:paraId="445D7E42">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14:paraId="31D23E01">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10.单元内涉及永久基本农田的，应按照《福建省基本农田保护条例》（2010 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w:t>
                  </w:r>
                </w:p>
                <w:p w14:paraId="351BE18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984" w:type="pct"/>
                  <w:vAlign w:val="center"/>
                </w:tcPr>
                <w:p w14:paraId="332F1C99">
                  <w:pPr>
                    <w:rPr>
                      <w:color w:val="000000" w:themeColor="text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本项目主要</w:t>
                  </w:r>
                  <w:r>
                    <w:rPr>
                      <w:rFonts w:hint="eastAsia" w:ascii="Times New Roman" w:hAnsi="Times New Roman" w:cs="Times New Roman"/>
                      <w:color w:val="000000" w:themeColor="text1"/>
                      <w:spacing w:val="8"/>
                      <w:sz w:val="21"/>
                      <w:szCs w:val="21"/>
                      <w14:textFill>
                        <w14:solidFill>
                          <w14:schemeClr w14:val="tx1"/>
                        </w14:solidFill>
                      </w14:textFill>
                    </w:rPr>
                    <w:t>为橡胶制品制造</w:t>
                  </w:r>
                  <w:r>
                    <w:rPr>
                      <w:rFonts w:ascii="Times New Roman" w:hAnsi="Times New Roman" w:cs="Times New Roman"/>
                      <w:color w:val="000000" w:themeColor="text1"/>
                      <w:spacing w:val="17"/>
                      <w:sz w:val="21"/>
                      <w:szCs w:val="21"/>
                      <w14:textFill>
                        <w14:solidFill>
                          <w14:schemeClr w14:val="tx1"/>
                        </w14:solidFill>
                      </w14:textFill>
                    </w:rPr>
                    <w:t>，不属于左列禁止建设项目；项目位于</w:t>
                  </w:r>
                  <w:r>
                    <w:rPr>
                      <w:rFonts w:hint="eastAsia" w:ascii="Times New Roman" w:hAnsi="Times New Roman" w:cs="Times New Roman"/>
                      <w:color w:val="000000" w:themeColor="text1"/>
                      <w:spacing w:val="17"/>
                      <w:sz w:val="21"/>
                      <w:szCs w:val="21"/>
                      <w14:textFill>
                        <w14:solidFill>
                          <w14:schemeClr w14:val="tx1"/>
                        </w14:solidFill>
                      </w14:textFill>
                    </w:rPr>
                    <w:t>闽台（福州）蓝色经济产业园（福建省蓝谷海工装备产业综合体A32厂房（二期）整座），</w:t>
                  </w:r>
                  <w:r>
                    <w:rPr>
                      <w:rFonts w:ascii="Times New Roman" w:hAnsi="Times New Roman" w:cs="Times New Roman"/>
                      <w:color w:val="000000" w:themeColor="text1"/>
                      <w:spacing w:val="17"/>
                      <w:sz w:val="21"/>
                      <w:szCs w:val="21"/>
                      <w14:textFill>
                        <w14:solidFill>
                          <w14:schemeClr w14:val="tx1"/>
                        </w14:solidFill>
                      </w14:textFill>
                    </w:rPr>
                    <w:t>不位于新局调节库周边</w:t>
                  </w:r>
                  <w:r>
                    <w:rPr>
                      <w:rFonts w:ascii="Times New Roman" w:hAnsi="Times New Roman" w:eastAsia="Times New Roman" w:cs="Times New Roman"/>
                      <w:color w:val="000000" w:themeColor="text1"/>
                      <w:spacing w:val="1"/>
                      <w:sz w:val="21"/>
                      <w:szCs w:val="21"/>
                      <w14:textFill>
                        <w14:solidFill>
                          <w14:schemeClr w14:val="tx1"/>
                        </w14:solidFill>
                      </w14:textFill>
                    </w:rPr>
                    <w:t>200m</w:t>
                  </w:r>
                  <w:r>
                    <w:rPr>
                      <w:rFonts w:ascii="Times New Roman" w:hAnsi="Times New Roman" w:cs="Times New Roman"/>
                      <w:color w:val="000000" w:themeColor="text1"/>
                      <w:spacing w:val="1"/>
                      <w:sz w:val="21"/>
                      <w:szCs w:val="21"/>
                      <w14:textFill>
                        <w14:solidFill>
                          <w14:schemeClr w14:val="tx1"/>
                        </w14:solidFill>
                      </w14:textFill>
                    </w:rPr>
                    <w:t>范围内。</w:t>
                  </w:r>
                </w:p>
              </w:tc>
              <w:tc>
                <w:tcPr>
                  <w:tcW w:w="277" w:type="pct"/>
                  <w:vAlign w:val="center"/>
                </w:tcPr>
                <w:p w14:paraId="25A696D3">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2548D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51BF3C58">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146C6DF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492" w:type="pct"/>
                  <w:vAlign w:val="center"/>
                </w:tcPr>
                <w:p w14:paraId="72DEBCAD">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 号”等相关文件执行。</w:t>
                  </w:r>
                </w:p>
                <w:p w14:paraId="04749316">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2.新、改、扩建涉 VOCs 排放项目污染物排放量应满足《福州市“十四五”空气质量持续改善计划》（榕环保综〔2023〕40号），应从源头加强控制，使用低（无）VOCs 含量的原辅材料。</w:t>
                  </w:r>
                </w:p>
                <w:p w14:paraId="1FE0EE34">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14:paraId="02C2B304">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4.氟化工、印染、电镀等行业企业实行水污染物特别排放限值。</w:t>
                  </w:r>
                </w:p>
                <w:p w14:paraId="3AD4C0CF">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5.新、改、扩建重点行业</w:t>
                  </w:r>
                  <w:r>
                    <w:rPr>
                      <w:rFonts w:ascii="Times New Roman" w:hAnsi="Times New Roman" w:eastAsia="宋体" w:cs="Times New Roman"/>
                      <w:color w:val="000000" w:themeColor="text1"/>
                      <w:sz w:val="21"/>
                      <w:szCs w:val="21"/>
                      <w:vertAlign w:val="superscript"/>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建设项目要遵循重点重金属污染物排放“等量替代”原则，总量来源原则上应是同一重点行业内的削减量，当同一重点行业无法满足时可从其他重点行业调剂。</w:t>
                  </w:r>
                </w:p>
                <w:p w14:paraId="1517A8F2">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6.每小时 35（含）—65 蒸吨燃煤锅炉和位于县级及以上城市建成区内保留的燃煤、燃油、燃生物质锅炉，原则上 2024 年底前必须全面实现超低排放。</w:t>
                  </w:r>
                </w:p>
                <w:p w14:paraId="00FBE541">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7.水泥行业新改扩建项目严格对照超低排放、能效标杆水平建设实施；现有项目超低排放改造应按文件（闽环规〔2023〕2 号）的时限要求分步推进，2025 年底前全面完成</w:t>
                  </w:r>
                  <w:r>
                    <w:rPr>
                      <w:rFonts w:ascii="Times New Roman" w:hAnsi="Times New Roman" w:eastAsia="宋体" w:cs="Times New Roman"/>
                      <w:color w:val="000000" w:themeColor="text1"/>
                      <w:sz w:val="21"/>
                      <w:szCs w:val="21"/>
                      <w:vertAlign w:val="superscript"/>
                      <w14:textFill>
                        <w14:solidFill>
                          <w14:schemeClr w14:val="tx1"/>
                        </w14:solidFill>
                      </w14:textFill>
                    </w:rPr>
                    <w:t>［3］［4］</w:t>
                  </w:r>
                  <w:r>
                    <w:rPr>
                      <w:rFonts w:ascii="Times New Roman" w:hAnsi="Times New Roman" w:eastAsia="宋体" w:cs="Times New Roman"/>
                      <w:color w:val="000000" w:themeColor="text1"/>
                      <w:sz w:val="21"/>
                      <w:szCs w:val="21"/>
                      <w14:textFill>
                        <w14:solidFill>
                          <w14:schemeClr w14:val="tx1"/>
                        </w14:solidFill>
                      </w14:textFill>
                    </w:rPr>
                    <w:t>。</w:t>
                  </w:r>
                </w:p>
                <w:p w14:paraId="4314E546">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984" w:type="pct"/>
                  <w:vAlign w:val="center"/>
                </w:tcPr>
                <w:p w14:paraId="3FD8EFF1">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3"/>
                      <w:sz w:val="21"/>
                      <w:szCs w:val="21"/>
                      <w14:textFill>
                        <w14:solidFill>
                          <w14:schemeClr w14:val="tx1"/>
                        </w14:solidFill>
                      </w14:textFill>
                    </w:rPr>
                    <w:t>本项目</w:t>
                  </w:r>
                  <w:r>
                    <w:rPr>
                      <w:rFonts w:hint="eastAsia" w:ascii="Times New Roman" w:hAnsi="Times New Roman" w:cs="Times New Roman"/>
                      <w:color w:val="000000" w:themeColor="text1"/>
                      <w:spacing w:val="13"/>
                      <w:sz w:val="21"/>
                      <w:szCs w:val="21"/>
                      <w14:textFill>
                        <w14:solidFill>
                          <w14:schemeClr w14:val="tx1"/>
                        </w14:solidFill>
                      </w14:textFill>
                    </w:rPr>
                    <w:t>无生产废水排放</w:t>
                  </w:r>
                  <w:r>
                    <w:rPr>
                      <w:rFonts w:ascii="Times New Roman" w:hAnsi="Times New Roman" w:cs="Times New Roman"/>
                      <w:color w:val="000000" w:themeColor="text1"/>
                      <w:spacing w:val="7"/>
                      <w:sz w:val="21"/>
                      <w:szCs w:val="21"/>
                      <w14:textFill>
                        <w14:solidFill>
                          <w14:schemeClr w14:val="tx1"/>
                        </w14:solidFill>
                      </w14:textFill>
                    </w:rPr>
                    <w:t>；本项目主</w:t>
                  </w:r>
                  <w:r>
                    <w:rPr>
                      <w:rFonts w:ascii="Times New Roman" w:hAnsi="Times New Roman" w:cs="Times New Roman"/>
                      <w:color w:val="000000" w:themeColor="text1"/>
                      <w:spacing w:val="26"/>
                      <w:sz w:val="21"/>
                      <w:szCs w:val="21"/>
                      <w14:textFill>
                        <w14:solidFill>
                          <w14:schemeClr w14:val="tx1"/>
                        </w14:solidFill>
                      </w14:textFill>
                    </w:rPr>
                    <w:t>要从事</w:t>
                  </w:r>
                  <w:r>
                    <w:rPr>
                      <w:rFonts w:hint="eastAsia" w:ascii="Times New Roman" w:hAnsi="Times New Roman" w:cs="Times New Roman"/>
                      <w:color w:val="000000" w:themeColor="text1"/>
                      <w:spacing w:val="26"/>
                      <w:sz w:val="21"/>
                      <w:szCs w:val="21"/>
                      <w14:textFill>
                        <w14:solidFill>
                          <w14:schemeClr w14:val="tx1"/>
                        </w14:solidFill>
                      </w14:textFill>
                    </w:rPr>
                    <w:t>橡胶制品制造</w:t>
                  </w:r>
                  <w:r>
                    <w:rPr>
                      <w:rFonts w:ascii="Times New Roman" w:hAnsi="Times New Roman" w:cs="Times New Roman"/>
                      <w:color w:val="000000" w:themeColor="text1"/>
                      <w:spacing w:val="19"/>
                      <w:sz w:val="21"/>
                      <w:szCs w:val="21"/>
                      <w14:textFill>
                        <w14:solidFill>
                          <w14:schemeClr w14:val="tx1"/>
                        </w14:solidFill>
                      </w14:textFill>
                    </w:rPr>
                    <w:t>，不属</w:t>
                  </w:r>
                  <w:r>
                    <w:rPr>
                      <w:rFonts w:ascii="Times New Roman" w:hAnsi="Times New Roman" w:cs="Times New Roman"/>
                      <w:color w:val="000000" w:themeColor="text1"/>
                      <w:spacing w:val="17"/>
                      <w:sz w:val="21"/>
                      <w:szCs w:val="21"/>
                      <w14:textFill>
                        <w14:solidFill>
                          <w14:schemeClr w14:val="tx1"/>
                        </w14:solidFill>
                      </w14:textFill>
                    </w:rPr>
                    <w:t>于印刷行业；</w:t>
                  </w:r>
                  <w:r>
                    <w:rPr>
                      <w:rFonts w:hint="eastAsia" w:ascii="Times New Roman" w:hAnsi="Times New Roman" w:cs="Times New Roman"/>
                      <w:color w:val="000000" w:themeColor="text1"/>
                      <w:spacing w:val="14"/>
                      <w:sz w:val="21"/>
                      <w:szCs w:val="21"/>
                      <w14:textFill>
                        <w14:solidFill>
                          <w14:schemeClr w14:val="tx1"/>
                        </w14:solidFill>
                      </w14:textFill>
                    </w:rPr>
                    <w:t>项目</w:t>
                  </w:r>
                  <w:r>
                    <w:rPr>
                      <w:rFonts w:ascii="Times New Roman" w:hAnsi="Times New Roman" w:eastAsia="Times New Roman" w:cs="Times New Roman"/>
                      <w:color w:val="000000" w:themeColor="text1"/>
                      <w:sz w:val="21"/>
                      <w:szCs w:val="21"/>
                      <w14:textFill>
                        <w14:solidFill>
                          <w14:schemeClr w14:val="tx1"/>
                        </w14:solidFill>
                      </w14:textFill>
                    </w:rPr>
                    <w:t>VOCs</w:t>
                  </w:r>
                  <w:r>
                    <w:rPr>
                      <w:rFonts w:hint="eastAsia" w:ascii="宋体" w:hAnsi="宋体" w:eastAsia="宋体" w:cs="宋体"/>
                      <w:color w:val="000000" w:themeColor="text1"/>
                      <w:sz w:val="21"/>
                      <w:szCs w:val="21"/>
                      <w14:textFill>
                        <w14:solidFill>
                          <w14:schemeClr w14:val="tx1"/>
                        </w14:solidFill>
                      </w14:textFill>
                    </w:rPr>
                    <w:t>来源主要为炼胶过程产生</w:t>
                  </w:r>
                  <w:r>
                    <w:rPr>
                      <w:rFonts w:ascii="Times New Roman" w:hAnsi="Times New Roman" w:eastAsia="宋体" w:cs="Times New Roman"/>
                      <w:color w:val="000000" w:themeColor="text1"/>
                      <w:sz w:val="21"/>
                      <w:szCs w:val="21"/>
                      <w14:textFill>
                        <w14:solidFill>
                          <w14:schemeClr w14:val="tx1"/>
                        </w14:solidFill>
                      </w14:textFill>
                    </w:rPr>
                    <w:t>。</w:t>
                  </w:r>
                </w:p>
              </w:tc>
              <w:tc>
                <w:tcPr>
                  <w:tcW w:w="277" w:type="pct"/>
                  <w:vAlign w:val="center"/>
                </w:tcPr>
                <w:p w14:paraId="50824D6E">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0544C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28A513FA">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16A5A0D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2492" w:type="pct"/>
                  <w:vAlign w:val="center"/>
                </w:tcPr>
                <w:p w14:paraId="659868BF">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1.到 2024 年底，全市范围内每小时 10 蒸吨及以下燃煤锅炉全面淘汰；到 2025 年底，全市范围内每小时35 蒸吨以下燃煤锅炉通过集中供热、清洁能源替代、深度治理等方式全面实现转型、升级、退出，县级及以上城市建成区在用锅炉（燃煤、燃油、燃生物质）全面改用电能等清洁能源或治理达到超低排放水平；禁止新建每小时35 蒸吨以下燃煤锅炉，以及每小时10蒸吨及以下燃生物质和其他使用高污染燃料的锅炉。集中供热管网覆盖范围内禁止新建、扩建分散燃煤、燃油等供热锅炉。</w:t>
                  </w:r>
                </w:p>
                <w:p w14:paraId="3A032286">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2.按照“提气、转电、控煤”的发展思路，推动陶瓷行业进一步优化用能结构，实现能源消费清洁低碳化。</w:t>
                  </w:r>
                </w:p>
              </w:tc>
              <w:tc>
                <w:tcPr>
                  <w:tcW w:w="984" w:type="pct"/>
                  <w:vAlign w:val="center"/>
                </w:tcPr>
                <w:p w14:paraId="528487CA">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本项目不涉及该项。</w:t>
                  </w:r>
                </w:p>
              </w:tc>
              <w:tc>
                <w:tcPr>
                  <w:tcW w:w="277" w:type="pct"/>
                  <w:vAlign w:val="center"/>
                </w:tcPr>
                <w:p w14:paraId="7035E6AA">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5B4D2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restart"/>
                  <w:vAlign w:val="center"/>
                </w:tcPr>
                <w:p w14:paraId="7FFF672B">
                  <w:pPr>
                    <w:widowControl w:val="0"/>
                    <w:wordWrap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闽台（福州）蓝色经济产业园（蓝园片区）</w:t>
                  </w:r>
                  <w:r>
                    <w:rPr>
                      <w:rFonts w:ascii="Times New Roman" w:hAnsi="Times New Roman" w:eastAsia="宋体" w:cs="Times New Roman"/>
                      <w:color w:val="000000" w:themeColor="text1"/>
                      <w:sz w:val="21"/>
                      <w:szCs w:val="21"/>
                      <w14:textFill>
                        <w14:solidFill>
                          <w14:schemeClr w14:val="tx1"/>
                        </w14:solidFill>
                      </w14:textFill>
                    </w:rPr>
                    <w:t>-重点管控单元-ZH35018120005</w:t>
                  </w:r>
                </w:p>
              </w:tc>
              <w:tc>
                <w:tcPr>
                  <w:tcW w:w="337" w:type="pct"/>
                  <w:vAlign w:val="center"/>
                </w:tcPr>
                <w:p w14:paraId="1A0ED57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492" w:type="pct"/>
                  <w:vAlign w:val="center"/>
                </w:tcPr>
                <w:p w14:paraId="4D289C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装备制造产业禁止引入专业电镀项目，配套的电镀工序含重金属废水应做到零排放；海洋高新产业禁止引进化学合成类制药等项目。2.禁止引入排放重金属废水及以氮、磷排放为主的项目。3.园区内涉及基本农田、沿海防风林的区域在土地性质调整及占补措施落实前应暂缓开发。4.位于龙田军用机场净空区域内的建筑高度应满足相应的净空限高要求。机场雷达通信站周边半径1.5公里范围内建设应满足相应限制和要求。5.在核电站应急计划区内不得有10万人以上的城镇且不宜有人口密度超过1万人/平方公里的人口聚集区。6.生产设施与水禽筑巢区、觅食及栖息地等集中分布区须保留安全距离，禁止惊扰鸟类的作业。</w:t>
                  </w:r>
                </w:p>
              </w:tc>
              <w:tc>
                <w:tcPr>
                  <w:tcW w:w="984" w:type="pct"/>
                  <w:vAlign w:val="center"/>
                </w:tcPr>
                <w:p w14:paraId="17687B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1.本项目为橡胶制品制造，不涉及电镀工艺。</w:t>
                  </w:r>
                </w:p>
                <w:p w14:paraId="3613471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2.项目不排放重金属，不属于以氮、磷排放为主的项目。</w:t>
                  </w:r>
                </w:p>
                <w:p w14:paraId="43EFA8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3.项目不涉及基本农田、沿海防风林的区域土地。</w:t>
                  </w:r>
                </w:p>
                <w:p w14:paraId="3F41DB7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距离龙田军用机场超过1.5km。</w:t>
                  </w:r>
                </w:p>
                <w:p w14:paraId="5548D2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现有已建厂房不涉及生产设施与水禽筑巢区、觅食及栖息地</w:t>
                  </w:r>
                  <w:r>
                    <w:rPr>
                      <w:color w:val="000000" w:themeColor="text1"/>
                      <w14:textFill>
                        <w14:solidFill>
                          <w14:schemeClr w14:val="tx1"/>
                        </w14:solidFill>
                      </w14:textFill>
                    </w:rPr>
                    <w:t>。</w:t>
                  </w:r>
                </w:p>
              </w:tc>
              <w:tc>
                <w:tcPr>
                  <w:tcW w:w="277" w:type="pct"/>
                  <w:vAlign w:val="center"/>
                </w:tcPr>
                <w:p w14:paraId="64BCB9C8">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26927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7201EA7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1232B09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492" w:type="pct"/>
                  <w:vAlign w:val="center"/>
                </w:tcPr>
                <w:p w14:paraId="6BB07CAE">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1.完善配套污水收集管网，确保园区内所有企业污水纳入园区污水处理厂处理并达标排放、居民生活污水纳入城镇污水处理厂处理。2.涉新增VOCs排放项目，应落实VOCs排放总量区域替代削减要求</w:t>
                  </w:r>
                  <w:r>
                    <w:rPr>
                      <w:rFonts w:ascii="宋体" w:cs="宋体"/>
                      <w:color w:val="000000" w:themeColor="text1"/>
                      <w:szCs w:val="21"/>
                      <w14:textFill>
                        <w14:solidFill>
                          <w14:schemeClr w14:val="tx1"/>
                        </w14:solidFill>
                      </w14:textFill>
                    </w:rPr>
                    <w:t>。</w:t>
                  </w:r>
                </w:p>
              </w:tc>
              <w:tc>
                <w:tcPr>
                  <w:tcW w:w="984" w:type="pct"/>
                  <w:vAlign w:val="center"/>
                </w:tcPr>
                <w:p w14:paraId="04B849FF">
                  <w:pPr>
                    <w:pStyle w:val="221"/>
                    <w:rPr>
                      <w:color w:val="000000" w:themeColor="text1"/>
                      <w14:textFill>
                        <w14:solidFill>
                          <w14:schemeClr w14:val="tx1"/>
                        </w14:solidFill>
                      </w14:textFill>
                    </w:rPr>
                  </w:pPr>
                  <w:r>
                    <w:rPr>
                      <w:color w:val="000000" w:themeColor="text1"/>
                      <w14:textFill>
                        <w14:solidFill>
                          <w14:schemeClr w14:val="tx1"/>
                        </w14:solidFill>
                      </w14:textFill>
                    </w:rPr>
                    <w:t>1.本项目</w:t>
                  </w:r>
                  <w:r>
                    <w:rPr>
                      <w:rFonts w:hint="eastAsia"/>
                      <w:color w:val="000000" w:themeColor="text1"/>
                      <w14:textFill>
                        <w14:solidFill>
                          <w14:schemeClr w14:val="tx1"/>
                        </w14:solidFill>
                      </w14:textFill>
                    </w:rPr>
                    <w:t>无生产废水排放，生活污水依托污水收集管网排入污水处理厂处理</w:t>
                  </w:r>
                  <w:r>
                    <w:rPr>
                      <w:color w:val="000000" w:themeColor="text1"/>
                      <w14:textFill>
                        <w14:solidFill>
                          <w14:schemeClr w14:val="tx1"/>
                        </w14:solidFill>
                      </w14:textFill>
                    </w:rPr>
                    <w:t>；</w:t>
                  </w:r>
                </w:p>
                <w:p w14:paraId="3867AC42">
                  <w:pPr>
                    <w:pStyle w:val="221"/>
                    <w:rPr>
                      <w:color w:val="000000" w:themeColor="text1"/>
                      <w:szCs w:val="21"/>
                      <w14:textFill>
                        <w14:solidFill>
                          <w14:schemeClr w14:val="tx1"/>
                        </w14:solidFill>
                      </w14:textFill>
                    </w:rPr>
                  </w:pPr>
                  <w:r>
                    <w:rPr>
                      <w:color w:val="000000" w:themeColor="text1"/>
                      <w:spacing w:val="13"/>
                      <w:szCs w:val="21"/>
                      <w14:textFill>
                        <w14:solidFill>
                          <w14:schemeClr w14:val="tx1"/>
                        </w14:solidFill>
                      </w14:textFill>
                    </w:rPr>
                    <w:t>2.项目VOC</w:t>
                  </w:r>
                  <w:r>
                    <w:rPr>
                      <w:color w:val="000000" w:themeColor="text1"/>
                      <w:spacing w:val="13"/>
                      <w:szCs w:val="21"/>
                      <w:vertAlign w:val="subscript"/>
                      <w14:textFill>
                        <w14:solidFill>
                          <w14:schemeClr w14:val="tx1"/>
                        </w14:solidFill>
                      </w14:textFill>
                    </w:rPr>
                    <w:t>S</w:t>
                  </w:r>
                  <w:r>
                    <w:rPr>
                      <w:color w:val="000000" w:themeColor="text1"/>
                      <w:spacing w:val="13"/>
                      <w:szCs w:val="21"/>
                      <w14:textFill>
                        <w14:solidFill>
                          <w14:schemeClr w14:val="tx1"/>
                        </w14:solidFill>
                      </w14:textFill>
                    </w:rPr>
                    <w:t>排放实行区域内倍量替代</w:t>
                  </w:r>
                </w:p>
              </w:tc>
              <w:tc>
                <w:tcPr>
                  <w:tcW w:w="277" w:type="pct"/>
                  <w:vAlign w:val="center"/>
                </w:tcPr>
                <w:p w14:paraId="2EB44DB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7C153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523A89E8">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4A409FA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环境风险防控</w:t>
                  </w:r>
                </w:p>
              </w:tc>
              <w:tc>
                <w:tcPr>
                  <w:tcW w:w="2492" w:type="pct"/>
                  <w:vAlign w:val="center"/>
                </w:tcPr>
                <w:p w14:paraId="18973663">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1.建立健全环境风险防控体系，制定环境风险应急预案，建设事故应急池，成立应急组织机构，防止在处理安全生产事故过程中产生的可能严重污染水体的消防废水、废液直接排入水体。2.应采取有效措施防止园区建设对区域地下水、土壤造成污染</w:t>
                  </w:r>
                  <w:r>
                    <w:rPr>
                      <w:rFonts w:ascii="宋体" w:cs="宋体"/>
                      <w:color w:val="000000" w:themeColor="text1"/>
                      <w:szCs w:val="21"/>
                      <w14:textFill>
                        <w14:solidFill>
                          <w14:schemeClr w14:val="tx1"/>
                        </w14:solidFill>
                      </w14:textFill>
                    </w:rPr>
                    <w:t>。</w:t>
                  </w:r>
                </w:p>
              </w:tc>
              <w:tc>
                <w:tcPr>
                  <w:tcW w:w="984" w:type="pct"/>
                  <w:vAlign w:val="center"/>
                </w:tcPr>
                <w:p w14:paraId="307A49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本项目建立风险防控体系，防止消防废水、废液直接排入水体；项目采取防渗措施防止园区建设对区域地下水、土壤造成污染</w:t>
                  </w:r>
                  <w:r>
                    <w:rPr>
                      <w:color w:val="000000" w:themeColor="text1"/>
                      <w14:textFill>
                        <w14:solidFill>
                          <w14:schemeClr w14:val="tx1"/>
                        </w14:solidFill>
                      </w14:textFill>
                    </w:rPr>
                    <w:t>。</w:t>
                  </w:r>
                </w:p>
              </w:tc>
              <w:tc>
                <w:tcPr>
                  <w:tcW w:w="277" w:type="pct"/>
                  <w:vAlign w:val="center"/>
                </w:tcPr>
                <w:p w14:paraId="2B61226F">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bl>
          <w:p w14:paraId="66207CF4">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根据上述分析，本项目与福州市人民政府办公厅关于印发《福州市生态环境分区管控方案（2023年更新）》的通知（榕政办规〔2024〕20号）中的相关规定是符合的。</w:t>
            </w:r>
          </w:p>
          <w:p w14:paraId="48E7C11B">
            <w:pPr>
              <w:pStyle w:val="223"/>
              <w:spacing w:before="120"/>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4、与挥发性有机物污染防治政策相关内容符合性分析</w:t>
            </w:r>
          </w:p>
          <w:p w14:paraId="487233E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本项目与挥发性有机物污染防治政策相关内容符合性分析详见表1.1-6。</w:t>
            </w:r>
          </w:p>
          <w:p w14:paraId="3AACD43E">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表1.1-6 挥发性有机物污染防治政策相关内容</w:t>
            </w:r>
          </w:p>
          <w:tbl>
            <w:tblPr>
              <w:tblStyle w:val="169"/>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401"/>
              <w:gridCol w:w="3774"/>
              <w:gridCol w:w="1693"/>
              <w:gridCol w:w="426"/>
            </w:tblGrid>
            <w:tr w14:paraId="1B44F89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09F70EAD">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908" w:type="pct"/>
                  <w:vAlign w:val="center"/>
                </w:tcPr>
                <w:p w14:paraId="4FF03D81">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相关文件名称</w:t>
                  </w:r>
                </w:p>
              </w:tc>
              <w:tc>
                <w:tcPr>
                  <w:tcW w:w="2445" w:type="pct"/>
                  <w:vAlign w:val="center"/>
                </w:tcPr>
                <w:p w14:paraId="612AA29D">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相关内容</w:t>
                  </w:r>
                </w:p>
              </w:tc>
              <w:tc>
                <w:tcPr>
                  <w:tcW w:w="1097" w:type="pct"/>
                  <w:vAlign w:val="center"/>
                </w:tcPr>
                <w:p w14:paraId="469D7898">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本项目内容</w:t>
                  </w:r>
                </w:p>
              </w:tc>
              <w:tc>
                <w:tcPr>
                  <w:tcW w:w="275" w:type="pct"/>
                  <w:vAlign w:val="center"/>
                </w:tcPr>
                <w:p w14:paraId="2A80E151">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符合性</w:t>
                  </w:r>
                </w:p>
              </w:tc>
            </w:tr>
            <w:tr w14:paraId="667DE52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744FC6EC">
                  <w:pPr>
                    <w:pStyle w:val="221"/>
                    <w:widowControl w:val="0"/>
                    <w:rPr>
                      <w:rFonts w:ascii="Calibri" w:hAnsi="Calibri"/>
                      <w:color w:val="000000" w:themeColor="text1"/>
                      <w14:textFill>
                        <w14:solidFill>
                          <w14:schemeClr w14:val="tx1"/>
                        </w14:solidFill>
                      </w14:textFill>
                    </w:rPr>
                  </w:pPr>
                  <w:r>
                    <w:rPr>
                      <w:color w:val="000000" w:themeColor="text1"/>
                      <w14:textFill>
                        <w14:solidFill>
                          <w14:schemeClr w14:val="tx1"/>
                        </w14:solidFill>
                      </w14:textFill>
                    </w:rPr>
                    <w:t>1</w:t>
                  </w:r>
                </w:p>
              </w:tc>
              <w:tc>
                <w:tcPr>
                  <w:tcW w:w="908" w:type="pct"/>
                  <w:vAlign w:val="center"/>
                </w:tcPr>
                <w:p w14:paraId="5C831F5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《福建省“十四五”空气质量改善规划》(2022年)</w:t>
                  </w:r>
                </w:p>
              </w:tc>
              <w:tc>
                <w:tcPr>
                  <w:tcW w:w="2445" w:type="pct"/>
                  <w:vAlign w:val="center"/>
                </w:tcPr>
                <w:p w14:paraId="1D21E8E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097" w:type="pct"/>
                  <w:vAlign w:val="center"/>
                </w:tcPr>
                <w:p w14:paraId="75DB473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项目不使用涂料，排放的VOCs实行倍量替代</w:t>
                  </w:r>
                </w:p>
              </w:tc>
              <w:tc>
                <w:tcPr>
                  <w:tcW w:w="275" w:type="pct"/>
                  <w:vAlign w:val="center"/>
                </w:tcPr>
                <w:p w14:paraId="66BCBC15">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3C5B11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0F21729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908" w:type="pct"/>
                  <w:vAlign w:val="center"/>
                </w:tcPr>
                <w:p w14:paraId="7F28110D">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《福建省2020年挥发性有机物治理攻坚实施方案》的通知(闽环保大气〔2020〕6号)</w:t>
                  </w:r>
                </w:p>
              </w:tc>
              <w:tc>
                <w:tcPr>
                  <w:tcW w:w="2445" w:type="pct"/>
                  <w:vAlign w:val="center"/>
                </w:tcPr>
                <w:p w14:paraId="3DA34B5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(1)大力推进源头替代，有效减少VOCs产生；</w:t>
                  </w:r>
                </w:p>
                <w:p w14:paraId="4311142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渣、液)、废吸附剂等通过加盖、封装等方式密闭，妥善存放，集中清运，交有资质的单位处置，不得随意丢弃；</w:t>
                  </w:r>
                </w:p>
                <w:p w14:paraId="7546024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聚焦治污设施“三率”，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w:t>
                  </w:r>
                  <w:r>
                    <w:rPr>
                      <w:rFonts w:hint="eastAsia"/>
                      <w:color w:val="000000" w:themeColor="text1"/>
                      <w:lang w:eastAsia="zh-CN"/>
                      <w14:textFill>
                        <w14:solidFill>
                          <w14:schemeClr w14:val="tx1"/>
                        </w14:solidFill>
                      </w14:textFill>
                    </w:rPr>
                    <w:t>及</w:t>
                  </w:r>
                  <w:r>
                    <w:rPr>
                      <w:rFonts w:hint="eastAsia"/>
                      <w:color w:val="000000" w:themeColor="text1"/>
                      <w14:textFill>
                        <w14:solidFill>
                          <w14:schemeClr w14:val="tx1"/>
                        </w14:solidFill>
                      </w14:textFill>
                    </w:rPr>
                    <w:t>时更换。</w:t>
                  </w:r>
                </w:p>
              </w:tc>
              <w:tc>
                <w:tcPr>
                  <w:tcW w:w="1097" w:type="pct"/>
                  <w:vAlign w:val="center"/>
                </w:tcPr>
                <w:p w14:paraId="0D2D0C8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(1)项目不使用涂料；</w:t>
                  </w:r>
                </w:p>
                <w:p w14:paraId="0ED699D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(2)项目密炼设备在生产时密闭，使用储罐储存橡胶油，对产生的炼胶有机废气采取集气罩收集处理后排放；</w:t>
                  </w:r>
                </w:p>
                <w:p w14:paraId="68422B4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(3)本项目将产生的非甲烷总烃收集后通过1套“二级活性炭吸附装置”处理后排放，项目采取集气罩将废气收集，采用碘值不低于800毫克/克的活性炭，并定期更换</w:t>
                  </w:r>
                </w:p>
              </w:tc>
              <w:tc>
                <w:tcPr>
                  <w:tcW w:w="275" w:type="pct"/>
                  <w:vAlign w:val="center"/>
                </w:tcPr>
                <w:p w14:paraId="42AD9E4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913DC2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314111C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908" w:type="pct"/>
                  <w:vAlign w:val="center"/>
                </w:tcPr>
                <w:p w14:paraId="3FDEFCF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《福州市生态环境保护委员会办公室关于印发</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年度福州市蓝天碧海净土保卫战行动计划通知》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榕环委办</w:t>
                  </w:r>
                  <w:r>
                    <w:rPr>
                      <w:color w:val="000000" w:themeColor="text1"/>
                      <w14:textFill>
                        <w14:solidFill>
                          <w14:schemeClr w14:val="tx1"/>
                        </w14:solidFill>
                      </w14:textFill>
                    </w:rPr>
                    <w:t>[2022]49</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p>
              </w:tc>
              <w:tc>
                <w:tcPr>
                  <w:tcW w:w="2445" w:type="pct"/>
                  <w:vAlign w:val="center"/>
                </w:tcPr>
                <w:p w14:paraId="7B26E5F6">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097" w:type="pct"/>
                  <w:vAlign w:val="center"/>
                </w:tcPr>
                <w:p w14:paraId="02CE7B41">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项目VOCs排放拟实行区域内倍量替代，项目VOCs年排放量小于5吨。</w:t>
                  </w:r>
                </w:p>
              </w:tc>
              <w:tc>
                <w:tcPr>
                  <w:tcW w:w="275" w:type="pct"/>
                  <w:vAlign w:val="center"/>
                </w:tcPr>
                <w:p w14:paraId="14BE39B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1C92ED6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469373D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908" w:type="pct"/>
                  <w:vAlign w:val="center"/>
                </w:tcPr>
                <w:p w14:paraId="14A86674">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《福州市“十四五”生态环境保护规划》(榕政办〔2021〕123 号)</w:t>
                  </w:r>
                </w:p>
                <w:p w14:paraId="565A9DA7">
                  <w:pPr>
                    <w:pStyle w:val="221"/>
                    <w:widowControl w:val="0"/>
                    <w:rPr>
                      <w:color w:val="000000" w:themeColor="text1"/>
                      <w14:textFill>
                        <w14:solidFill>
                          <w14:schemeClr w14:val="tx1"/>
                        </w14:solidFill>
                      </w14:textFill>
                    </w:rPr>
                  </w:pPr>
                </w:p>
              </w:tc>
              <w:tc>
                <w:tcPr>
                  <w:tcW w:w="2445" w:type="pct"/>
                  <w:vAlign w:val="center"/>
                </w:tcPr>
                <w:p w14:paraId="2C853940">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强化挥发性有机物整治。......实行挥发性有机物排放倍量替代。加大涉VOCs企业源头替代力度，推广使用低(无)VOCs原辅材料替代，禁止生产高VOCs含量有机溶剂型涂料、油墨和胶粘剂的新、改、扩建项目，推进重点企业“油改水”治理，提高有机溶剂回收率。”</w:t>
                  </w:r>
                </w:p>
              </w:tc>
              <w:tc>
                <w:tcPr>
                  <w:tcW w:w="1097" w:type="pct"/>
                  <w:vAlign w:val="center"/>
                </w:tcPr>
                <w:p w14:paraId="640327B3">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w:t>
                  </w:r>
                  <w:r>
                    <w:rPr>
                      <w:rFonts w:hint="eastAsia"/>
                      <w:color w:val="000000" w:themeColor="text1"/>
                      <w14:textFill>
                        <w14:solidFill>
                          <w14:schemeClr w14:val="tx1"/>
                        </w14:solidFill>
                      </w14:textFill>
                    </w:rPr>
                    <w:t>项目不使用涂料</w:t>
                  </w:r>
                </w:p>
              </w:tc>
              <w:tc>
                <w:tcPr>
                  <w:tcW w:w="275" w:type="pct"/>
                  <w:vAlign w:val="center"/>
                </w:tcPr>
                <w:p w14:paraId="6B36F9F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F1C18B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46A721E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908" w:type="pct"/>
                  <w:vAlign w:val="center"/>
                </w:tcPr>
                <w:p w14:paraId="4AE2ADE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《2021年福州市提升空气质量行动计划》（榕环委办〔2021〕23号）</w:t>
                  </w:r>
                </w:p>
              </w:tc>
              <w:tc>
                <w:tcPr>
                  <w:tcW w:w="2445" w:type="pct"/>
                  <w:vAlign w:val="center"/>
                </w:tcPr>
                <w:p w14:paraId="3F4C2F36">
                  <w:pPr>
                    <w:pStyle w:val="221"/>
                    <w:widowControl w:val="0"/>
                    <w:rPr>
                      <w:color w:val="000000" w:themeColor="text1"/>
                      <w14:textFill>
                        <w14:solidFill>
                          <w14:schemeClr w14:val="tx1"/>
                        </w14:solidFill>
                      </w14:textFill>
                    </w:rPr>
                  </w:pPr>
                  <w:r>
                    <w:rPr>
                      <w:bCs/>
                      <w:color w:val="000000" w:themeColor="text1"/>
                      <w14:textFill>
                        <w14:solidFill>
                          <w14:schemeClr w14:val="tx1"/>
                        </w14:solidFill>
                      </w14:textFill>
                    </w:rPr>
                    <w:t>严格涉VOCs建设项目环境影响评价审批，新、改、扩建涉VOCs排放项目，应使用低（无）VOCs涂料、粘胶剂等，实施新建项目VOCs排放区域内倍量替代。VOCs年排放量大于10吨的新建项目投运前应安装VOCs在线监控设备，并接入市生态云平台。</w:t>
                  </w:r>
                </w:p>
              </w:tc>
              <w:tc>
                <w:tcPr>
                  <w:tcW w:w="1097" w:type="pct"/>
                  <w:vAlign w:val="center"/>
                </w:tcPr>
                <w:p w14:paraId="1D723527">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w:t>
                  </w:r>
                  <w:r>
                    <w:rPr>
                      <w:rFonts w:hint="eastAsia"/>
                      <w:color w:val="000000" w:themeColor="text1"/>
                      <w14:textFill>
                        <w14:solidFill>
                          <w14:schemeClr w14:val="tx1"/>
                        </w14:solidFill>
                      </w14:textFill>
                    </w:rPr>
                    <w:t>项目不使用涂料</w:t>
                  </w:r>
                  <w:r>
                    <w:rPr>
                      <w:rFonts w:hint="eastAsia"/>
                      <w:bCs/>
                      <w:color w:val="000000" w:themeColor="text1"/>
                      <w14:textFill>
                        <w14:solidFill>
                          <w14:schemeClr w14:val="tx1"/>
                        </w14:solidFill>
                      </w14:textFill>
                    </w:rPr>
                    <w:t>；项目</w:t>
                  </w:r>
                  <w:r>
                    <w:rPr>
                      <w:bCs/>
                      <w:color w:val="000000" w:themeColor="text1"/>
                      <w14:textFill>
                        <w14:solidFill>
                          <w14:schemeClr w14:val="tx1"/>
                        </w14:solidFill>
                      </w14:textFill>
                    </w:rPr>
                    <w:t>VOCs</w:t>
                  </w:r>
                  <w:r>
                    <w:rPr>
                      <w:rFonts w:hint="eastAsia"/>
                      <w:bCs/>
                      <w:color w:val="000000" w:themeColor="text1"/>
                      <w14:textFill>
                        <w14:solidFill>
                          <w14:schemeClr w14:val="tx1"/>
                        </w14:solidFill>
                      </w14:textFill>
                    </w:rPr>
                    <w:t>排放量＜10t/a，无需安装</w:t>
                  </w:r>
                  <w:r>
                    <w:rPr>
                      <w:bCs/>
                      <w:color w:val="000000" w:themeColor="text1"/>
                      <w14:textFill>
                        <w14:solidFill>
                          <w14:schemeClr w14:val="tx1"/>
                        </w14:solidFill>
                      </w14:textFill>
                    </w:rPr>
                    <w:t>在线监控设备</w:t>
                  </w:r>
                </w:p>
              </w:tc>
              <w:tc>
                <w:tcPr>
                  <w:tcW w:w="275" w:type="pct"/>
                  <w:vAlign w:val="center"/>
                </w:tcPr>
                <w:p w14:paraId="41F84FA6">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45C9C5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4B85828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908" w:type="pct"/>
                  <w:vAlign w:val="center"/>
                </w:tcPr>
                <w:p w14:paraId="71AC91CB">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《福建省重点行业挥发性有机物排放控制要求(试行)的通知》(闽环保大气〔2017〕9号)</w:t>
                  </w:r>
                </w:p>
              </w:tc>
              <w:tc>
                <w:tcPr>
                  <w:tcW w:w="2445" w:type="pct"/>
                  <w:vAlign w:val="center"/>
                </w:tcPr>
                <w:p w14:paraId="3FBF9EBC">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(1)工艺过程控制要求</w:t>
                  </w:r>
                </w:p>
                <w:p w14:paraId="57B74CE0">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含VOCs物料应储存于密闭容器中。盛装含VOCs物料的容器应存放于储存室内，或至少设置遮阳挡雨等设施；</w:t>
                  </w:r>
                </w:p>
                <w:p w14:paraId="5DE5EB37">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(2)其他控制要求</w:t>
                  </w:r>
                </w:p>
                <w:p w14:paraId="2AC0D479">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产生有废气的生产工艺和装置均设有收集系统和净化处理装置；所有产生VOCs的生产车间(或生产设施)均进行密闭，无露天和敞开式涂装、流平、干燥作业；不能完全密闭的部位设置软帘阻隔设施，减少废气排放；更换的VOCs吸附剂的废弃物等，产生后马上密闭，存放在不透气的容器内，贮存、转移期间保持密闭；密闭式局部收集的逸散的VOCs废气收集率达到80%以上。</w:t>
                  </w:r>
                </w:p>
              </w:tc>
              <w:tc>
                <w:tcPr>
                  <w:tcW w:w="1097" w:type="pct"/>
                  <w:vAlign w:val="center"/>
                </w:tcPr>
                <w:p w14:paraId="670176E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项目使用的橡胶油储存于密闭储罐中，放置于室内；炼胶工序设置在封闭车间内，产生的有机废气经集气罩收集后经二级活性炭吸附装置处理，收集效率可达80%。</w:t>
                  </w:r>
                </w:p>
              </w:tc>
              <w:tc>
                <w:tcPr>
                  <w:tcW w:w="275" w:type="pct"/>
                  <w:vAlign w:val="center"/>
                </w:tcPr>
                <w:p w14:paraId="2B27EC2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1169A44B">
            <w:pPr>
              <w:pStyle w:val="185"/>
              <w:ind w:firstLine="480"/>
              <w:rPr>
                <w:color w:val="000000" w:themeColor="text1"/>
                <w14:textFill>
                  <w14:solidFill>
                    <w14:schemeClr w14:val="tx1"/>
                  </w14:solidFill>
                </w14:textFill>
              </w:rPr>
            </w:pPr>
          </w:p>
          <w:p w14:paraId="44510DA2">
            <w:pPr>
              <w:pStyle w:val="185"/>
              <w:ind w:firstLine="480"/>
              <w:rPr>
                <w:color w:val="000000" w:themeColor="text1"/>
                <w14:textFill>
                  <w14:solidFill>
                    <w14:schemeClr w14:val="tx1"/>
                  </w14:solidFill>
                </w14:textFill>
              </w:rPr>
            </w:pPr>
          </w:p>
          <w:p w14:paraId="2B1B9D2E">
            <w:pPr>
              <w:pStyle w:val="185"/>
              <w:ind w:firstLine="480"/>
              <w:rPr>
                <w:color w:val="000000" w:themeColor="text1"/>
                <w14:textFill>
                  <w14:solidFill>
                    <w14:schemeClr w14:val="tx1"/>
                  </w14:solidFill>
                </w14:textFill>
              </w:rPr>
            </w:pPr>
          </w:p>
          <w:p w14:paraId="727918FB">
            <w:pPr>
              <w:pStyle w:val="185"/>
              <w:ind w:firstLine="480"/>
              <w:rPr>
                <w:color w:val="000000" w:themeColor="text1"/>
                <w14:textFill>
                  <w14:solidFill>
                    <w14:schemeClr w14:val="tx1"/>
                  </w14:solidFill>
                </w14:textFill>
              </w:rPr>
            </w:pPr>
          </w:p>
          <w:p w14:paraId="5648E4BA">
            <w:pPr>
              <w:pStyle w:val="185"/>
              <w:ind w:firstLine="480"/>
              <w:rPr>
                <w:color w:val="000000" w:themeColor="text1"/>
                <w14:textFill>
                  <w14:solidFill>
                    <w14:schemeClr w14:val="tx1"/>
                  </w14:solidFill>
                </w14:textFill>
              </w:rPr>
            </w:pPr>
          </w:p>
          <w:p w14:paraId="12CC8CC0">
            <w:pPr>
              <w:pStyle w:val="185"/>
              <w:ind w:firstLine="480"/>
              <w:rPr>
                <w:color w:val="000000" w:themeColor="text1"/>
                <w14:textFill>
                  <w14:solidFill>
                    <w14:schemeClr w14:val="tx1"/>
                  </w14:solidFill>
                </w14:textFill>
              </w:rPr>
            </w:pPr>
          </w:p>
          <w:p w14:paraId="422A6189">
            <w:pPr>
              <w:pStyle w:val="185"/>
              <w:ind w:firstLine="480"/>
              <w:rPr>
                <w:color w:val="000000" w:themeColor="text1"/>
                <w14:textFill>
                  <w14:solidFill>
                    <w14:schemeClr w14:val="tx1"/>
                  </w14:solidFill>
                </w14:textFill>
              </w:rPr>
            </w:pPr>
          </w:p>
          <w:p w14:paraId="0C7406A8">
            <w:pPr>
              <w:pStyle w:val="185"/>
              <w:ind w:firstLine="480"/>
              <w:rPr>
                <w:color w:val="000000" w:themeColor="text1"/>
                <w14:textFill>
                  <w14:solidFill>
                    <w14:schemeClr w14:val="tx1"/>
                  </w14:solidFill>
                </w14:textFill>
              </w:rPr>
            </w:pPr>
          </w:p>
          <w:p w14:paraId="5E9F78CE">
            <w:pPr>
              <w:pStyle w:val="185"/>
              <w:ind w:firstLine="480"/>
              <w:rPr>
                <w:color w:val="000000" w:themeColor="text1"/>
                <w14:textFill>
                  <w14:solidFill>
                    <w14:schemeClr w14:val="tx1"/>
                  </w14:solidFill>
                </w14:textFill>
              </w:rPr>
            </w:pPr>
          </w:p>
          <w:p w14:paraId="16614E52">
            <w:pPr>
              <w:pStyle w:val="185"/>
              <w:ind w:firstLine="480"/>
              <w:rPr>
                <w:color w:val="000000" w:themeColor="text1"/>
                <w14:textFill>
                  <w14:solidFill>
                    <w14:schemeClr w14:val="tx1"/>
                  </w14:solidFill>
                </w14:textFill>
              </w:rPr>
            </w:pPr>
          </w:p>
          <w:p w14:paraId="566979FD">
            <w:pPr>
              <w:pStyle w:val="164"/>
              <w:rPr>
                <w:rFonts w:hint="eastAsia"/>
                <w:color w:val="000000" w:themeColor="text1"/>
                <w14:textFill>
                  <w14:solidFill>
                    <w14:schemeClr w14:val="tx1"/>
                  </w14:solidFill>
                </w14:textFill>
              </w:rPr>
            </w:pPr>
          </w:p>
        </w:tc>
      </w:tr>
    </w:tbl>
    <w:p w14:paraId="3711D8D4">
      <w:pPr>
        <w:widowControl w:val="0"/>
        <w:topLinePunct/>
        <w:spacing w:line="360" w:lineRule="auto"/>
        <w:rPr>
          <w:rFonts w:ascii="Times New Roman" w:hAnsi="Times New Roman" w:eastAsia="宋体" w:cs="Times New Roman"/>
          <w:color w:val="000000" w:themeColor="text1"/>
          <w:sz w:val="30"/>
          <w14:textFill>
            <w14:solidFill>
              <w14:schemeClr w14:val="tx1"/>
            </w14:solidFill>
          </w14:textFill>
        </w:rPr>
        <w:sectPr>
          <w:footerReference r:id="rId10" w:type="default"/>
          <w:pgSz w:w="11906" w:h="16838"/>
          <w:pgMar w:top="1417" w:right="1417" w:bottom="1417" w:left="1417" w:header="992" w:footer="879" w:gutter="0"/>
          <w:pgNumType w:start="1"/>
          <w:cols w:space="720" w:num="1"/>
          <w:docGrid w:linePitch="326" w:charSpace="0"/>
        </w:sectPr>
      </w:pPr>
    </w:p>
    <w:p w14:paraId="4926B0A3">
      <w:pPr>
        <w:pStyle w:val="29"/>
        <w:widowControl w:val="0"/>
        <w:topLinePunct/>
        <w:spacing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3" w:name="_Toc32681"/>
      <w:bookmarkStart w:id="4" w:name="_Toc29661"/>
      <w:r>
        <w:rPr>
          <w:rFonts w:ascii="Times New Roman" w:hAnsi="Times New Roman" w:eastAsia="宋体" w:cs="Times New Roman"/>
          <w:b/>
          <w:bCs/>
          <w:snapToGrid w:val="0"/>
          <w:color w:val="000000" w:themeColor="text1"/>
          <w:sz w:val="32"/>
          <w:szCs w:val="32"/>
          <w14:textFill>
            <w14:solidFill>
              <w14:schemeClr w14:val="tx1"/>
            </w14:solidFill>
          </w14:textFill>
        </w:rPr>
        <w:t>二、建设项目工程分析</w:t>
      </w:r>
      <w:bookmarkEnd w:id="3"/>
      <w:bookmarkEnd w:id="4"/>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834"/>
      </w:tblGrid>
      <w:tr w14:paraId="29E51F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80" w:hRule="atLeast"/>
          <w:jc w:val="center"/>
        </w:trPr>
        <w:tc>
          <w:tcPr>
            <w:tcW w:w="456" w:type="dxa"/>
            <w:vAlign w:val="center"/>
          </w:tcPr>
          <w:p w14:paraId="1C5E0501">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建设内容</w:t>
            </w:r>
          </w:p>
        </w:tc>
        <w:tc>
          <w:tcPr>
            <w:tcW w:w="8833" w:type="dxa"/>
          </w:tcPr>
          <w:p w14:paraId="74AB9676">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2.1 建设内容</w:t>
            </w:r>
          </w:p>
          <w:p w14:paraId="0F6683FD">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2.1.1 项目由来</w:t>
            </w:r>
          </w:p>
          <w:p w14:paraId="039B279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福州市富赫橡塑科技有限公司成立于2025年10月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是一家从事：新材料技术研发；橡胶制品销售；橡胶制品制造；高品质合成橡胶销售；塑料制品销售；塑料制品制造；塑胶表面处理；工程塑料及合成树脂销售；工程塑料及合成树脂制造；合成材料销售；合成材料制造(不含危险化学品)；汽车零配件批发；汽车零配件零售；体育用品及器材批发；体育用品及器材零售；五金产品零售；五金产品批发；新材料技术推广服务。</w:t>
            </w:r>
          </w:p>
          <w:p w14:paraId="42579C7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w:t>
            </w:r>
            <w:r>
              <w:rPr>
                <w:color w:val="000000" w:themeColor="text1"/>
                <w14:textFill>
                  <w14:solidFill>
                    <w14:schemeClr w14:val="tx1"/>
                  </w14:solidFill>
                </w14:textFill>
              </w:rPr>
              <w:t>拟建的</w:t>
            </w:r>
            <w:r>
              <w:rPr>
                <w:rFonts w:hint="eastAsia"/>
                <w:color w:val="000000" w:themeColor="text1"/>
                <w14:textFill>
                  <w14:solidFill>
                    <w14:schemeClr w14:val="tx1"/>
                  </w14:solidFill>
                </w14:textFill>
              </w:rPr>
              <w:t>“福州市富赫橡塑科技有限公司年加工橡胶片4000吨、橡胶条5000吨”</w:t>
            </w:r>
            <w:r>
              <w:rPr>
                <w:color w:val="000000" w:themeColor="text1"/>
                <w14:textFill>
                  <w14:solidFill>
                    <w14:schemeClr w14:val="tx1"/>
                  </w14:solidFill>
                </w14:textFill>
              </w:rPr>
              <w:t>位于</w:t>
            </w:r>
            <w:r>
              <w:rPr>
                <w:rFonts w:hint="eastAsia"/>
                <w:color w:val="000000" w:themeColor="text1"/>
                <w14:textFill>
                  <w14:solidFill>
                    <w14:schemeClr w14:val="tx1"/>
                  </w14:solidFill>
                </w14:textFill>
              </w:rPr>
              <w:t>闽台（福州）蓝色经济产业园（福建省蓝谷海工装备产业综合体A32厂房（二期）整座），</w:t>
            </w:r>
            <w:r>
              <w:rPr>
                <w:color w:val="000000" w:themeColor="text1"/>
                <w14:textFill>
                  <w14:solidFill>
                    <w14:schemeClr w14:val="tx1"/>
                  </w14:solidFill>
                </w14:textFill>
              </w:rPr>
              <w:t>总投资</w:t>
            </w:r>
            <w:r>
              <w:rPr>
                <w:rFonts w:hint="eastAsia"/>
                <w:color w:val="000000" w:themeColor="text1"/>
                <w14:textFill>
                  <w14:solidFill>
                    <w14:schemeClr w14:val="tx1"/>
                  </w14:solidFill>
                </w14:textFill>
              </w:rPr>
              <w:t>500</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，租赁福州恒荣塑胶有限公司厂房面积2246.55平方米，年加工橡胶片4000吨、橡胶条5000吨，购置上辅机、密炼机、开炼机、冷却线、空压机、集尘器及相关等附属设备设施。</w:t>
            </w:r>
          </w:p>
          <w:p w14:paraId="4C6777CC">
            <w:pPr>
              <w:pStyle w:val="225"/>
              <w:ind w:firstLine="480"/>
              <w:rPr>
                <w:color w:val="000000" w:themeColor="text1"/>
                <w:spacing w:val="-1"/>
                <w14:textFill>
                  <w14:solidFill>
                    <w14:schemeClr w14:val="tx1"/>
                  </w14:solidFill>
                </w14:textFill>
              </w:rPr>
            </w:pPr>
            <w:r>
              <w:rPr>
                <w:color w:val="000000" w:themeColor="text1"/>
                <w14:textFill>
                  <w14:solidFill>
                    <w14:schemeClr w14:val="tx1"/>
                  </w14:solidFill>
                </w14:textFill>
              </w:rPr>
              <w:t xml:space="preserve">根据《中华人民共和国环境保护法》、《中华人民共和国环境影响评价法》 </w:t>
            </w:r>
            <w:r>
              <w:rPr>
                <w:color w:val="000000" w:themeColor="text1"/>
                <w:spacing w:val="-2"/>
                <w14:textFill>
                  <w14:solidFill>
                    <w14:schemeClr w14:val="tx1"/>
                  </w14:solidFill>
                </w14:textFill>
              </w:rPr>
              <w:t>等有关法律法规以及</w:t>
            </w:r>
            <w:r>
              <w:rPr>
                <w:color w:val="000000" w:themeColor="text1"/>
                <w14:textFill>
                  <w14:solidFill>
                    <w14:schemeClr w14:val="tx1"/>
                  </w14:solidFill>
                </w14:textFill>
              </w:rPr>
              <w:t>《建设项目环境影响评价分类管理名录》（2021年版）等相关规定</w:t>
            </w:r>
            <w:r>
              <w:rPr>
                <w:color w:val="000000" w:themeColor="text1"/>
                <w:spacing w:val="-3"/>
                <w14:textFill>
                  <w14:solidFill>
                    <w14:schemeClr w14:val="tx1"/>
                  </w14:solidFill>
                </w14:textFill>
              </w:rPr>
              <w:t>，项目</w:t>
            </w:r>
            <w:r>
              <w:rPr>
                <w:color w:val="000000" w:themeColor="text1"/>
                <w:spacing w:val="-1"/>
                <w14:textFill>
                  <w14:solidFill>
                    <w14:schemeClr w14:val="tx1"/>
                  </w14:solidFill>
                </w14:textFill>
              </w:rPr>
              <w:t>应编制环境影响报告表，具体见表</w:t>
            </w:r>
            <w:r>
              <w:rPr>
                <w:color w:val="000000" w:themeColor="text1"/>
                <w:spacing w:val="-53"/>
                <w14:textFill>
                  <w14:solidFill>
                    <w14:schemeClr w14:val="tx1"/>
                  </w14:solidFill>
                </w14:textFill>
              </w:rPr>
              <w:t xml:space="preserve"> </w:t>
            </w:r>
            <w:r>
              <w:rPr>
                <w:color w:val="000000" w:themeColor="text1"/>
                <w:spacing w:val="-1"/>
                <w14:textFill>
                  <w14:solidFill>
                    <w14:schemeClr w14:val="tx1"/>
                  </w14:solidFill>
                </w14:textFill>
              </w:rPr>
              <w:t>2</w:t>
            </w:r>
            <w:r>
              <w:rPr>
                <w:rFonts w:hint="eastAsia"/>
                <w:color w:val="000000" w:themeColor="text1"/>
                <w:spacing w:val="-1"/>
                <w14:textFill>
                  <w14:solidFill>
                    <w14:schemeClr w14:val="tx1"/>
                  </w14:solidFill>
                </w14:textFill>
              </w:rPr>
              <w:t>.1</w:t>
            </w:r>
            <w:r>
              <w:rPr>
                <w:color w:val="000000" w:themeColor="text1"/>
                <w:spacing w:val="-1"/>
                <w14:textFill>
                  <w14:solidFill>
                    <w14:schemeClr w14:val="tx1"/>
                  </w14:solidFill>
                </w14:textFill>
              </w:rPr>
              <w:t>-1。</w:t>
            </w:r>
          </w:p>
          <w:p w14:paraId="4F648776">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因此，建设单位委托本环评单位编制该项目的环境影响评价文件（见附件 1）。本环评单位接受委托后，立即派技术人员踏勘现场和收集相关资料，并依照《中华人民共和国环境保护法》《中华人民共和国环境影响评价法》等相关规定编制成报告表，建设单位报生态环境主管部门审批。</w:t>
            </w:r>
          </w:p>
          <w:p w14:paraId="3128151F">
            <w:pPr>
              <w:pStyle w:val="222"/>
              <w:spacing w:before="120"/>
              <w:rPr>
                <w:color w:val="000000" w:themeColor="text1"/>
                <w:spacing w:val="-1"/>
                <w14:textFill>
                  <w14:solidFill>
                    <w14:schemeClr w14:val="tx1"/>
                  </w14:solidFill>
                </w14:textFill>
              </w:rPr>
            </w:pPr>
            <w:r>
              <w:rPr>
                <w:color w:val="000000" w:themeColor="text1"/>
                <w14:textFill>
                  <w14:solidFill>
                    <w14:schemeClr w14:val="tx1"/>
                  </w14:solidFill>
                </w14:textFill>
              </w:rPr>
              <w:t>表</w:t>
            </w:r>
            <w:r>
              <w:rPr>
                <w:color w:val="000000" w:themeColor="text1"/>
                <w:spacing w:val="-40"/>
                <w14:textFill>
                  <w14:solidFill>
                    <w14:schemeClr w14:val="tx1"/>
                  </w14:solidFill>
                </w14:textFill>
              </w:rPr>
              <w:t xml:space="preserve"> </w:t>
            </w:r>
            <w:r>
              <w:rPr>
                <w:color w:val="000000" w:themeColor="text1"/>
                <w14:textFill>
                  <w14:solidFill>
                    <w14:schemeClr w14:val="tx1"/>
                  </w14:solidFill>
                </w14:textFill>
              </w:rPr>
              <w:t>2.1-1   建设环境影响评价分类管理</w:t>
            </w:r>
            <w:r>
              <w:rPr>
                <w:color w:val="000000" w:themeColor="text1"/>
                <w:spacing w:val="6"/>
                <w14:textFill>
                  <w14:solidFill>
                    <w14:schemeClr w14:val="tx1"/>
                  </w14:solidFill>
                </w14:textFill>
              </w:rPr>
              <w:t>名录（摘录）</w:t>
            </w:r>
          </w:p>
          <w:tbl>
            <w:tblPr>
              <w:tblStyle w:val="17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78"/>
              <w:gridCol w:w="2698"/>
              <w:gridCol w:w="1700"/>
              <w:gridCol w:w="1834"/>
            </w:tblGrid>
            <w:tr w14:paraId="5D2912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81" w:type="pct"/>
                  <w:tcBorders>
                    <w:top w:val="single" w:color="000000" w:sz="10" w:space="0"/>
                    <w:tl2br w:val="single" w:color="000000" w:sz="4" w:space="0"/>
                  </w:tcBorders>
                  <w:vAlign w:val="bottom"/>
                </w:tcPr>
                <w:p w14:paraId="36A7EEA0">
                  <w:pPr>
                    <w:pStyle w:val="172"/>
                    <w:spacing w:after="0" w:line="240" w:lineRule="auto"/>
                    <w:jc w:val="right"/>
                    <w:rPr>
                      <w:rFonts w:ascii="Times New Roman" w:hAnsi="Times New Roman" w:eastAsia="宋体" w:cs="Times New Roman"/>
                      <w:color w:val="000000" w:themeColor="text1"/>
                      <w:spacing w:val="7"/>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环评类别</w:t>
                  </w:r>
                </w:p>
                <w:p w14:paraId="71643DBA">
                  <w:pPr>
                    <w:pStyle w:val="172"/>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6"/>
                      <w:sz w:val="21"/>
                      <w:szCs w:val="21"/>
                      <w14:textFill>
                        <w14:solidFill>
                          <w14:schemeClr w14:val="tx1"/>
                        </w14:solidFill>
                      </w14:textFill>
                    </w:rPr>
                    <w:t>项目类别</w:t>
                  </w:r>
                </w:p>
              </w:tc>
              <w:tc>
                <w:tcPr>
                  <w:tcW w:w="1567" w:type="pct"/>
                  <w:tcBorders>
                    <w:top w:val="single" w:color="000000" w:sz="10" w:space="0"/>
                  </w:tcBorders>
                  <w:vAlign w:val="center"/>
                </w:tcPr>
                <w:p w14:paraId="2C155F5C">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报告书</w:t>
                  </w:r>
                </w:p>
              </w:tc>
              <w:tc>
                <w:tcPr>
                  <w:tcW w:w="987" w:type="pct"/>
                  <w:tcBorders>
                    <w:top w:val="single" w:color="000000" w:sz="10" w:space="0"/>
                  </w:tcBorders>
                  <w:vAlign w:val="center"/>
                </w:tcPr>
                <w:p w14:paraId="6225CCC7">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报告表</w:t>
                  </w:r>
                </w:p>
              </w:tc>
              <w:tc>
                <w:tcPr>
                  <w:tcW w:w="1065" w:type="pct"/>
                  <w:tcBorders>
                    <w:top w:val="single" w:color="000000" w:sz="10" w:space="0"/>
                    <w:right w:val="single" w:color="000000" w:sz="6" w:space="0"/>
                  </w:tcBorders>
                  <w:vAlign w:val="center"/>
                </w:tcPr>
                <w:p w14:paraId="4BF07FF5">
                  <w:pPr>
                    <w:pStyle w:val="172"/>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pacing w:val="5"/>
                      <w:sz w:val="21"/>
                      <w:szCs w:val="21"/>
                      <w:lang w:eastAsia="zh-CN"/>
                      <w14:textFill>
                        <w14:solidFill>
                          <w14:schemeClr w14:val="tx1"/>
                        </w14:solidFill>
                      </w14:textFill>
                    </w:rPr>
                    <w:t>判定类别</w:t>
                  </w:r>
                </w:p>
              </w:tc>
            </w:tr>
            <w:tr w14:paraId="494B8D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5000" w:type="pct"/>
                  <w:gridSpan w:val="4"/>
                  <w:tcBorders>
                    <w:right w:val="single" w:color="000000" w:sz="6" w:space="0"/>
                  </w:tcBorders>
                  <w:vAlign w:val="center"/>
                </w:tcPr>
                <w:p w14:paraId="5C6C2810">
                  <w:pPr>
                    <w:pStyle w:val="172"/>
                    <w:spacing w:after="0" w:line="240" w:lineRule="auto"/>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pacing w:val="7"/>
                      <w:sz w:val="21"/>
                      <w:szCs w:val="21"/>
                      <w:lang w:eastAsia="zh-CN"/>
                      <w14:textFill>
                        <w14:solidFill>
                          <w14:schemeClr w14:val="tx1"/>
                        </w14:solidFill>
                      </w14:textFill>
                    </w:rPr>
                    <w:t>二十六、橡胶和塑料制品业</w:t>
                  </w:r>
                  <w:r>
                    <w:rPr>
                      <w:rFonts w:ascii="Times New Roman" w:hAnsi="Times New Roman" w:eastAsia="宋体" w:cs="Times New Roman"/>
                      <w:b/>
                      <w:bCs/>
                      <w:color w:val="000000" w:themeColor="text1"/>
                      <w:spacing w:val="7"/>
                      <w:sz w:val="21"/>
                      <w:szCs w:val="21"/>
                      <w:lang w:eastAsia="zh-CN"/>
                      <w14:textFill>
                        <w14:solidFill>
                          <w14:schemeClr w14:val="tx1"/>
                        </w14:solidFill>
                      </w14:textFill>
                    </w:rPr>
                    <w:t>29</w:t>
                  </w:r>
                </w:p>
              </w:tc>
            </w:tr>
            <w:tr w14:paraId="091F0C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81" w:type="pct"/>
                  <w:vAlign w:val="center"/>
                </w:tcPr>
                <w:p w14:paraId="0789F7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橡胶制品业</w:t>
                  </w:r>
                  <w:r>
                    <w:rPr>
                      <w:color w:val="000000" w:themeColor="text1"/>
                      <w14:textFill>
                        <w14:solidFill>
                          <w14:schemeClr w14:val="tx1"/>
                        </w14:solidFill>
                      </w14:textFill>
                    </w:rPr>
                    <w:t>291</w:t>
                  </w:r>
                </w:p>
              </w:tc>
              <w:tc>
                <w:tcPr>
                  <w:tcW w:w="1567" w:type="pct"/>
                  <w:vAlign w:val="center"/>
                </w:tcPr>
                <w:p w14:paraId="2E3B54EE">
                  <w:pPr>
                    <w:pStyle w:val="221"/>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轮胎制造；再生橡胶制造（常压连续脱硫工艺除外）</w:t>
                  </w:r>
                </w:p>
              </w:tc>
              <w:tc>
                <w:tcPr>
                  <w:tcW w:w="987" w:type="pct"/>
                  <w:shd w:val="clear" w:color="auto" w:fill="auto"/>
                  <w:vAlign w:val="center"/>
                </w:tcPr>
                <w:p w14:paraId="78F3658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1065" w:type="pct"/>
                  <w:tcBorders>
                    <w:right w:val="single" w:color="000000" w:sz="6" w:space="0"/>
                  </w:tcBorders>
                  <w:vAlign w:val="center"/>
                </w:tcPr>
                <w:p w14:paraId="1FF1025B">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项目属于橡胶零配件制造，不使用再生橡胶，编制报告表</w:t>
                  </w:r>
                </w:p>
              </w:tc>
            </w:tr>
          </w:tbl>
          <w:p w14:paraId="5CAD6E06">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p>
          <w:p w14:paraId="693E5A01">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2.1.2 项目基本情况</w:t>
            </w:r>
          </w:p>
          <w:p w14:paraId="157799FF">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项目名称：</w:t>
            </w:r>
            <w:r>
              <w:rPr>
                <w:rFonts w:hint="eastAsia" w:ascii="Times New Roman" w:hAnsi="Times New Roman" w:eastAsia="宋体" w:cs="Times New Roman"/>
                <w:color w:val="000000" w:themeColor="text1"/>
                <w:szCs w:val="24"/>
                <w14:textFill>
                  <w14:solidFill>
                    <w14:schemeClr w14:val="tx1"/>
                  </w14:solidFill>
                </w14:textFill>
              </w:rPr>
              <w:t>福州市富赫橡塑科技有限公司年加工橡胶片4000吨、橡胶条5000吨</w:t>
            </w:r>
          </w:p>
          <w:p w14:paraId="7DDF19C8">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w:t>
            </w:r>
            <w:r>
              <w:rPr>
                <w:rFonts w:hint="eastAsia" w:ascii="Times New Roman" w:hAnsi="Times New Roman" w:eastAsia="宋体" w:cs="Times New Roman"/>
                <w:color w:val="000000" w:themeColor="text1"/>
                <w:szCs w:val="24"/>
                <w14:textFill>
                  <w14:solidFill>
                    <w14:schemeClr w14:val="tx1"/>
                  </w14:solidFill>
                </w14:textFill>
              </w:rPr>
              <w:t>福州市富赫橡塑科技有限公司</w:t>
            </w:r>
          </w:p>
          <w:p w14:paraId="4485BC61">
            <w:pPr>
              <w:spacing w:after="0" w:line="360" w:lineRule="auto"/>
              <w:ind w:firstLine="480" w:firstLineChars="200"/>
              <w:rPr>
                <w:color w:val="000000" w:themeColor="text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p>
          <w:p w14:paraId="262671A3">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项目性质：</w:t>
            </w:r>
            <w:r>
              <w:rPr>
                <w:rFonts w:hint="eastAsia" w:ascii="Times New Roman" w:hAnsi="Times New Roman" w:eastAsia="宋体" w:cs="Times New Roman"/>
                <w:color w:val="000000" w:themeColor="text1"/>
                <w:szCs w:val="24"/>
                <w14:textFill>
                  <w14:solidFill>
                    <w14:schemeClr w14:val="tx1"/>
                  </w14:solidFill>
                </w14:textFill>
              </w:rPr>
              <w:t>新建</w:t>
            </w:r>
          </w:p>
          <w:p w14:paraId="465F047B">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w:t>
            </w:r>
            <w:r>
              <w:rPr>
                <w:rFonts w:hint="eastAsia" w:ascii="Times New Roman" w:hAnsi="Times New Roman" w:eastAsia="宋体" w:cs="Times New Roman"/>
                <w:color w:val="000000" w:themeColor="text1"/>
                <w:szCs w:val="24"/>
                <w14:textFill>
                  <w14:solidFill>
                    <w14:schemeClr w14:val="tx1"/>
                  </w14:solidFill>
                </w14:textFill>
              </w:rPr>
              <w:t>500</w:t>
            </w:r>
            <w:r>
              <w:rPr>
                <w:rFonts w:ascii="Times New Roman" w:hAnsi="Times New Roman" w:eastAsia="宋体" w:cs="Times New Roman"/>
                <w:color w:val="000000" w:themeColor="text1"/>
                <w:szCs w:val="24"/>
                <w14:textFill>
                  <w14:solidFill>
                    <w14:schemeClr w14:val="tx1"/>
                  </w14:solidFill>
                </w14:textFill>
              </w:rPr>
              <w:t>万元，其中环保投资</w:t>
            </w:r>
            <w:r>
              <w:rPr>
                <w:rFonts w:hint="eastAsia" w:ascii="Times New Roman" w:hAnsi="Times New Roman" w:eastAsia="宋体" w:cs="Times New Roman"/>
                <w:color w:val="000000" w:themeColor="text1"/>
                <w:szCs w:val="24"/>
                <w14:textFill>
                  <w14:solidFill>
                    <w14:schemeClr w14:val="tx1"/>
                  </w14:solidFill>
                </w14:textFill>
              </w:rPr>
              <w:t>10</w:t>
            </w:r>
            <w:r>
              <w:rPr>
                <w:rFonts w:ascii="Times New Roman" w:hAnsi="Times New Roman" w:eastAsia="宋体" w:cs="Times New Roman"/>
                <w:color w:val="000000" w:themeColor="text1"/>
                <w:szCs w:val="24"/>
                <w14:textFill>
                  <w14:solidFill>
                    <w14:schemeClr w14:val="tx1"/>
                  </w14:solidFill>
                </w14:textFill>
              </w:rPr>
              <w:t>万元</w:t>
            </w:r>
          </w:p>
          <w:p w14:paraId="6CFC207C">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生产规模：</w:t>
            </w:r>
            <w:r>
              <w:rPr>
                <w:rFonts w:hint="eastAsia" w:ascii="Times New Roman" w:hAnsi="Times New Roman" w:eastAsia="宋体" w:cs="Times New Roman"/>
                <w:color w:val="000000" w:themeColor="text1"/>
                <w:spacing w:val="-2"/>
                <w14:textFill>
                  <w14:solidFill>
                    <w14:schemeClr w14:val="tx1"/>
                  </w14:solidFill>
                </w14:textFill>
              </w:rPr>
              <w:t>年加工橡胶片4000吨、橡胶条5000吨</w:t>
            </w:r>
          </w:p>
          <w:p w14:paraId="7811DED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劳动定员：</w:t>
            </w:r>
            <w:r>
              <w:rPr>
                <w:rFonts w:hint="eastAsia" w:ascii="Times New Roman" w:hAnsi="Times New Roman" w:eastAsia="宋体" w:cs="Times New Roman"/>
                <w:color w:val="000000" w:themeColor="text1"/>
                <w:szCs w:val="24"/>
                <w14:textFill>
                  <w14:solidFill>
                    <w14:schemeClr w14:val="tx1"/>
                  </w14:solidFill>
                </w14:textFill>
              </w:rPr>
              <w:t>13人，不在厂区食宿</w:t>
            </w:r>
            <w:r>
              <w:rPr>
                <w:rFonts w:ascii="Times New Roman" w:hAnsi="Times New Roman" w:eastAsia="宋体" w:cs="Times New Roman"/>
                <w:color w:val="000000" w:themeColor="text1"/>
                <w:szCs w:val="24"/>
                <w14:textFill>
                  <w14:solidFill>
                    <w14:schemeClr w14:val="tx1"/>
                  </w14:solidFill>
                </w14:textFill>
              </w:rPr>
              <w:t>。</w:t>
            </w:r>
          </w:p>
          <w:p w14:paraId="49BE2B5B">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工作制度：</w:t>
            </w:r>
            <w:r>
              <w:rPr>
                <w:rFonts w:hint="eastAsia" w:ascii="Times New Roman" w:hAnsi="Times New Roman" w:eastAsia="宋体" w:cs="Times New Roman"/>
                <w:color w:val="000000" w:themeColor="text1"/>
                <w:szCs w:val="24"/>
                <w14:textFill>
                  <w14:solidFill>
                    <w14:schemeClr w14:val="tx1"/>
                  </w14:solidFill>
                </w14:textFill>
              </w:rPr>
              <w:t>年工作300天，每日工作8小时</w:t>
            </w:r>
            <w:r>
              <w:rPr>
                <w:rFonts w:ascii="Times New Roman" w:hAnsi="Times New Roman" w:eastAsia="宋体" w:cs="Times New Roman"/>
                <w:color w:val="000000" w:themeColor="text1"/>
                <w:szCs w:val="24"/>
                <w14:textFill>
                  <w14:solidFill>
                    <w14:schemeClr w14:val="tx1"/>
                  </w14:solidFill>
                </w14:textFill>
              </w:rPr>
              <w:t>。</w:t>
            </w:r>
          </w:p>
          <w:p w14:paraId="1DB739D6">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2.1.3 项目建设内容及组成</w:t>
            </w:r>
          </w:p>
          <w:p w14:paraId="64B637A2">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本项目组成及主要建设内容见表2.1-</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p>
          <w:p w14:paraId="17EA09D0">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项目组成与工程建设内容</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1804"/>
              <w:gridCol w:w="1536"/>
              <w:gridCol w:w="4452"/>
            </w:tblGrid>
            <w:tr w14:paraId="63013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0" w:type="dxa"/>
                  <w:gridSpan w:val="2"/>
                  <w:vAlign w:val="center"/>
                </w:tcPr>
                <w:p w14:paraId="0B0A9976">
                  <w:pPr>
                    <w:pStyle w:val="221"/>
                    <w:rPr>
                      <w:color w:val="000000" w:themeColor="text1"/>
                      <w14:textFill>
                        <w14:solidFill>
                          <w14:schemeClr w14:val="tx1"/>
                        </w14:solidFill>
                      </w14:textFill>
                    </w:rPr>
                  </w:pPr>
                  <w:r>
                    <w:rPr>
                      <w:color w:val="000000" w:themeColor="text1"/>
                      <w14:textFill>
                        <w14:solidFill>
                          <w14:schemeClr w14:val="tx1"/>
                        </w14:solidFill>
                      </w14:textFill>
                    </w:rPr>
                    <w:t>主要项目名称</w:t>
                  </w:r>
                </w:p>
              </w:tc>
              <w:tc>
                <w:tcPr>
                  <w:tcW w:w="5988" w:type="dxa"/>
                  <w:gridSpan w:val="2"/>
                  <w:vAlign w:val="center"/>
                </w:tcPr>
                <w:p w14:paraId="21F71E7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建设内容</w:t>
                  </w:r>
                </w:p>
              </w:tc>
            </w:tr>
            <w:tr w14:paraId="2FB76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Align w:val="center"/>
                </w:tcPr>
                <w:p w14:paraId="54B3F304">
                  <w:pPr>
                    <w:pStyle w:val="221"/>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1804" w:type="dxa"/>
                  <w:vAlign w:val="center"/>
                </w:tcPr>
                <w:p w14:paraId="7091D508">
                  <w:pPr>
                    <w:pStyle w:val="22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生产区</w:t>
                  </w:r>
                </w:p>
              </w:tc>
              <w:tc>
                <w:tcPr>
                  <w:tcW w:w="5988" w:type="dxa"/>
                  <w:gridSpan w:val="2"/>
                  <w:vAlign w:val="center"/>
                </w:tcPr>
                <w:p w14:paraId="7E728AB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位于厂房一层，设置3条橡胶制品生产线，年加工橡胶片4000吨、橡胶条5000吨</w:t>
                  </w:r>
                </w:p>
              </w:tc>
            </w:tr>
            <w:tr w14:paraId="4377B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5B8AE62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1804" w:type="dxa"/>
                  <w:vAlign w:val="center"/>
                </w:tcPr>
                <w:p w14:paraId="42809124">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仓库</w:t>
                  </w:r>
                </w:p>
              </w:tc>
              <w:tc>
                <w:tcPr>
                  <w:tcW w:w="5988" w:type="dxa"/>
                  <w:gridSpan w:val="2"/>
                  <w:vAlign w:val="center"/>
                </w:tcPr>
                <w:p w14:paraId="4453F4C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位于厂房2层，建筑面积约360m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，用于存放原料及成品</w:t>
                  </w:r>
                </w:p>
              </w:tc>
            </w:tr>
            <w:tr w14:paraId="7C78D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7CA09603">
                  <w:pPr>
                    <w:pStyle w:val="221"/>
                    <w:rPr>
                      <w:color w:val="000000" w:themeColor="text1"/>
                      <w14:textFill>
                        <w14:solidFill>
                          <w14:schemeClr w14:val="tx1"/>
                        </w14:solidFill>
                      </w14:textFill>
                    </w:rPr>
                  </w:pPr>
                </w:p>
              </w:tc>
              <w:tc>
                <w:tcPr>
                  <w:tcW w:w="1804" w:type="dxa"/>
                  <w:vAlign w:val="center"/>
                </w:tcPr>
                <w:p w14:paraId="711A1CF4">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橡胶油储罐</w:t>
                  </w:r>
                </w:p>
              </w:tc>
              <w:tc>
                <w:tcPr>
                  <w:tcW w:w="5988" w:type="dxa"/>
                  <w:gridSpan w:val="2"/>
                  <w:vAlign w:val="center"/>
                </w:tcPr>
                <w:p w14:paraId="4A77D38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位于厂房一层北侧，设置30t油罐1个，20t油罐2个</w:t>
                  </w:r>
                </w:p>
              </w:tc>
            </w:tr>
            <w:tr w14:paraId="02218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4816A3A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1804" w:type="dxa"/>
                  <w:vAlign w:val="center"/>
                </w:tcPr>
                <w:p w14:paraId="3E214326">
                  <w:pPr>
                    <w:pStyle w:val="221"/>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5988" w:type="dxa"/>
                  <w:gridSpan w:val="2"/>
                  <w:vAlign w:val="center"/>
                </w:tcPr>
                <w:p w14:paraId="5AD2E412">
                  <w:pPr>
                    <w:pStyle w:val="221"/>
                    <w:rPr>
                      <w:color w:val="000000" w:themeColor="text1"/>
                      <w14:textFill>
                        <w14:solidFill>
                          <w14:schemeClr w14:val="tx1"/>
                        </w14:solidFill>
                      </w14:textFill>
                    </w:rPr>
                  </w:pPr>
                  <w:r>
                    <w:rPr>
                      <w:color w:val="000000" w:themeColor="text1"/>
                      <w:spacing w:val="7"/>
                      <w:szCs w:val="21"/>
                      <w14:textFill>
                        <w14:solidFill>
                          <w14:schemeClr w14:val="tx1"/>
                        </w14:solidFill>
                      </w14:textFill>
                    </w:rPr>
                    <w:t>雨污分</w:t>
                  </w:r>
                  <w:r>
                    <w:rPr>
                      <w:color w:val="000000" w:themeColor="text1"/>
                      <w:spacing w:val="8"/>
                      <w:szCs w:val="21"/>
                      <w14:textFill>
                        <w14:solidFill>
                          <w14:schemeClr w14:val="tx1"/>
                        </w14:solidFill>
                      </w14:textFill>
                    </w:rPr>
                    <w:t>流，生活污水经化粪池</w:t>
                  </w:r>
                  <w:r>
                    <w:rPr>
                      <w:rFonts w:hint="eastAsia"/>
                      <w:color w:val="000000" w:themeColor="text1"/>
                      <w:spacing w:val="8"/>
                      <w:szCs w:val="21"/>
                      <w14:textFill>
                        <w14:solidFill>
                          <w14:schemeClr w14:val="tx1"/>
                        </w14:solidFill>
                      </w14:textFill>
                    </w:rPr>
                    <w:t>处理</w:t>
                  </w:r>
                  <w:r>
                    <w:rPr>
                      <w:color w:val="000000" w:themeColor="text1"/>
                      <w:spacing w:val="8"/>
                      <w:szCs w:val="21"/>
                      <w14:textFill>
                        <w14:solidFill>
                          <w14:schemeClr w14:val="tx1"/>
                        </w14:solidFill>
                      </w14:textFill>
                    </w:rPr>
                    <w:t>后进入</w:t>
                  </w:r>
                  <w:r>
                    <w:rPr>
                      <w:rFonts w:hint="eastAsia"/>
                      <w:color w:val="000000" w:themeColor="text1"/>
                      <w:spacing w:val="7"/>
                      <w:szCs w:val="21"/>
                      <w14:textFill>
                        <w14:solidFill>
                          <w14:schemeClr w14:val="tx1"/>
                        </w14:solidFill>
                      </w14:textFill>
                    </w:rPr>
                    <w:t>江镜华侨农场污水处理厂</w:t>
                  </w:r>
                </w:p>
              </w:tc>
            </w:tr>
            <w:tr w14:paraId="306D5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69F5FAB8">
                  <w:pPr>
                    <w:pStyle w:val="221"/>
                    <w:rPr>
                      <w:color w:val="000000" w:themeColor="text1"/>
                      <w14:textFill>
                        <w14:solidFill>
                          <w14:schemeClr w14:val="tx1"/>
                        </w14:solidFill>
                      </w14:textFill>
                    </w:rPr>
                  </w:pPr>
                </w:p>
              </w:tc>
              <w:tc>
                <w:tcPr>
                  <w:tcW w:w="1804" w:type="dxa"/>
                  <w:vAlign w:val="center"/>
                </w:tcPr>
                <w:p w14:paraId="22A909D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供水</w:t>
                  </w:r>
                </w:p>
              </w:tc>
              <w:tc>
                <w:tcPr>
                  <w:tcW w:w="5988" w:type="dxa"/>
                  <w:gridSpan w:val="2"/>
                  <w:vAlign w:val="center"/>
                </w:tcPr>
                <w:p w14:paraId="759C8AC1">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市政管网供应</w:t>
                  </w:r>
                </w:p>
              </w:tc>
            </w:tr>
            <w:tr w14:paraId="1D003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1015A57B">
                  <w:pPr>
                    <w:pStyle w:val="221"/>
                    <w:rPr>
                      <w:color w:val="000000" w:themeColor="text1"/>
                      <w14:textFill>
                        <w14:solidFill>
                          <w14:schemeClr w14:val="tx1"/>
                        </w14:solidFill>
                      </w14:textFill>
                    </w:rPr>
                  </w:pPr>
                </w:p>
              </w:tc>
              <w:tc>
                <w:tcPr>
                  <w:tcW w:w="1804" w:type="dxa"/>
                  <w:vAlign w:val="center"/>
                </w:tcPr>
                <w:p w14:paraId="0EB520F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5988" w:type="dxa"/>
                  <w:gridSpan w:val="2"/>
                  <w:vAlign w:val="center"/>
                </w:tcPr>
                <w:p w14:paraId="1CDF25D8">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市政电网供应</w:t>
                  </w:r>
                </w:p>
              </w:tc>
            </w:tr>
            <w:tr w14:paraId="7626A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5433EA29">
                  <w:pPr>
                    <w:pStyle w:val="221"/>
                    <w:rPr>
                      <w:color w:val="000000" w:themeColor="text1"/>
                      <w14:textFill>
                        <w14:solidFill>
                          <w14:schemeClr w14:val="tx1"/>
                        </w14:solidFill>
                      </w14:textFill>
                    </w:rPr>
                  </w:pPr>
                </w:p>
              </w:tc>
              <w:tc>
                <w:tcPr>
                  <w:tcW w:w="1804" w:type="dxa"/>
                  <w:vAlign w:val="center"/>
                </w:tcPr>
                <w:p w14:paraId="6074A6C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制冷</w:t>
                  </w:r>
                </w:p>
              </w:tc>
              <w:tc>
                <w:tcPr>
                  <w:tcW w:w="5988" w:type="dxa"/>
                  <w:gridSpan w:val="2"/>
                  <w:vAlign w:val="center"/>
                </w:tcPr>
                <w:p w14:paraId="375A80C8">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安装3台冷冻机用于产品冷却</w:t>
                  </w:r>
                </w:p>
              </w:tc>
            </w:tr>
            <w:tr w14:paraId="7AE10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Align w:val="center"/>
                </w:tcPr>
                <w:p w14:paraId="50A33DC7">
                  <w:pPr>
                    <w:pStyle w:val="221"/>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1804" w:type="dxa"/>
                  <w:vAlign w:val="center"/>
                </w:tcPr>
                <w:p w14:paraId="0CF5A74E">
                  <w:pPr>
                    <w:pStyle w:val="221"/>
                    <w:rPr>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办公室</w:t>
                  </w:r>
                </w:p>
              </w:tc>
              <w:tc>
                <w:tcPr>
                  <w:tcW w:w="5988" w:type="dxa"/>
                  <w:gridSpan w:val="2"/>
                  <w:vAlign w:val="center"/>
                </w:tcPr>
                <w:p w14:paraId="7F306DC2">
                  <w:pPr>
                    <w:pStyle w:val="221"/>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位于厂房3层，建筑面积约360m</w:t>
                  </w:r>
                  <w:r>
                    <w:rPr>
                      <w:rFonts w:hint="eastAsia"/>
                      <w:color w:val="000000" w:themeColor="text1"/>
                      <w:spacing w:val="7"/>
                      <w:vertAlign w:val="superscript"/>
                      <w14:textFill>
                        <w14:solidFill>
                          <w14:schemeClr w14:val="tx1"/>
                        </w14:solidFill>
                      </w14:textFill>
                    </w:rPr>
                    <w:t>2</w:t>
                  </w:r>
                </w:p>
              </w:tc>
            </w:tr>
            <w:tr w14:paraId="453DA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5C409E8C">
                  <w:pPr>
                    <w:pStyle w:val="221"/>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1804" w:type="dxa"/>
                  <w:vAlign w:val="center"/>
                </w:tcPr>
                <w:p w14:paraId="1A456C35">
                  <w:pPr>
                    <w:pStyle w:val="221"/>
                    <w:rPr>
                      <w:color w:val="000000" w:themeColor="text1"/>
                      <w14:textFill>
                        <w14:solidFill>
                          <w14:schemeClr w14:val="tx1"/>
                        </w14:solidFill>
                      </w14:textFill>
                    </w:rPr>
                  </w:pPr>
                  <w:r>
                    <w:rPr>
                      <w:color w:val="000000" w:themeColor="text1"/>
                      <w14:textFill>
                        <w14:solidFill>
                          <w14:schemeClr w14:val="tx1"/>
                        </w14:solidFill>
                      </w14:textFill>
                    </w:rPr>
                    <w:t>废水工程</w:t>
                  </w:r>
                </w:p>
              </w:tc>
              <w:tc>
                <w:tcPr>
                  <w:tcW w:w="5988" w:type="dxa"/>
                  <w:gridSpan w:val="2"/>
                  <w:vAlign w:val="center"/>
                </w:tcPr>
                <w:p w14:paraId="208BED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项目不排放生产废水，生活污水经化粪池处理后进入江镜华侨农场污水处理厂进一步处理</w:t>
                  </w:r>
                </w:p>
              </w:tc>
            </w:tr>
            <w:tr w14:paraId="7E735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00B6C767">
                  <w:pPr>
                    <w:pStyle w:val="221"/>
                    <w:rPr>
                      <w:color w:val="000000" w:themeColor="text1"/>
                      <w14:textFill>
                        <w14:solidFill>
                          <w14:schemeClr w14:val="tx1"/>
                        </w14:solidFill>
                      </w14:textFill>
                    </w:rPr>
                  </w:pPr>
                </w:p>
              </w:tc>
              <w:tc>
                <w:tcPr>
                  <w:tcW w:w="1804" w:type="dxa"/>
                  <w:vMerge w:val="restart"/>
                  <w:vAlign w:val="center"/>
                </w:tcPr>
                <w:p w14:paraId="041F1D26">
                  <w:pPr>
                    <w:pStyle w:val="221"/>
                    <w:rPr>
                      <w:color w:val="000000" w:themeColor="text1"/>
                      <w14:textFill>
                        <w14:solidFill>
                          <w14:schemeClr w14:val="tx1"/>
                        </w14:solidFill>
                      </w14:textFill>
                    </w:rPr>
                  </w:pPr>
                  <w:r>
                    <w:rPr>
                      <w:color w:val="000000" w:themeColor="text1"/>
                      <w14:textFill>
                        <w14:solidFill>
                          <w14:schemeClr w14:val="tx1"/>
                        </w14:solidFill>
                      </w14:textFill>
                    </w:rPr>
                    <w:t>废气工程</w:t>
                  </w:r>
                </w:p>
              </w:tc>
              <w:tc>
                <w:tcPr>
                  <w:tcW w:w="1536" w:type="dxa"/>
                  <w:vAlign w:val="center"/>
                </w:tcPr>
                <w:p w14:paraId="4230208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投料粉尘</w:t>
                  </w:r>
                </w:p>
              </w:tc>
              <w:tc>
                <w:tcPr>
                  <w:tcW w:w="4452" w:type="dxa"/>
                  <w:vAlign w:val="center"/>
                </w:tcPr>
                <w:p w14:paraId="740DBDA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集气罩收集+布袋除尘器处理+15米高排气筒排放（DA001）</w:t>
                  </w:r>
                </w:p>
              </w:tc>
            </w:tr>
            <w:tr w14:paraId="6AF28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5DF930BE">
                  <w:pPr>
                    <w:pStyle w:val="221"/>
                    <w:rPr>
                      <w:color w:val="000000" w:themeColor="text1"/>
                      <w14:textFill>
                        <w14:solidFill>
                          <w14:schemeClr w14:val="tx1"/>
                        </w14:solidFill>
                      </w14:textFill>
                    </w:rPr>
                  </w:pPr>
                </w:p>
              </w:tc>
              <w:tc>
                <w:tcPr>
                  <w:tcW w:w="1804" w:type="dxa"/>
                  <w:vMerge w:val="continue"/>
                  <w:vAlign w:val="center"/>
                </w:tcPr>
                <w:p w14:paraId="1420108E">
                  <w:pPr>
                    <w:pStyle w:val="221"/>
                    <w:rPr>
                      <w:color w:val="000000" w:themeColor="text1"/>
                      <w14:textFill>
                        <w14:solidFill>
                          <w14:schemeClr w14:val="tx1"/>
                        </w14:solidFill>
                      </w14:textFill>
                    </w:rPr>
                  </w:pPr>
                </w:p>
              </w:tc>
              <w:tc>
                <w:tcPr>
                  <w:tcW w:w="1536" w:type="dxa"/>
                  <w:vAlign w:val="center"/>
                </w:tcPr>
                <w:p w14:paraId="5C83D1D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4452" w:type="dxa"/>
                  <w:vAlign w:val="center"/>
                </w:tcPr>
                <w:p w14:paraId="6119AC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集气罩收集+二级活性炭吸附+15米高排气筒排放（DA002）</w:t>
                  </w:r>
                </w:p>
              </w:tc>
            </w:tr>
            <w:tr w14:paraId="74147E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1499F82C">
                  <w:pPr>
                    <w:pStyle w:val="221"/>
                    <w:rPr>
                      <w:color w:val="000000" w:themeColor="text1"/>
                      <w14:textFill>
                        <w14:solidFill>
                          <w14:schemeClr w14:val="tx1"/>
                        </w14:solidFill>
                      </w14:textFill>
                    </w:rPr>
                  </w:pPr>
                </w:p>
              </w:tc>
              <w:tc>
                <w:tcPr>
                  <w:tcW w:w="1804" w:type="dxa"/>
                  <w:vAlign w:val="center"/>
                </w:tcPr>
                <w:p w14:paraId="10DDAC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噪声工程</w:t>
                  </w:r>
                </w:p>
              </w:tc>
              <w:tc>
                <w:tcPr>
                  <w:tcW w:w="5988" w:type="dxa"/>
                  <w:gridSpan w:val="2"/>
                  <w:vAlign w:val="center"/>
                </w:tcPr>
                <w:p w14:paraId="05D0112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选用低噪声设备，基础减振，厂房隔声</w:t>
                  </w:r>
                </w:p>
              </w:tc>
            </w:tr>
            <w:tr w14:paraId="3B080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64D9A189">
                  <w:pPr>
                    <w:pStyle w:val="221"/>
                    <w:rPr>
                      <w:color w:val="000000" w:themeColor="text1"/>
                      <w14:textFill>
                        <w14:solidFill>
                          <w14:schemeClr w14:val="tx1"/>
                        </w14:solidFill>
                      </w14:textFill>
                    </w:rPr>
                  </w:pPr>
                </w:p>
              </w:tc>
              <w:tc>
                <w:tcPr>
                  <w:tcW w:w="1804" w:type="dxa"/>
                  <w:vAlign w:val="center"/>
                </w:tcPr>
                <w:p w14:paraId="58BDC06D">
                  <w:pPr>
                    <w:pStyle w:val="221"/>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5988" w:type="dxa"/>
                  <w:gridSpan w:val="2"/>
                  <w:vAlign w:val="center"/>
                </w:tcPr>
                <w:p w14:paraId="4D4E14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设置一般固废暂存区一个，建筑面积20m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；设置危险废物暂存库一座，建筑面积5m</w:t>
                  </w:r>
                  <w:r>
                    <w:rPr>
                      <w:rFonts w:hint="eastAsia"/>
                      <w:color w:val="000000" w:themeColor="text1"/>
                      <w:vertAlign w:val="superscript"/>
                      <w14:textFill>
                        <w14:solidFill>
                          <w14:schemeClr w14:val="tx1"/>
                        </w14:solidFill>
                      </w14:textFill>
                    </w:rPr>
                    <w:t>2</w:t>
                  </w:r>
                </w:p>
              </w:tc>
            </w:tr>
            <w:tr w14:paraId="2C7D4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500E98AD">
                  <w:pPr>
                    <w:pStyle w:val="221"/>
                    <w:rPr>
                      <w:color w:val="000000" w:themeColor="text1"/>
                      <w14:textFill>
                        <w14:solidFill>
                          <w14:schemeClr w14:val="tx1"/>
                        </w14:solidFill>
                      </w14:textFill>
                    </w:rPr>
                  </w:pPr>
                </w:p>
              </w:tc>
              <w:tc>
                <w:tcPr>
                  <w:tcW w:w="1804" w:type="dxa"/>
                  <w:vAlign w:val="center"/>
                </w:tcPr>
                <w:p w14:paraId="636057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tc>
              <w:tc>
                <w:tcPr>
                  <w:tcW w:w="5988" w:type="dxa"/>
                  <w:gridSpan w:val="2"/>
                  <w:vAlign w:val="center"/>
                </w:tcPr>
                <w:p w14:paraId="196693D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橡胶油储罐周边设置围堰，围堰有效容积30m</w:t>
                  </w:r>
                  <w:r>
                    <w:rPr>
                      <w:rFonts w:hint="eastAsia"/>
                      <w:color w:val="000000" w:themeColor="text1"/>
                      <w:vertAlign w:val="superscript"/>
                      <w14:textFill>
                        <w14:solidFill>
                          <w14:schemeClr w14:val="tx1"/>
                        </w14:solidFill>
                      </w14:textFill>
                    </w:rPr>
                    <w:t>3</w:t>
                  </w:r>
                </w:p>
              </w:tc>
            </w:tr>
            <w:tr w14:paraId="5DF4A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4323765F">
                  <w:pPr>
                    <w:pStyle w:val="221"/>
                    <w:rPr>
                      <w:color w:val="000000" w:themeColor="text1"/>
                      <w14:textFill>
                        <w14:solidFill>
                          <w14:schemeClr w14:val="tx1"/>
                        </w14:solidFill>
                      </w14:textFill>
                    </w:rPr>
                  </w:pPr>
                </w:p>
              </w:tc>
              <w:tc>
                <w:tcPr>
                  <w:tcW w:w="1804" w:type="dxa"/>
                  <w:vAlign w:val="center"/>
                </w:tcPr>
                <w:p w14:paraId="7D85B4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土壤和地下水</w:t>
                  </w:r>
                </w:p>
              </w:tc>
              <w:tc>
                <w:tcPr>
                  <w:tcW w:w="5988" w:type="dxa"/>
                  <w:gridSpan w:val="2"/>
                  <w:vAlign w:val="center"/>
                </w:tcPr>
                <w:p w14:paraId="6FFAF3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分区防渗，危废间划为重点防渗区、储罐区划为一般防渗区，其余区域为简单防渗区</w:t>
                  </w:r>
                </w:p>
              </w:tc>
            </w:tr>
          </w:tbl>
          <w:p w14:paraId="0D0ADB6A">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2.1.4 主要产品及产能</w:t>
            </w:r>
          </w:p>
          <w:p w14:paraId="6C7E8132">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本项目产品方案见表2.1-</w:t>
            </w: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 xml:space="preserve">。 </w:t>
            </w:r>
          </w:p>
          <w:p w14:paraId="46E14E95">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项目产品方案</w:t>
            </w:r>
            <w:r>
              <w:rPr>
                <w:rFonts w:hint="eastAsia"/>
                <w:color w:val="000000" w:themeColor="text1"/>
                <w14:textFill>
                  <w14:solidFill>
                    <w14:schemeClr w14:val="tx1"/>
                  </w14:solidFill>
                </w14:textFill>
              </w:rPr>
              <w:t>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36"/>
              <w:gridCol w:w="3982"/>
            </w:tblGrid>
            <w:tr w14:paraId="23F57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0" w:type="pct"/>
                  <w:vAlign w:val="center"/>
                </w:tcPr>
                <w:p w14:paraId="750205A1">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产品名称</w:t>
                  </w:r>
                </w:p>
              </w:tc>
              <w:tc>
                <w:tcPr>
                  <w:tcW w:w="2310" w:type="pct"/>
                  <w:vAlign w:val="center"/>
                </w:tcPr>
                <w:p w14:paraId="1D464357">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生产规模</w:t>
                  </w:r>
                </w:p>
              </w:tc>
            </w:tr>
            <w:tr w14:paraId="391A60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0" w:type="pct"/>
                  <w:vAlign w:val="center"/>
                </w:tcPr>
                <w:p w14:paraId="3B04DE6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橡胶片</w:t>
                  </w:r>
                </w:p>
              </w:tc>
              <w:tc>
                <w:tcPr>
                  <w:tcW w:w="2310" w:type="pct"/>
                  <w:vAlign w:val="center"/>
                </w:tcPr>
                <w:p w14:paraId="25B248D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4000吨/年</w:t>
                  </w:r>
                </w:p>
              </w:tc>
            </w:tr>
            <w:tr w14:paraId="1671D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0" w:type="pct"/>
                  <w:vAlign w:val="center"/>
                </w:tcPr>
                <w:p w14:paraId="34F22EB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橡胶条</w:t>
                  </w:r>
                </w:p>
              </w:tc>
              <w:tc>
                <w:tcPr>
                  <w:tcW w:w="2310" w:type="pct"/>
                  <w:vAlign w:val="center"/>
                </w:tcPr>
                <w:p w14:paraId="6881AA3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5000吨/年</w:t>
                  </w:r>
                </w:p>
              </w:tc>
            </w:tr>
          </w:tbl>
          <w:p w14:paraId="0F24BAF3">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5</w:t>
            </w:r>
            <w:r>
              <w:rPr>
                <w:rFonts w:ascii="Times New Roman" w:hAnsi="Times New Roman" w:eastAsia="宋体" w:cs="Times New Roman"/>
                <w:b/>
                <w:bCs/>
                <w:color w:val="000000" w:themeColor="text1"/>
                <w:szCs w:val="24"/>
                <w14:textFill>
                  <w14:solidFill>
                    <w14:schemeClr w14:val="tx1"/>
                  </w14:solidFill>
                </w14:textFill>
              </w:rPr>
              <w:t>主要原辅材料及燃料种类和用量</w:t>
            </w:r>
          </w:p>
          <w:p w14:paraId="295FB2E4">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本项目主要原辅材料及能源消耗情况见表2.1-</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w:t>
            </w:r>
          </w:p>
          <w:p w14:paraId="5B168705">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本项目主要原辅材料及能源消耗情况</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46"/>
              <w:gridCol w:w="1980"/>
              <w:gridCol w:w="2196"/>
              <w:gridCol w:w="2196"/>
            </w:tblGrid>
            <w:tr w14:paraId="5CF98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5FCD4B7F">
                  <w:pPr>
                    <w:pStyle w:val="221"/>
                    <w:rPr>
                      <w:rFonts w:hint="eastAsia" w:ascii="宋体" w:hAnsi="宋体"/>
                      <w:color w:val="000000" w:themeColor="text1"/>
                      <w14:textFill>
                        <w14:solidFill>
                          <w14:schemeClr w14:val="tx1"/>
                        </w14:solidFill>
                      </w14:textFill>
                    </w:rPr>
                  </w:pPr>
                  <w:r>
                    <w:rPr>
                      <w:rFonts w:hint="eastAsia"/>
                      <w:color w:val="000000" w:themeColor="text1"/>
                      <w14:textFill>
                        <w14:solidFill>
                          <w14:schemeClr w14:val="tx1"/>
                        </w14:solidFill>
                      </w14:textFill>
                    </w:rPr>
                    <w:t>原辅材料</w:t>
                  </w:r>
                  <w:r>
                    <w:rPr>
                      <w:rFonts w:hint="eastAsia" w:ascii="宋体" w:hAnsi="宋体"/>
                      <w:color w:val="000000" w:themeColor="text1"/>
                      <w14:textFill>
                        <w14:solidFill>
                          <w14:schemeClr w14:val="tx1"/>
                        </w14:solidFill>
                      </w14:textFill>
                    </w:rPr>
                    <w:t>名称</w:t>
                  </w:r>
                </w:p>
                <w:p w14:paraId="7F6BAC8B">
                  <w:pPr>
                    <w:pStyle w:val="221"/>
                    <w:rPr>
                      <w:rFonts w:hint="eastAsia" w:ascii="宋体" w:hAnsi="宋体"/>
                      <w:color w:val="000000" w:themeColor="text1"/>
                      <w14:textFill>
                        <w14:solidFill>
                          <w14:schemeClr w14:val="tx1"/>
                        </w14:solidFill>
                      </w14:textFill>
                    </w:rPr>
                  </w:pPr>
                </w:p>
                <w:p w14:paraId="09E7F72D">
                  <w:pPr>
                    <w:pStyle w:val="221"/>
                    <w:rPr>
                      <w:rFonts w:hint="eastAsia" w:ascii="宋体" w:hAnsi="宋体"/>
                      <w:color w:val="000000" w:themeColor="text1"/>
                      <w14:textFill>
                        <w14:solidFill>
                          <w14:schemeClr w14:val="tx1"/>
                        </w14:solidFill>
                      </w14:textFill>
                    </w:rPr>
                  </w:pPr>
                </w:p>
                <w:p w14:paraId="036BC41D">
                  <w:pPr>
                    <w:pStyle w:val="221"/>
                    <w:rPr>
                      <w:rFonts w:hint="eastAsia" w:ascii="宋体" w:hAnsi="宋体"/>
                      <w:color w:val="000000" w:themeColor="text1"/>
                      <w14:textFill>
                        <w14:solidFill>
                          <w14:schemeClr w14:val="tx1"/>
                        </w14:solidFill>
                      </w14:textFill>
                    </w:rPr>
                  </w:pPr>
                </w:p>
              </w:tc>
              <w:tc>
                <w:tcPr>
                  <w:tcW w:w="1149" w:type="pct"/>
                  <w:vAlign w:val="center"/>
                </w:tcPr>
                <w:p w14:paraId="02FBEE04">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年用量（吨）</w:t>
                  </w:r>
                </w:p>
              </w:tc>
              <w:tc>
                <w:tcPr>
                  <w:tcW w:w="1274" w:type="pct"/>
                  <w:vAlign w:val="center"/>
                </w:tcPr>
                <w:p w14:paraId="767B9CD1">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厂内最大储存量（吨）</w:t>
                  </w:r>
                </w:p>
              </w:tc>
              <w:tc>
                <w:tcPr>
                  <w:tcW w:w="1274" w:type="pct"/>
                  <w:vAlign w:val="center"/>
                </w:tcPr>
                <w:p w14:paraId="13AD8C4E">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储存位置</w:t>
                  </w:r>
                </w:p>
              </w:tc>
            </w:tr>
            <w:tr w14:paraId="1F09C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44213182">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炭黑</w:t>
                  </w:r>
                </w:p>
              </w:tc>
              <w:tc>
                <w:tcPr>
                  <w:tcW w:w="1149" w:type="pct"/>
                  <w:vAlign w:val="center"/>
                </w:tcPr>
                <w:p w14:paraId="02B350B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1800</w:t>
                  </w:r>
                </w:p>
              </w:tc>
              <w:tc>
                <w:tcPr>
                  <w:tcW w:w="1274" w:type="pct"/>
                  <w:vAlign w:val="center"/>
                </w:tcPr>
                <w:p w14:paraId="78831E2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274" w:type="pct"/>
                  <w:vAlign w:val="center"/>
                </w:tcPr>
                <w:p w14:paraId="5D641400">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291FE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404ED8A9">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陶土</w:t>
                  </w:r>
                </w:p>
              </w:tc>
              <w:tc>
                <w:tcPr>
                  <w:tcW w:w="1149" w:type="pct"/>
                  <w:vAlign w:val="center"/>
                </w:tcPr>
                <w:p w14:paraId="541537C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2700</w:t>
                  </w:r>
                </w:p>
              </w:tc>
              <w:tc>
                <w:tcPr>
                  <w:tcW w:w="1274" w:type="pct"/>
                  <w:vAlign w:val="center"/>
                </w:tcPr>
                <w:p w14:paraId="0CBAA75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274" w:type="pct"/>
                  <w:vAlign w:val="center"/>
                </w:tcPr>
                <w:p w14:paraId="04A48DA6">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16BA3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1C88238B">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橡胶油</w:t>
                  </w:r>
                </w:p>
              </w:tc>
              <w:tc>
                <w:tcPr>
                  <w:tcW w:w="1149" w:type="pct"/>
                  <w:vAlign w:val="center"/>
                </w:tcPr>
                <w:p w14:paraId="28D0E7D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1210</w:t>
                  </w:r>
                </w:p>
              </w:tc>
              <w:tc>
                <w:tcPr>
                  <w:tcW w:w="1274" w:type="pct"/>
                  <w:vAlign w:val="center"/>
                </w:tcPr>
                <w:p w14:paraId="6C5AA16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274" w:type="pct"/>
                  <w:vAlign w:val="center"/>
                </w:tcPr>
                <w:p w14:paraId="4470E9C9">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橡胶油储罐</w:t>
                  </w:r>
                </w:p>
              </w:tc>
            </w:tr>
            <w:tr w14:paraId="1A267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45705EC9">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生胶（天然胶）</w:t>
                  </w:r>
                </w:p>
              </w:tc>
              <w:tc>
                <w:tcPr>
                  <w:tcW w:w="1149" w:type="pct"/>
                  <w:vAlign w:val="center"/>
                </w:tcPr>
                <w:p w14:paraId="4051DB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1274" w:type="pct"/>
                  <w:vAlign w:val="center"/>
                </w:tcPr>
                <w:p w14:paraId="12E9F9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1274" w:type="pct"/>
                  <w:vAlign w:val="center"/>
                </w:tcPr>
                <w:p w14:paraId="775EF62E">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5433E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3D710C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促进剂</w:t>
                  </w:r>
                </w:p>
              </w:tc>
              <w:tc>
                <w:tcPr>
                  <w:tcW w:w="1149" w:type="pct"/>
                  <w:vAlign w:val="center"/>
                </w:tcPr>
                <w:p w14:paraId="79E926F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1274" w:type="pct"/>
                  <w:vAlign w:val="center"/>
                </w:tcPr>
                <w:p w14:paraId="3956F3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274" w:type="pct"/>
                  <w:vAlign w:val="center"/>
                </w:tcPr>
                <w:p w14:paraId="138B5BAE">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0F50C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5C146386">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水</w:t>
                  </w:r>
                </w:p>
              </w:tc>
              <w:tc>
                <w:tcPr>
                  <w:tcW w:w="1149" w:type="pct"/>
                  <w:vAlign w:val="center"/>
                </w:tcPr>
                <w:p w14:paraId="33FF1E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6243</w:t>
                  </w:r>
                </w:p>
              </w:tc>
              <w:tc>
                <w:tcPr>
                  <w:tcW w:w="1274" w:type="pct"/>
                  <w:vAlign w:val="center"/>
                </w:tcPr>
                <w:p w14:paraId="476456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4" w:type="pct"/>
                  <w:vAlign w:val="center"/>
                </w:tcPr>
                <w:p w14:paraId="0B0B2F80">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r w14:paraId="5A1E5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61224353">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电</w:t>
                  </w:r>
                </w:p>
              </w:tc>
              <w:tc>
                <w:tcPr>
                  <w:tcW w:w="1149" w:type="pct"/>
                  <w:vAlign w:val="center"/>
                </w:tcPr>
                <w:p w14:paraId="50D2B2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180万kW·h/a</w:t>
                  </w:r>
                </w:p>
              </w:tc>
              <w:tc>
                <w:tcPr>
                  <w:tcW w:w="1274" w:type="pct"/>
                  <w:vAlign w:val="center"/>
                </w:tcPr>
                <w:p w14:paraId="4BFDA182">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c>
                <w:tcPr>
                  <w:tcW w:w="1274" w:type="pct"/>
                  <w:vAlign w:val="center"/>
                </w:tcPr>
                <w:p w14:paraId="2DAC9C1D">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bl>
          <w:p w14:paraId="16A23BDA">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原辅材料简介：</w:t>
            </w:r>
          </w:p>
          <w:p w14:paraId="589E794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炭黑：</w:t>
            </w:r>
            <w:r>
              <w:rPr>
                <w:color w:val="000000" w:themeColor="text1"/>
                <w:lang w:val="en-US"/>
                <w14:textFill>
                  <w14:solidFill>
                    <w14:schemeClr w14:val="tx1"/>
                  </w14:solidFill>
                </w14:textFill>
              </w:rPr>
              <w:t>是炭的无定形黑色固体，</w:t>
            </w:r>
            <w:r>
              <w:rPr>
                <w:rFonts w:hint="eastAsia"/>
                <w:color w:val="000000" w:themeColor="text1"/>
                <w:lang w:val="en-US"/>
                <w14:textFill>
                  <w14:solidFill>
                    <w14:schemeClr w14:val="tx1"/>
                  </w14:solidFill>
                </w14:textFill>
              </w:rPr>
              <w:t>粉状材料，</w:t>
            </w:r>
            <w:r>
              <w:rPr>
                <w:color w:val="000000" w:themeColor="text1"/>
                <w:lang w:val="en-US"/>
                <w14:textFill>
                  <w14:solidFill>
                    <w14:schemeClr w14:val="tx1"/>
                  </w14:solidFill>
                </w14:textFill>
              </w:rPr>
              <w:t>相对密度为1.8—2.1g/cm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，于3652—3697℃升华，沸点4827℃，不溶于水、酸和碱。可用作橡胶硬化的催化剂和增强橡胶韧性的填料</w:t>
            </w:r>
            <w:r>
              <w:rPr>
                <w:rFonts w:hint="eastAsia"/>
                <w:color w:val="000000" w:themeColor="text1"/>
                <w:lang w:val="en-US"/>
                <w14:textFill>
                  <w14:solidFill>
                    <w14:schemeClr w14:val="tx1"/>
                  </w14:solidFill>
                </w14:textFill>
              </w:rPr>
              <w:t>。</w:t>
            </w:r>
          </w:p>
          <w:p w14:paraId="68F0FDD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陶土：</w:t>
            </w:r>
            <w:r>
              <w:rPr>
                <w:color w:val="000000" w:themeColor="text1"/>
                <w:lang w:val="en-US"/>
                <w14:textFill>
                  <w14:solidFill>
                    <w14:schemeClr w14:val="tx1"/>
                  </w14:solidFill>
                </w14:textFill>
              </w:rPr>
              <w:t>矿物成分复杂，主要由水云母、高岭石、蒙脱石、石英及长石所组成的粉砂一砂质粘土。颗粒大小不一致，</w:t>
            </w:r>
            <w:r>
              <w:rPr>
                <w:rFonts w:hint="eastAsia"/>
                <w:color w:val="000000" w:themeColor="text1"/>
                <w:lang w:val="en-US"/>
                <w14:textFill>
                  <w14:solidFill>
                    <w14:schemeClr w14:val="tx1"/>
                  </w14:solidFill>
                </w14:textFill>
              </w:rPr>
              <w:t>具吸水性和吸附性，加水后有可塑性。</w:t>
            </w:r>
          </w:p>
          <w:p w14:paraId="15583639">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橡胶油：</w:t>
            </w:r>
            <w:r>
              <w:rPr>
                <w:color w:val="000000" w:themeColor="text1"/>
                <w:lang w:val="en-US"/>
                <w14:textFill>
                  <w14:solidFill>
                    <w14:schemeClr w14:val="tx1"/>
                  </w14:solidFill>
                </w14:textFill>
              </w:rPr>
              <w:t>橡胶油是用于改善橡胶弹性、柔韧性及加工性能的助剂，属于橡胶工业三大基础材料之一，广泛应用于轮胎、鞋底、胶管等制品生产加工。</w:t>
            </w:r>
            <w:r>
              <w:rPr>
                <w:rFonts w:hint="eastAsia"/>
                <w:color w:val="000000" w:themeColor="text1"/>
                <w:lang w:val="en-US"/>
                <w14:textFill>
                  <w14:solidFill>
                    <w14:schemeClr w14:val="tx1"/>
                  </w14:solidFill>
                </w14:textFill>
              </w:rPr>
              <w:t>本项目使用浙江康力博新材科技有限公司生产的工业白油</w:t>
            </w:r>
            <w:r>
              <w:rPr>
                <w:color w:val="000000" w:themeColor="text1"/>
                <w:lang w:val="en-US"/>
                <w14:textFill>
                  <w14:solidFill>
                    <w14:schemeClr w14:val="tx1"/>
                  </w14:solidFill>
                </w14:textFill>
              </w:rPr>
              <w:t>100</w:t>
            </w:r>
            <w:r>
              <w:rPr>
                <w:rFonts w:hint="eastAsia"/>
                <w:color w:val="000000" w:themeColor="text1"/>
                <w:lang w:val="en-US"/>
                <w14:textFill>
                  <w14:solidFill>
                    <w14:schemeClr w14:val="tx1"/>
                  </w14:solidFill>
                </w14:textFill>
              </w:rPr>
              <w:t>号（</w:t>
            </w:r>
            <w:r>
              <w:rPr>
                <w:color w:val="000000" w:themeColor="text1"/>
                <w:lang w:val="en-US"/>
                <w14:textFill>
                  <w14:solidFill>
                    <w14:schemeClr w14:val="tx1"/>
                  </w14:solidFill>
                </w14:textFill>
              </w:rPr>
              <w:t>II</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KP6810</w:t>
            </w:r>
            <w:r>
              <w:rPr>
                <w:rFonts w:hint="eastAsia"/>
                <w:color w:val="000000" w:themeColor="text1"/>
                <w:lang w:val="en-US"/>
                <w14:textFill>
                  <w14:solidFill>
                    <w14:schemeClr w14:val="tx1"/>
                  </w14:solidFill>
                </w14:textFill>
              </w:rPr>
              <w:t>作为橡胶油，其成分为深度精制石蜡基馏分（MSDS报告见附件7）。</w:t>
            </w:r>
            <w:r>
              <w:rPr>
                <w:color w:val="000000" w:themeColor="text1"/>
                <w:lang w:val="en-US"/>
                <w14:textFill>
                  <w14:solidFill>
                    <w14:schemeClr w14:val="tx1"/>
                  </w14:solidFill>
                </w14:textFill>
              </w:rPr>
              <w:t>深度精制石蜡基馏分是指以石蜡基矿物油的馏分油为原料，经过脱蜡处理后，再通过加氢等工艺进行深度精制而得到的产品。‌石蜡是碳原子数约为18～30的烃类混合物，主要组分为直链烷烃</w:t>
            </w:r>
            <w:r>
              <w:rPr>
                <w:color w:val="000000" w:themeColor="text1"/>
                <w14:textFill>
                  <w14:solidFill>
                    <w14:schemeClr w14:val="tx1"/>
                  </w14:solidFill>
                </w14:textFill>
              </w:rPr>
              <w:t>，</w:t>
            </w:r>
            <w:r>
              <w:rPr>
                <w:color w:val="000000" w:themeColor="text1"/>
                <w:lang w:val="en-US"/>
                <w14:textFill>
                  <w14:solidFill>
                    <w14:schemeClr w14:val="tx1"/>
                  </w14:solidFill>
                </w14:textFill>
              </w:rPr>
              <w:t>这类大分子烷烃在常温下非常稳定，蒸气压极低，远低于0.3 kPa，“深度精制”过程会进一步去除其中可能含有的少量轻组分（低沸点、易挥发的有机物），从而使其纯度更高、挥发性更低</w:t>
            </w:r>
            <w:r>
              <w:rPr>
                <w:rFonts w:hint="eastAsia"/>
                <w:color w:val="000000" w:themeColor="text1"/>
                <w:lang w:val="en-US"/>
                <w14:textFill>
                  <w14:solidFill>
                    <w14:schemeClr w14:val="tx1"/>
                  </w14:solidFill>
                </w14:textFill>
              </w:rPr>
              <w:t>，</w:t>
            </w:r>
            <w:r>
              <w:rPr>
                <w:b/>
                <w:bCs/>
                <w:color w:val="000000" w:themeColor="text1"/>
                <w:lang w:val="en-US"/>
                <w14:textFill>
                  <w14:solidFill>
                    <w14:schemeClr w14:val="tx1"/>
                  </w14:solidFill>
                </w14:textFill>
              </w:rPr>
              <w:t>深度精制石蜡基馏分因其分子量大、蒸气压低、挥发性极弱，不符合VOCs的定义标准</w:t>
            </w:r>
            <w:r>
              <w:rPr>
                <w:rFonts w:hint="eastAsia"/>
                <w:b/>
                <w:bCs/>
                <w:color w:val="000000" w:themeColor="text1"/>
                <w:lang w:val="en-US"/>
                <w14:textFill>
                  <w14:solidFill>
                    <w14:schemeClr w14:val="tx1"/>
                  </w14:solidFill>
                </w14:textFill>
              </w:rPr>
              <w:t>，不属于挥发性有机物。</w:t>
            </w:r>
          </w:p>
          <w:p w14:paraId="798422F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生胶：生胶是一种独具高弹性的聚合物材料，是制造橡胶制品的母体材料。</w:t>
            </w:r>
          </w:p>
          <w:p w14:paraId="107CCB6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促进剂： 主要成分为2-巯醇基苯并噻唑，化学式 C</w:t>
            </w:r>
            <w:r>
              <w:rPr>
                <w:rFonts w:hint="eastAsia"/>
                <w:color w:val="000000" w:themeColor="text1"/>
                <w:vertAlign w:val="subscript"/>
                <w14:textFill>
                  <w14:solidFill>
                    <w14:schemeClr w14:val="tx1"/>
                  </w14:solidFill>
                </w14:textFill>
              </w:rPr>
              <w:t>7</w:t>
            </w: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NS</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，分子量 167，俗称快热粉又称促进剂m。淡黄色结晶粉末。密度 1.41~1.42g/cm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。熔点 173℃，有明显的苦味，但无毒。溶于乙酸乙酯、丙酮、乙醚、乙醇、氯仿、二硫化碳和四氯化碳等，微溶于苯、氯乙烯，不溶于汽油、水。遇明火燃烧，在颗粒物状态下有爆炸危险，爆炸下限为 21mg/m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，同时避免与皮肤接触。</w:t>
            </w:r>
          </w:p>
          <w:p w14:paraId="3C78AE03">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2.1.7 主要生产单元及主要生产设备</w:t>
            </w:r>
          </w:p>
          <w:p w14:paraId="2E805C9C">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本项目主要生产设备见表2.1-</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w:t>
            </w:r>
          </w:p>
          <w:p w14:paraId="5286606B">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本项目主要生产设备清单</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3764"/>
              <w:gridCol w:w="2110"/>
              <w:gridCol w:w="2098"/>
            </w:tblGrid>
            <w:tr w14:paraId="586429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8FD36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184" w:type="pct"/>
                  <w:noWrap/>
                  <w:vAlign w:val="center"/>
                </w:tcPr>
                <w:p w14:paraId="1A9B5FB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设备名称</w:t>
                  </w:r>
                </w:p>
              </w:tc>
              <w:tc>
                <w:tcPr>
                  <w:tcW w:w="1224" w:type="pct"/>
                  <w:vAlign w:val="center"/>
                </w:tcPr>
                <w:p w14:paraId="1298AA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型号/规格</w:t>
                  </w:r>
                </w:p>
              </w:tc>
              <w:tc>
                <w:tcPr>
                  <w:tcW w:w="1217" w:type="pct"/>
                  <w:noWrap/>
                  <w:vAlign w:val="center"/>
                </w:tcPr>
                <w:p w14:paraId="5A72883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r>
            <w:tr w14:paraId="55806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2B635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184" w:type="pct"/>
                  <w:noWrap/>
                  <w:vAlign w:val="center"/>
                </w:tcPr>
                <w:p w14:paraId="55D9A8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上辅机</w:t>
                  </w:r>
                </w:p>
              </w:tc>
              <w:tc>
                <w:tcPr>
                  <w:tcW w:w="1224" w:type="pct"/>
                  <w:vAlign w:val="center"/>
                </w:tcPr>
                <w:p w14:paraId="0D9A951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110L*1  75L*1</w:t>
                  </w:r>
                </w:p>
              </w:tc>
              <w:tc>
                <w:tcPr>
                  <w:tcW w:w="1217" w:type="pct"/>
                  <w:noWrap/>
                  <w:vAlign w:val="center"/>
                </w:tcPr>
                <w:p w14:paraId="038CBFD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4D2FD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1A53066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184" w:type="pct"/>
                  <w:noWrap/>
                  <w:vAlign w:val="center"/>
                </w:tcPr>
                <w:p w14:paraId="5E239F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油罐</w:t>
                  </w:r>
                </w:p>
              </w:tc>
              <w:tc>
                <w:tcPr>
                  <w:tcW w:w="1224" w:type="pct"/>
                  <w:vAlign w:val="center"/>
                </w:tcPr>
                <w:p w14:paraId="5DB6A8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30T*1   20</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*2</w:t>
                  </w:r>
                </w:p>
              </w:tc>
              <w:tc>
                <w:tcPr>
                  <w:tcW w:w="1217" w:type="pct"/>
                  <w:noWrap/>
                  <w:vAlign w:val="center"/>
                </w:tcPr>
                <w:p w14:paraId="0CAAF7D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3个</w:t>
                  </w:r>
                </w:p>
              </w:tc>
            </w:tr>
            <w:tr w14:paraId="0CC73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B8A6DF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4" w:type="pct"/>
                  <w:noWrap/>
                  <w:vAlign w:val="center"/>
                </w:tcPr>
                <w:p w14:paraId="7764C3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密炼机</w:t>
                  </w:r>
                </w:p>
              </w:tc>
              <w:tc>
                <w:tcPr>
                  <w:tcW w:w="1224" w:type="pct"/>
                  <w:vAlign w:val="center"/>
                </w:tcPr>
                <w:p w14:paraId="01B13933">
                  <w:pPr>
                    <w:pStyle w:val="221"/>
                    <w:rPr>
                      <w:color w:val="000000" w:themeColor="text1"/>
                      <w14:textFill>
                        <w14:solidFill>
                          <w14:schemeClr w14:val="tx1"/>
                        </w14:solidFill>
                      </w14:textFill>
                    </w:rPr>
                  </w:pPr>
                  <w:bookmarkStart w:id="5" w:name="OLE_LINK1"/>
                  <w:r>
                    <w:rPr>
                      <w:rFonts w:hint="eastAsia"/>
                      <w:color w:val="000000" w:themeColor="text1"/>
                      <w14:textFill>
                        <w14:solidFill>
                          <w14:schemeClr w14:val="tx1"/>
                        </w14:solidFill>
                      </w14:textFill>
                    </w:rPr>
                    <w:t>110L*2  75L*1</w:t>
                  </w:r>
                  <w:bookmarkEnd w:id="5"/>
                </w:p>
              </w:tc>
              <w:tc>
                <w:tcPr>
                  <w:tcW w:w="1217" w:type="pct"/>
                  <w:noWrap/>
                  <w:vAlign w:val="center"/>
                </w:tcPr>
                <w:p w14:paraId="091F40A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57F90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E8EAE9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184" w:type="pct"/>
                  <w:noWrap/>
                  <w:vAlign w:val="center"/>
                </w:tcPr>
                <w:p w14:paraId="247D411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出片机</w:t>
                  </w:r>
                </w:p>
              </w:tc>
              <w:tc>
                <w:tcPr>
                  <w:tcW w:w="1224" w:type="pct"/>
                  <w:vAlign w:val="center"/>
                </w:tcPr>
                <w:p w14:paraId="23F6555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12寸*2   14寸*1</w:t>
                  </w:r>
                </w:p>
              </w:tc>
              <w:tc>
                <w:tcPr>
                  <w:tcW w:w="1217" w:type="pct"/>
                  <w:noWrap/>
                  <w:vAlign w:val="center"/>
                </w:tcPr>
                <w:p w14:paraId="7D35A3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5BE26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4928C1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184" w:type="pct"/>
                  <w:noWrap/>
                  <w:vAlign w:val="center"/>
                </w:tcPr>
                <w:p w14:paraId="6D1A61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开炼机</w:t>
                  </w:r>
                </w:p>
              </w:tc>
              <w:tc>
                <w:tcPr>
                  <w:tcW w:w="1224" w:type="pct"/>
                  <w:vAlign w:val="center"/>
                </w:tcPr>
                <w:p w14:paraId="419CED9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18寸*1  22寸*5</w:t>
                  </w:r>
                </w:p>
              </w:tc>
              <w:tc>
                <w:tcPr>
                  <w:tcW w:w="1217" w:type="pct"/>
                  <w:noWrap/>
                  <w:vAlign w:val="center"/>
                </w:tcPr>
                <w:p w14:paraId="4B2188A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6台</w:t>
                  </w:r>
                </w:p>
              </w:tc>
            </w:tr>
            <w:tr w14:paraId="26565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54D46A6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2184" w:type="pct"/>
                  <w:noWrap/>
                  <w:vAlign w:val="center"/>
                </w:tcPr>
                <w:p w14:paraId="1AA4624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冷冻机</w:t>
                  </w:r>
                </w:p>
              </w:tc>
              <w:tc>
                <w:tcPr>
                  <w:tcW w:w="1224" w:type="pct"/>
                  <w:vAlign w:val="center"/>
                </w:tcPr>
                <w:p w14:paraId="3055858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30P*3</w:t>
                  </w:r>
                </w:p>
              </w:tc>
              <w:tc>
                <w:tcPr>
                  <w:tcW w:w="1217" w:type="pct"/>
                  <w:noWrap/>
                  <w:vAlign w:val="center"/>
                </w:tcPr>
                <w:p w14:paraId="7CCBEF2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1624B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41FCA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2184" w:type="pct"/>
                  <w:noWrap/>
                  <w:vAlign w:val="center"/>
                </w:tcPr>
                <w:p w14:paraId="1BE07F9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1224" w:type="pct"/>
                  <w:vAlign w:val="center"/>
                </w:tcPr>
                <w:p w14:paraId="32327A3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50P*1</w:t>
                  </w:r>
                </w:p>
              </w:tc>
              <w:tc>
                <w:tcPr>
                  <w:tcW w:w="1217" w:type="pct"/>
                  <w:noWrap/>
                  <w:vAlign w:val="center"/>
                </w:tcPr>
                <w:p w14:paraId="137F4E0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5CDA9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3F8F0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2184" w:type="pct"/>
                  <w:noWrap/>
                  <w:vAlign w:val="center"/>
                </w:tcPr>
                <w:p w14:paraId="5C6DCDE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过滤机</w:t>
                  </w:r>
                </w:p>
              </w:tc>
              <w:tc>
                <w:tcPr>
                  <w:tcW w:w="1224" w:type="pct"/>
                  <w:vAlign w:val="center"/>
                </w:tcPr>
                <w:p w14:paraId="41C363D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200型*2</w:t>
                  </w:r>
                </w:p>
              </w:tc>
              <w:tc>
                <w:tcPr>
                  <w:tcW w:w="1217" w:type="pct"/>
                  <w:noWrap/>
                  <w:vAlign w:val="center"/>
                </w:tcPr>
                <w:p w14:paraId="6D3659B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2台</w:t>
                  </w:r>
                </w:p>
              </w:tc>
            </w:tr>
            <w:tr w14:paraId="1831E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1FD0DD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2184" w:type="pct"/>
                  <w:noWrap/>
                  <w:vAlign w:val="center"/>
                </w:tcPr>
                <w:p w14:paraId="18396F6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提升机</w:t>
                  </w:r>
                </w:p>
              </w:tc>
              <w:tc>
                <w:tcPr>
                  <w:tcW w:w="1224" w:type="pct"/>
                  <w:vAlign w:val="center"/>
                </w:tcPr>
                <w:p w14:paraId="56B87A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110L*2  75L*1</w:t>
                  </w:r>
                </w:p>
              </w:tc>
              <w:tc>
                <w:tcPr>
                  <w:tcW w:w="1217" w:type="pct"/>
                  <w:noWrap/>
                  <w:vAlign w:val="center"/>
                </w:tcPr>
                <w:p w14:paraId="1225A14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1C526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540AB6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84" w:type="pct"/>
                  <w:noWrap/>
                  <w:vAlign w:val="center"/>
                </w:tcPr>
                <w:p w14:paraId="3B635CA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冷却线挂式</w:t>
                  </w:r>
                </w:p>
              </w:tc>
              <w:tc>
                <w:tcPr>
                  <w:tcW w:w="1224" w:type="pct"/>
                  <w:vAlign w:val="center"/>
                </w:tcPr>
                <w:p w14:paraId="2F4287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1.2M×1.5M *2</w:t>
                  </w:r>
                </w:p>
              </w:tc>
              <w:tc>
                <w:tcPr>
                  <w:tcW w:w="1217" w:type="pct"/>
                  <w:noWrap/>
                  <w:vAlign w:val="center"/>
                </w:tcPr>
                <w:p w14:paraId="0DED6DA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51CEF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4C8701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2184" w:type="pct"/>
                  <w:noWrap/>
                  <w:vAlign w:val="center"/>
                </w:tcPr>
                <w:p w14:paraId="4EB2BF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冷却线网式</w:t>
                  </w:r>
                </w:p>
              </w:tc>
              <w:tc>
                <w:tcPr>
                  <w:tcW w:w="1224" w:type="pct"/>
                  <w:vAlign w:val="center"/>
                </w:tcPr>
                <w:p w14:paraId="713E6D0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7×80M*2</w:t>
                  </w:r>
                </w:p>
              </w:tc>
              <w:tc>
                <w:tcPr>
                  <w:tcW w:w="1217" w:type="pct"/>
                  <w:noWrap/>
                  <w:vAlign w:val="center"/>
                </w:tcPr>
                <w:p w14:paraId="332FD9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425F5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7DD27B4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2184" w:type="pct"/>
                  <w:noWrap/>
                  <w:vAlign w:val="center"/>
                </w:tcPr>
                <w:p w14:paraId="4DBBBB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检验设备</w:t>
                  </w:r>
                </w:p>
              </w:tc>
              <w:tc>
                <w:tcPr>
                  <w:tcW w:w="1224" w:type="pct"/>
                  <w:vAlign w:val="center"/>
                </w:tcPr>
                <w:p w14:paraId="78CB4EE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M2000</w:t>
                  </w:r>
                </w:p>
              </w:tc>
              <w:tc>
                <w:tcPr>
                  <w:tcW w:w="1217" w:type="pct"/>
                  <w:noWrap/>
                  <w:vAlign w:val="center"/>
                </w:tcPr>
                <w:p w14:paraId="2823625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751BE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537C25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2184" w:type="pct"/>
                  <w:noWrap/>
                  <w:vAlign w:val="center"/>
                </w:tcPr>
                <w:p w14:paraId="1B45D0E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冷却水槽</w:t>
                  </w:r>
                </w:p>
              </w:tc>
              <w:tc>
                <w:tcPr>
                  <w:tcW w:w="1224" w:type="pct"/>
                  <w:vAlign w:val="center"/>
                </w:tcPr>
                <w:p w14:paraId="3469C23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0.7×6M</w:t>
                  </w:r>
                </w:p>
              </w:tc>
              <w:tc>
                <w:tcPr>
                  <w:tcW w:w="1217" w:type="pct"/>
                  <w:noWrap/>
                  <w:vAlign w:val="center"/>
                </w:tcPr>
                <w:p w14:paraId="06C1C18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bl>
          <w:p w14:paraId="4633E840">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7</w:t>
            </w:r>
            <w:r>
              <w:rPr>
                <w:rFonts w:ascii="Times New Roman" w:hAnsi="Times New Roman" w:eastAsia="宋体" w:cs="Times New Roman"/>
                <w:b/>
                <w:bCs/>
                <w:color w:val="000000" w:themeColor="text1"/>
                <w:szCs w:val="24"/>
                <w14:textFill>
                  <w14:solidFill>
                    <w14:schemeClr w14:val="tx1"/>
                  </w14:solidFill>
                </w14:textFill>
              </w:rPr>
              <w:t xml:space="preserve"> 本项目平面布置</w:t>
            </w:r>
          </w:p>
          <w:p w14:paraId="671CAA5B">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根据项目平面布置图可知，</w:t>
            </w:r>
            <w:r>
              <w:rPr>
                <w:rFonts w:hint="eastAsia" w:ascii="Times New Roman" w:hAnsi="Times New Roman" w:eastAsia="宋体" w:cs="Times New Roman"/>
                <w:color w:val="000000" w:themeColor="text1"/>
                <w:szCs w:val="24"/>
                <w14:textFill>
                  <w14:solidFill>
                    <w14:schemeClr w14:val="tx1"/>
                  </w14:solidFill>
                </w14:textFill>
              </w:rPr>
              <w:t>项目车间平面布置根据生产工艺流程布置，各功能分区明确，各生产区相对独立，互不干扰，工艺流程顺畅，项目生产区相对独立，有利于生产布置；项目车间平面布置图详附图4。</w:t>
            </w:r>
          </w:p>
          <w:p w14:paraId="2DE8A999">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综上所述，项目厂区各功能区分区明确，工艺流程布置顺畅可行，总平面图布置基本合理可行。</w:t>
            </w:r>
          </w:p>
          <w:p w14:paraId="008823E8">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2.1.8 项目水平衡分析</w:t>
            </w:r>
          </w:p>
          <w:p w14:paraId="7F8879A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1、生产用水</w:t>
            </w:r>
          </w:p>
          <w:p w14:paraId="5E5D56D9">
            <w:pPr>
              <w:pStyle w:val="225"/>
              <w:ind w:firstLine="480"/>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项目厂区地面定期清扫，不使用</w:t>
            </w:r>
            <w:r>
              <w:rPr>
                <w:rFonts w:hint="eastAsia"/>
                <w:color w:val="000000" w:themeColor="text1"/>
                <w:kern w:val="2"/>
                <w14:textFill>
                  <w14:solidFill>
                    <w14:schemeClr w14:val="tx1"/>
                  </w14:solidFill>
                </w14:textFill>
              </w:rPr>
              <w:t>水冲洗，不产生冲洗废水；项目生产用水仅为物料冷却时使用的工业冷水机循环冷却水补水。</w:t>
            </w:r>
          </w:p>
          <w:p w14:paraId="169C40D8">
            <w:pPr>
              <w:pStyle w:val="225"/>
              <w:ind w:firstLine="480"/>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工业冷水机用水：</w:t>
            </w:r>
            <w:r>
              <w:rPr>
                <w:rFonts w:hint="eastAsia" w:ascii="宋体" w:hAnsi="宋体"/>
                <w:color w:val="000000" w:themeColor="text1"/>
                <w:kern w:val="2"/>
                <w:lang w:bidi="ar"/>
                <w14:textFill>
                  <w14:solidFill>
                    <w14:schemeClr w14:val="tx1"/>
                  </w14:solidFill>
                </w14:textFill>
              </w:rPr>
              <w:t>项目采用循环冷却水对物料进行直接降温冷却，冷却水循环使用，每周排放一次，平时需补充损耗水量。根据本项目循环冷却系统特点和</w:t>
            </w:r>
            <w:r>
              <w:rPr>
                <w:rFonts w:ascii="宋体" w:hAnsi="宋体" w:cs="宋体"/>
                <w:color w:val="000000" w:themeColor="text1"/>
                <w:kern w:val="2"/>
                <w14:textFill>
                  <w14:solidFill>
                    <w14:schemeClr w14:val="tx1"/>
                  </w14:solidFill>
                </w14:textFill>
              </w:rPr>
              <w:t>《工业循环水冷却设计规范》</w:t>
            </w:r>
            <w:r>
              <w:rPr>
                <w:rFonts w:hint="eastAsia" w:ascii="宋体" w:hAnsi="宋体" w:cs="宋体"/>
                <w:color w:val="000000" w:themeColor="text1"/>
                <w:kern w:val="2"/>
                <w14:textFill>
                  <w14:solidFill>
                    <w14:schemeClr w14:val="tx1"/>
                  </w14:solidFill>
                </w14:textFill>
              </w:rPr>
              <w:t>（</w:t>
            </w:r>
            <w:r>
              <w:rPr>
                <w:color w:val="000000" w:themeColor="text1"/>
                <w:kern w:val="2"/>
                <w:lang w:bidi="ar"/>
                <w14:textFill>
                  <w14:solidFill>
                    <w14:schemeClr w14:val="tx1"/>
                  </w14:solidFill>
                </w14:textFill>
              </w:rPr>
              <w:t>GB/T50102-2003</w:t>
            </w:r>
            <w:r>
              <w:rPr>
                <w:rFonts w:hint="eastAsia" w:ascii="宋体" w:hAnsi="宋体" w:cs="宋体"/>
                <w:color w:val="000000" w:themeColor="text1"/>
                <w:kern w:val="2"/>
                <w14:textFill>
                  <w14:solidFill>
                    <w14:schemeClr w14:val="tx1"/>
                  </w14:solidFill>
                </w14:textFill>
              </w:rPr>
              <w:t>）</w:t>
            </w:r>
            <w:r>
              <w:rPr>
                <w:rFonts w:ascii="宋体" w:hAnsi="宋体" w:cs="宋体"/>
                <w:color w:val="000000" w:themeColor="text1"/>
                <w:kern w:val="2"/>
                <w14:textFill>
                  <w14:solidFill>
                    <w14:schemeClr w14:val="tx1"/>
                  </w14:solidFill>
                </w14:textFill>
              </w:rPr>
              <w:t>，</w:t>
            </w:r>
            <w:r>
              <w:rPr>
                <w:rFonts w:hint="eastAsia" w:ascii="宋体" w:hAnsi="宋体" w:cs="宋体"/>
                <w:color w:val="000000" w:themeColor="text1"/>
                <w:kern w:val="2"/>
                <w14:textFill>
                  <w14:solidFill>
                    <w14:schemeClr w14:val="tx1"/>
                  </w14:solidFill>
                </w14:textFill>
              </w:rPr>
              <w:t>冷水机</w:t>
            </w:r>
            <w:r>
              <w:rPr>
                <w:rFonts w:ascii="宋体" w:hAnsi="宋体" w:cs="宋体"/>
                <w:color w:val="000000" w:themeColor="text1"/>
                <w:kern w:val="2"/>
                <w14:textFill>
                  <w14:solidFill>
                    <w14:schemeClr w14:val="tx1"/>
                  </w14:solidFill>
                </w14:textFill>
              </w:rPr>
              <w:t>的水量损失主要考虑蒸发损失水量</w:t>
            </w:r>
            <w:r>
              <w:rPr>
                <w:color w:val="000000" w:themeColor="text1"/>
                <w:kern w:val="2"/>
                <w14:textFill>
                  <w14:solidFill>
                    <w14:schemeClr w14:val="tx1"/>
                  </w14:solidFill>
                </w14:textFill>
              </w:rPr>
              <w:t>（Q</w:t>
            </w:r>
            <w:r>
              <w:rPr>
                <w:color w:val="000000" w:themeColor="text1"/>
                <w:kern w:val="2"/>
                <w:vertAlign w:val="subscript"/>
                <w14:textFill>
                  <w14:solidFill>
                    <w14:schemeClr w14:val="tx1"/>
                  </w14:solidFill>
                </w14:textFill>
              </w:rPr>
              <w:t>1</w:t>
            </w:r>
            <w:r>
              <w:rPr>
                <w:color w:val="000000" w:themeColor="text1"/>
                <w:kern w:val="2"/>
                <w14:textFill>
                  <w14:solidFill>
                    <w14:schemeClr w14:val="tx1"/>
                  </w14:solidFill>
                </w14:textFill>
              </w:rPr>
              <w:t>）</w:t>
            </w:r>
            <w:r>
              <w:rPr>
                <w:rFonts w:hint="eastAsia"/>
                <w:color w:val="000000" w:themeColor="text1"/>
                <w:kern w:val="2"/>
                <w14:textFill>
                  <w14:solidFill>
                    <w14:schemeClr w14:val="tx1"/>
                  </w14:solidFill>
                </w14:textFill>
              </w:rPr>
              <w:t>。</w:t>
            </w:r>
          </w:p>
          <w:p w14:paraId="0C29ED58">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112.5pt;width:178.5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14:paraId="78FDDBA3">
            <w:pPr>
              <w:widowControl w:val="0"/>
              <w:spacing w:after="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b/>
                <w:bCs/>
                <w:color w:val="000000" w:themeColor="text1"/>
                <w:kern w:val="2"/>
                <w:szCs w:val="24"/>
                <w14:textFill>
                  <w14:solidFill>
                    <w14:schemeClr w14:val="tx1"/>
                  </w14:solidFill>
                </w14:textFill>
              </w:rPr>
              <w:t>表2.1-6  K值取值表</w:t>
            </w:r>
          </w:p>
          <w:tbl>
            <w:tblPr>
              <w:tblStyle w:val="16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231"/>
              <w:gridCol w:w="1231"/>
              <w:gridCol w:w="1231"/>
              <w:gridCol w:w="1231"/>
              <w:gridCol w:w="1231"/>
              <w:gridCol w:w="1231"/>
            </w:tblGrid>
            <w:tr w14:paraId="1EFA1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dxa"/>
                  <w:vAlign w:val="center"/>
                </w:tcPr>
                <w:p w14:paraId="2F66BB6D">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气温（°C）</w:t>
                  </w:r>
                </w:p>
              </w:tc>
              <w:tc>
                <w:tcPr>
                  <w:tcW w:w="1231" w:type="dxa"/>
                  <w:vAlign w:val="center"/>
                </w:tcPr>
                <w:p w14:paraId="2AE8D655">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-10</w:t>
                  </w:r>
                </w:p>
              </w:tc>
              <w:tc>
                <w:tcPr>
                  <w:tcW w:w="1231" w:type="dxa"/>
                  <w:vAlign w:val="center"/>
                </w:tcPr>
                <w:p w14:paraId="64FB423C">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w:t>
                  </w:r>
                </w:p>
              </w:tc>
              <w:tc>
                <w:tcPr>
                  <w:tcW w:w="1231" w:type="dxa"/>
                  <w:vAlign w:val="center"/>
                </w:tcPr>
                <w:p w14:paraId="1B82F5C9">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10</w:t>
                  </w:r>
                </w:p>
              </w:tc>
              <w:tc>
                <w:tcPr>
                  <w:tcW w:w="1231" w:type="dxa"/>
                  <w:vAlign w:val="center"/>
                </w:tcPr>
                <w:p w14:paraId="50C57784">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20</w:t>
                  </w:r>
                </w:p>
              </w:tc>
              <w:tc>
                <w:tcPr>
                  <w:tcW w:w="1231" w:type="dxa"/>
                  <w:vAlign w:val="center"/>
                </w:tcPr>
                <w:p w14:paraId="3117317A">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30</w:t>
                  </w:r>
                </w:p>
              </w:tc>
              <w:tc>
                <w:tcPr>
                  <w:tcW w:w="1231" w:type="dxa"/>
                  <w:vAlign w:val="center"/>
                </w:tcPr>
                <w:p w14:paraId="2F151895">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40</w:t>
                  </w:r>
                </w:p>
              </w:tc>
            </w:tr>
            <w:tr w14:paraId="30650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dxa"/>
                  <w:vAlign w:val="center"/>
                </w:tcPr>
                <w:p w14:paraId="7FD18E9C">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K（1/°C）</w:t>
                  </w:r>
                </w:p>
              </w:tc>
              <w:tc>
                <w:tcPr>
                  <w:tcW w:w="1231" w:type="dxa"/>
                  <w:vAlign w:val="center"/>
                </w:tcPr>
                <w:p w14:paraId="2BCC3F6A">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0.0008</w:t>
                  </w:r>
                </w:p>
              </w:tc>
              <w:tc>
                <w:tcPr>
                  <w:tcW w:w="1231" w:type="dxa"/>
                  <w:vAlign w:val="center"/>
                </w:tcPr>
                <w:p w14:paraId="6DADFD6C">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w:t>
                  </w:r>
                </w:p>
              </w:tc>
              <w:tc>
                <w:tcPr>
                  <w:tcW w:w="1231" w:type="dxa"/>
                  <w:vAlign w:val="center"/>
                </w:tcPr>
                <w:p w14:paraId="0BE24D79">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0.0012</w:t>
                  </w:r>
                </w:p>
              </w:tc>
              <w:tc>
                <w:tcPr>
                  <w:tcW w:w="1231" w:type="dxa"/>
                  <w:vAlign w:val="center"/>
                </w:tcPr>
                <w:p w14:paraId="2D561BF0">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0.0014</w:t>
                  </w:r>
                </w:p>
              </w:tc>
              <w:tc>
                <w:tcPr>
                  <w:tcW w:w="1231" w:type="dxa"/>
                  <w:vAlign w:val="center"/>
                </w:tcPr>
                <w:p w14:paraId="2B741922">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0.0015</w:t>
                  </w:r>
                </w:p>
              </w:tc>
              <w:tc>
                <w:tcPr>
                  <w:tcW w:w="1231" w:type="dxa"/>
                  <w:vAlign w:val="center"/>
                </w:tcPr>
                <w:p w14:paraId="5E482879">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0.0016</w:t>
                  </w:r>
                </w:p>
              </w:tc>
            </w:tr>
          </w:tbl>
          <w:p w14:paraId="6AF8835C">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生产拟</w:t>
            </w:r>
            <w:r>
              <w:rPr>
                <w:color w:val="000000" w:themeColor="text1"/>
                <w14:textFill>
                  <w14:solidFill>
                    <w14:schemeClr w14:val="tx1"/>
                  </w14:solidFill>
                </w14:textFill>
              </w:rPr>
              <w:t>设</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台冷</w:t>
            </w:r>
            <w:r>
              <w:rPr>
                <w:rFonts w:hint="eastAsia"/>
                <w:color w:val="000000" w:themeColor="text1"/>
                <w14:textFill>
                  <w14:solidFill>
                    <w14:schemeClr w14:val="tx1"/>
                  </w14:solidFill>
                </w14:textFill>
              </w:rPr>
              <w:t>水机</w:t>
            </w:r>
            <w:r>
              <w:rPr>
                <w:color w:val="000000" w:themeColor="text1"/>
                <w14:textFill>
                  <w14:solidFill>
                    <w14:schemeClr w14:val="tx1"/>
                  </w14:solidFill>
                </w14:textFill>
              </w:rPr>
              <w:t>，循环水量合计200m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/h，冷水温度26°C，回水温度≤35°C，需补充新鲜水量2.52m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，循环冷却水塔年工作300d，每天运行8h，合计6048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/a（20.16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p>
          <w:p w14:paraId="5632D313">
            <w:pPr>
              <w:pStyle w:val="225"/>
              <w:ind w:firstLine="480"/>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2、生活用水</w:t>
            </w:r>
          </w:p>
          <w:p w14:paraId="1E541115">
            <w:pPr>
              <w:pStyle w:val="225"/>
              <w:ind w:firstLine="480"/>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项目劳动定员为13人，均不在厂内食宿，</w:t>
            </w:r>
            <w:r>
              <w:rPr>
                <w:color w:val="000000" w:themeColor="text1"/>
                <w:lang w:val="en-US"/>
                <w14:textFill>
                  <w14:solidFill>
                    <w14:schemeClr w14:val="tx1"/>
                  </w14:solidFill>
                </w14:textFill>
              </w:rPr>
              <w:t>根据《室外排水设计规范》（GB50014-2006）及《建筑给水排水设计规范》（GB50015-2003，2009修订版）等有关规定，未食宿厂内取</w:t>
            </w:r>
            <w:r>
              <w:rPr>
                <w:rFonts w:hint="eastAsia"/>
                <w:color w:val="000000" w:themeColor="text1"/>
                <w:lang w:val="en-US"/>
                <w14:textFill>
                  <w14:solidFill>
                    <w14:schemeClr w14:val="tx1"/>
                  </w14:solidFill>
                </w14:textFill>
              </w:rPr>
              <w:t>50</w:t>
            </w:r>
            <w:r>
              <w:rPr>
                <w:color w:val="000000" w:themeColor="text1"/>
                <w:lang w:val="en-US"/>
                <w14:textFill>
                  <w14:solidFill>
                    <w14:schemeClr w14:val="tx1"/>
                  </w14:solidFill>
                </w14:textFill>
              </w:rPr>
              <w:t>L/人·d</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生活污水产生系数取0.8，则生活用水量为</w:t>
            </w:r>
            <w:r>
              <w:rPr>
                <w:rFonts w:hint="eastAsia"/>
                <w:color w:val="000000" w:themeColor="text1"/>
                <w:lang w:val="en-US"/>
                <w14:textFill>
                  <w14:solidFill>
                    <w14:schemeClr w14:val="tx1"/>
                  </w14:solidFill>
                </w14:textFill>
              </w:rPr>
              <w:t>0.65</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195</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/a），生活污水产生量为</w:t>
            </w:r>
            <w:r>
              <w:rPr>
                <w:rFonts w:hint="eastAsia"/>
                <w:color w:val="000000" w:themeColor="text1"/>
                <w:lang w:val="en-US"/>
                <w14:textFill>
                  <w14:solidFill>
                    <w14:schemeClr w14:val="tx1"/>
                  </w14:solidFill>
                </w14:textFill>
              </w:rPr>
              <w:t>0.52</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156</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w:t>
            </w:r>
            <w:r>
              <w:rPr>
                <w:rFonts w:hint="eastAsia"/>
                <w:color w:val="000000" w:themeColor="text1"/>
                <w:lang w:val="en-US"/>
                <w14:textFill>
                  <w14:solidFill>
                    <w14:schemeClr w14:val="tx1"/>
                  </w14:solidFill>
                </w14:textFill>
              </w:rPr>
              <w:t>。</w:t>
            </w:r>
          </w:p>
          <w:p w14:paraId="5614CA34">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6" o:spt="75" type="#_x0000_t75" style="height:148.5pt;width:432.75pt;" o:ole="t" filled="f" o:preferrelative="t" stroked="f" coordsize="21600,21600">
                  <v:path/>
                  <v:fill on="f" focussize="0,0"/>
                  <v:stroke on="f" joinstyle="miter"/>
                  <v:imagedata r:id="rId18" o:title=""/>
                  <o:lock v:ext="edit" aspectratio="f"/>
                  <w10:wrap type="none"/>
                  <w10:anchorlock/>
                </v:shape>
                <o:OLEObject Type="Embed" ProgID="Visio.Drawing.15" ShapeID="_x0000_i1026" DrawAspect="Content" ObjectID="_1468075726" r:id="rId17">
                  <o:LockedField>false</o:LockedField>
                </o:OLEObject>
              </w:object>
            </w:r>
            <w:r>
              <w:rPr>
                <w:rFonts w:hint="eastAsia"/>
                <w:color w:val="000000" w:themeColor="text1"/>
                <w14:textFill>
                  <w14:solidFill>
                    <w14:schemeClr w14:val="tx1"/>
                  </w14:solidFill>
                </w14:textFill>
              </w:rPr>
              <w:t>图2.1-1  全厂水平衡图（单位m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r>
      <w:tr w14:paraId="383CE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379B7AF6">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工艺流程和产排污环节</w:t>
            </w:r>
          </w:p>
        </w:tc>
        <w:tc>
          <w:tcPr>
            <w:tcW w:w="8833" w:type="dxa"/>
          </w:tcPr>
          <w:p w14:paraId="21594914">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2.2 工艺流程和产排污环节</w:t>
            </w:r>
          </w:p>
          <w:p w14:paraId="70F3F367">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2.2.1项目工艺流程</w:t>
            </w:r>
          </w:p>
          <w:p w14:paraId="0710799B">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7" o:spt="75" type="#_x0000_t75" style="height:338.25pt;width:331.5pt;" o:ole="t" filled="f" o:preferrelative="t" stroked="f" coordsize="21600,21600">
                  <v:path/>
                  <v:fill on="f" focussize="0,0"/>
                  <v:stroke on="f" joinstyle="miter"/>
                  <v:imagedata r:id="rId20" o:title=""/>
                  <o:lock v:ext="edit" aspectratio="t"/>
                  <w10:wrap type="none"/>
                  <w10:anchorlock/>
                </v:shape>
                <o:OLEObject Type="Embed" ProgID="PowerPoint.Show.12" ShapeID="_x0000_i1027" DrawAspect="Content" ObjectID="_1468075727" r:id="rId19">
                  <o:LockedField>false</o:LockedField>
                </o:OLEObject>
              </w:object>
            </w:r>
          </w:p>
          <w:p w14:paraId="0577A5DF">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图2.2-1  生产工艺流程及产污环节图</w:t>
            </w:r>
          </w:p>
          <w:p w14:paraId="5D330213">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本项目使用生胶、陶土、炭黑、橡胶油、橡胶促剂剂混炼成橡胶片，供下游汽车零部件生产公司生产汽车密封条，本项目不涉及硫化工艺，不使用硫磺，无硫化物产生。</w:t>
            </w:r>
          </w:p>
          <w:p w14:paraId="3B10C934">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投料：</w:t>
            </w:r>
            <w:r>
              <w:rPr>
                <w:rFonts w:hint="eastAsia"/>
                <w:color w:val="000000" w:themeColor="text1"/>
                <w14:textFill>
                  <w14:solidFill>
                    <w14:schemeClr w14:val="tx1"/>
                  </w14:solidFill>
                </w14:textFill>
              </w:rPr>
              <w:t>将生胶、陶土、炭黑、橡胶油、橡胶促剂按一定比例进行称量、人工投入加料斗内，该过程产生粉尘、废包装袋。</w:t>
            </w:r>
          </w:p>
          <w:p w14:paraId="7BFAF5D6">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密炼</w:t>
            </w:r>
            <w:r>
              <w:rPr>
                <w:rFonts w:hint="eastAsia"/>
                <w:color w:val="000000" w:themeColor="text1"/>
                <w14:textFill>
                  <w14:solidFill>
                    <w14:schemeClr w14:val="tx1"/>
                  </w14:solidFill>
                </w14:textFill>
              </w:rPr>
              <w:t>：物料从加料斗加入密炼机后，加料门关闭，压料装置的上顶栓降落，对物料加压。物料在上顶栓压力及摩擦力的作用下，被带入两个具有螺旋、有速比的、相对回转的两转子的间隙中，致使物料在由转子与转子，转子与密炼室壁、上顶栓、下顶栓组成的捏炼系统内，受到不断变化和反复进行的剪切、撕拉、搅拌和摩擦的强烈捏炼作用，从而达到塑炼的目的，密炼温度不超过80℃。由于投料时加入了橡胶油，故密炼时不会产生粉尘，该过程主要产生炼胶有机废气。</w:t>
            </w:r>
          </w:p>
          <w:p w14:paraId="3060A00F">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开炼：</w:t>
            </w:r>
            <w:r>
              <w:rPr>
                <w:rFonts w:hint="eastAsia"/>
                <w:color w:val="000000" w:themeColor="text1"/>
                <w14:textFill>
                  <w14:solidFill>
                    <w14:schemeClr w14:val="tx1"/>
                  </w14:solidFill>
                </w14:textFill>
              </w:rPr>
              <w:t>密炼工序完成后，各物料均为地分散在橡胶中，形成混炼胶，但形状通常不便于后续加工，因此需通过开炼进行反复薄压制成片，便于后续深加工同时薄压过程中可进一步使得混炼胶中各物料混合均匀，生产时通过控制开关打开密炼机底部的管道落料口，密炼好的胶料通过皮带输送至开炼机进行薄压，开炼机两辊间关东的剪切力将胶料进一步混炼均匀并压成片状，胶料经开炼机压成片，每台薄压4~6次，每次5分钟，最终胶料压制成6~10mm厚的胶片。开炼机工作过程不需要加热，但挤压过程物质摩擦会产生热，该过程主要产生炼胶有机废气。</w:t>
            </w:r>
          </w:p>
          <w:p w14:paraId="787D5316">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冷却：</w:t>
            </w:r>
            <w:r>
              <w:rPr>
                <w:rFonts w:hint="eastAsia"/>
                <w:color w:val="000000" w:themeColor="text1"/>
                <w14:textFill>
                  <w14:solidFill>
                    <w14:schemeClr w14:val="tx1"/>
                  </w14:solidFill>
                </w14:textFill>
              </w:rPr>
              <w:t>防止开炼过程产生的胶片叠放在一起发生黏连，</w:t>
            </w:r>
            <w:r>
              <w:rPr>
                <w:rFonts w:hint="eastAsia"/>
                <w:color w:val="000000" w:themeColor="text1"/>
                <w:lang w:val="en-US"/>
                <w14:textFill>
                  <w14:solidFill>
                    <w14:schemeClr w14:val="tx1"/>
                  </w14:solidFill>
                </w14:textFill>
              </w:rPr>
              <w:t>开炼</w:t>
            </w:r>
            <w:r>
              <w:rPr>
                <w:rFonts w:hint="eastAsia"/>
                <w:color w:val="000000" w:themeColor="text1"/>
                <w14:textFill>
                  <w14:solidFill>
                    <w14:schemeClr w14:val="tx1"/>
                  </w14:solidFill>
                </w14:textFill>
              </w:rPr>
              <w:t>后的胶片需经过胶片冷却线冷却，冷却温度由45~55℃，冷却至常温。项目采用水冷工艺，胶片经过冷却槽降温，冷却水经冷冻机降温，再经过滤器过滤后循环使用，不外排。</w:t>
            </w:r>
          </w:p>
          <w:p w14:paraId="5D996909">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包装：</w:t>
            </w:r>
            <w:r>
              <w:rPr>
                <w:rFonts w:hint="eastAsia"/>
                <w:color w:val="000000" w:themeColor="text1"/>
                <w14:textFill>
                  <w14:solidFill>
                    <w14:schemeClr w14:val="tx1"/>
                  </w14:solidFill>
                </w14:textFill>
              </w:rPr>
              <w:t>冷却后物料经过验针后包装成成品。</w:t>
            </w:r>
          </w:p>
          <w:p w14:paraId="334580AF">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2.2.2产污环节</w:t>
            </w:r>
          </w:p>
          <w:p w14:paraId="3002EBE5">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本项目产污环节见表2.2-1。</w:t>
            </w:r>
          </w:p>
          <w:p w14:paraId="19949A78">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表2.2-1 本项目产污环节一览表</w:t>
            </w:r>
          </w:p>
          <w:tbl>
            <w:tblPr>
              <w:tblStyle w:val="16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9"/>
              <w:gridCol w:w="734"/>
              <w:gridCol w:w="2409"/>
              <w:gridCol w:w="2406"/>
              <w:gridCol w:w="2547"/>
            </w:tblGrid>
            <w:tr w14:paraId="47DDC2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Align w:val="center"/>
                </w:tcPr>
                <w:p w14:paraId="4531B4FE">
                  <w:pPr>
                    <w:pStyle w:val="221"/>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398" w:type="pct"/>
                  <w:vAlign w:val="center"/>
                </w:tcPr>
                <w:p w14:paraId="72AD7812">
                  <w:pPr>
                    <w:pStyle w:val="2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1396" w:type="pct"/>
                  <w:vAlign w:val="center"/>
                </w:tcPr>
                <w:p w14:paraId="7BD7EBAA">
                  <w:pPr>
                    <w:pStyle w:val="221"/>
                    <w:rPr>
                      <w:color w:val="000000" w:themeColor="text1"/>
                      <w14:textFill>
                        <w14:solidFill>
                          <w14:schemeClr w14:val="tx1"/>
                        </w14:solidFill>
                      </w14:textFill>
                    </w:rPr>
                  </w:pPr>
                  <w:r>
                    <w:rPr>
                      <w:color w:val="000000" w:themeColor="text1"/>
                      <w14:textFill>
                        <w14:solidFill>
                          <w14:schemeClr w14:val="tx1"/>
                        </w14:solidFill>
                      </w14:textFill>
                    </w:rPr>
                    <w:t>主要污染物</w:t>
                  </w:r>
                </w:p>
              </w:tc>
              <w:tc>
                <w:tcPr>
                  <w:tcW w:w="1478" w:type="pct"/>
                  <w:vAlign w:val="center"/>
                </w:tcPr>
                <w:p w14:paraId="2EE9D2B8">
                  <w:pPr>
                    <w:pStyle w:val="221"/>
                    <w:rPr>
                      <w:color w:val="000000" w:themeColor="text1"/>
                      <w14:textFill>
                        <w14:solidFill>
                          <w14:schemeClr w14:val="tx1"/>
                        </w14:solidFill>
                      </w14:textFill>
                    </w:rPr>
                  </w:pPr>
                  <w:r>
                    <w:rPr>
                      <w:color w:val="000000" w:themeColor="text1"/>
                      <w14:textFill>
                        <w14:solidFill>
                          <w14:schemeClr w14:val="tx1"/>
                        </w14:solidFill>
                      </w14:textFill>
                    </w:rPr>
                    <w:t>治理措施及排放去向</w:t>
                  </w:r>
                </w:p>
              </w:tc>
            </w:tr>
            <w:tr w14:paraId="7A025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restart"/>
                  <w:vAlign w:val="center"/>
                </w:tcPr>
                <w:p w14:paraId="2CA2903F">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1398" w:type="pct"/>
                  <w:vAlign w:val="center"/>
                </w:tcPr>
                <w:p w14:paraId="2A2F97A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投料粉尘</w:t>
                  </w:r>
                </w:p>
              </w:tc>
              <w:tc>
                <w:tcPr>
                  <w:tcW w:w="1396" w:type="pct"/>
                  <w:vAlign w:val="center"/>
                </w:tcPr>
                <w:p w14:paraId="3CFFEB6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478" w:type="pct"/>
                  <w:vAlign w:val="center"/>
                </w:tcPr>
                <w:p w14:paraId="613C51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集气罩收集+布袋除尘器处理+15米高排气筒排放（DA001）</w:t>
                  </w:r>
                </w:p>
              </w:tc>
            </w:tr>
            <w:tr w14:paraId="0CA49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continue"/>
                  <w:vAlign w:val="center"/>
                </w:tcPr>
                <w:p w14:paraId="3A4366E5">
                  <w:pPr>
                    <w:pStyle w:val="221"/>
                    <w:rPr>
                      <w:color w:val="000000" w:themeColor="text1"/>
                      <w14:textFill>
                        <w14:solidFill>
                          <w14:schemeClr w14:val="tx1"/>
                        </w14:solidFill>
                      </w14:textFill>
                    </w:rPr>
                  </w:pPr>
                </w:p>
              </w:tc>
              <w:tc>
                <w:tcPr>
                  <w:tcW w:w="1398" w:type="pct"/>
                  <w:vAlign w:val="center"/>
                </w:tcPr>
                <w:p w14:paraId="60AAEA1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1396" w:type="pct"/>
                  <w:vAlign w:val="center"/>
                </w:tcPr>
                <w:p w14:paraId="67E314B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非甲烷总烃、臭气浓度</w:t>
                  </w:r>
                </w:p>
              </w:tc>
              <w:tc>
                <w:tcPr>
                  <w:tcW w:w="1478" w:type="pct"/>
                  <w:vAlign w:val="center"/>
                </w:tcPr>
                <w:p w14:paraId="0B8A7D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集气罩收集+二级活性炭吸附+15米高排气筒排放（DA002）</w:t>
                  </w:r>
                </w:p>
              </w:tc>
            </w:tr>
            <w:tr w14:paraId="5E6AD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restart"/>
                  <w:vAlign w:val="center"/>
                </w:tcPr>
                <w:p w14:paraId="66CA69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398" w:type="pct"/>
                  <w:vAlign w:val="center"/>
                </w:tcPr>
                <w:p w14:paraId="6C958CE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396" w:type="pct"/>
                  <w:vAlign w:val="center"/>
                </w:tcPr>
                <w:p w14:paraId="3D847B3E">
                  <w:pPr>
                    <w:pStyle w:val="221"/>
                    <w:rPr>
                      <w:color w:val="000000" w:themeColor="text1"/>
                      <w14:textFill>
                        <w14:solidFill>
                          <w14:schemeClr w14:val="tx1"/>
                        </w14:solidFill>
                      </w14:textFill>
                    </w:rPr>
                  </w:pPr>
                  <w:r>
                    <w:rPr>
                      <w:rFonts w:hint="eastAsia"/>
                      <w:color w:val="000000" w:themeColor="text1"/>
                      <w:lang w:val="en-GB"/>
                      <w14:textFill>
                        <w14:solidFill>
                          <w14:schemeClr w14:val="tx1"/>
                        </w14:solidFill>
                      </w14:textFill>
                    </w:rPr>
                    <w:t>pH、SS、COD</w:t>
                  </w:r>
                  <w:r>
                    <w:rPr>
                      <w:color w:val="000000" w:themeColor="text1"/>
                      <w:lang w:val="en-GB"/>
                      <w14:textFill>
                        <w14:solidFill>
                          <w14:schemeClr w14:val="tx1"/>
                        </w14:solidFill>
                      </w14:textFill>
                    </w:rPr>
                    <w:t>、BOD</w:t>
                  </w:r>
                  <w:r>
                    <w:rPr>
                      <w:color w:val="000000" w:themeColor="text1"/>
                      <w:vertAlign w:val="subscript"/>
                      <w:lang w:val="en-GB"/>
                      <w14:textFill>
                        <w14:solidFill>
                          <w14:schemeClr w14:val="tx1"/>
                        </w14:solidFill>
                      </w14:textFill>
                    </w:rPr>
                    <w:t>5</w:t>
                  </w:r>
                  <w:r>
                    <w:rPr>
                      <w:color w:val="000000" w:themeColor="text1"/>
                      <w:lang w:val="en-GB"/>
                      <w14:textFill>
                        <w14:solidFill>
                          <w14:schemeClr w14:val="tx1"/>
                        </w14:solidFill>
                      </w14:textFill>
                    </w:rPr>
                    <w:t>、氨氮</w:t>
                  </w:r>
                </w:p>
              </w:tc>
              <w:tc>
                <w:tcPr>
                  <w:tcW w:w="1478" w:type="pct"/>
                  <w:vAlign w:val="center"/>
                </w:tcPr>
                <w:p w14:paraId="451DEA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化粪池处理后进入江镜华侨农场污水处理厂进一步处理</w:t>
                  </w:r>
                </w:p>
              </w:tc>
            </w:tr>
            <w:tr w14:paraId="32C29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continue"/>
                  <w:vAlign w:val="center"/>
                </w:tcPr>
                <w:p w14:paraId="12BF468F">
                  <w:pPr>
                    <w:pStyle w:val="221"/>
                    <w:rPr>
                      <w:color w:val="000000" w:themeColor="text1"/>
                      <w14:textFill>
                        <w14:solidFill>
                          <w14:schemeClr w14:val="tx1"/>
                        </w14:solidFill>
                      </w14:textFill>
                    </w:rPr>
                  </w:pPr>
                </w:p>
              </w:tc>
              <w:tc>
                <w:tcPr>
                  <w:tcW w:w="1398" w:type="pct"/>
                  <w:vAlign w:val="center"/>
                </w:tcPr>
                <w:p w14:paraId="39B364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冷却循环水</w:t>
                  </w:r>
                </w:p>
              </w:tc>
              <w:tc>
                <w:tcPr>
                  <w:tcW w:w="1396" w:type="pct"/>
                  <w:vAlign w:val="center"/>
                </w:tcPr>
                <w:p w14:paraId="4D41659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478" w:type="pct"/>
                  <w:vAlign w:val="center"/>
                </w:tcPr>
                <w:p w14:paraId="0D342D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经过滤器处理后循环回用，不外排</w:t>
                  </w:r>
                </w:p>
              </w:tc>
            </w:tr>
            <w:tr w14:paraId="0E29E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restart"/>
                  <w:textDirection w:val="tbRlV"/>
                  <w:vAlign w:val="center"/>
                </w:tcPr>
                <w:p w14:paraId="582D78EB">
                  <w:pPr>
                    <w:pStyle w:val="221"/>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426" w:type="pct"/>
                  <w:vMerge w:val="restart"/>
                  <w:vAlign w:val="center"/>
                </w:tcPr>
                <w:p w14:paraId="6C94B3C3">
                  <w:pPr>
                    <w:pStyle w:val="221"/>
                    <w:rPr>
                      <w:color w:val="000000" w:themeColor="text1"/>
                      <w14:textFill>
                        <w14:solidFill>
                          <w14:schemeClr w14:val="tx1"/>
                        </w14:solidFill>
                      </w14:textFill>
                    </w:rPr>
                  </w:pPr>
                  <w:r>
                    <w:rPr>
                      <w:color w:val="000000" w:themeColor="text1"/>
                      <w14:textFill>
                        <w14:solidFill>
                          <w14:schemeClr w14:val="tx1"/>
                        </w14:solidFill>
                      </w14:textFill>
                    </w:rPr>
                    <w:t>一般工业固废</w:t>
                  </w:r>
                </w:p>
              </w:tc>
              <w:tc>
                <w:tcPr>
                  <w:tcW w:w="1398" w:type="pct"/>
                  <w:vAlign w:val="center"/>
                </w:tcPr>
                <w:p w14:paraId="6FB8200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废包装袋</w:t>
                  </w:r>
                </w:p>
              </w:tc>
              <w:tc>
                <w:tcPr>
                  <w:tcW w:w="1396" w:type="pct"/>
                  <w:vAlign w:val="center"/>
                </w:tcPr>
                <w:p w14:paraId="61728A4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塑料膜、废纸等</w:t>
                  </w:r>
                </w:p>
              </w:tc>
              <w:tc>
                <w:tcPr>
                  <w:tcW w:w="1478" w:type="pct"/>
                  <w:vAlign w:val="center"/>
                </w:tcPr>
                <w:p w14:paraId="1DC1099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6DDD5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710CD442">
                  <w:pPr>
                    <w:pStyle w:val="221"/>
                    <w:rPr>
                      <w:color w:val="000000" w:themeColor="text1"/>
                      <w14:textFill>
                        <w14:solidFill>
                          <w14:schemeClr w14:val="tx1"/>
                        </w14:solidFill>
                      </w14:textFill>
                    </w:rPr>
                  </w:pPr>
                </w:p>
              </w:tc>
              <w:tc>
                <w:tcPr>
                  <w:tcW w:w="426" w:type="pct"/>
                  <w:vMerge w:val="continue"/>
                  <w:vAlign w:val="center"/>
                </w:tcPr>
                <w:p w14:paraId="4D2BDA12">
                  <w:pPr>
                    <w:pStyle w:val="221"/>
                    <w:rPr>
                      <w:color w:val="000000" w:themeColor="text1"/>
                      <w14:textFill>
                        <w14:solidFill>
                          <w14:schemeClr w14:val="tx1"/>
                        </w14:solidFill>
                      </w14:textFill>
                    </w:rPr>
                  </w:pPr>
                </w:p>
              </w:tc>
              <w:tc>
                <w:tcPr>
                  <w:tcW w:w="1398" w:type="pct"/>
                  <w:vAlign w:val="center"/>
                </w:tcPr>
                <w:p w14:paraId="6E473CD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布袋除尘器收集的粉尘</w:t>
                  </w:r>
                </w:p>
              </w:tc>
              <w:tc>
                <w:tcPr>
                  <w:tcW w:w="1396" w:type="pct"/>
                  <w:vAlign w:val="center"/>
                </w:tcPr>
                <w:p w14:paraId="7D99DE6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炭黑、陶土</w:t>
                  </w:r>
                </w:p>
              </w:tc>
              <w:tc>
                <w:tcPr>
                  <w:tcW w:w="1478" w:type="pct"/>
                  <w:vAlign w:val="center"/>
                </w:tcPr>
                <w:p w14:paraId="112921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回用于生产</w:t>
                  </w:r>
                </w:p>
              </w:tc>
            </w:tr>
            <w:tr w14:paraId="7A597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700BA4F3">
                  <w:pPr>
                    <w:pStyle w:val="221"/>
                    <w:rPr>
                      <w:color w:val="000000" w:themeColor="text1"/>
                      <w14:textFill>
                        <w14:solidFill>
                          <w14:schemeClr w14:val="tx1"/>
                        </w14:solidFill>
                      </w14:textFill>
                    </w:rPr>
                  </w:pPr>
                </w:p>
              </w:tc>
              <w:tc>
                <w:tcPr>
                  <w:tcW w:w="426" w:type="pct"/>
                  <w:vMerge w:val="continue"/>
                  <w:vAlign w:val="center"/>
                </w:tcPr>
                <w:p w14:paraId="440DBEF4">
                  <w:pPr>
                    <w:pStyle w:val="221"/>
                    <w:rPr>
                      <w:color w:val="000000" w:themeColor="text1"/>
                      <w14:textFill>
                        <w14:solidFill>
                          <w14:schemeClr w14:val="tx1"/>
                        </w14:solidFill>
                      </w14:textFill>
                    </w:rPr>
                  </w:pPr>
                </w:p>
              </w:tc>
              <w:tc>
                <w:tcPr>
                  <w:tcW w:w="1398" w:type="pct"/>
                  <w:vAlign w:val="center"/>
                </w:tcPr>
                <w:p w14:paraId="444A62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废除尘布袋</w:t>
                  </w:r>
                </w:p>
              </w:tc>
              <w:tc>
                <w:tcPr>
                  <w:tcW w:w="1396" w:type="pct"/>
                  <w:vAlign w:val="center"/>
                </w:tcPr>
                <w:p w14:paraId="2823373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纤维布</w:t>
                  </w:r>
                </w:p>
              </w:tc>
              <w:tc>
                <w:tcPr>
                  <w:tcW w:w="1478" w:type="pct"/>
                  <w:vAlign w:val="center"/>
                </w:tcPr>
                <w:p w14:paraId="471F978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32019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0F78E2D5">
                  <w:pPr>
                    <w:pStyle w:val="221"/>
                    <w:rPr>
                      <w:color w:val="000000" w:themeColor="text1"/>
                      <w14:textFill>
                        <w14:solidFill>
                          <w14:schemeClr w14:val="tx1"/>
                        </w14:solidFill>
                      </w14:textFill>
                    </w:rPr>
                  </w:pPr>
                </w:p>
              </w:tc>
              <w:tc>
                <w:tcPr>
                  <w:tcW w:w="426" w:type="pct"/>
                  <w:vMerge w:val="continue"/>
                  <w:vAlign w:val="center"/>
                </w:tcPr>
                <w:p w14:paraId="3051C461">
                  <w:pPr>
                    <w:pStyle w:val="221"/>
                    <w:rPr>
                      <w:color w:val="000000" w:themeColor="text1"/>
                      <w14:textFill>
                        <w14:solidFill>
                          <w14:schemeClr w14:val="tx1"/>
                        </w14:solidFill>
                      </w14:textFill>
                    </w:rPr>
                  </w:pPr>
                </w:p>
              </w:tc>
              <w:tc>
                <w:tcPr>
                  <w:tcW w:w="1398" w:type="pct"/>
                  <w:vAlign w:val="center"/>
                </w:tcPr>
                <w:p w14:paraId="67C23A4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冷却水过滤杂质</w:t>
                  </w:r>
                </w:p>
              </w:tc>
              <w:tc>
                <w:tcPr>
                  <w:tcW w:w="1396" w:type="pct"/>
                  <w:vAlign w:val="center"/>
                </w:tcPr>
                <w:p w14:paraId="644FC7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橡胶粒</w:t>
                  </w:r>
                </w:p>
              </w:tc>
              <w:tc>
                <w:tcPr>
                  <w:tcW w:w="1478" w:type="pct"/>
                  <w:vAlign w:val="center"/>
                </w:tcPr>
                <w:p w14:paraId="58CF43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62F36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07F40DAF">
                  <w:pPr>
                    <w:pStyle w:val="221"/>
                    <w:rPr>
                      <w:color w:val="000000" w:themeColor="text1"/>
                      <w14:textFill>
                        <w14:solidFill>
                          <w14:schemeClr w14:val="tx1"/>
                        </w14:solidFill>
                      </w14:textFill>
                    </w:rPr>
                  </w:pPr>
                </w:p>
              </w:tc>
              <w:tc>
                <w:tcPr>
                  <w:tcW w:w="426" w:type="pct"/>
                  <w:vMerge w:val="continue"/>
                  <w:vAlign w:val="center"/>
                </w:tcPr>
                <w:p w14:paraId="6BDE4ECD">
                  <w:pPr>
                    <w:pStyle w:val="221"/>
                    <w:rPr>
                      <w:color w:val="000000" w:themeColor="text1"/>
                      <w14:textFill>
                        <w14:solidFill>
                          <w14:schemeClr w14:val="tx1"/>
                        </w14:solidFill>
                      </w14:textFill>
                    </w:rPr>
                  </w:pPr>
                </w:p>
              </w:tc>
              <w:tc>
                <w:tcPr>
                  <w:tcW w:w="1398" w:type="pct"/>
                  <w:vAlign w:val="center"/>
                </w:tcPr>
                <w:p w14:paraId="1F9A086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废胶片</w:t>
                  </w:r>
                </w:p>
              </w:tc>
              <w:tc>
                <w:tcPr>
                  <w:tcW w:w="1396" w:type="pct"/>
                  <w:vAlign w:val="center"/>
                </w:tcPr>
                <w:p w14:paraId="0D3C26E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w:t>
                  </w:r>
                </w:p>
              </w:tc>
              <w:tc>
                <w:tcPr>
                  <w:tcW w:w="1478" w:type="pct"/>
                  <w:vAlign w:val="center"/>
                </w:tcPr>
                <w:p w14:paraId="0DDC45D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62EA9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57127B4C">
                  <w:pPr>
                    <w:pStyle w:val="221"/>
                    <w:rPr>
                      <w:color w:val="000000" w:themeColor="text1"/>
                      <w14:textFill>
                        <w14:solidFill>
                          <w14:schemeClr w14:val="tx1"/>
                        </w14:solidFill>
                      </w14:textFill>
                    </w:rPr>
                  </w:pPr>
                </w:p>
              </w:tc>
              <w:tc>
                <w:tcPr>
                  <w:tcW w:w="426" w:type="pct"/>
                  <w:vMerge w:val="continue"/>
                  <w:vAlign w:val="center"/>
                </w:tcPr>
                <w:p w14:paraId="59CD015B">
                  <w:pPr>
                    <w:pStyle w:val="221"/>
                    <w:rPr>
                      <w:color w:val="000000" w:themeColor="text1"/>
                      <w14:textFill>
                        <w14:solidFill>
                          <w14:schemeClr w14:val="tx1"/>
                        </w14:solidFill>
                      </w14:textFill>
                    </w:rPr>
                  </w:pPr>
                </w:p>
              </w:tc>
              <w:tc>
                <w:tcPr>
                  <w:tcW w:w="1398" w:type="pct"/>
                  <w:vAlign w:val="center"/>
                </w:tcPr>
                <w:p w14:paraId="0250F6D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沉淀池污泥</w:t>
                  </w:r>
                </w:p>
              </w:tc>
              <w:tc>
                <w:tcPr>
                  <w:tcW w:w="1396" w:type="pct"/>
                  <w:vAlign w:val="center"/>
                </w:tcPr>
                <w:p w14:paraId="1F1B774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橡胶粒、炭黑、陶土</w:t>
                  </w:r>
                </w:p>
              </w:tc>
              <w:tc>
                <w:tcPr>
                  <w:tcW w:w="1478" w:type="pct"/>
                  <w:vAlign w:val="center"/>
                </w:tcPr>
                <w:p w14:paraId="3E649D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委托环卫部门处置</w:t>
                  </w:r>
                </w:p>
              </w:tc>
            </w:tr>
            <w:tr w14:paraId="0A02B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194B472B">
                  <w:pPr>
                    <w:pStyle w:val="221"/>
                    <w:rPr>
                      <w:color w:val="000000" w:themeColor="text1"/>
                      <w14:textFill>
                        <w14:solidFill>
                          <w14:schemeClr w14:val="tx1"/>
                        </w14:solidFill>
                      </w14:textFill>
                    </w:rPr>
                  </w:pPr>
                </w:p>
              </w:tc>
              <w:tc>
                <w:tcPr>
                  <w:tcW w:w="426" w:type="pct"/>
                  <w:vMerge w:val="continue"/>
                  <w:vAlign w:val="center"/>
                </w:tcPr>
                <w:p w14:paraId="7752357F">
                  <w:pPr>
                    <w:pStyle w:val="221"/>
                    <w:rPr>
                      <w:color w:val="000000" w:themeColor="text1"/>
                      <w14:textFill>
                        <w14:solidFill>
                          <w14:schemeClr w14:val="tx1"/>
                        </w14:solidFill>
                      </w14:textFill>
                    </w:rPr>
                  </w:pPr>
                </w:p>
              </w:tc>
              <w:tc>
                <w:tcPr>
                  <w:tcW w:w="1398" w:type="pct"/>
                  <w:vAlign w:val="center"/>
                </w:tcPr>
                <w:p w14:paraId="0DE7CF6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396" w:type="pct"/>
                  <w:vAlign w:val="center"/>
                </w:tcPr>
                <w:p w14:paraId="15D530D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塑料膜、废纸等</w:t>
                  </w:r>
                </w:p>
              </w:tc>
              <w:tc>
                <w:tcPr>
                  <w:tcW w:w="1478" w:type="pct"/>
                  <w:vAlign w:val="center"/>
                </w:tcPr>
                <w:p w14:paraId="2FAC675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委托环卫部门处置</w:t>
                  </w:r>
                </w:p>
              </w:tc>
            </w:tr>
            <w:tr w14:paraId="6CB83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0FDE0138">
                  <w:pPr>
                    <w:pStyle w:val="221"/>
                    <w:rPr>
                      <w:color w:val="000000" w:themeColor="text1"/>
                      <w14:textFill>
                        <w14:solidFill>
                          <w14:schemeClr w14:val="tx1"/>
                        </w14:solidFill>
                      </w14:textFill>
                    </w:rPr>
                  </w:pPr>
                </w:p>
              </w:tc>
              <w:tc>
                <w:tcPr>
                  <w:tcW w:w="426" w:type="pct"/>
                  <w:vMerge w:val="restart"/>
                  <w:vAlign w:val="center"/>
                </w:tcPr>
                <w:p w14:paraId="4FA13C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398" w:type="pct"/>
                  <w:vAlign w:val="center"/>
                </w:tcPr>
                <w:p w14:paraId="7B790C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1396" w:type="pct"/>
                  <w:vAlign w:val="center"/>
                </w:tcPr>
                <w:p w14:paraId="76A4AD1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润滑油</w:t>
                  </w:r>
                </w:p>
              </w:tc>
              <w:tc>
                <w:tcPr>
                  <w:tcW w:w="1478" w:type="pct"/>
                  <w:vMerge w:val="restart"/>
                  <w:vAlign w:val="center"/>
                </w:tcPr>
                <w:p w14:paraId="2CE2D74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经收集后暂存于危废暂存库，并委托有资质单位处置</w:t>
                  </w:r>
                </w:p>
              </w:tc>
            </w:tr>
            <w:tr w14:paraId="1F609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602BC622">
                  <w:pPr>
                    <w:pStyle w:val="221"/>
                    <w:rPr>
                      <w:color w:val="000000" w:themeColor="text1"/>
                      <w14:textFill>
                        <w14:solidFill>
                          <w14:schemeClr w14:val="tx1"/>
                        </w14:solidFill>
                      </w14:textFill>
                    </w:rPr>
                  </w:pPr>
                </w:p>
              </w:tc>
              <w:tc>
                <w:tcPr>
                  <w:tcW w:w="426" w:type="pct"/>
                  <w:vMerge w:val="continue"/>
                  <w:vAlign w:val="center"/>
                </w:tcPr>
                <w:p w14:paraId="0FE3F69F">
                  <w:pPr>
                    <w:pStyle w:val="221"/>
                    <w:rPr>
                      <w:color w:val="000000" w:themeColor="text1"/>
                      <w14:textFill>
                        <w14:solidFill>
                          <w14:schemeClr w14:val="tx1"/>
                        </w14:solidFill>
                      </w14:textFill>
                    </w:rPr>
                  </w:pPr>
                </w:p>
              </w:tc>
              <w:tc>
                <w:tcPr>
                  <w:tcW w:w="1398" w:type="pct"/>
                  <w:vAlign w:val="center"/>
                </w:tcPr>
                <w:p w14:paraId="3FBAC3B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1396" w:type="pct"/>
                  <w:vAlign w:val="center"/>
                </w:tcPr>
                <w:p w14:paraId="183538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润滑油</w:t>
                  </w:r>
                </w:p>
              </w:tc>
              <w:tc>
                <w:tcPr>
                  <w:tcW w:w="1478" w:type="pct"/>
                  <w:vMerge w:val="continue"/>
                  <w:vAlign w:val="center"/>
                </w:tcPr>
                <w:p w14:paraId="7B07ACA3">
                  <w:pPr>
                    <w:pStyle w:val="221"/>
                    <w:rPr>
                      <w:color w:val="000000" w:themeColor="text1"/>
                      <w14:textFill>
                        <w14:solidFill>
                          <w14:schemeClr w14:val="tx1"/>
                        </w14:solidFill>
                      </w14:textFill>
                    </w:rPr>
                  </w:pPr>
                </w:p>
              </w:tc>
            </w:tr>
            <w:tr w14:paraId="6CB20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Align w:val="center"/>
                </w:tcPr>
                <w:p w14:paraId="1E8EDAAF">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98" w:type="pct"/>
                  <w:vAlign w:val="center"/>
                </w:tcPr>
                <w:p w14:paraId="1399B4D9">
                  <w:pPr>
                    <w:pStyle w:val="221"/>
                    <w:rPr>
                      <w:color w:val="000000" w:themeColor="text1"/>
                      <w14:textFill>
                        <w14:solidFill>
                          <w14:schemeClr w14:val="tx1"/>
                        </w14:solidFill>
                      </w14:textFill>
                    </w:rPr>
                  </w:pPr>
                  <w:r>
                    <w:rPr>
                      <w:color w:val="000000" w:themeColor="text1"/>
                      <w14:textFill>
                        <w14:solidFill>
                          <w14:schemeClr w14:val="tx1"/>
                        </w14:solidFill>
                      </w14:textFill>
                    </w:rPr>
                    <w:t>设备运行</w:t>
                  </w:r>
                </w:p>
              </w:tc>
              <w:tc>
                <w:tcPr>
                  <w:tcW w:w="1396" w:type="pct"/>
                  <w:vAlign w:val="center"/>
                </w:tcPr>
                <w:p w14:paraId="1411664A">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78" w:type="pct"/>
                  <w:vAlign w:val="center"/>
                </w:tcPr>
                <w:p w14:paraId="5198AA20">
                  <w:pPr>
                    <w:pStyle w:val="221"/>
                    <w:rPr>
                      <w:color w:val="000000" w:themeColor="text1"/>
                      <w14:textFill>
                        <w14:solidFill>
                          <w14:schemeClr w14:val="tx1"/>
                        </w14:solidFill>
                      </w14:textFill>
                    </w:rPr>
                  </w:pPr>
                  <w:r>
                    <w:rPr>
                      <w:color w:val="000000" w:themeColor="text1"/>
                      <w14:textFill>
                        <w14:solidFill>
                          <w14:schemeClr w14:val="tx1"/>
                        </w14:solidFill>
                      </w14:textFill>
                    </w:rPr>
                    <w:t>设备基础减振、墙体隔声</w:t>
                  </w:r>
                </w:p>
              </w:tc>
            </w:tr>
          </w:tbl>
          <w:p w14:paraId="10901F23">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tc>
      </w:tr>
      <w:tr w14:paraId="00BB7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vAlign w:val="center"/>
          </w:tcPr>
          <w:p w14:paraId="160EF831">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kern w:val="2"/>
                <w:szCs w:val="24"/>
                <w14:textFill>
                  <w14:solidFill>
                    <w14:schemeClr w14:val="tx1"/>
                  </w14:solidFill>
                </w14:textFill>
              </w:rPr>
              <w:t>与项目有关的原有环境污染问题</w:t>
            </w:r>
          </w:p>
        </w:tc>
        <w:tc>
          <w:tcPr>
            <w:tcW w:w="8833" w:type="dxa"/>
            <w:vAlign w:val="center"/>
          </w:tcPr>
          <w:p w14:paraId="24E614D7">
            <w:pPr>
              <w:pStyle w:val="223"/>
              <w:spacing w:before="120"/>
              <w:ind w:firstLine="480"/>
              <w:rPr>
                <w:color w:val="000000" w:themeColor="text1"/>
                <w:shd w:val="clear" w:color="auto" w:fill="FFFFFF"/>
                <w14:textFill>
                  <w14:solidFill>
                    <w14:schemeClr w14:val="tx1"/>
                  </w14:solidFill>
                </w14:textFill>
              </w:rPr>
            </w:pPr>
            <w:r>
              <w:rPr>
                <w:rFonts w:hint="eastAsia"/>
                <w:color w:val="000000" w:themeColor="text1"/>
                <w:shd w:val="clear" w:color="auto" w:fill="FFFFFF"/>
                <w14:textFill>
                  <w14:solidFill>
                    <w14:schemeClr w14:val="tx1"/>
                  </w14:solidFill>
                </w14:textFill>
              </w:rPr>
              <w:t>本项目为新建项目，使用空置厂房，无与项目有关的原有环境污染问题。</w:t>
            </w:r>
          </w:p>
          <w:p w14:paraId="582639A0">
            <w:pPr>
              <w:pStyle w:val="225"/>
              <w:ind w:firstLine="480"/>
              <w:rPr>
                <w:color w:val="000000" w:themeColor="text1"/>
                <w:shd w:val="clear" w:color="auto" w:fill="FFFFFF"/>
                <w14:textFill>
                  <w14:solidFill>
                    <w14:schemeClr w14:val="tx1"/>
                  </w14:solidFill>
                </w14:textFill>
              </w:rPr>
            </w:pPr>
          </w:p>
        </w:tc>
      </w:tr>
    </w:tbl>
    <w:p w14:paraId="65DB3A62">
      <w:pPr>
        <w:pStyle w:val="29"/>
        <w:widowControl w:val="0"/>
        <w:topLinePunct/>
        <w:adjustRightInd w:val="0"/>
        <w:snapToGrid w:val="0"/>
        <w:spacing w:before="0" w:beforeAutospacing="0" w:after="0" w:afterAutospacing="0" w:line="14" w:lineRule="auto"/>
        <w:jc w:val="both"/>
        <w:rPr>
          <w:rFonts w:ascii="Times New Roman" w:hAnsi="Times New Roman" w:eastAsia="宋体" w:cs="Times New Roman"/>
          <w:snapToGrid w:val="0"/>
          <w:color w:val="000000" w:themeColor="text1"/>
          <w:sz w:val="30"/>
          <w:szCs w:val="30"/>
          <w14:textFill>
            <w14:solidFill>
              <w14:schemeClr w14:val="tx1"/>
            </w14:solidFill>
          </w14:textFill>
        </w:rPr>
        <w:sectPr>
          <w:footerReference r:id="rId11" w:type="default"/>
          <w:pgSz w:w="11907" w:h="16840"/>
          <w:pgMar w:top="1417" w:right="1417" w:bottom="1417" w:left="1417" w:header="992" w:footer="992" w:gutter="0"/>
          <w:cols w:space="720" w:num="1"/>
          <w:docGrid w:linePitch="312" w:charSpace="0"/>
        </w:sectPr>
      </w:pPr>
    </w:p>
    <w:p w14:paraId="636B0457">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6" w:name="_Toc10004"/>
      <w:bookmarkStart w:id="7" w:name="_Toc14125"/>
      <w:r>
        <w:rPr>
          <w:rFonts w:ascii="Times New Roman" w:hAnsi="Times New Roman" w:eastAsia="宋体" w:cs="Times New Roman"/>
          <w:b/>
          <w:bCs/>
          <w:snapToGrid w:val="0"/>
          <w:color w:val="000000" w:themeColor="text1"/>
          <w:sz w:val="32"/>
          <w:szCs w:val="32"/>
          <w14:textFill>
            <w14:solidFill>
              <w14:schemeClr w14:val="tx1"/>
            </w14:solidFill>
          </w14:textFill>
        </w:rPr>
        <w:t>三、区域环境质量现状、环境保护目标及评价标准</w:t>
      </w:r>
      <w:bookmarkEnd w:id="6"/>
      <w:bookmarkEnd w:id="7"/>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3"/>
      </w:tblGrid>
      <w:tr w14:paraId="73CAE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424" w:type="dxa"/>
            <w:vAlign w:val="center"/>
          </w:tcPr>
          <w:p w14:paraId="2AD07C42">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区域</w:t>
            </w:r>
          </w:p>
          <w:p w14:paraId="2D780A8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14:paraId="0EDD853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质量</w:t>
            </w:r>
          </w:p>
          <w:p w14:paraId="3F124CF0">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现状</w:t>
            </w:r>
          </w:p>
        </w:tc>
        <w:tc>
          <w:tcPr>
            <w:tcW w:w="8865" w:type="dxa"/>
            <w:vAlign w:val="center"/>
          </w:tcPr>
          <w:p w14:paraId="248BAC45">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3.1 区域环境质量现状</w:t>
            </w:r>
          </w:p>
          <w:p w14:paraId="120A3F5A">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3.1.1 </w:t>
            </w:r>
            <w:r>
              <w:rPr>
                <w:rFonts w:hint="eastAsia" w:ascii="Times New Roman" w:hAnsi="Times New Roman" w:eastAsia="宋体" w:cs="Times New Roman"/>
                <w:b/>
                <w:bCs/>
                <w:color w:val="000000" w:themeColor="text1"/>
                <w:szCs w:val="24"/>
                <w14:textFill>
                  <w14:solidFill>
                    <w14:schemeClr w14:val="tx1"/>
                  </w14:solidFill>
                </w14:textFill>
              </w:rPr>
              <w:t>空气环境</w:t>
            </w:r>
            <w:r>
              <w:rPr>
                <w:rFonts w:ascii="Times New Roman" w:hAnsi="Times New Roman" w:eastAsia="宋体" w:cs="Times New Roman"/>
                <w:b/>
                <w:bCs/>
                <w:color w:val="000000" w:themeColor="text1"/>
                <w:szCs w:val="24"/>
                <w14:textFill>
                  <w14:solidFill>
                    <w14:schemeClr w14:val="tx1"/>
                  </w14:solidFill>
                </w14:textFill>
              </w:rPr>
              <w:t>质量现状</w:t>
            </w:r>
          </w:p>
          <w:p w14:paraId="768B8C1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（1）常规污染因子</w:t>
            </w:r>
          </w:p>
          <w:p w14:paraId="1E237AFB">
            <w:pPr>
              <w:pStyle w:val="225"/>
              <w:ind w:firstLine="480"/>
              <w:rPr>
                <w:rStyle w:val="44"/>
                <w:color w:val="000000" w:themeColor="text1"/>
                <w:szCs w:val="20"/>
                <w14:textFill>
                  <w14:solidFill>
                    <w14:schemeClr w14:val="tx1"/>
                  </w14:solidFill>
                </w14:textFill>
              </w:rPr>
            </w:pPr>
            <w:r>
              <w:rPr>
                <w:color w:val="000000" w:themeColor="text1"/>
                <w14:textFill>
                  <w14:solidFill>
                    <w14:schemeClr w14:val="tx1"/>
                  </w14:solidFill>
                </w14:textFill>
              </w:rPr>
              <w:t>根据福州市福清生态环境局发布的202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年1月至202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年12月空气质量月报数据，详见表3.1-1，空气环境中SO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和PM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均未超过国家二级标准，CO日均值第95百分数和O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最大8小时值第90百分数未超过国家二级标准。</w:t>
            </w:r>
            <w:r>
              <w:rPr>
                <w:rFonts w:hint="eastAsia"/>
                <w:color w:val="000000" w:themeColor="text1"/>
                <w14:textFill>
                  <w14:solidFill>
                    <w14:schemeClr w14:val="tx1"/>
                  </w14:solidFill>
                </w14:textFill>
              </w:rPr>
              <w:t>福清市环境空气质量属于达标区。</w:t>
            </w:r>
          </w:p>
          <w:p w14:paraId="07E59788">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表3.1-1  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年福清市空气质量月报数据</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1142"/>
              <w:gridCol w:w="1142"/>
              <w:gridCol w:w="1142"/>
              <w:gridCol w:w="1578"/>
              <w:gridCol w:w="1090"/>
              <w:gridCol w:w="1147"/>
            </w:tblGrid>
            <w:tr w14:paraId="36D64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08177EC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时间</w:t>
                  </w:r>
                </w:p>
              </w:tc>
              <w:tc>
                <w:tcPr>
                  <w:tcW w:w="664" w:type="pct"/>
                  <w:vAlign w:val="center"/>
                </w:tcPr>
                <w:p w14:paraId="0619B8F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14:paraId="38AFDF9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14:paraId="7EE5A01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14:paraId="13A3938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14:paraId="4C4D513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10</w:t>
                  </w:r>
                </w:p>
                <w:p w14:paraId="5FF50BD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917" w:type="pct"/>
                  <w:vAlign w:val="center"/>
                </w:tcPr>
                <w:p w14:paraId="62CC3B5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2.5</w:t>
                  </w: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25" w:type="pct"/>
                  <w:vAlign w:val="center"/>
                </w:tcPr>
                <w:p w14:paraId="750483C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w:t>
                  </w:r>
                </w:p>
                <w:p w14:paraId="608A57A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5" w:type="pct"/>
                  <w:vAlign w:val="center"/>
                </w:tcPr>
                <w:p w14:paraId="3029469F">
                  <w:pPr>
                    <w:widowControl w:val="0"/>
                    <w:topLinePunct/>
                    <w:spacing w:after="0" w:line="240" w:lineRule="auto"/>
                    <w:jc w:val="center"/>
                    <w:rPr>
                      <w:rFonts w:ascii="Times New Roman" w:hAnsi="Times New Roman" w:eastAsia="宋体" w:cs="Times New Roman"/>
                      <w:color w:val="000000" w:themeColor="text1"/>
                      <w:sz w:val="21"/>
                      <w:szCs w:val="21"/>
                      <w:vertAlign w:val="subscript"/>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O</w:t>
                  </w:r>
                  <w:r>
                    <w:rPr>
                      <w:rFonts w:ascii="Times New Roman" w:hAnsi="Times New Roman" w:eastAsia="宋体" w:cs="Times New Roman"/>
                      <w:color w:val="000000" w:themeColor="text1"/>
                      <w:sz w:val="21"/>
                      <w:szCs w:val="21"/>
                      <w:vertAlign w:val="subscript"/>
                      <w14:textFill>
                        <w14:solidFill>
                          <w14:schemeClr w14:val="tx1"/>
                        </w14:solidFill>
                      </w14:textFill>
                    </w:rPr>
                    <w:t>3</w:t>
                  </w:r>
                </w:p>
                <w:p w14:paraId="22D6826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14:paraId="7E997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78FDC5B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w:t>
                  </w:r>
                  <w:r>
                    <w:rPr>
                      <w:rFonts w:hint="eastAsia" w:ascii="Times New Roman" w:hAnsi="Times New Roman" w:eastAsia="宋体" w:cs="Times New Roman"/>
                      <w:color w:val="000000" w:themeColor="text1"/>
                      <w:sz w:val="21"/>
                      <w:szCs w:val="21"/>
                      <w14:textFill>
                        <w14:solidFill>
                          <w14:schemeClr w14:val="tx1"/>
                        </w14:solidFill>
                      </w14:textFill>
                    </w:rPr>
                    <w:t>4</w:t>
                  </w:r>
                  <w:r>
                    <w:rPr>
                      <w:rFonts w:ascii="Times New Roman" w:hAnsi="Times New Roman" w:eastAsia="宋体" w:cs="Times New Roman"/>
                      <w:color w:val="000000" w:themeColor="text1"/>
                      <w:sz w:val="21"/>
                      <w:szCs w:val="21"/>
                      <w14:textFill>
                        <w14:solidFill>
                          <w14:schemeClr w14:val="tx1"/>
                        </w14:solidFill>
                      </w14:textFill>
                    </w:rPr>
                    <w:t>年1月</w:t>
                  </w:r>
                </w:p>
              </w:tc>
              <w:tc>
                <w:tcPr>
                  <w:tcW w:w="664" w:type="pct"/>
                  <w:vAlign w:val="center"/>
                </w:tcPr>
                <w:p w14:paraId="660B139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14:paraId="7D0F72B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0.022</w:t>
                  </w:r>
                </w:p>
              </w:tc>
              <w:tc>
                <w:tcPr>
                  <w:tcW w:w="664" w:type="pct"/>
                  <w:vAlign w:val="center"/>
                </w:tcPr>
                <w:p w14:paraId="65E151B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0.048</w:t>
                  </w:r>
                </w:p>
              </w:tc>
              <w:tc>
                <w:tcPr>
                  <w:tcW w:w="917" w:type="pct"/>
                  <w:vAlign w:val="center"/>
                </w:tcPr>
                <w:p w14:paraId="7331E26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0.030</w:t>
                  </w:r>
                </w:p>
              </w:tc>
              <w:tc>
                <w:tcPr>
                  <w:tcW w:w="625" w:type="pct"/>
                  <w:vAlign w:val="center"/>
                </w:tcPr>
                <w:p w14:paraId="39FAD55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14:paraId="093E5D6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0.110</w:t>
                  </w:r>
                </w:p>
              </w:tc>
            </w:tr>
            <w:tr w14:paraId="259F1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457E7E2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2024年2月</w:t>
                  </w:r>
                </w:p>
              </w:tc>
              <w:tc>
                <w:tcPr>
                  <w:tcW w:w="664" w:type="pct"/>
                  <w:vAlign w:val="center"/>
                </w:tcPr>
                <w:p w14:paraId="5FB4ED1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64" w:type="pct"/>
                  <w:vAlign w:val="center"/>
                </w:tcPr>
                <w:p w14:paraId="5463882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4" w:type="pct"/>
                  <w:vAlign w:val="center"/>
                </w:tcPr>
                <w:p w14:paraId="25BAE47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0.038</w:t>
                  </w:r>
                </w:p>
              </w:tc>
              <w:tc>
                <w:tcPr>
                  <w:tcW w:w="917" w:type="pct"/>
                  <w:vAlign w:val="center"/>
                </w:tcPr>
                <w:p w14:paraId="0771FAD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0.023</w:t>
                  </w:r>
                </w:p>
              </w:tc>
              <w:tc>
                <w:tcPr>
                  <w:tcW w:w="625" w:type="pct"/>
                  <w:vAlign w:val="center"/>
                </w:tcPr>
                <w:p w14:paraId="3455283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1.2</w:t>
                  </w:r>
                </w:p>
              </w:tc>
              <w:tc>
                <w:tcPr>
                  <w:tcW w:w="665" w:type="pct"/>
                  <w:vAlign w:val="center"/>
                </w:tcPr>
                <w:p w14:paraId="773007A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0.112</w:t>
                  </w:r>
                </w:p>
              </w:tc>
            </w:tr>
            <w:tr w14:paraId="748D6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527BD21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2024年3月</w:t>
                  </w:r>
                </w:p>
              </w:tc>
              <w:tc>
                <w:tcPr>
                  <w:tcW w:w="664" w:type="pct"/>
                  <w:vAlign w:val="center"/>
                </w:tcPr>
                <w:p w14:paraId="0EB32BF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64" w:type="pct"/>
                  <w:vAlign w:val="center"/>
                </w:tcPr>
                <w:p w14:paraId="08BA7F6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18</w:t>
                  </w:r>
                </w:p>
              </w:tc>
              <w:tc>
                <w:tcPr>
                  <w:tcW w:w="664" w:type="pct"/>
                  <w:vAlign w:val="center"/>
                </w:tcPr>
                <w:p w14:paraId="355C8AB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50</w:t>
                  </w:r>
                </w:p>
              </w:tc>
              <w:tc>
                <w:tcPr>
                  <w:tcW w:w="917" w:type="pct"/>
                  <w:vAlign w:val="center"/>
                </w:tcPr>
                <w:p w14:paraId="3711843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5E775AF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1.0</w:t>
                  </w:r>
                </w:p>
              </w:tc>
              <w:tc>
                <w:tcPr>
                  <w:tcW w:w="665" w:type="pct"/>
                  <w:vAlign w:val="center"/>
                </w:tcPr>
                <w:p w14:paraId="14A28A1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121</w:t>
                  </w:r>
                </w:p>
              </w:tc>
            </w:tr>
            <w:tr w14:paraId="4C5B3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6C5EB7C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2024年4月</w:t>
                  </w:r>
                </w:p>
              </w:tc>
              <w:tc>
                <w:tcPr>
                  <w:tcW w:w="664" w:type="pct"/>
                  <w:vAlign w:val="center"/>
                </w:tcPr>
                <w:p w14:paraId="220D843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14:paraId="2E5D464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4" w:type="pct"/>
                  <w:vAlign w:val="center"/>
                </w:tcPr>
                <w:p w14:paraId="299B10D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917" w:type="pct"/>
                  <w:vAlign w:val="center"/>
                </w:tcPr>
                <w:p w14:paraId="47DBA3E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14:paraId="7B58F91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665" w:type="pct"/>
                  <w:vAlign w:val="center"/>
                </w:tcPr>
                <w:p w14:paraId="4A4973D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22</w:t>
                  </w:r>
                </w:p>
              </w:tc>
            </w:tr>
            <w:tr w14:paraId="09300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42973DB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2024年5月</w:t>
                  </w:r>
                </w:p>
              </w:tc>
              <w:tc>
                <w:tcPr>
                  <w:tcW w:w="664" w:type="pct"/>
                  <w:vAlign w:val="center"/>
                </w:tcPr>
                <w:p w14:paraId="75158F9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24ACFBB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664" w:type="pct"/>
                  <w:vAlign w:val="center"/>
                </w:tcPr>
                <w:p w14:paraId="7632CC9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28</w:t>
                  </w:r>
                </w:p>
              </w:tc>
              <w:tc>
                <w:tcPr>
                  <w:tcW w:w="917" w:type="pct"/>
                  <w:vAlign w:val="center"/>
                </w:tcPr>
                <w:p w14:paraId="3390A82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14A5315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5" w:type="pct"/>
                  <w:vAlign w:val="center"/>
                </w:tcPr>
                <w:p w14:paraId="438562A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w:t>
                  </w:r>
                  <w:r>
                    <w:rPr>
                      <w:rFonts w:hint="eastAsia" w:ascii="Times New Roman" w:hAnsi="Times New Roman" w:eastAsia="宋体" w:cs="Times New Roman"/>
                      <w:color w:val="000000" w:themeColor="text1"/>
                      <w:sz w:val="21"/>
                      <w:szCs w:val="21"/>
                      <w14:textFill>
                        <w14:solidFill>
                          <w14:schemeClr w14:val="tx1"/>
                        </w14:solidFill>
                      </w14:textFill>
                    </w:rPr>
                    <w:t>0</w:t>
                  </w:r>
                </w:p>
              </w:tc>
            </w:tr>
            <w:tr w14:paraId="20360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4583886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2024年6月</w:t>
                  </w:r>
                </w:p>
              </w:tc>
              <w:tc>
                <w:tcPr>
                  <w:tcW w:w="664" w:type="pct"/>
                  <w:vAlign w:val="center"/>
                </w:tcPr>
                <w:p w14:paraId="6AEDF80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52B233B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p>
              </w:tc>
              <w:tc>
                <w:tcPr>
                  <w:tcW w:w="664" w:type="pct"/>
                  <w:vAlign w:val="center"/>
                </w:tcPr>
                <w:p w14:paraId="7F88A61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917" w:type="pct"/>
                  <w:vAlign w:val="center"/>
                </w:tcPr>
                <w:p w14:paraId="6C4FFA8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25" w:type="pct"/>
                  <w:vAlign w:val="center"/>
                </w:tcPr>
                <w:p w14:paraId="1B8AF0A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14:paraId="4F78315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12</w:t>
                  </w:r>
                </w:p>
              </w:tc>
            </w:tr>
            <w:tr w14:paraId="0813B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0BCDCAF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2024年7月</w:t>
                  </w:r>
                </w:p>
              </w:tc>
              <w:tc>
                <w:tcPr>
                  <w:tcW w:w="664" w:type="pct"/>
                  <w:vAlign w:val="center"/>
                </w:tcPr>
                <w:p w14:paraId="00995FF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5A79F91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14:paraId="3D965A5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020</w:t>
                  </w:r>
                </w:p>
              </w:tc>
              <w:tc>
                <w:tcPr>
                  <w:tcW w:w="917" w:type="pct"/>
                  <w:vAlign w:val="center"/>
                </w:tcPr>
                <w:p w14:paraId="7D1745F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0.010</w:t>
                  </w:r>
                </w:p>
              </w:tc>
              <w:tc>
                <w:tcPr>
                  <w:tcW w:w="625" w:type="pct"/>
                  <w:vAlign w:val="center"/>
                </w:tcPr>
                <w:p w14:paraId="0CC5453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7C8C520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w:t>
                  </w:r>
                  <w:r>
                    <w:rPr>
                      <w:rFonts w:ascii="Times New Roman" w:hAnsi="Times New Roman" w:eastAsia="宋体" w:cs="Times New Roman"/>
                      <w:color w:val="000000" w:themeColor="text1"/>
                      <w:sz w:val="21"/>
                      <w:szCs w:val="21"/>
                      <w14:textFill>
                        <w14:solidFill>
                          <w14:schemeClr w14:val="tx1"/>
                        </w14:solidFill>
                      </w14:textFill>
                    </w:rPr>
                    <w:t>8</w:t>
                  </w:r>
                </w:p>
              </w:tc>
            </w:tr>
            <w:tr w14:paraId="2337C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6776078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2024年8月</w:t>
                  </w:r>
                </w:p>
              </w:tc>
              <w:tc>
                <w:tcPr>
                  <w:tcW w:w="664" w:type="pct"/>
                  <w:vAlign w:val="center"/>
                </w:tcPr>
                <w:p w14:paraId="49B410B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4" w:type="pct"/>
                  <w:vAlign w:val="center"/>
                </w:tcPr>
                <w:p w14:paraId="7F08954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4" w:type="pct"/>
                  <w:vAlign w:val="center"/>
                </w:tcPr>
                <w:p w14:paraId="7D0866C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32</w:t>
                  </w:r>
                </w:p>
              </w:tc>
              <w:tc>
                <w:tcPr>
                  <w:tcW w:w="917" w:type="pct"/>
                  <w:vAlign w:val="center"/>
                </w:tcPr>
                <w:p w14:paraId="419391D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7</w:t>
                  </w:r>
                </w:p>
              </w:tc>
              <w:tc>
                <w:tcPr>
                  <w:tcW w:w="625" w:type="pct"/>
                  <w:vAlign w:val="center"/>
                </w:tcPr>
                <w:p w14:paraId="14F2C43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0.5</w:t>
                  </w:r>
                </w:p>
              </w:tc>
              <w:tc>
                <w:tcPr>
                  <w:tcW w:w="665" w:type="pct"/>
                  <w:vAlign w:val="center"/>
                </w:tcPr>
                <w:p w14:paraId="215A77A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4</w:t>
                  </w:r>
                  <w:r>
                    <w:rPr>
                      <w:rFonts w:ascii="Times New Roman" w:hAnsi="Times New Roman" w:eastAsia="宋体" w:cs="Times New Roman"/>
                      <w:color w:val="000000" w:themeColor="text1"/>
                      <w:sz w:val="21"/>
                      <w:szCs w:val="21"/>
                      <w14:textFill>
                        <w14:solidFill>
                          <w14:schemeClr w14:val="tx1"/>
                        </w14:solidFill>
                      </w14:textFill>
                    </w:rPr>
                    <w:t>4</w:t>
                  </w:r>
                </w:p>
              </w:tc>
            </w:tr>
            <w:tr w14:paraId="17726A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5323C74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2024年9月</w:t>
                  </w:r>
                </w:p>
              </w:tc>
              <w:tc>
                <w:tcPr>
                  <w:tcW w:w="664" w:type="pct"/>
                  <w:vAlign w:val="center"/>
                </w:tcPr>
                <w:p w14:paraId="2ED4C63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0C583D3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664" w:type="pct"/>
                  <w:vAlign w:val="center"/>
                </w:tcPr>
                <w:p w14:paraId="07B0BD2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0</w:t>
                  </w:r>
                </w:p>
              </w:tc>
              <w:tc>
                <w:tcPr>
                  <w:tcW w:w="917" w:type="pct"/>
                  <w:vAlign w:val="center"/>
                </w:tcPr>
                <w:p w14:paraId="214B206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0</w:t>
                  </w:r>
                </w:p>
              </w:tc>
              <w:tc>
                <w:tcPr>
                  <w:tcW w:w="625" w:type="pct"/>
                  <w:vAlign w:val="center"/>
                </w:tcPr>
                <w:p w14:paraId="7A5B79C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39FA022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0.090</w:t>
                  </w:r>
                </w:p>
              </w:tc>
            </w:tr>
            <w:tr w14:paraId="44D78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40A7581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2024年10月</w:t>
                  </w:r>
                </w:p>
              </w:tc>
              <w:tc>
                <w:tcPr>
                  <w:tcW w:w="664" w:type="pct"/>
                  <w:vAlign w:val="center"/>
                </w:tcPr>
                <w:p w14:paraId="592F380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0B43CAB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5</w:t>
                  </w:r>
                </w:p>
              </w:tc>
              <w:tc>
                <w:tcPr>
                  <w:tcW w:w="664" w:type="pct"/>
                  <w:vAlign w:val="center"/>
                </w:tcPr>
                <w:p w14:paraId="2D69AA9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917" w:type="pct"/>
                  <w:vAlign w:val="center"/>
                </w:tcPr>
                <w:p w14:paraId="2BE3183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73C7F93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5C7E219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06</w:t>
                  </w:r>
                </w:p>
              </w:tc>
            </w:tr>
            <w:tr w14:paraId="11A96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5A15486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2024年11月</w:t>
                  </w:r>
                </w:p>
              </w:tc>
              <w:tc>
                <w:tcPr>
                  <w:tcW w:w="664" w:type="pct"/>
                  <w:vAlign w:val="center"/>
                </w:tcPr>
                <w:p w14:paraId="7C8339D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1E657AA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664" w:type="pct"/>
                  <w:vAlign w:val="center"/>
                </w:tcPr>
                <w:p w14:paraId="615C0D8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23</w:t>
                  </w:r>
                </w:p>
              </w:tc>
              <w:tc>
                <w:tcPr>
                  <w:tcW w:w="917" w:type="pct"/>
                  <w:vAlign w:val="center"/>
                </w:tcPr>
                <w:p w14:paraId="5C3722C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25" w:type="pct"/>
                  <w:vAlign w:val="center"/>
                </w:tcPr>
                <w:p w14:paraId="48B64B8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355BF09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00</w:t>
                  </w:r>
                </w:p>
              </w:tc>
            </w:tr>
            <w:tr w14:paraId="75F84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60D4397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2024年12月</w:t>
                  </w:r>
                </w:p>
              </w:tc>
              <w:tc>
                <w:tcPr>
                  <w:tcW w:w="664" w:type="pct"/>
                  <w:vAlign w:val="center"/>
                </w:tcPr>
                <w:p w14:paraId="63472F9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64" w:type="pct"/>
                  <w:vAlign w:val="center"/>
                </w:tcPr>
                <w:p w14:paraId="3BF4C9E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4" w:type="pct"/>
                  <w:vAlign w:val="center"/>
                </w:tcPr>
                <w:p w14:paraId="1CB9E1B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917" w:type="pct"/>
                  <w:vAlign w:val="center"/>
                </w:tcPr>
                <w:p w14:paraId="2FF8390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9</w:t>
                  </w:r>
                </w:p>
              </w:tc>
              <w:tc>
                <w:tcPr>
                  <w:tcW w:w="625" w:type="pct"/>
                  <w:vAlign w:val="center"/>
                </w:tcPr>
                <w:p w14:paraId="2F3625B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5" w:type="pct"/>
                  <w:vAlign w:val="center"/>
                </w:tcPr>
                <w:p w14:paraId="64B479F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04</w:t>
                  </w:r>
                </w:p>
              </w:tc>
            </w:tr>
            <w:tr w14:paraId="73F08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0197897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二级标准</w:t>
                  </w:r>
                </w:p>
              </w:tc>
              <w:tc>
                <w:tcPr>
                  <w:tcW w:w="664" w:type="pct"/>
                  <w:vAlign w:val="center"/>
                </w:tcPr>
                <w:p w14:paraId="7B063A7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0.06</w:t>
                  </w:r>
                </w:p>
              </w:tc>
              <w:tc>
                <w:tcPr>
                  <w:tcW w:w="664" w:type="pct"/>
                  <w:vAlign w:val="center"/>
                </w:tcPr>
                <w:p w14:paraId="3BAD3DE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p>
              </w:tc>
              <w:tc>
                <w:tcPr>
                  <w:tcW w:w="664" w:type="pct"/>
                  <w:vAlign w:val="center"/>
                </w:tcPr>
                <w:p w14:paraId="746C142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0.07</w:t>
                  </w:r>
                </w:p>
              </w:tc>
              <w:tc>
                <w:tcPr>
                  <w:tcW w:w="917" w:type="pct"/>
                  <w:vAlign w:val="center"/>
                </w:tcPr>
                <w:p w14:paraId="0A7BBA7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0.035</w:t>
                  </w:r>
                </w:p>
              </w:tc>
              <w:tc>
                <w:tcPr>
                  <w:tcW w:w="625" w:type="pct"/>
                  <w:vAlign w:val="center"/>
                </w:tcPr>
                <w:p w14:paraId="61E1C97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2B544E8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0.16</w:t>
                  </w:r>
                </w:p>
              </w:tc>
            </w:tr>
            <w:tr w14:paraId="00FD0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0F91F4A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w:t>
                  </w:r>
                </w:p>
              </w:tc>
              <w:tc>
                <w:tcPr>
                  <w:tcW w:w="4201" w:type="pct"/>
                  <w:gridSpan w:val="6"/>
                  <w:vAlign w:val="center"/>
                </w:tcPr>
                <w:p w14:paraId="7B2F525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*CO为日均值第95百分位数，O</w:t>
                  </w:r>
                  <w:r>
                    <w:rPr>
                      <w:rFonts w:ascii="Times New Roman" w:hAnsi="Times New Roman" w:eastAsia="宋体" w:cs="Times New Roman"/>
                      <w:color w:val="000000" w:themeColor="text1"/>
                      <w:sz w:val="21"/>
                      <w:szCs w:val="21"/>
                      <w:vertAlign w:val="sub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为日最大8小时值第90百分位数。</w:t>
                  </w:r>
                </w:p>
              </w:tc>
            </w:tr>
          </w:tbl>
          <w:p w14:paraId="3AD88684">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（2）特征污染因子</w:t>
            </w:r>
          </w:p>
          <w:p w14:paraId="47345591">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本项目排放的其他污染物为</w:t>
            </w:r>
            <w:r>
              <w:rPr>
                <w:rFonts w:hint="eastAsia"/>
                <w:color w:val="000000" w:themeColor="text1"/>
                <w14:textFill>
                  <w14:solidFill>
                    <w14:schemeClr w14:val="tx1"/>
                  </w14:solidFill>
                </w14:textFill>
              </w:rPr>
              <w:t>颗粒物</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评价引用中检集团福建创信环保科技有限公司于2023年6月11日~2023年6月13日进行的TSP环境空气监测数据，监测点位与项目红线之间的直线距离约为3700m，监测日均值，具体的监测数据详见下表3.1-2，监测报告见附件6，监测点位图见图3.1-1。</w:t>
            </w:r>
          </w:p>
          <w:p w14:paraId="32D57B5B">
            <w:pPr>
              <w:pStyle w:val="225"/>
              <w:ind w:firstLine="480"/>
              <w:rPr>
                <w:color w:val="000000" w:themeColor="text1"/>
                <w14:textFill>
                  <w14:solidFill>
                    <w14:schemeClr w14:val="tx1"/>
                  </w14:solidFill>
                </w14:textFill>
              </w:rPr>
            </w:pPr>
          </w:p>
          <w:p w14:paraId="54C93D8D">
            <w:pPr>
              <w:pStyle w:val="225"/>
              <w:ind w:firstLine="480"/>
              <w:rPr>
                <w:color w:val="000000" w:themeColor="text1"/>
                <w14:textFill>
                  <w14:solidFill>
                    <w14:schemeClr w14:val="tx1"/>
                  </w14:solidFill>
                </w14:textFill>
              </w:rPr>
            </w:pPr>
          </w:p>
          <w:p w14:paraId="66075681">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表3.1-2  环境空气TSP日均值监测结果一览表</w:t>
            </w:r>
          </w:p>
          <w:tbl>
            <w:tblPr>
              <w:tblStyle w:val="16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701"/>
              <w:gridCol w:w="3426"/>
              <w:gridCol w:w="1955"/>
            </w:tblGrid>
            <w:tr w14:paraId="019BD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14:paraId="6871A0AF">
                  <w:pPr>
                    <w:pStyle w:val="221"/>
                    <w:rPr>
                      <w:rFonts w:eastAsia="Times New Roman"/>
                      <w:color w:val="000000" w:themeColor="text1"/>
                      <w:spacing w:val="5"/>
                      <w14:textFill>
                        <w14:solidFill>
                          <w14:schemeClr w14:val="tx1"/>
                        </w14:solidFill>
                      </w14:textFill>
                    </w:rPr>
                  </w:pPr>
                  <w:r>
                    <w:rPr>
                      <w:color w:val="000000" w:themeColor="text1"/>
                      <w14:textFill>
                        <w14:solidFill>
                          <w14:schemeClr w14:val="tx1"/>
                        </w14:solidFill>
                      </w14:textFill>
                    </w:rPr>
                    <w:t>检测点位</w:t>
                  </w:r>
                </w:p>
              </w:tc>
              <w:tc>
                <w:tcPr>
                  <w:tcW w:w="1701" w:type="dxa"/>
                  <w:vAlign w:val="center"/>
                </w:tcPr>
                <w:p w14:paraId="5F52A719">
                  <w:pPr>
                    <w:pStyle w:val="221"/>
                    <w:rPr>
                      <w:color w:val="000000" w:themeColor="text1"/>
                      <w14:textFill>
                        <w14:solidFill>
                          <w14:schemeClr w14:val="tx1"/>
                        </w14:solidFill>
                      </w14:textFill>
                    </w:rPr>
                  </w:pPr>
                  <w:r>
                    <w:rPr>
                      <w:color w:val="000000" w:themeColor="text1"/>
                      <w14:textFill>
                        <w14:solidFill>
                          <w14:schemeClr w14:val="tx1"/>
                        </w14:solidFill>
                      </w14:textFill>
                    </w:rPr>
                    <w:t>检测项目</w:t>
                  </w:r>
                </w:p>
              </w:tc>
              <w:tc>
                <w:tcPr>
                  <w:tcW w:w="3426" w:type="dxa"/>
                  <w:vAlign w:val="center"/>
                </w:tcPr>
                <w:p w14:paraId="134805A2">
                  <w:pPr>
                    <w:pStyle w:val="221"/>
                    <w:rPr>
                      <w:rFonts w:eastAsia="Times New Roman"/>
                      <w:color w:val="000000" w:themeColor="text1"/>
                      <w:spacing w:val="-3"/>
                      <w14:textFill>
                        <w14:solidFill>
                          <w14:schemeClr w14:val="tx1"/>
                        </w14:solidFill>
                      </w14:textFill>
                    </w:rPr>
                  </w:pPr>
                  <w:r>
                    <w:rPr>
                      <w:color w:val="000000" w:themeColor="text1"/>
                      <w14:textFill>
                        <w14:solidFill>
                          <w14:schemeClr w14:val="tx1"/>
                        </w14:solidFill>
                      </w14:textFill>
                    </w:rPr>
                    <w:t>采样日期</w:t>
                  </w:r>
                </w:p>
              </w:tc>
              <w:tc>
                <w:tcPr>
                  <w:tcW w:w="1955" w:type="dxa"/>
                  <w:vAlign w:val="center"/>
                </w:tcPr>
                <w:p w14:paraId="72AE373F">
                  <w:pPr>
                    <w:pStyle w:val="221"/>
                    <w:rPr>
                      <w:rFonts w:eastAsia="Times New Roman"/>
                      <w:color w:val="000000" w:themeColor="text1"/>
                      <w:spacing w:val="-2"/>
                      <w14:textFill>
                        <w14:solidFill>
                          <w14:schemeClr w14:val="tx1"/>
                        </w14:solidFill>
                      </w14:textFill>
                    </w:rPr>
                  </w:pPr>
                  <w:r>
                    <w:rPr>
                      <w:color w:val="000000" w:themeColor="text1"/>
                      <w:position w:val="2"/>
                      <w14:textFill>
                        <w14:solidFill>
                          <w14:schemeClr w14:val="tx1"/>
                        </w14:solidFill>
                      </w14:textFill>
                    </w:rPr>
                    <w:t>检测结果</w:t>
                  </w:r>
                  <w:r>
                    <w:rPr>
                      <w:color w:val="000000" w:themeColor="text1"/>
                      <w14:textFill>
                        <w14:solidFill>
                          <w14:schemeClr w14:val="tx1"/>
                        </w14:solidFill>
                      </w14:textFill>
                    </w:rPr>
                    <w:t>(m</w:t>
                  </w:r>
                  <w:r>
                    <w:rPr>
                      <w:rFonts w:eastAsia="Times New Roman"/>
                      <w:color w:val="000000" w:themeColor="text1"/>
                      <w:position w:val="2"/>
                      <w14:textFill>
                        <w14:solidFill>
                          <w14:schemeClr w14:val="tx1"/>
                        </w14:solidFill>
                      </w14:textFill>
                    </w:rPr>
                    <w:t>g/m</w:t>
                  </w:r>
                  <w:r>
                    <w:rPr>
                      <w:rFonts w:eastAsia="Times New Roman"/>
                      <w:color w:val="000000" w:themeColor="text1"/>
                      <w:position w:val="4"/>
                      <w:vertAlign w:val="superscript"/>
                      <w14:textFill>
                        <w14:solidFill>
                          <w14:schemeClr w14:val="tx1"/>
                        </w14:solidFill>
                      </w14:textFill>
                    </w:rPr>
                    <w:t>3</w:t>
                  </w:r>
                  <w:r>
                    <w:rPr>
                      <w:rFonts w:eastAsia="Times New Roman"/>
                      <w:color w:val="000000" w:themeColor="text1"/>
                      <w:position w:val="4"/>
                      <w14:textFill>
                        <w14:solidFill>
                          <w14:schemeClr w14:val="tx1"/>
                        </w14:solidFill>
                      </w14:textFill>
                    </w:rPr>
                    <w:t>)</w:t>
                  </w:r>
                </w:p>
              </w:tc>
            </w:tr>
            <w:tr w14:paraId="58C1F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restart"/>
                  <w:vAlign w:val="center"/>
                </w:tcPr>
                <w:p w14:paraId="05035083">
                  <w:pPr>
                    <w:pStyle w:val="221"/>
                    <w:rPr>
                      <w:rFonts w:eastAsia="Times New Roman"/>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Q1</w:t>
                  </w:r>
                </w:p>
              </w:tc>
              <w:tc>
                <w:tcPr>
                  <w:tcW w:w="1701" w:type="dxa"/>
                  <w:vMerge w:val="restart"/>
                  <w:vAlign w:val="center"/>
                </w:tcPr>
                <w:p w14:paraId="34277245">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总悬浮颗粒物</w:t>
                  </w:r>
                </w:p>
              </w:tc>
              <w:tc>
                <w:tcPr>
                  <w:tcW w:w="3426" w:type="dxa"/>
                  <w:vAlign w:val="center"/>
                </w:tcPr>
                <w:p w14:paraId="11924670">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3"/>
                      <w14:textFill>
                        <w14:solidFill>
                          <w14:schemeClr w14:val="tx1"/>
                        </w14:solidFill>
                      </w14:textFill>
                    </w:rPr>
                    <w:t>2023.06.11</w:t>
                  </w:r>
                </w:p>
              </w:tc>
              <w:tc>
                <w:tcPr>
                  <w:tcW w:w="1955" w:type="dxa"/>
                  <w:vAlign w:val="center"/>
                </w:tcPr>
                <w:p w14:paraId="684039B0">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2"/>
                      <w14:textFill>
                        <w14:solidFill>
                          <w14:schemeClr w14:val="tx1"/>
                        </w14:solidFill>
                      </w14:textFill>
                    </w:rPr>
                    <w:t>0.088</w:t>
                  </w:r>
                </w:p>
              </w:tc>
            </w:tr>
            <w:tr w14:paraId="0CEF3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continue"/>
                  <w:vAlign w:val="center"/>
                </w:tcPr>
                <w:p w14:paraId="562691B8">
                  <w:pPr>
                    <w:pStyle w:val="221"/>
                    <w:rPr>
                      <w:color w:val="000000" w:themeColor="text1"/>
                      <w14:textFill>
                        <w14:solidFill>
                          <w14:schemeClr w14:val="tx1"/>
                        </w14:solidFill>
                      </w14:textFill>
                    </w:rPr>
                  </w:pPr>
                </w:p>
              </w:tc>
              <w:tc>
                <w:tcPr>
                  <w:tcW w:w="1701" w:type="dxa"/>
                  <w:vMerge w:val="continue"/>
                  <w:vAlign w:val="center"/>
                </w:tcPr>
                <w:p w14:paraId="7BC145A7">
                  <w:pPr>
                    <w:pStyle w:val="221"/>
                    <w:rPr>
                      <w:color w:val="000000" w:themeColor="text1"/>
                      <w14:textFill>
                        <w14:solidFill>
                          <w14:schemeClr w14:val="tx1"/>
                        </w14:solidFill>
                      </w14:textFill>
                    </w:rPr>
                  </w:pPr>
                </w:p>
              </w:tc>
              <w:tc>
                <w:tcPr>
                  <w:tcW w:w="3426" w:type="dxa"/>
                  <w:vAlign w:val="center"/>
                </w:tcPr>
                <w:p w14:paraId="4F3D49DE">
                  <w:pPr>
                    <w:pStyle w:val="221"/>
                    <w:rPr>
                      <w:rFonts w:eastAsiaTheme="minorEastAsia"/>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2023.06.1</w:t>
                  </w:r>
                  <w:r>
                    <w:rPr>
                      <w:rFonts w:hint="eastAsia" w:eastAsiaTheme="minorEastAsia"/>
                      <w:color w:val="000000" w:themeColor="text1"/>
                      <w:spacing w:val="-3"/>
                      <w14:textFill>
                        <w14:solidFill>
                          <w14:schemeClr w14:val="tx1"/>
                        </w14:solidFill>
                      </w14:textFill>
                    </w:rPr>
                    <w:t>2</w:t>
                  </w:r>
                </w:p>
              </w:tc>
              <w:tc>
                <w:tcPr>
                  <w:tcW w:w="1955" w:type="dxa"/>
                  <w:vAlign w:val="center"/>
                </w:tcPr>
                <w:p w14:paraId="48826CB9">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2"/>
                      <w14:textFill>
                        <w14:solidFill>
                          <w14:schemeClr w14:val="tx1"/>
                        </w14:solidFill>
                      </w14:textFill>
                    </w:rPr>
                    <w:t>0.081</w:t>
                  </w:r>
                </w:p>
              </w:tc>
            </w:tr>
            <w:tr w14:paraId="07D37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continue"/>
                  <w:vAlign w:val="center"/>
                </w:tcPr>
                <w:p w14:paraId="73CCA055">
                  <w:pPr>
                    <w:pStyle w:val="221"/>
                    <w:rPr>
                      <w:color w:val="000000" w:themeColor="text1"/>
                      <w14:textFill>
                        <w14:solidFill>
                          <w14:schemeClr w14:val="tx1"/>
                        </w14:solidFill>
                      </w14:textFill>
                    </w:rPr>
                  </w:pPr>
                </w:p>
              </w:tc>
              <w:tc>
                <w:tcPr>
                  <w:tcW w:w="1701" w:type="dxa"/>
                  <w:vMerge w:val="continue"/>
                  <w:vAlign w:val="center"/>
                </w:tcPr>
                <w:p w14:paraId="5C748170">
                  <w:pPr>
                    <w:pStyle w:val="221"/>
                    <w:rPr>
                      <w:color w:val="000000" w:themeColor="text1"/>
                      <w14:textFill>
                        <w14:solidFill>
                          <w14:schemeClr w14:val="tx1"/>
                        </w14:solidFill>
                      </w14:textFill>
                    </w:rPr>
                  </w:pPr>
                </w:p>
              </w:tc>
              <w:tc>
                <w:tcPr>
                  <w:tcW w:w="3426" w:type="dxa"/>
                  <w:vAlign w:val="center"/>
                </w:tcPr>
                <w:p w14:paraId="468053C3">
                  <w:pPr>
                    <w:pStyle w:val="221"/>
                    <w:rPr>
                      <w:rFonts w:eastAsiaTheme="minorEastAsia"/>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2023.06.1</w:t>
                  </w:r>
                  <w:r>
                    <w:rPr>
                      <w:rFonts w:hint="eastAsia" w:eastAsiaTheme="minorEastAsia"/>
                      <w:color w:val="000000" w:themeColor="text1"/>
                      <w:spacing w:val="-3"/>
                      <w14:textFill>
                        <w14:solidFill>
                          <w14:schemeClr w14:val="tx1"/>
                        </w14:solidFill>
                      </w14:textFill>
                    </w:rPr>
                    <w:t>3</w:t>
                  </w:r>
                </w:p>
              </w:tc>
              <w:tc>
                <w:tcPr>
                  <w:tcW w:w="1955" w:type="dxa"/>
                  <w:vAlign w:val="center"/>
                </w:tcPr>
                <w:p w14:paraId="60228AFB">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0.090</w:t>
                  </w:r>
                </w:p>
              </w:tc>
            </w:tr>
          </w:tbl>
          <w:p w14:paraId="093997A2">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根据上表检测结果可知，项目周边总悬浮颗粒物(TSP)环境空气质量可满足 《环境空气质量标准》(GB3095-2012)及 2018 年修改单中二级标准，即TSP≤0.3</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1F1887BC">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8" o:spt="75" type="#_x0000_t75" style="height:259.5pt;width:421.5pt;" o:ole="t" filled="f" o:preferrelative="t" stroked="f" coordsize="21600,21600">
                  <v:path/>
                  <v:fill on="f" focussize="0,0"/>
                  <v:stroke on="f" joinstyle="miter"/>
                  <v:imagedata r:id="rId22" o:title=""/>
                  <o:lock v:ext="edit" aspectratio="t"/>
                  <w10:wrap type="none"/>
                  <w10:anchorlock/>
                </v:shape>
                <o:OLEObject Type="Embed" ProgID="PowerPoint.Show.12" ShapeID="_x0000_i1028" DrawAspect="Content" ObjectID="_1468075728" r:id="rId21">
                  <o:LockedField>false</o:LockedField>
                </o:OLEObject>
              </w:object>
            </w:r>
          </w:p>
          <w:p w14:paraId="3D28A696">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图3.1-1  监测点位示意图</w:t>
            </w:r>
          </w:p>
          <w:p w14:paraId="5CB62138">
            <w:pPr>
              <w:widowControl w:val="0"/>
              <w:topLinePunct/>
              <w:spacing w:after="0" w:line="360" w:lineRule="auto"/>
              <w:ind w:firstLine="482" w:firstLineChars="200"/>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3.1.2 地表水环境质量现状</w:t>
            </w:r>
          </w:p>
          <w:p w14:paraId="5FA4401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陆域</w:t>
            </w:r>
          </w:p>
          <w:p w14:paraId="57C52678">
            <w:pPr>
              <w:pStyle w:val="225"/>
              <w:ind w:firstLine="476"/>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为了解工程所在地表水水质情况，评价引用福建省流域水环境质量状况，2024年1―11月，全省主要流域总体水质为优，国控断面Ⅰ～Ⅲ类水质比例100％,Ⅰ～Ⅱ类水质比例77.1％；国控及省控断面Ⅰ～Ⅲ类水质比例99.7％，其中Ⅰ～Ⅱ类水质比例78.9％，各类水质比例如下：Ⅰ类占2.4％，Ⅱ类占76.5％，Ⅲ类占20.8％，Ⅳ类占0.3％，无Ⅴ类和劣Ⅴ类水。2024年，主要流域水质排序情况：2024年，全省主要流域总体水质从相对较好开始排序，具体为：闽江、交溪、九龙江、汀江（韩江）、霍童溪、晋江、萩芦溪、东西溪、木兰溪、敖江、漳江、诏安东溪、鹿溪、龙江。</w:t>
            </w:r>
          </w:p>
          <w:p w14:paraId="3618E03A">
            <w:pPr>
              <w:pStyle w:val="225"/>
              <w:ind w:firstLine="476"/>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由此可知，蓝兴河、机河及其干流地表水水质可达到《地表水环境质量标准》（GB3838-2002）Ⅴ类水标准，详见图3.1-2。</w:t>
            </w:r>
          </w:p>
          <w:p w14:paraId="2DFC50A0">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53865" cy="3282950"/>
                  <wp:effectExtent l="0" t="0" r="0" b="0"/>
                  <wp:docPr id="182545780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57802" name="图片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270408" cy="3295358"/>
                          </a:xfrm>
                          <a:prstGeom prst="rect">
                            <a:avLst/>
                          </a:prstGeom>
                          <a:noFill/>
                          <a:ln>
                            <a:noFill/>
                          </a:ln>
                          <a:effectLst/>
                        </pic:spPr>
                      </pic:pic>
                    </a:graphicData>
                  </a:graphic>
                </wp:inline>
              </w:drawing>
            </w:r>
          </w:p>
          <w:p w14:paraId="427284BE">
            <w:pPr>
              <w:pStyle w:val="224"/>
              <w:rPr>
                <w:color w:val="000000" w:themeColor="text1"/>
                <w:spacing w:val="-5"/>
                <w14:textFill>
                  <w14:solidFill>
                    <w14:schemeClr w14:val="tx1"/>
                  </w14:solidFill>
                </w14:textFill>
              </w:rPr>
            </w:pPr>
            <w:r>
              <w:rPr>
                <w:color w:val="000000" w:themeColor="text1"/>
                <w14:textFill>
                  <w14:solidFill>
                    <w14:schemeClr w14:val="tx1"/>
                  </w14:solidFill>
                </w14:textFill>
              </w:rPr>
              <w:drawing>
                <wp:inline distT="0" distB="0" distL="0" distR="0">
                  <wp:extent cx="4362450" cy="3078480"/>
                  <wp:effectExtent l="0" t="0" r="0" b="7620"/>
                  <wp:docPr id="14434455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45573" name="图片 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377521" cy="3089386"/>
                          </a:xfrm>
                          <a:prstGeom prst="rect">
                            <a:avLst/>
                          </a:prstGeom>
                          <a:noFill/>
                          <a:ln>
                            <a:noFill/>
                          </a:ln>
                          <a:effectLst/>
                        </pic:spPr>
                      </pic:pic>
                    </a:graphicData>
                  </a:graphic>
                </wp:inline>
              </w:drawing>
            </w:r>
          </w:p>
          <w:p w14:paraId="0F9CB072">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 3.1-2 福建省流域水环境质量状况（2024年）截图</w:t>
            </w:r>
          </w:p>
          <w:p w14:paraId="457AFE8A">
            <w:pPr>
              <w:pStyle w:val="223"/>
              <w:spacing w:before="120"/>
              <w:ind w:firstLine="480"/>
              <w:rPr>
                <w:b/>
                <w:bCs/>
                <w:color w:val="000000" w:themeColor="text1"/>
                <w:spacing w:val="-4"/>
                <w14:textFill>
                  <w14:solidFill>
                    <w14:schemeClr w14:val="tx1"/>
                  </w14:solidFill>
                </w14:textFill>
              </w:rPr>
            </w:pP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海域</w:t>
            </w:r>
          </w:p>
          <w:p w14:paraId="0079F16E">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为了解</w:t>
            </w:r>
            <w:r>
              <w:rPr>
                <w:rFonts w:hint="eastAsia"/>
                <w:color w:val="000000" w:themeColor="text1"/>
                <w14:textFill>
                  <w14:solidFill>
                    <w14:schemeClr w14:val="tx1"/>
                  </w14:solidFill>
                </w14:textFill>
              </w:rPr>
              <w:t>兴化湾江阴半岛南部海域</w:t>
            </w:r>
            <w:r>
              <w:rPr>
                <w:color w:val="000000" w:themeColor="text1"/>
                <w14:textFill>
                  <w14:solidFill>
                    <w14:schemeClr w14:val="tx1"/>
                  </w14:solidFill>
                </w14:textFill>
              </w:rPr>
              <w:t>水质情况，评价引用福建省</w:t>
            </w:r>
            <w:r>
              <w:rPr>
                <w:rFonts w:hint="eastAsia"/>
                <w:color w:val="000000" w:themeColor="text1"/>
                <w14:textFill>
                  <w14:solidFill>
                    <w14:schemeClr w14:val="tx1"/>
                  </w14:solidFill>
                </w14:textFill>
              </w:rPr>
              <w:t>近岸海域水质</w:t>
            </w:r>
            <w:r>
              <w:rPr>
                <w:color w:val="000000" w:themeColor="text1"/>
                <w14:textFill>
                  <w14:solidFill>
                    <w14:schemeClr w14:val="tx1"/>
                  </w14:solidFill>
                </w14:textFill>
              </w:rPr>
              <w:t>状况，2024年1―11月，2024年1-11月，全省近岸海域水质状况如下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按照面积法评价，国控点位优良(一、二类)水质比例92.6%，各类水质比例如下:一类占72.7%，二类占19.9%，三类占2.8%，四类占3.1%，劣四类占1.5%;国省控点位优良(一、二类)水质比例为92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。按照点位法评价，国控点位优良(一、二类)水质比例852%，国省控点位优良(一、二类)水质比例为81.3%。</w:t>
            </w:r>
          </w:p>
          <w:p w14:paraId="2F22C377">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由此可知，</w:t>
            </w:r>
            <w:r>
              <w:rPr>
                <w:rFonts w:hint="eastAsia"/>
                <w:color w:val="000000" w:themeColor="text1"/>
                <w14:textFill>
                  <w14:solidFill>
                    <w14:schemeClr w14:val="tx1"/>
                  </w14:solidFill>
                </w14:textFill>
              </w:rPr>
              <w:t>兴化湾江阴半岛南部海域海水</w:t>
            </w:r>
            <w:r>
              <w:rPr>
                <w:color w:val="000000" w:themeColor="text1"/>
                <w14:textFill>
                  <w14:solidFill>
                    <w14:schemeClr w14:val="tx1"/>
                  </w14:solidFill>
                </w14:textFill>
              </w:rPr>
              <w:t>水质可达到《海水水质标准》（GB3097-1997）中第</w:t>
            </w:r>
            <w:r>
              <w:rPr>
                <w:rFonts w:hint="eastAsia"/>
                <w:color w:val="000000" w:themeColor="text1"/>
                <w14:textFill>
                  <w14:solidFill>
                    <w14:schemeClr w14:val="tx1"/>
                  </w14:solidFill>
                </w14:textFill>
              </w:rPr>
              <w:t>四</w:t>
            </w:r>
            <w:r>
              <w:rPr>
                <w:color w:val="000000" w:themeColor="text1"/>
                <w14:textFill>
                  <w14:solidFill>
                    <w14:schemeClr w14:val="tx1"/>
                  </w14:solidFill>
                </w14:textFill>
              </w:rPr>
              <w:t>类海水水质标准，详见图3.2-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4E0F6154">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396230" cy="4241800"/>
                  <wp:effectExtent l="0" t="0" r="0" b="6350"/>
                  <wp:docPr id="206410260" name="图片 46" descr="2024年近岸海域水质状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0260" name="图片 46" descr="2024年近岸海域水质状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434529" cy="4271884"/>
                          </a:xfrm>
                          <a:prstGeom prst="rect">
                            <a:avLst/>
                          </a:prstGeom>
                          <a:noFill/>
                          <a:ln>
                            <a:noFill/>
                          </a:ln>
                          <a:effectLst/>
                        </pic:spPr>
                      </pic:pic>
                    </a:graphicData>
                  </a:graphic>
                </wp:inline>
              </w:drawing>
            </w:r>
          </w:p>
          <w:p w14:paraId="2FAFB144">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142865" cy="3175000"/>
                  <wp:effectExtent l="0" t="0" r="635" b="6350"/>
                  <wp:docPr id="168076622" name="图片 47" descr="排名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6622" name="图片 47" descr="排名情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157353" cy="3183940"/>
                          </a:xfrm>
                          <a:prstGeom prst="rect">
                            <a:avLst/>
                          </a:prstGeom>
                          <a:noFill/>
                          <a:ln>
                            <a:noFill/>
                          </a:ln>
                          <a:effectLst/>
                        </pic:spPr>
                      </pic:pic>
                    </a:graphicData>
                  </a:graphic>
                </wp:inline>
              </w:drawing>
            </w:r>
          </w:p>
          <w:p w14:paraId="0C912CF1">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 3.1-3 福建省近岸海域水质状况（2024年）截图</w:t>
            </w:r>
          </w:p>
          <w:p w14:paraId="02F3DC3D">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3.1.3 声环境质量现状 </w:t>
            </w:r>
          </w:p>
          <w:p w14:paraId="3471179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项目厂界外50m范围内无声环境保护目标，因此，本评价不进行声环境质量现状监测。</w:t>
            </w:r>
          </w:p>
          <w:p w14:paraId="7EF35408">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3.1.4 生态环境质量现状</w:t>
            </w:r>
          </w:p>
          <w:p w14:paraId="6DC667AB">
            <w:pPr>
              <w:pStyle w:val="21"/>
              <w:widowControl w:val="0"/>
              <w:topLinePunct/>
              <w:spacing w:after="0" w:line="360" w:lineRule="auto"/>
              <w:ind w:firstLine="48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项目位于福清市闽台（福州）蓝色经济产业园</w:t>
            </w:r>
            <w:r>
              <w:rPr>
                <w:rFonts w:ascii="Times New Roman" w:hAnsi="Times New Roman" w:eastAsia="宋体" w:cs="Times New Roman"/>
                <w:color w:val="000000" w:themeColor="text1"/>
                <w:sz w:val="24"/>
                <w:szCs w:val="24"/>
                <w14:textFill>
                  <w14:solidFill>
                    <w14:schemeClr w14:val="tx1"/>
                  </w14:solidFill>
                </w14:textFill>
              </w:rPr>
              <w:t>，评价区域内无珍稀濒危物种，无自然保护区、风景名胜区。该项目的生产运营不会造成评价区域内生物量和物种多样性的锐减，不会引起荒漠化、水和土地的理化性质恶化，对生态环境造成的影响很小，故本评价不进行生态环境现状调查。</w:t>
            </w:r>
          </w:p>
          <w:p w14:paraId="5539F6C8">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3.1.5 电磁辐射质量现状</w:t>
            </w:r>
          </w:p>
          <w:p w14:paraId="773088A8">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本项目未涉及电磁辐射，故不需要开展电磁辐射现状调查。</w:t>
            </w:r>
          </w:p>
          <w:p w14:paraId="6321F6C0">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3.1.6 地下水、土壤环境质量现状</w:t>
            </w:r>
          </w:p>
          <w:p w14:paraId="73EC84B4">
            <w:pPr>
              <w:pStyle w:val="14"/>
              <w:widowControl w:val="0"/>
              <w:topLinePunct/>
              <w:spacing w:after="0"/>
              <w:ind w:firstLine="476"/>
              <w:jc w:val="both"/>
              <w:rPr>
                <w:rFonts w:ascii="Times New Roman" w:hAnsi="Times New Roman" w:eastAsia="宋体" w:cs="Times New Roman"/>
                <w:color w:val="000000" w:themeColor="text1"/>
                <w14:textFill>
                  <w14:solidFill>
                    <w14:schemeClr w14:val="tx1"/>
                  </w14:solidFill>
                </w14:textFill>
              </w:rPr>
            </w:pPr>
            <w:r>
              <w:rPr>
                <w:rFonts w:hint="eastAsia"/>
                <w:color w:val="000000" w:themeColor="text1"/>
                <w:spacing w:val="-1"/>
                <w14:textFill>
                  <w14:solidFill>
                    <w14:schemeClr w14:val="tx1"/>
                  </w14:solidFill>
                </w14:textFill>
              </w:rPr>
              <w:t>厂区内的地面已进行硬化且防腐防渗，不涉及地面漫流影响及入渗途径影响，</w:t>
            </w:r>
            <w:r>
              <w:rPr>
                <w:color w:val="000000" w:themeColor="text1"/>
                <w:spacing w:val="-1"/>
                <w14:textFill>
                  <w14:solidFill>
                    <w14:schemeClr w14:val="tx1"/>
                  </w14:solidFill>
                </w14:textFill>
              </w:rPr>
              <w:t>周边地下水、土壤环境不敏感，</w:t>
            </w:r>
            <w:r>
              <w:rPr>
                <w:rFonts w:ascii="Times New Roman" w:hAnsi="Times New Roman" w:eastAsia="宋体" w:cs="Times New Roman"/>
                <w:color w:val="000000" w:themeColor="text1"/>
                <w:szCs w:val="24"/>
                <w14:textFill>
                  <w14:solidFill>
                    <w14:schemeClr w14:val="tx1"/>
                  </w14:solidFill>
                </w14:textFill>
              </w:rPr>
              <w:t>因此本评价不对项目地下水、土壤环境质量进行补充监测。</w:t>
            </w:r>
          </w:p>
        </w:tc>
      </w:tr>
      <w:tr w14:paraId="3F678B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424" w:type="dxa"/>
            <w:vAlign w:val="center"/>
          </w:tcPr>
          <w:p w14:paraId="3962F0EE">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14:paraId="04C7560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保护</w:t>
            </w:r>
          </w:p>
          <w:p w14:paraId="0D04EEDD">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目标</w:t>
            </w:r>
          </w:p>
        </w:tc>
        <w:tc>
          <w:tcPr>
            <w:tcW w:w="8865" w:type="dxa"/>
            <w:vAlign w:val="center"/>
          </w:tcPr>
          <w:p w14:paraId="29996F6D">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3.2 环境保护目标</w:t>
            </w:r>
          </w:p>
          <w:p w14:paraId="63F3D800">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项目选址周边无文物古迹、风景名胜区，不在水源地保护区、自然保护区等敏感区域内。本项目的周边环境敏感目标详见表3.2-1，项目周边环境敏感目标分布图见附图2。</w:t>
            </w:r>
          </w:p>
          <w:p w14:paraId="0D9B19CC">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表3.2-1 项目周边环境敏感目标</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953"/>
              <w:gridCol w:w="1842"/>
              <w:gridCol w:w="1592"/>
              <w:gridCol w:w="3086"/>
            </w:tblGrid>
            <w:tr w14:paraId="7BEF7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restart"/>
                  <w:vAlign w:val="center"/>
                </w:tcPr>
                <w:p w14:paraId="54D0084B">
                  <w:pPr>
                    <w:pStyle w:val="221"/>
                    <w:rPr>
                      <w:color w:val="000000" w:themeColor="text1"/>
                      <w14:textFill>
                        <w14:solidFill>
                          <w14:schemeClr w14:val="tx1"/>
                        </w14:solidFill>
                      </w14:textFill>
                    </w:rPr>
                  </w:pPr>
                  <w:r>
                    <w:rPr>
                      <w:color w:val="000000" w:themeColor="text1"/>
                      <w14:textFill>
                        <w14:solidFill>
                          <w14:schemeClr w14:val="tx1"/>
                        </w14:solidFill>
                      </w14:textFill>
                    </w:rPr>
                    <w:t>敏感目标</w:t>
                  </w:r>
                </w:p>
              </w:tc>
              <w:tc>
                <w:tcPr>
                  <w:tcW w:w="2546" w:type="pct"/>
                  <w:gridSpan w:val="3"/>
                  <w:vAlign w:val="center"/>
                </w:tcPr>
                <w:p w14:paraId="4E0ADBBB">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敏感目标</w:t>
                  </w:r>
                  <w:r>
                    <w:rPr>
                      <w:rFonts w:hint="eastAsia"/>
                      <w:color w:val="000000" w:themeColor="text1"/>
                      <w:spacing w:val="8"/>
                      <w14:textFill>
                        <w14:solidFill>
                          <w14:schemeClr w14:val="tx1"/>
                        </w14:solidFill>
                      </w14:textFill>
                    </w:rPr>
                    <w:t>情况</w:t>
                  </w:r>
                </w:p>
              </w:tc>
              <w:tc>
                <w:tcPr>
                  <w:tcW w:w="1790" w:type="pct"/>
                  <w:vMerge w:val="restart"/>
                  <w:vAlign w:val="center"/>
                </w:tcPr>
                <w:p w14:paraId="703EA80A">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环境质量目标</w:t>
                  </w:r>
                </w:p>
              </w:tc>
            </w:tr>
            <w:tr w14:paraId="6AFA8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continue"/>
                  <w:vAlign w:val="center"/>
                </w:tcPr>
                <w:p w14:paraId="4624107A">
                  <w:pPr>
                    <w:pStyle w:val="221"/>
                    <w:rPr>
                      <w:rFonts w:ascii="Arial"/>
                      <w:color w:val="000000" w:themeColor="text1"/>
                      <w14:textFill>
                        <w14:solidFill>
                          <w14:schemeClr w14:val="tx1"/>
                        </w14:solidFill>
                      </w14:textFill>
                    </w:rPr>
                  </w:pPr>
                </w:p>
              </w:tc>
              <w:tc>
                <w:tcPr>
                  <w:tcW w:w="553" w:type="pct"/>
                  <w:vAlign w:val="center"/>
                </w:tcPr>
                <w:p w14:paraId="2579825B">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方位</w:t>
                  </w:r>
                </w:p>
              </w:tc>
              <w:tc>
                <w:tcPr>
                  <w:tcW w:w="1069" w:type="pct"/>
                  <w:vAlign w:val="center"/>
                </w:tcPr>
                <w:p w14:paraId="77B80F5A">
                  <w:pPr>
                    <w:pStyle w:val="221"/>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离厂界</w:t>
                  </w:r>
                  <w:r>
                    <w:rPr>
                      <w:color w:val="000000" w:themeColor="text1"/>
                      <w:spacing w:val="6"/>
                      <w14:textFill>
                        <w14:solidFill>
                          <w14:schemeClr w14:val="tx1"/>
                        </w14:solidFill>
                      </w14:textFill>
                    </w:rPr>
                    <w:t>最近距离</w:t>
                  </w:r>
                </w:p>
              </w:tc>
              <w:tc>
                <w:tcPr>
                  <w:tcW w:w="924" w:type="pct"/>
                  <w:vAlign w:val="center"/>
                </w:tcPr>
                <w:p w14:paraId="584698AB">
                  <w:pPr>
                    <w:pStyle w:val="221"/>
                    <w:rPr>
                      <w:rFonts w:ascii="Arial"/>
                      <w:color w:val="000000" w:themeColor="text1"/>
                      <w14:textFill>
                        <w14:solidFill>
                          <w14:schemeClr w14:val="tx1"/>
                        </w14:solidFill>
                      </w14:textFill>
                    </w:rPr>
                  </w:pPr>
                  <w:r>
                    <w:rPr>
                      <w:rFonts w:hint="eastAsia"/>
                      <w:color w:val="000000" w:themeColor="text1"/>
                      <w:spacing w:val="8"/>
                      <w14:textFill>
                        <w14:solidFill>
                          <w14:schemeClr w14:val="tx1"/>
                        </w14:solidFill>
                      </w14:textFill>
                    </w:rPr>
                    <w:t>规模</w:t>
                  </w:r>
                </w:p>
              </w:tc>
              <w:tc>
                <w:tcPr>
                  <w:tcW w:w="1790" w:type="pct"/>
                  <w:vMerge w:val="continue"/>
                  <w:vAlign w:val="center"/>
                </w:tcPr>
                <w:p w14:paraId="08651D51">
                  <w:pPr>
                    <w:pStyle w:val="221"/>
                    <w:rPr>
                      <w:rFonts w:ascii="Arial"/>
                      <w:color w:val="000000" w:themeColor="text1"/>
                      <w14:textFill>
                        <w14:solidFill>
                          <w14:schemeClr w14:val="tx1"/>
                        </w14:solidFill>
                      </w14:textFill>
                    </w:rPr>
                  </w:pPr>
                </w:p>
              </w:tc>
            </w:tr>
            <w:tr w14:paraId="494D5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26BDD3BB">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环境空气</w:t>
                  </w:r>
                </w:p>
              </w:tc>
            </w:tr>
            <w:tr w14:paraId="7D893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60F9748F">
                  <w:pPr>
                    <w:pStyle w:val="221"/>
                    <w:rPr>
                      <w:color w:val="000000" w:themeColor="text1"/>
                      <w14:textFill>
                        <w14:solidFill>
                          <w14:schemeClr w14:val="tx1"/>
                        </w14:solidFill>
                      </w14:textFill>
                    </w:rPr>
                  </w:pPr>
                  <w:r>
                    <w:rPr>
                      <w:rFonts w:hint="eastAsia"/>
                      <w:color w:val="000000" w:themeColor="text1"/>
                      <w:spacing w:val="4"/>
                      <w14:textFill>
                        <w14:solidFill>
                          <w14:schemeClr w14:val="tx1"/>
                        </w14:solidFill>
                      </w14:textFill>
                    </w:rPr>
                    <w:t>前华村</w:t>
                  </w:r>
                </w:p>
              </w:tc>
              <w:tc>
                <w:tcPr>
                  <w:tcW w:w="553" w:type="pct"/>
                  <w:vAlign w:val="center"/>
                </w:tcPr>
                <w:p w14:paraId="49BE5AD8">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N</w:t>
                  </w:r>
                </w:p>
              </w:tc>
              <w:tc>
                <w:tcPr>
                  <w:tcW w:w="1069" w:type="pct"/>
                  <w:vAlign w:val="center"/>
                </w:tcPr>
                <w:p w14:paraId="32FCA9B8">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430</w:t>
                  </w:r>
                  <w:r>
                    <w:rPr>
                      <w:rFonts w:eastAsia="Times New Roman"/>
                      <w:color w:val="000000" w:themeColor="text1"/>
                      <w:spacing w:val="3"/>
                      <w14:textFill>
                        <w14:solidFill>
                          <w14:schemeClr w14:val="tx1"/>
                        </w14:solidFill>
                      </w14:textFill>
                    </w:rPr>
                    <w:t>m</w:t>
                  </w:r>
                </w:p>
              </w:tc>
              <w:tc>
                <w:tcPr>
                  <w:tcW w:w="924" w:type="pct"/>
                  <w:vAlign w:val="center"/>
                </w:tcPr>
                <w:p w14:paraId="7352738E">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600人</w:t>
                  </w:r>
                </w:p>
              </w:tc>
              <w:tc>
                <w:tcPr>
                  <w:tcW w:w="1790" w:type="pct"/>
                  <w:vAlign w:val="center"/>
                </w:tcPr>
                <w:p w14:paraId="53821541">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《环境空气质量标准》（</w:t>
                  </w:r>
                  <w:r>
                    <w:rPr>
                      <w:rFonts w:eastAsia="Times New Roman"/>
                      <w:color w:val="000000" w:themeColor="text1"/>
                      <w14:textFill>
                        <w14:solidFill>
                          <w14:schemeClr w14:val="tx1"/>
                        </w14:solidFill>
                      </w14:textFill>
                    </w:rPr>
                    <w:t>GB</w:t>
                  </w:r>
                  <w:r>
                    <w:rPr>
                      <w:rFonts w:eastAsia="Times New Roman"/>
                      <w:color w:val="000000" w:themeColor="text1"/>
                      <w:spacing w:val="1"/>
                      <w14:textFill>
                        <w14:solidFill>
                          <w14:schemeClr w14:val="tx1"/>
                        </w14:solidFill>
                      </w14:textFill>
                    </w:rPr>
                    <w:t>3095-2012</w:t>
                  </w:r>
                  <w:r>
                    <w:rPr>
                      <w:color w:val="000000" w:themeColor="text1"/>
                      <w:spacing w:val="1"/>
                      <w14:textFill>
                        <w14:solidFill>
                          <w14:schemeClr w14:val="tx1"/>
                        </w14:solidFill>
                      </w14:textFill>
                    </w:rPr>
                    <w:t>）</w:t>
                  </w:r>
                  <w:r>
                    <w:rPr>
                      <w:color w:val="000000" w:themeColor="text1"/>
                      <w:spacing w:val="6"/>
                      <w14:textFill>
                        <w14:solidFill>
                          <w14:schemeClr w14:val="tx1"/>
                        </w14:solidFill>
                      </w14:textFill>
                    </w:rPr>
                    <w:t>二级标准</w:t>
                  </w:r>
                </w:p>
              </w:tc>
            </w:tr>
            <w:tr w14:paraId="28D0D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79059D5A">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声环境</w:t>
                  </w:r>
                </w:p>
              </w:tc>
            </w:tr>
            <w:tr w14:paraId="602C5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28A8B7C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厂界外50m范围内无声环境保护目标</w:t>
                  </w:r>
                </w:p>
              </w:tc>
            </w:tr>
            <w:tr w14:paraId="1F5A28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67B562F9">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水环境</w:t>
                  </w:r>
                </w:p>
              </w:tc>
            </w:tr>
            <w:tr w14:paraId="38126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1D1D79B5">
                  <w:pPr>
                    <w:pStyle w:val="221"/>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蓝兴河</w:t>
                  </w:r>
                </w:p>
              </w:tc>
              <w:tc>
                <w:tcPr>
                  <w:tcW w:w="553" w:type="pct"/>
                  <w:vAlign w:val="center"/>
                </w:tcPr>
                <w:p w14:paraId="07629B49">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E</w:t>
                  </w:r>
                </w:p>
              </w:tc>
              <w:tc>
                <w:tcPr>
                  <w:tcW w:w="1069" w:type="pct"/>
                  <w:vAlign w:val="center"/>
                </w:tcPr>
                <w:p w14:paraId="591D7DF4">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w:t>
                  </w:r>
                  <w:r>
                    <w:rPr>
                      <w:rFonts w:eastAsia="Times New Roman"/>
                      <w:color w:val="000000" w:themeColor="text1"/>
                      <w:spacing w:val="4"/>
                      <w14:textFill>
                        <w14:solidFill>
                          <w14:schemeClr w14:val="tx1"/>
                        </w14:solidFill>
                      </w14:textFill>
                    </w:rPr>
                    <w:t>m</w:t>
                  </w:r>
                </w:p>
              </w:tc>
              <w:tc>
                <w:tcPr>
                  <w:tcW w:w="924" w:type="pct"/>
                  <w:vAlign w:val="center"/>
                </w:tcPr>
                <w:p w14:paraId="7A757067">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小河流域</w:t>
                  </w:r>
                </w:p>
              </w:tc>
              <w:tc>
                <w:tcPr>
                  <w:tcW w:w="1790" w:type="pct"/>
                  <w:vAlign w:val="center"/>
                </w:tcPr>
                <w:p w14:paraId="3F7E1241">
                  <w:pPr>
                    <w:pStyle w:val="221"/>
                    <w:rPr>
                      <w:color w:val="000000" w:themeColor="text1"/>
                      <w14:textFill>
                        <w14:solidFill>
                          <w14:schemeClr w14:val="tx1"/>
                        </w14:solidFill>
                      </w14:textFill>
                    </w:rPr>
                  </w:pPr>
                  <w:r>
                    <w:rPr>
                      <w:rFonts w:hint="eastAsia"/>
                      <w:color w:val="000000" w:themeColor="text1"/>
                      <w:spacing w:val="-1"/>
                      <w14:textFill>
                        <w14:solidFill>
                          <w14:schemeClr w14:val="tx1"/>
                        </w14:solidFill>
                      </w14:textFill>
                    </w:rPr>
                    <w:t>《地表水环境质量标准》(GB3838-2002)Ⅴ类标准</w:t>
                  </w:r>
                </w:p>
              </w:tc>
            </w:tr>
            <w:tr w14:paraId="0323F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075B47EB">
                  <w:pPr>
                    <w:pStyle w:val="221"/>
                    <w:rPr>
                      <w:color w:val="000000" w:themeColor="text1"/>
                      <w:spacing w:val="3"/>
                      <w14:textFill>
                        <w14:solidFill>
                          <w14:schemeClr w14:val="tx1"/>
                        </w14:solidFill>
                      </w14:textFill>
                    </w:rPr>
                  </w:pPr>
                  <w:r>
                    <w:rPr>
                      <w:rFonts w:hint="eastAsia"/>
                      <w:color w:val="000000" w:themeColor="text1"/>
                      <w:spacing w:val="3"/>
                      <w14:textFill>
                        <w14:solidFill>
                          <w14:schemeClr w14:val="tx1"/>
                        </w14:solidFill>
                      </w14:textFill>
                    </w:rPr>
                    <w:t>兴化湾</w:t>
                  </w:r>
                </w:p>
              </w:tc>
              <w:tc>
                <w:tcPr>
                  <w:tcW w:w="553" w:type="pct"/>
                  <w:vAlign w:val="center"/>
                </w:tcPr>
                <w:p w14:paraId="1FF04AF4">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S</w:t>
                  </w:r>
                </w:p>
              </w:tc>
              <w:tc>
                <w:tcPr>
                  <w:tcW w:w="1069" w:type="pct"/>
                  <w:vAlign w:val="center"/>
                </w:tcPr>
                <w:p w14:paraId="78F7970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约1400</w:t>
                  </w:r>
                  <w:r>
                    <w:rPr>
                      <w:color w:val="000000" w:themeColor="text1"/>
                      <w14:textFill>
                        <w14:solidFill>
                          <w14:schemeClr w14:val="tx1"/>
                        </w14:solidFill>
                      </w14:textFill>
                    </w:rPr>
                    <w:t>m</w:t>
                  </w:r>
                </w:p>
              </w:tc>
              <w:tc>
                <w:tcPr>
                  <w:tcW w:w="924" w:type="pct"/>
                  <w:vAlign w:val="center"/>
                </w:tcPr>
                <w:p w14:paraId="2FB9CE91">
                  <w:pPr>
                    <w:pStyle w:val="221"/>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海湾</w:t>
                  </w:r>
                </w:p>
              </w:tc>
              <w:tc>
                <w:tcPr>
                  <w:tcW w:w="1790" w:type="pct"/>
                  <w:vAlign w:val="center"/>
                </w:tcPr>
                <w:p w14:paraId="4EEF3A3F">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《海水水质标准》（GB3097-1997）中第</w:t>
                  </w:r>
                  <w:r>
                    <w:rPr>
                      <w:rFonts w:hint="eastAsia"/>
                      <w:color w:val="000000" w:themeColor="text1"/>
                      <w:spacing w:val="-1"/>
                      <w14:textFill>
                        <w14:solidFill>
                          <w14:schemeClr w14:val="tx1"/>
                        </w14:solidFill>
                      </w14:textFill>
                    </w:rPr>
                    <w:t>四</w:t>
                  </w:r>
                  <w:r>
                    <w:rPr>
                      <w:color w:val="000000" w:themeColor="text1"/>
                      <w:spacing w:val="-1"/>
                      <w14:textFill>
                        <w14:solidFill>
                          <w14:schemeClr w14:val="tx1"/>
                        </w14:solidFill>
                      </w14:textFill>
                    </w:rPr>
                    <w:t>类海水水质标准</w:t>
                  </w:r>
                </w:p>
              </w:tc>
            </w:tr>
          </w:tbl>
          <w:p w14:paraId="067F735F">
            <w:pPr>
              <w:pStyle w:val="225"/>
              <w:ind w:firstLine="480"/>
              <w:rPr>
                <w:color w:val="000000" w:themeColor="text1"/>
                <w14:textFill>
                  <w14:solidFill>
                    <w14:schemeClr w14:val="tx1"/>
                  </w14:solidFill>
                </w14:textFill>
              </w:rPr>
            </w:pPr>
          </w:p>
        </w:tc>
      </w:tr>
      <w:tr w14:paraId="45C8B6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24" w:type="dxa"/>
            <w:vAlign w:val="center"/>
          </w:tcPr>
          <w:p w14:paraId="489F798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8" w:name="_Hlk217339455"/>
            <w:r>
              <w:rPr>
                <w:rFonts w:ascii="Times New Roman" w:hAnsi="Times New Roman" w:eastAsia="宋体" w:cs="Times New Roman"/>
                <w:color w:val="000000" w:themeColor="text1"/>
                <w:szCs w:val="24"/>
                <w14:textFill>
                  <w14:solidFill>
                    <w14:schemeClr w14:val="tx1"/>
                  </w14:solidFill>
                </w14:textFill>
              </w:rPr>
              <w:t>污染</w:t>
            </w:r>
          </w:p>
          <w:p w14:paraId="149B4DA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物排</w:t>
            </w:r>
          </w:p>
          <w:p w14:paraId="0C41017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放控</w:t>
            </w:r>
          </w:p>
          <w:p w14:paraId="3AB8BEC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制标</w:t>
            </w:r>
          </w:p>
          <w:p w14:paraId="1317DD2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准</w:t>
            </w:r>
          </w:p>
        </w:tc>
        <w:tc>
          <w:tcPr>
            <w:tcW w:w="8865" w:type="dxa"/>
            <w:vAlign w:val="center"/>
          </w:tcPr>
          <w:p w14:paraId="31F6421C">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 污染物排放标准</w:t>
            </w:r>
          </w:p>
          <w:p w14:paraId="4538B0C2">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1</w:t>
            </w:r>
            <w:r>
              <w:rPr>
                <w:rFonts w:ascii="Times New Roman" w:hAnsi="Times New Roman" w:eastAsia="宋体" w:cs="Times New Roman"/>
                <w:b/>
                <w:bCs/>
                <w:color w:val="000000" w:themeColor="text1"/>
                <w:szCs w:val="24"/>
                <w14:textFill>
                  <w14:solidFill>
                    <w14:schemeClr w14:val="tx1"/>
                  </w14:solidFill>
                </w14:textFill>
              </w:rPr>
              <w:t xml:space="preserve"> 大气污染物排放标准</w:t>
            </w:r>
          </w:p>
          <w:p w14:paraId="724C391F">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运营期有组织废气非甲烷总烃、颗粒物排放执行《橡胶制品工业污染物排放标准》（GB27632-2011）表5新建企业大气污染物排放限值，臭气浓度排放执行《恶臭污染物排放标准》（GB14554-93）中表2标准限值。厂界非甲烷总烃、颗粒物无组织排放浓度执行《橡胶制品工业污染物排放标准》（GB27632-2011）表6厂界无组织排放限值，厂区内非甲烷总烃无组织排放浓度执行《挥发性有机物无组织排放控制标准》（GB 37822-2019）附录A表A.1中相关浓度限值，臭气浓度无组织排放执行《恶臭污染物排放标准》（GB14554-93）表1二级新改扩建标准</w:t>
            </w:r>
            <w:r>
              <w:rPr>
                <w:rFonts w:ascii="Times New Roman" w:hAnsi="Times New Roman" w:eastAsia="宋体" w:cs="Times New Roman"/>
                <w:color w:val="000000" w:themeColor="text1"/>
                <w:szCs w:val="24"/>
                <w14:textFill>
                  <w14:solidFill>
                    <w14:schemeClr w14:val="tx1"/>
                  </w14:solidFill>
                </w14:textFill>
              </w:rPr>
              <w:t>见表3.3-</w:t>
            </w: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w:t>
            </w:r>
          </w:p>
          <w:p w14:paraId="78F0D00F">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本项目大气污染物排放控制要求</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946"/>
              <w:gridCol w:w="2125"/>
              <w:gridCol w:w="1015"/>
              <w:gridCol w:w="1015"/>
              <w:gridCol w:w="2644"/>
            </w:tblGrid>
            <w:tr w14:paraId="59BA7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055D06FA">
                  <w:pPr>
                    <w:pStyle w:val="221"/>
                    <w:rPr>
                      <w:color w:val="000000" w:themeColor="text1"/>
                      <w14:textFill>
                        <w14:solidFill>
                          <w14:schemeClr w14:val="tx1"/>
                        </w14:solidFill>
                      </w14:textFill>
                    </w:rPr>
                  </w:pPr>
                  <w:bookmarkStart w:id="9" w:name="_Hlk217339437"/>
                  <w:r>
                    <w:rPr>
                      <w:rFonts w:hint="eastAsia"/>
                      <w:color w:val="000000" w:themeColor="text1"/>
                      <w14:textFill>
                        <w14:solidFill>
                          <w14:schemeClr w14:val="tx1"/>
                        </w14:solidFill>
                      </w14:textFill>
                    </w:rPr>
                    <w:t>类别</w:t>
                  </w:r>
                </w:p>
              </w:tc>
              <w:tc>
                <w:tcPr>
                  <w:tcW w:w="549" w:type="pct"/>
                  <w:vMerge w:val="restart"/>
                  <w:vAlign w:val="center"/>
                </w:tcPr>
                <w:p w14:paraId="040CF1DE">
                  <w:pPr>
                    <w:pStyle w:val="221"/>
                    <w:rPr>
                      <w:color w:val="000000" w:themeColor="text1"/>
                      <w14:textFill>
                        <w14:solidFill>
                          <w14:schemeClr w14:val="tx1"/>
                        </w14:solidFill>
                      </w14:textFill>
                    </w:rPr>
                  </w:pPr>
                  <w:r>
                    <w:rPr>
                      <w:color w:val="000000" w:themeColor="text1"/>
                      <w14:textFill>
                        <w14:solidFill>
                          <w14:schemeClr w14:val="tx1"/>
                        </w14:solidFill>
                      </w14:textFill>
                    </w:rPr>
                    <w:t>污染物</w:t>
                  </w:r>
                </w:p>
                <w:p w14:paraId="5D2C60DB">
                  <w:pPr>
                    <w:pStyle w:val="221"/>
                    <w:rPr>
                      <w:color w:val="000000" w:themeColor="text1"/>
                      <w14:textFill>
                        <w14:solidFill>
                          <w14:schemeClr w14:val="tx1"/>
                        </w14:solidFill>
                      </w14:textFill>
                    </w:rPr>
                  </w:pPr>
                  <w:r>
                    <w:rPr>
                      <w:color w:val="000000" w:themeColor="text1"/>
                      <w14:textFill>
                        <w14:solidFill>
                          <w14:schemeClr w14:val="tx1"/>
                        </w14:solidFill>
                      </w14:textFill>
                    </w:rPr>
                    <w:t>种类</w:t>
                  </w:r>
                </w:p>
              </w:tc>
              <w:tc>
                <w:tcPr>
                  <w:tcW w:w="2410" w:type="pct"/>
                  <w:gridSpan w:val="3"/>
                  <w:vAlign w:val="center"/>
                </w:tcPr>
                <w:p w14:paraId="7F02764E">
                  <w:pPr>
                    <w:pStyle w:val="221"/>
                    <w:rPr>
                      <w:color w:val="000000" w:themeColor="text1"/>
                      <w14:textFill>
                        <w14:solidFill>
                          <w14:schemeClr w14:val="tx1"/>
                        </w14:solidFill>
                      </w14:textFill>
                    </w:rPr>
                  </w:pPr>
                  <w:r>
                    <w:rPr>
                      <w:color w:val="000000" w:themeColor="text1"/>
                      <w14:textFill>
                        <w14:solidFill>
                          <w14:schemeClr w14:val="tx1"/>
                        </w14:solidFill>
                      </w14:textFill>
                    </w:rPr>
                    <w:t>排放限值</w:t>
                  </w:r>
                </w:p>
              </w:tc>
              <w:tc>
                <w:tcPr>
                  <w:tcW w:w="1536" w:type="pct"/>
                  <w:vMerge w:val="restart"/>
                  <w:vAlign w:val="center"/>
                </w:tcPr>
                <w:p w14:paraId="0F3B99B0">
                  <w:pPr>
                    <w:pStyle w:val="221"/>
                    <w:rPr>
                      <w:color w:val="000000" w:themeColor="text1"/>
                      <w14:textFill>
                        <w14:solidFill>
                          <w14:schemeClr w14:val="tx1"/>
                        </w14:solidFill>
                      </w14:textFill>
                    </w:rPr>
                  </w:pPr>
                  <w:r>
                    <w:rPr>
                      <w:color w:val="000000" w:themeColor="text1"/>
                      <w14:textFill>
                        <w14:solidFill>
                          <w14:schemeClr w14:val="tx1"/>
                        </w14:solidFill>
                      </w14:textFill>
                    </w:rPr>
                    <w:t>标准</w:t>
                  </w:r>
                </w:p>
              </w:tc>
            </w:tr>
            <w:tr w14:paraId="51F1C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2872193F">
                  <w:pPr>
                    <w:pStyle w:val="221"/>
                    <w:rPr>
                      <w:color w:val="000000" w:themeColor="text1"/>
                      <w14:textFill>
                        <w14:solidFill>
                          <w14:schemeClr w14:val="tx1"/>
                        </w14:solidFill>
                      </w14:textFill>
                    </w:rPr>
                  </w:pPr>
                </w:p>
              </w:tc>
              <w:tc>
                <w:tcPr>
                  <w:tcW w:w="549" w:type="pct"/>
                  <w:vMerge w:val="continue"/>
                  <w:vAlign w:val="center"/>
                </w:tcPr>
                <w:p w14:paraId="1C9F9241">
                  <w:pPr>
                    <w:pStyle w:val="221"/>
                    <w:rPr>
                      <w:color w:val="000000" w:themeColor="text1"/>
                      <w14:textFill>
                        <w14:solidFill>
                          <w14:schemeClr w14:val="tx1"/>
                        </w14:solidFill>
                      </w14:textFill>
                    </w:rPr>
                  </w:pPr>
                </w:p>
              </w:tc>
              <w:tc>
                <w:tcPr>
                  <w:tcW w:w="1233" w:type="pct"/>
                  <w:vAlign w:val="center"/>
                </w:tcPr>
                <w:p w14:paraId="7DE80637">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排放浓度限值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589" w:type="pct"/>
                  <w:vAlign w:val="center"/>
                </w:tcPr>
                <w:p w14:paraId="3BE85E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基准排气量</w:t>
                  </w:r>
                </w:p>
              </w:tc>
              <w:tc>
                <w:tcPr>
                  <w:tcW w:w="589" w:type="pct"/>
                  <w:vAlign w:val="center"/>
                </w:tcPr>
                <w:p w14:paraId="27ECD776">
                  <w:pPr>
                    <w:pStyle w:val="221"/>
                    <w:rPr>
                      <w:color w:val="000000" w:themeColor="text1"/>
                      <w14:textFill>
                        <w14:solidFill>
                          <w14:schemeClr w14:val="tx1"/>
                        </w14:solidFill>
                      </w14:textFill>
                    </w:rPr>
                  </w:pPr>
                  <w:r>
                    <w:rPr>
                      <w:color w:val="000000" w:themeColor="text1"/>
                      <w14:textFill>
                        <w14:solidFill>
                          <w14:schemeClr w14:val="tx1"/>
                        </w14:solidFill>
                      </w14:textFill>
                    </w:rPr>
                    <w:t>排气筒高度</w:t>
                  </w:r>
                </w:p>
              </w:tc>
              <w:tc>
                <w:tcPr>
                  <w:tcW w:w="1536" w:type="pct"/>
                  <w:vMerge w:val="continue"/>
                  <w:vAlign w:val="center"/>
                </w:tcPr>
                <w:p w14:paraId="5BE47882">
                  <w:pPr>
                    <w:pStyle w:val="221"/>
                    <w:rPr>
                      <w:color w:val="000000" w:themeColor="text1"/>
                      <w14:textFill>
                        <w14:solidFill>
                          <w14:schemeClr w14:val="tx1"/>
                        </w14:solidFill>
                      </w14:textFill>
                    </w:rPr>
                  </w:pPr>
                </w:p>
              </w:tc>
            </w:tr>
            <w:tr w14:paraId="6B73B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47554FA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有组织</w:t>
                  </w:r>
                </w:p>
              </w:tc>
              <w:tc>
                <w:tcPr>
                  <w:tcW w:w="549" w:type="pct"/>
                  <w:vAlign w:val="center"/>
                </w:tcPr>
                <w:p w14:paraId="408DCF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33" w:type="pct"/>
                  <w:vAlign w:val="center"/>
                </w:tcPr>
                <w:p w14:paraId="7398BDF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589" w:type="pct"/>
                  <w:vAlign w:val="center"/>
                </w:tcPr>
                <w:p w14:paraId="6A944B4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589" w:type="pct"/>
                  <w:vMerge w:val="restart"/>
                  <w:vAlign w:val="center"/>
                </w:tcPr>
                <w:p w14:paraId="7B06438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15m</w:t>
                  </w:r>
                </w:p>
              </w:tc>
              <w:tc>
                <w:tcPr>
                  <w:tcW w:w="1536" w:type="pct"/>
                  <w:vMerge w:val="restart"/>
                  <w:vAlign w:val="center"/>
                </w:tcPr>
                <w:p w14:paraId="079940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《橡胶制品工业污染物排放标准》（GB27632-2011）表5</w:t>
                  </w:r>
                </w:p>
              </w:tc>
            </w:tr>
            <w:tr w14:paraId="09537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3459FEFF">
                  <w:pPr>
                    <w:pStyle w:val="221"/>
                    <w:rPr>
                      <w:color w:val="000000" w:themeColor="text1"/>
                      <w14:textFill>
                        <w14:solidFill>
                          <w14:schemeClr w14:val="tx1"/>
                        </w14:solidFill>
                      </w14:textFill>
                    </w:rPr>
                  </w:pPr>
                </w:p>
              </w:tc>
              <w:tc>
                <w:tcPr>
                  <w:tcW w:w="549" w:type="pct"/>
                  <w:vAlign w:val="center"/>
                </w:tcPr>
                <w:p w14:paraId="141AE32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33" w:type="pct"/>
                  <w:vAlign w:val="center"/>
                </w:tcPr>
                <w:p w14:paraId="1EE03E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89" w:type="pct"/>
                  <w:tcBorders>
                    <w:bottom w:val="single" w:color="auto" w:sz="4" w:space="0"/>
                  </w:tcBorders>
                  <w:vAlign w:val="center"/>
                </w:tcPr>
                <w:p w14:paraId="2C2438D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589" w:type="pct"/>
                  <w:vMerge w:val="continue"/>
                  <w:vAlign w:val="center"/>
                </w:tcPr>
                <w:p w14:paraId="02F72257">
                  <w:pPr>
                    <w:pStyle w:val="221"/>
                    <w:rPr>
                      <w:color w:val="000000" w:themeColor="text1"/>
                      <w14:textFill>
                        <w14:solidFill>
                          <w14:schemeClr w14:val="tx1"/>
                        </w14:solidFill>
                      </w14:textFill>
                    </w:rPr>
                  </w:pPr>
                </w:p>
              </w:tc>
              <w:tc>
                <w:tcPr>
                  <w:tcW w:w="1536" w:type="pct"/>
                  <w:vMerge w:val="continue"/>
                  <w:tcBorders>
                    <w:bottom w:val="single" w:color="auto" w:sz="4" w:space="0"/>
                  </w:tcBorders>
                  <w:vAlign w:val="center"/>
                </w:tcPr>
                <w:p w14:paraId="7FB771DC">
                  <w:pPr>
                    <w:pStyle w:val="221"/>
                    <w:rPr>
                      <w:color w:val="000000" w:themeColor="text1"/>
                      <w14:textFill>
                        <w14:solidFill>
                          <w14:schemeClr w14:val="tx1"/>
                        </w14:solidFill>
                      </w14:textFill>
                    </w:rPr>
                  </w:pPr>
                </w:p>
              </w:tc>
            </w:tr>
            <w:tr w14:paraId="1C6FE6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6FDE093B">
                  <w:pPr>
                    <w:pStyle w:val="221"/>
                    <w:rPr>
                      <w:color w:val="000000" w:themeColor="text1"/>
                      <w14:textFill>
                        <w14:solidFill>
                          <w14:schemeClr w14:val="tx1"/>
                        </w14:solidFill>
                      </w14:textFill>
                    </w:rPr>
                  </w:pPr>
                </w:p>
              </w:tc>
              <w:tc>
                <w:tcPr>
                  <w:tcW w:w="549" w:type="pct"/>
                  <w:vAlign w:val="center"/>
                </w:tcPr>
                <w:p w14:paraId="5727074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w:t>
                  </w:r>
                </w:p>
                <w:p w14:paraId="5EDF86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p>
              </w:tc>
              <w:tc>
                <w:tcPr>
                  <w:tcW w:w="1233" w:type="pct"/>
                  <w:vAlign w:val="center"/>
                </w:tcPr>
                <w:p w14:paraId="741F931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2000（无量纲）</w:t>
                  </w:r>
                </w:p>
              </w:tc>
              <w:tc>
                <w:tcPr>
                  <w:tcW w:w="589" w:type="pct"/>
                  <w:tcBorders>
                    <w:top w:val="single" w:color="auto" w:sz="4" w:space="0"/>
                  </w:tcBorders>
                  <w:vAlign w:val="center"/>
                </w:tcPr>
                <w:p w14:paraId="4A243AF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vMerge w:val="continue"/>
                  <w:tcBorders>
                    <w:bottom w:val="single" w:color="auto" w:sz="4" w:space="0"/>
                  </w:tcBorders>
                  <w:vAlign w:val="center"/>
                </w:tcPr>
                <w:p w14:paraId="2E2291BB">
                  <w:pPr>
                    <w:pStyle w:val="221"/>
                    <w:rPr>
                      <w:color w:val="000000" w:themeColor="text1"/>
                      <w14:textFill>
                        <w14:solidFill>
                          <w14:schemeClr w14:val="tx1"/>
                        </w14:solidFill>
                      </w14:textFill>
                    </w:rPr>
                  </w:pPr>
                </w:p>
              </w:tc>
              <w:tc>
                <w:tcPr>
                  <w:tcW w:w="1536" w:type="pct"/>
                  <w:tcBorders>
                    <w:top w:val="single" w:color="auto" w:sz="4" w:space="0"/>
                    <w:bottom w:val="single" w:color="auto" w:sz="4" w:space="0"/>
                  </w:tcBorders>
                  <w:vAlign w:val="center"/>
                </w:tcPr>
                <w:p w14:paraId="4919BE4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《恶臭污染物排放标准》（GB14554-93）中表2</w:t>
                  </w:r>
                </w:p>
              </w:tc>
            </w:tr>
            <w:tr w14:paraId="6267F8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4B514F8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549" w:type="pct"/>
                  <w:vAlign w:val="center"/>
                </w:tcPr>
                <w:p w14:paraId="584277D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33" w:type="pct"/>
                  <w:vAlign w:val="center"/>
                </w:tcPr>
                <w:p w14:paraId="04B7B14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1.0（厂界）</w:t>
                  </w:r>
                </w:p>
              </w:tc>
              <w:tc>
                <w:tcPr>
                  <w:tcW w:w="589" w:type="pct"/>
                  <w:vAlign w:val="center"/>
                </w:tcPr>
                <w:p w14:paraId="6ACBDC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698ED9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restart"/>
                  <w:tcBorders>
                    <w:top w:val="single" w:color="auto" w:sz="4" w:space="0"/>
                  </w:tcBorders>
                  <w:vAlign w:val="center"/>
                </w:tcPr>
                <w:p w14:paraId="7EDBDD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《橡胶制品工业污染物排放标准》（GB27632-2011）表6</w:t>
                  </w:r>
                </w:p>
              </w:tc>
            </w:tr>
            <w:tr w14:paraId="2B4A98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119FA2E7">
                  <w:pPr>
                    <w:pStyle w:val="221"/>
                    <w:rPr>
                      <w:color w:val="000000" w:themeColor="text1"/>
                      <w14:textFill>
                        <w14:solidFill>
                          <w14:schemeClr w14:val="tx1"/>
                        </w14:solidFill>
                      </w14:textFill>
                    </w:rPr>
                  </w:pPr>
                </w:p>
              </w:tc>
              <w:tc>
                <w:tcPr>
                  <w:tcW w:w="549" w:type="pct"/>
                  <w:vMerge w:val="restart"/>
                  <w:vAlign w:val="center"/>
                </w:tcPr>
                <w:p w14:paraId="03C47B2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33" w:type="pct"/>
                  <w:vAlign w:val="center"/>
                </w:tcPr>
                <w:p w14:paraId="29CCD9E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4.0（厂界）</w:t>
                  </w:r>
                </w:p>
              </w:tc>
              <w:tc>
                <w:tcPr>
                  <w:tcW w:w="589" w:type="pct"/>
                  <w:vAlign w:val="center"/>
                </w:tcPr>
                <w:p w14:paraId="70FC666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1052124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continue"/>
                  <w:tcBorders>
                    <w:bottom w:val="single" w:color="auto" w:sz="4" w:space="0"/>
                  </w:tcBorders>
                  <w:vAlign w:val="center"/>
                </w:tcPr>
                <w:p w14:paraId="32C1CC25">
                  <w:pPr>
                    <w:pStyle w:val="221"/>
                    <w:rPr>
                      <w:color w:val="000000" w:themeColor="text1"/>
                      <w14:textFill>
                        <w14:solidFill>
                          <w14:schemeClr w14:val="tx1"/>
                        </w14:solidFill>
                      </w14:textFill>
                    </w:rPr>
                  </w:pPr>
                </w:p>
              </w:tc>
            </w:tr>
            <w:tr w14:paraId="466F0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18BC328D">
                  <w:pPr>
                    <w:pStyle w:val="221"/>
                    <w:rPr>
                      <w:color w:val="000000" w:themeColor="text1"/>
                      <w14:textFill>
                        <w14:solidFill>
                          <w14:schemeClr w14:val="tx1"/>
                        </w14:solidFill>
                      </w14:textFill>
                    </w:rPr>
                  </w:pPr>
                </w:p>
              </w:tc>
              <w:tc>
                <w:tcPr>
                  <w:tcW w:w="549" w:type="pct"/>
                  <w:vMerge w:val="continue"/>
                  <w:vAlign w:val="center"/>
                </w:tcPr>
                <w:p w14:paraId="45A35D78">
                  <w:pPr>
                    <w:pStyle w:val="221"/>
                    <w:rPr>
                      <w:color w:val="000000" w:themeColor="text1"/>
                      <w14:textFill>
                        <w14:solidFill>
                          <w14:schemeClr w14:val="tx1"/>
                        </w14:solidFill>
                      </w14:textFill>
                    </w:rPr>
                  </w:pPr>
                </w:p>
              </w:tc>
              <w:tc>
                <w:tcPr>
                  <w:tcW w:w="1233" w:type="pct"/>
                  <w:vAlign w:val="center"/>
                </w:tcPr>
                <w:p w14:paraId="1C270A0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10（厂区内监控点处1h平均浓度值）</w:t>
                  </w:r>
                </w:p>
              </w:tc>
              <w:tc>
                <w:tcPr>
                  <w:tcW w:w="589" w:type="pct"/>
                  <w:vAlign w:val="center"/>
                </w:tcPr>
                <w:p w14:paraId="52F3CD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72D2DE5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restart"/>
                  <w:tcBorders>
                    <w:top w:val="single" w:color="auto" w:sz="4" w:space="0"/>
                  </w:tcBorders>
                  <w:vAlign w:val="center"/>
                </w:tcPr>
                <w:p w14:paraId="4A2097C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《挥发性有机物无组织排放控制标准》（GB37822-2019）附录A</w:t>
                  </w:r>
                </w:p>
              </w:tc>
            </w:tr>
            <w:tr w14:paraId="20FBB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1CD12A21">
                  <w:pPr>
                    <w:pStyle w:val="221"/>
                    <w:rPr>
                      <w:color w:val="000000" w:themeColor="text1"/>
                      <w14:textFill>
                        <w14:solidFill>
                          <w14:schemeClr w14:val="tx1"/>
                        </w14:solidFill>
                      </w14:textFill>
                    </w:rPr>
                  </w:pPr>
                </w:p>
              </w:tc>
              <w:tc>
                <w:tcPr>
                  <w:tcW w:w="549" w:type="pct"/>
                  <w:vMerge w:val="continue"/>
                  <w:vAlign w:val="center"/>
                </w:tcPr>
                <w:p w14:paraId="6798FE2F">
                  <w:pPr>
                    <w:pStyle w:val="221"/>
                    <w:rPr>
                      <w:color w:val="000000" w:themeColor="text1"/>
                      <w14:textFill>
                        <w14:solidFill>
                          <w14:schemeClr w14:val="tx1"/>
                        </w14:solidFill>
                      </w14:textFill>
                    </w:rPr>
                  </w:pPr>
                </w:p>
              </w:tc>
              <w:tc>
                <w:tcPr>
                  <w:tcW w:w="1233" w:type="pct"/>
                  <w:vAlign w:val="center"/>
                </w:tcPr>
                <w:p w14:paraId="58A3FB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30（厂区内监控点处任意一次浓度值）</w:t>
                  </w:r>
                </w:p>
              </w:tc>
              <w:tc>
                <w:tcPr>
                  <w:tcW w:w="589" w:type="pct"/>
                  <w:vAlign w:val="center"/>
                </w:tcPr>
                <w:p w14:paraId="7BC749C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62F77A0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continue"/>
                  <w:tcBorders>
                    <w:bottom w:val="single" w:color="auto" w:sz="4" w:space="0"/>
                  </w:tcBorders>
                  <w:vAlign w:val="center"/>
                </w:tcPr>
                <w:p w14:paraId="3E57AC43">
                  <w:pPr>
                    <w:pStyle w:val="221"/>
                    <w:rPr>
                      <w:color w:val="000000" w:themeColor="text1"/>
                      <w14:textFill>
                        <w14:solidFill>
                          <w14:schemeClr w14:val="tx1"/>
                        </w14:solidFill>
                      </w14:textFill>
                    </w:rPr>
                  </w:pPr>
                </w:p>
              </w:tc>
            </w:tr>
            <w:tr w14:paraId="14AA22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6143CA72">
                  <w:pPr>
                    <w:pStyle w:val="221"/>
                    <w:rPr>
                      <w:color w:val="000000" w:themeColor="text1"/>
                      <w14:textFill>
                        <w14:solidFill>
                          <w14:schemeClr w14:val="tx1"/>
                        </w14:solidFill>
                      </w14:textFill>
                    </w:rPr>
                  </w:pPr>
                </w:p>
              </w:tc>
              <w:tc>
                <w:tcPr>
                  <w:tcW w:w="549" w:type="pct"/>
                  <w:vAlign w:val="center"/>
                </w:tcPr>
                <w:p w14:paraId="5B2AD0C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w:t>
                  </w:r>
                </w:p>
                <w:p w14:paraId="4B0A86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p>
              </w:tc>
              <w:tc>
                <w:tcPr>
                  <w:tcW w:w="1233" w:type="pct"/>
                  <w:vAlign w:val="center"/>
                </w:tcPr>
                <w:p w14:paraId="1CB5C30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20（无量纲）（厂界）</w:t>
                  </w:r>
                </w:p>
              </w:tc>
              <w:tc>
                <w:tcPr>
                  <w:tcW w:w="589" w:type="pct"/>
                  <w:vAlign w:val="center"/>
                </w:tcPr>
                <w:p w14:paraId="2AEC05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tcBorders>
                  <w:vAlign w:val="center"/>
                </w:tcPr>
                <w:p w14:paraId="46A1B9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tcBorders>
                    <w:top w:val="single" w:color="auto" w:sz="4" w:space="0"/>
                  </w:tcBorders>
                  <w:vAlign w:val="center"/>
                </w:tcPr>
                <w:p w14:paraId="221D7A7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《恶臭污染物排放标准》（GB14554-93）表1</w:t>
                  </w:r>
                </w:p>
              </w:tc>
            </w:tr>
            <w:bookmarkEnd w:id="9"/>
          </w:tbl>
          <w:p w14:paraId="3807C201">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2</w:t>
            </w:r>
            <w:r>
              <w:rPr>
                <w:rFonts w:ascii="Times New Roman" w:hAnsi="Times New Roman" w:eastAsia="宋体" w:cs="Times New Roman"/>
                <w:b/>
                <w:bCs/>
                <w:color w:val="000000" w:themeColor="text1"/>
                <w:szCs w:val="24"/>
                <w14:textFill>
                  <w14:solidFill>
                    <w14:schemeClr w14:val="tx1"/>
                  </w14:solidFill>
                </w14:textFill>
              </w:rPr>
              <w:t xml:space="preserve"> </w:t>
            </w:r>
            <w:r>
              <w:rPr>
                <w:rFonts w:hint="eastAsia" w:ascii="Times New Roman" w:hAnsi="Times New Roman" w:eastAsia="宋体" w:cs="Times New Roman"/>
                <w:b/>
                <w:bCs/>
                <w:color w:val="000000" w:themeColor="text1"/>
                <w:szCs w:val="24"/>
                <w14:textFill>
                  <w14:solidFill>
                    <w14:schemeClr w14:val="tx1"/>
                  </w14:solidFill>
                </w14:textFill>
              </w:rPr>
              <w:t>废水</w:t>
            </w:r>
            <w:r>
              <w:rPr>
                <w:rFonts w:ascii="Times New Roman" w:hAnsi="Times New Roman" w:eastAsia="宋体" w:cs="Times New Roman"/>
                <w:b/>
                <w:bCs/>
                <w:color w:val="000000" w:themeColor="text1"/>
                <w:szCs w:val="24"/>
                <w14:textFill>
                  <w14:solidFill>
                    <w14:schemeClr w14:val="tx1"/>
                  </w14:solidFill>
                </w14:textFill>
              </w:rPr>
              <w:t>污染物排放标准</w:t>
            </w:r>
          </w:p>
          <w:p w14:paraId="721ABEBA">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外排</w:t>
            </w:r>
            <w:r>
              <w:rPr>
                <w:color w:val="000000" w:themeColor="text1"/>
                <w14:textFill>
                  <w14:solidFill>
                    <w14:schemeClr w14:val="tx1"/>
                  </w14:solidFill>
                </w14:textFill>
              </w:rPr>
              <w:t>废水主要为职工的生活污水</w:t>
            </w:r>
            <w:r>
              <w:rPr>
                <w:rFonts w:hint="eastAsia"/>
                <w:color w:val="000000" w:themeColor="text1"/>
                <w14:textFill>
                  <w14:solidFill>
                    <w14:schemeClr w14:val="tx1"/>
                  </w14:solidFill>
                </w14:textFill>
              </w:rPr>
              <w:t>和冷却循环废水</w:t>
            </w:r>
            <w:r>
              <w:rPr>
                <w:color w:val="000000" w:themeColor="text1"/>
                <w14:textFill>
                  <w14:solidFill>
                    <w14:schemeClr w14:val="tx1"/>
                  </w14:solidFill>
                </w14:textFill>
              </w:rPr>
              <w:t>，通过市政污水管网纳入</w:t>
            </w:r>
            <w:r>
              <w:rPr>
                <w:rFonts w:hint="eastAsia"/>
                <w:color w:val="000000" w:themeColor="text1"/>
                <w14:textFill>
                  <w14:solidFill>
                    <w14:schemeClr w14:val="tx1"/>
                  </w14:solidFill>
                </w14:textFill>
              </w:rPr>
              <w:t>江镜华侨农场污水处理厂</w:t>
            </w:r>
            <w:r>
              <w:rPr>
                <w:color w:val="000000" w:themeColor="text1"/>
                <w14:textFill>
                  <w14:solidFill>
                    <w14:schemeClr w14:val="tx1"/>
                  </w14:solidFill>
                </w14:textFill>
              </w:rPr>
              <w:t>集中处理</w:t>
            </w:r>
            <w:r>
              <w:rPr>
                <w:rFonts w:hint="eastAsia"/>
                <w:color w:val="000000" w:themeColor="text1"/>
                <w14:textFill>
                  <w14:solidFill>
                    <w14:schemeClr w14:val="tx1"/>
                  </w14:solidFill>
                </w14:textFill>
              </w:rPr>
              <w:t>，生活污水排放</w:t>
            </w:r>
            <w:r>
              <w:rPr>
                <w:color w:val="000000" w:themeColor="text1"/>
                <w14:textFill>
                  <w14:solidFill>
                    <w14:schemeClr w14:val="tx1"/>
                  </w14:solidFill>
                </w14:textFill>
              </w:rPr>
              <w:t>执行《污水综合排放标准》(GB8978-1996)表4中的三级标准，氨氮参照执行《污水排入城镇下水道水质标准》(GB/T 31962-2015)表1中B级标准</w:t>
            </w:r>
            <w:r>
              <w:rPr>
                <w:rFonts w:hint="eastAsia"/>
                <w:color w:val="000000" w:themeColor="text1"/>
                <w14:textFill>
                  <w14:solidFill>
                    <w14:schemeClr w14:val="tx1"/>
                  </w14:solidFill>
                </w14:textFill>
              </w:rPr>
              <w:t>；冷却循环废水排放执行《橡胶制品工业污染物排放标准》（GB27632-2011）表2中间接排放限值，</w:t>
            </w:r>
            <w:r>
              <w:rPr>
                <w:color w:val="000000" w:themeColor="text1"/>
                <w14:textFill>
                  <w14:solidFill>
                    <w14:schemeClr w14:val="tx1"/>
                  </w14:solidFill>
                </w14:textFill>
              </w:rPr>
              <w:t>详见表</w:t>
            </w:r>
            <w:r>
              <w:rPr>
                <w:rFonts w:hint="eastAsia"/>
                <w:color w:val="000000" w:themeColor="text1"/>
                <w14:textFill>
                  <w14:solidFill>
                    <w14:schemeClr w14:val="tx1"/>
                  </w14:solidFill>
                </w14:textFill>
              </w:rPr>
              <w:t>3.3-2</w:t>
            </w:r>
            <w:r>
              <w:rPr>
                <w:color w:val="000000" w:themeColor="text1"/>
                <w14:textFill>
                  <w14:solidFill>
                    <w14:schemeClr w14:val="tx1"/>
                  </w14:solidFill>
                </w14:textFill>
              </w:rPr>
              <w:t>。</w:t>
            </w:r>
          </w:p>
          <w:p w14:paraId="62BC7A80">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项目执行的污水排放标准</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1"/>
              <w:gridCol w:w="1822"/>
              <w:gridCol w:w="1820"/>
              <w:gridCol w:w="3154"/>
            </w:tblGrid>
            <w:tr w14:paraId="0B5D1B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Align w:val="center"/>
                </w:tcPr>
                <w:p w14:paraId="26B1DE7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057" w:type="pct"/>
                  <w:vAlign w:val="center"/>
                </w:tcPr>
                <w:p w14:paraId="2043B199">
                  <w:pPr>
                    <w:pStyle w:val="221"/>
                    <w:rPr>
                      <w:color w:val="000000" w:themeColor="text1"/>
                      <w14:textFill>
                        <w14:solidFill>
                          <w14:schemeClr w14:val="tx1"/>
                        </w14:solidFill>
                      </w14:textFill>
                    </w:rPr>
                  </w:pPr>
                  <w:r>
                    <w:rPr>
                      <w:color w:val="000000" w:themeColor="text1"/>
                      <w14:textFill>
                        <w14:solidFill>
                          <w14:schemeClr w14:val="tx1"/>
                        </w14:solidFill>
                      </w14:textFill>
                    </w:rPr>
                    <w:t>污染物名称</w:t>
                  </w:r>
                </w:p>
              </w:tc>
              <w:tc>
                <w:tcPr>
                  <w:tcW w:w="1056" w:type="pct"/>
                  <w:vAlign w:val="center"/>
                </w:tcPr>
                <w:p w14:paraId="23EBE651">
                  <w:pPr>
                    <w:pStyle w:val="221"/>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1830" w:type="pct"/>
                  <w:vAlign w:val="center"/>
                </w:tcPr>
                <w:p w14:paraId="6A99A9D0">
                  <w:pPr>
                    <w:pStyle w:val="221"/>
                    <w:rPr>
                      <w:color w:val="000000" w:themeColor="text1"/>
                      <w14:textFill>
                        <w14:solidFill>
                          <w14:schemeClr w14:val="tx1"/>
                        </w14:solidFill>
                      </w14:textFill>
                    </w:rPr>
                  </w:pPr>
                  <w:r>
                    <w:rPr>
                      <w:color w:val="000000" w:themeColor="text1"/>
                      <w14:textFill>
                        <w14:solidFill>
                          <w14:schemeClr w14:val="tx1"/>
                        </w14:solidFill>
                      </w14:textFill>
                    </w:rPr>
                    <w:t>标准来源</w:t>
                  </w:r>
                </w:p>
              </w:tc>
            </w:tr>
            <w:tr w14:paraId="1F7A6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restart"/>
                  <w:vAlign w:val="center"/>
                </w:tcPr>
                <w:p w14:paraId="2CD0C0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057" w:type="pct"/>
                  <w:vAlign w:val="center"/>
                </w:tcPr>
                <w:p w14:paraId="4C6161EB">
                  <w:pPr>
                    <w:pStyle w:val="221"/>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056" w:type="pct"/>
                  <w:vAlign w:val="center"/>
                </w:tcPr>
                <w:p w14:paraId="5C3826D0">
                  <w:pPr>
                    <w:pStyle w:val="221"/>
                    <w:rPr>
                      <w:color w:val="000000" w:themeColor="text1"/>
                      <w14:textFill>
                        <w14:solidFill>
                          <w14:schemeClr w14:val="tx1"/>
                        </w14:solidFill>
                      </w14:textFill>
                    </w:rPr>
                  </w:pPr>
                  <w:r>
                    <w:rPr>
                      <w:color w:val="000000" w:themeColor="text1"/>
                      <w14:textFill>
                        <w14:solidFill>
                          <w14:schemeClr w14:val="tx1"/>
                        </w14:solidFill>
                      </w14:textFill>
                    </w:rPr>
                    <w:t>6～9(无量纲)</w:t>
                  </w:r>
                </w:p>
              </w:tc>
              <w:tc>
                <w:tcPr>
                  <w:tcW w:w="1830" w:type="pct"/>
                  <w:vMerge w:val="restart"/>
                  <w:vAlign w:val="center"/>
                </w:tcPr>
                <w:p w14:paraId="4A4A7968">
                  <w:pPr>
                    <w:pStyle w:val="221"/>
                    <w:rPr>
                      <w:color w:val="000000" w:themeColor="text1"/>
                      <w14:textFill>
                        <w14:solidFill>
                          <w14:schemeClr w14:val="tx1"/>
                        </w14:solidFill>
                      </w14:textFill>
                    </w:rPr>
                  </w:pPr>
                  <w:r>
                    <w:rPr>
                      <w:color w:val="000000" w:themeColor="text1"/>
                      <w14:textFill>
                        <w14:solidFill>
                          <w14:schemeClr w14:val="tx1"/>
                        </w14:solidFill>
                      </w14:textFill>
                    </w:rPr>
                    <w:t>《污水综合排放标准》(GB8978-1996)</w:t>
                  </w:r>
                </w:p>
                <w:p w14:paraId="7D8ECA83">
                  <w:pPr>
                    <w:pStyle w:val="221"/>
                    <w:rPr>
                      <w:color w:val="000000" w:themeColor="text1"/>
                      <w14:textFill>
                        <w14:solidFill>
                          <w14:schemeClr w14:val="tx1"/>
                        </w14:solidFill>
                      </w14:textFill>
                    </w:rPr>
                  </w:pPr>
                  <w:r>
                    <w:rPr>
                      <w:color w:val="000000" w:themeColor="text1"/>
                      <w14:textFill>
                        <w14:solidFill>
                          <w14:schemeClr w14:val="tx1"/>
                        </w14:solidFill>
                      </w14:textFill>
                    </w:rPr>
                    <w:t>中表4三级标准</w:t>
                  </w:r>
                </w:p>
              </w:tc>
            </w:tr>
            <w:tr w14:paraId="4F855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5A09F026">
                  <w:pPr>
                    <w:pStyle w:val="221"/>
                    <w:rPr>
                      <w:color w:val="000000" w:themeColor="text1"/>
                      <w14:textFill>
                        <w14:solidFill>
                          <w14:schemeClr w14:val="tx1"/>
                        </w14:solidFill>
                      </w14:textFill>
                    </w:rPr>
                  </w:pPr>
                </w:p>
              </w:tc>
              <w:tc>
                <w:tcPr>
                  <w:tcW w:w="1057" w:type="pct"/>
                  <w:vAlign w:val="center"/>
                </w:tcPr>
                <w:p w14:paraId="0C1C1418">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056" w:type="pct"/>
                  <w:vAlign w:val="center"/>
                </w:tcPr>
                <w:p w14:paraId="4FA923C2">
                  <w:pPr>
                    <w:pStyle w:val="221"/>
                    <w:rPr>
                      <w:color w:val="000000" w:themeColor="text1"/>
                      <w14:textFill>
                        <w14:solidFill>
                          <w14:schemeClr w14:val="tx1"/>
                        </w14:solidFill>
                      </w14:textFill>
                    </w:rPr>
                  </w:pPr>
                  <w:r>
                    <w:rPr>
                      <w:color w:val="000000" w:themeColor="text1"/>
                      <w14:textFill>
                        <w14:solidFill>
                          <w14:schemeClr w14:val="tx1"/>
                        </w14:solidFill>
                      </w14:textFill>
                    </w:rPr>
                    <w:t>500mg/L</w:t>
                  </w:r>
                </w:p>
              </w:tc>
              <w:tc>
                <w:tcPr>
                  <w:tcW w:w="1830" w:type="pct"/>
                  <w:vMerge w:val="continue"/>
                  <w:vAlign w:val="center"/>
                </w:tcPr>
                <w:p w14:paraId="2E78EDCC">
                  <w:pPr>
                    <w:pStyle w:val="221"/>
                    <w:rPr>
                      <w:color w:val="000000" w:themeColor="text1"/>
                      <w14:textFill>
                        <w14:solidFill>
                          <w14:schemeClr w14:val="tx1"/>
                        </w14:solidFill>
                      </w14:textFill>
                    </w:rPr>
                  </w:pPr>
                </w:p>
              </w:tc>
            </w:tr>
            <w:tr w14:paraId="79643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03655C30">
                  <w:pPr>
                    <w:pStyle w:val="221"/>
                    <w:rPr>
                      <w:color w:val="000000" w:themeColor="text1"/>
                      <w14:textFill>
                        <w14:solidFill>
                          <w14:schemeClr w14:val="tx1"/>
                        </w14:solidFill>
                      </w14:textFill>
                    </w:rPr>
                  </w:pPr>
                </w:p>
              </w:tc>
              <w:tc>
                <w:tcPr>
                  <w:tcW w:w="1057" w:type="pct"/>
                  <w:vAlign w:val="center"/>
                </w:tcPr>
                <w:p w14:paraId="2DACBE3F">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056" w:type="pct"/>
                  <w:vAlign w:val="center"/>
                </w:tcPr>
                <w:p w14:paraId="19F412E0">
                  <w:pPr>
                    <w:pStyle w:val="221"/>
                    <w:rPr>
                      <w:color w:val="000000" w:themeColor="text1"/>
                      <w14:textFill>
                        <w14:solidFill>
                          <w14:schemeClr w14:val="tx1"/>
                        </w14:solidFill>
                      </w14:textFill>
                    </w:rPr>
                  </w:pPr>
                  <w:r>
                    <w:rPr>
                      <w:color w:val="000000" w:themeColor="text1"/>
                      <w14:textFill>
                        <w14:solidFill>
                          <w14:schemeClr w14:val="tx1"/>
                        </w14:solidFill>
                      </w14:textFill>
                    </w:rPr>
                    <w:t>300mg/L</w:t>
                  </w:r>
                </w:p>
              </w:tc>
              <w:tc>
                <w:tcPr>
                  <w:tcW w:w="1830" w:type="pct"/>
                  <w:vMerge w:val="continue"/>
                  <w:vAlign w:val="center"/>
                </w:tcPr>
                <w:p w14:paraId="7A0E426F">
                  <w:pPr>
                    <w:pStyle w:val="221"/>
                    <w:rPr>
                      <w:color w:val="000000" w:themeColor="text1"/>
                      <w14:textFill>
                        <w14:solidFill>
                          <w14:schemeClr w14:val="tx1"/>
                        </w14:solidFill>
                      </w14:textFill>
                    </w:rPr>
                  </w:pPr>
                </w:p>
              </w:tc>
            </w:tr>
            <w:tr w14:paraId="05A04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3B3E3D6F">
                  <w:pPr>
                    <w:pStyle w:val="221"/>
                    <w:rPr>
                      <w:color w:val="000000" w:themeColor="text1"/>
                      <w14:textFill>
                        <w14:solidFill>
                          <w14:schemeClr w14:val="tx1"/>
                        </w14:solidFill>
                      </w14:textFill>
                    </w:rPr>
                  </w:pPr>
                </w:p>
              </w:tc>
              <w:tc>
                <w:tcPr>
                  <w:tcW w:w="1057" w:type="pct"/>
                  <w:vAlign w:val="center"/>
                </w:tcPr>
                <w:p w14:paraId="33A8BEC7">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056" w:type="pct"/>
                  <w:vAlign w:val="center"/>
                </w:tcPr>
                <w:p w14:paraId="7496A535">
                  <w:pPr>
                    <w:pStyle w:val="221"/>
                    <w:rPr>
                      <w:color w:val="000000" w:themeColor="text1"/>
                      <w14:textFill>
                        <w14:solidFill>
                          <w14:schemeClr w14:val="tx1"/>
                        </w14:solidFill>
                      </w14:textFill>
                    </w:rPr>
                  </w:pPr>
                  <w:r>
                    <w:rPr>
                      <w:color w:val="000000" w:themeColor="text1"/>
                      <w14:textFill>
                        <w14:solidFill>
                          <w14:schemeClr w14:val="tx1"/>
                        </w14:solidFill>
                      </w14:textFill>
                    </w:rPr>
                    <w:t>400mg/L</w:t>
                  </w:r>
                </w:p>
              </w:tc>
              <w:tc>
                <w:tcPr>
                  <w:tcW w:w="1830" w:type="pct"/>
                  <w:vMerge w:val="continue"/>
                  <w:vAlign w:val="center"/>
                </w:tcPr>
                <w:p w14:paraId="56D24523">
                  <w:pPr>
                    <w:pStyle w:val="221"/>
                    <w:rPr>
                      <w:color w:val="000000" w:themeColor="text1"/>
                      <w14:textFill>
                        <w14:solidFill>
                          <w14:schemeClr w14:val="tx1"/>
                        </w14:solidFill>
                      </w14:textFill>
                    </w:rPr>
                  </w:pPr>
                </w:p>
              </w:tc>
            </w:tr>
            <w:tr w14:paraId="29E6A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08FA9682">
                  <w:pPr>
                    <w:pStyle w:val="221"/>
                    <w:rPr>
                      <w:color w:val="000000" w:themeColor="text1"/>
                      <w14:textFill>
                        <w14:solidFill>
                          <w14:schemeClr w14:val="tx1"/>
                        </w14:solidFill>
                      </w14:textFill>
                    </w:rPr>
                  </w:pPr>
                </w:p>
              </w:tc>
              <w:tc>
                <w:tcPr>
                  <w:tcW w:w="1057" w:type="pct"/>
                  <w:vAlign w:val="center"/>
                </w:tcPr>
                <w:p w14:paraId="04CB35FF">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056" w:type="pct"/>
                  <w:vAlign w:val="center"/>
                </w:tcPr>
                <w:p w14:paraId="042A9D42">
                  <w:pPr>
                    <w:pStyle w:val="221"/>
                    <w:rPr>
                      <w:color w:val="000000" w:themeColor="text1"/>
                      <w14:textFill>
                        <w14:solidFill>
                          <w14:schemeClr w14:val="tx1"/>
                        </w14:solidFill>
                      </w14:textFill>
                    </w:rPr>
                  </w:pPr>
                  <w:r>
                    <w:rPr>
                      <w:color w:val="000000" w:themeColor="text1"/>
                      <w14:textFill>
                        <w14:solidFill>
                          <w14:schemeClr w14:val="tx1"/>
                        </w14:solidFill>
                      </w14:textFill>
                    </w:rPr>
                    <w:t>45mg/L</w:t>
                  </w:r>
                </w:p>
              </w:tc>
              <w:tc>
                <w:tcPr>
                  <w:tcW w:w="1830" w:type="pct"/>
                  <w:vMerge w:val="restart"/>
                  <w:vAlign w:val="center"/>
                </w:tcPr>
                <w:p w14:paraId="1A886A98">
                  <w:pPr>
                    <w:pStyle w:val="221"/>
                    <w:rPr>
                      <w:color w:val="000000" w:themeColor="text1"/>
                      <w14:textFill>
                        <w14:solidFill>
                          <w14:schemeClr w14:val="tx1"/>
                        </w14:solidFill>
                      </w14:textFill>
                    </w:rPr>
                  </w:pPr>
                  <w:r>
                    <w:rPr>
                      <w:color w:val="000000" w:themeColor="text1"/>
                      <w14:textFill>
                        <w14:solidFill>
                          <w14:schemeClr w14:val="tx1"/>
                        </w14:solidFill>
                      </w14:textFill>
                    </w:rPr>
                    <w:t>参照执行《污水排入城镇下水道水质标准》(GB/T 31962-2015)表1中B级标准</w:t>
                  </w:r>
                </w:p>
              </w:tc>
            </w:tr>
            <w:tr w14:paraId="0EF2E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7CF93767">
                  <w:pPr>
                    <w:pStyle w:val="221"/>
                    <w:rPr>
                      <w:color w:val="000000" w:themeColor="text1"/>
                      <w14:textFill>
                        <w14:solidFill>
                          <w14:schemeClr w14:val="tx1"/>
                        </w14:solidFill>
                      </w14:textFill>
                    </w:rPr>
                  </w:pPr>
                </w:p>
              </w:tc>
              <w:tc>
                <w:tcPr>
                  <w:tcW w:w="1057" w:type="pct"/>
                  <w:vAlign w:val="center"/>
                </w:tcPr>
                <w:p w14:paraId="34D06C2C">
                  <w:pPr>
                    <w:pStyle w:val="221"/>
                    <w:rPr>
                      <w:color w:val="000000" w:themeColor="text1"/>
                      <w14:textFill>
                        <w14:solidFill>
                          <w14:schemeClr w14:val="tx1"/>
                        </w14:solidFill>
                      </w14:textFill>
                    </w:rPr>
                  </w:pPr>
                  <w:r>
                    <w:rPr>
                      <w:color w:val="000000" w:themeColor="text1"/>
                      <w14:textFill>
                        <w14:solidFill>
                          <w14:schemeClr w14:val="tx1"/>
                        </w14:solidFill>
                      </w14:textFill>
                    </w:rPr>
                    <w:t>总磷</w:t>
                  </w:r>
                </w:p>
              </w:tc>
              <w:tc>
                <w:tcPr>
                  <w:tcW w:w="1056" w:type="pct"/>
                  <w:vAlign w:val="center"/>
                </w:tcPr>
                <w:p w14:paraId="7F95A80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mg/L</w:t>
                  </w:r>
                </w:p>
              </w:tc>
              <w:tc>
                <w:tcPr>
                  <w:tcW w:w="1830" w:type="pct"/>
                  <w:vMerge w:val="continue"/>
                  <w:vAlign w:val="center"/>
                </w:tcPr>
                <w:p w14:paraId="688FBE8B">
                  <w:pPr>
                    <w:pStyle w:val="221"/>
                    <w:rPr>
                      <w:color w:val="000000" w:themeColor="text1"/>
                      <w14:textFill>
                        <w14:solidFill>
                          <w14:schemeClr w14:val="tx1"/>
                        </w14:solidFill>
                      </w14:textFill>
                    </w:rPr>
                  </w:pPr>
                </w:p>
              </w:tc>
            </w:tr>
            <w:tr w14:paraId="12B83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083FEECA">
                  <w:pPr>
                    <w:pStyle w:val="221"/>
                    <w:rPr>
                      <w:color w:val="000000" w:themeColor="text1"/>
                      <w14:textFill>
                        <w14:solidFill>
                          <w14:schemeClr w14:val="tx1"/>
                        </w14:solidFill>
                      </w14:textFill>
                    </w:rPr>
                  </w:pPr>
                </w:p>
              </w:tc>
              <w:tc>
                <w:tcPr>
                  <w:tcW w:w="1057" w:type="pct"/>
                  <w:vAlign w:val="center"/>
                </w:tcPr>
                <w:p w14:paraId="4FF338EA">
                  <w:pPr>
                    <w:pStyle w:val="221"/>
                    <w:rPr>
                      <w:color w:val="000000" w:themeColor="text1"/>
                      <w14:textFill>
                        <w14:solidFill>
                          <w14:schemeClr w14:val="tx1"/>
                        </w14:solidFill>
                      </w14:textFill>
                    </w:rPr>
                  </w:pPr>
                  <w:r>
                    <w:rPr>
                      <w:color w:val="000000" w:themeColor="text1"/>
                      <w14:textFill>
                        <w14:solidFill>
                          <w14:schemeClr w14:val="tx1"/>
                        </w14:solidFill>
                      </w14:textFill>
                    </w:rPr>
                    <w:t>总氮</w:t>
                  </w:r>
                </w:p>
              </w:tc>
              <w:tc>
                <w:tcPr>
                  <w:tcW w:w="1056" w:type="pct"/>
                  <w:vAlign w:val="center"/>
                </w:tcPr>
                <w:p w14:paraId="4DF7AC3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r>
                    <w:rPr>
                      <w:color w:val="000000" w:themeColor="text1"/>
                      <w14:textFill>
                        <w14:solidFill>
                          <w14:schemeClr w14:val="tx1"/>
                        </w14:solidFill>
                      </w14:textFill>
                    </w:rPr>
                    <w:t>mg/L</w:t>
                  </w:r>
                </w:p>
              </w:tc>
              <w:tc>
                <w:tcPr>
                  <w:tcW w:w="1830" w:type="pct"/>
                  <w:vMerge w:val="continue"/>
                  <w:vAlign w:val="center"/>
                </w:tcPr>
                <w:p w14:paraId="7138A2CE">
                  <w:pPr>
                    <w:pStyle w:val="221"/>
                    <w:rPr>
                      <w:color w:val="000000" w:themeColor="text1"/>
                      <w14:textFill>
                        <w14:solidFill>
                          <w14:schemeClr w14:val="tx1"/>
                        </w14:solidFill>
                      </w14:textFill>
                    </w:rPr>
                  </w:pPr>
                </w:p>
              </w:tc>
            </w:tr>
            <w:tr w14:paraId="12A64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restart"/>
                  <w:vAlign w:val="center"/>
                </w:tcPr>
                <w:p w14:paraId="253269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冷却循环废水</w:t>
                  </w:r>
                </w:p>
              </w:tc>
              <w:tc>
                <w:tcPr>
                  <w:tcW w:w="1057" w:type="pct"/>
                  <w:vAlign w:val="center"/>
                </w:tcPr>
                <w:p w14:paraId="22B6BF86">
                  <w:pPr>
                    <w:pStyle w:val="221"/>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056" w:type="pct"/>
                  <w:vAlign w:val="center"/>
                </w:tcPr>
                <w:p w14:paraId="0E0C17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6～9(无量纲)</w:t>
                  </w:r>
                </w:p>
              </w:tc>
              <w:tc>
                <w:tcPr>
                  <w:tcW w:w="1830" w:type="pct"/>
                  <w:vMerge w:val="restart"/>
                  <w:vAlign w:val="center"/>
                </w:tcPr>
                <w:p w14:paraId="09A0CB8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《橡胶制品工业污染物排放标准》（GB27632-2011）表2</w:t>
                  </w:r>
                </w:p>
              </w:tc>
            </w:tr>
            <w:tr w14:paraId="55B69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0E0EE407">
                  <w:pPr>
                    <w:pStyle w:val="221"/>
                    <w:rPr>
                      <w:color w:val="000000" w:themeColor="text1"/>
                      <w14:textFill>
                        <w14:solidFill>
                          <w14:schemeClr w14:val="tx1"/>
                        </w14:solidFill>
                      </w14:textFill>
                    </w:rPr>
                  </w:pPr>
                </w:p>
              </w:tc>
              <w:tc>
                <w:tcPr>
                  <w:tcW w:w="1057" w:type="pct"/>
                  <w:vAlign w:val="center"/>
                </w:tcPr>
                <w:p w14:paraId="0DCA03B1">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056" w:type="pct"/>
                  <w:vAlign w:val="center"/>
                </w:tcPr>
                <w:p w14:paraId="3FCF32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150</w:t>
                  </w:r>
                  <w:r>
                    <w:rPr>
                      <w:color w:val="000000" w:themeColor="text1"/>
                      <w14:textFill>
                        <w14:solidFill>
                          <w14:schemeClr w14:val="tx1"/>
                        </w14:solidFill>
                      </w14:textFill>
                    </w:rPr>
                    <w:t>mg/L</w:t>
                  </w:r>
                </w:p>
              </w:tc>
              <w:tc>
                <w:tcPr>
                  <w:tcW w:w="1830" w:type="pct"/>
                  <w:vMerge w:val="continue"/>
                  <w:vAlign w:val="center"/>
                </w:tcPr>
                <w:p w14:paraId="2A6BCA93">
                  <w:pPr>
                    <w:pStyle w:val="221"/>
                    <w:rPr>
                      <w:color w:val="000000" w:themeColor="text1"/>
                      <w14:textFill>
                        <w14:solidFill>
                          <w14:schemeClr w14:val="tx1"/>
                        </w14:solidFill>
                      </w14:textFill>
                    </w:rPr>
                  </w:pPr>
                </w:p>
              </w:tc>
            </w:tr>
            <w:tr w14:paraId="5C245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307BF97D">
                  <w:pPr>
                    <w:pStyle w:val="221"/>
                    <w:rPr>
                      <w:color w:val="000000" w:themeColor="text1"/>
                      <w14:textFill>
                        <w14:solidFill>
                          <w14:schemeClr w14:val="tx1"/>
                        </w14:solidFill>
                      </w14:textFill>
                    </w:rPr>
                  </w:pPr>
                </w:p>
              </w:tc>
              <w:tc>
                <w:tcPr>
                  <w:tcW w:w="1057" w:type="pct"/>
                  <w:vAlign w:val="center"/>
                </w:tcPr>
                <w:p w14:paraId="0ACDE624">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056" w:type="pct"/>
                  <w:vAlign w:val="center"/>
                </w:tcPr>
                <w:p w14:paraId="359619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w:t>
                  </w:r>
                  <w:r>
                    <w:rPr>
                      <w:color w:val="000000" w:themeColor="text1"/>
                      <w14:textFill>
                        <w14:solidFill>
                          <w14:schemeClr w14:val="tx1"/>
                        </w14:solidFill>
                      </w14:textFill>
                    </w:rPr>
                    <w:t>0mg/L</w:t>
                  </w:r>
                </w:p>
              </w:tc>
              <w:tc>
                <w:tcPr>
                  <w:tcW w:w="1830" w:type="pct"/>
                  <w:vMerge w:val="continue"/>
                  <w:vAlign w:val="center"/>
                </w:tcPr>
                <w:p w14:paraId="4FBD1D83">
                  <w:pPr>
                    <w:pStyle w:val="221"/>
                    <w:rPr>
                      <w:color w:val="000000" w:themeColor="text1"/>
                      <w14:textFill>
                        <w14:solidFill>
                          <w14:schemeClr w14:val="tx1"/>
                        </w14:solidFill>
                      </w14:textFill>
                    </w:rPr>
                  </w:pPr>
                </w:p>
              </w:tc>
            </w:tr>
            <w:tr w14:paraId="29589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614CF877">
                  <w:pPr>
                    <w:pStyle w:val="221"/>
                    <w:rPr>
                      <w:color w:val="000000" w:themeColor="text1"/>
                      <w14:textFill>
                        <w14:solidFill>
                          <w14:schemeClr w14:val="tx1"/>
                        </w14:solidFill>
                      </w14:textFill>
                    </w:rPr>
                  </w:pPr>
                </w:p>
              </w:tc>
              <w:tc>
                <w:tcPr>
                  <w:tcW w:w="1057" w:type="pct"/>
                  <w:vAlign w:val="center"/>
                </w:tcPr>
                <w:p w14:paraId="2C29C8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056" w:type="pct"/>
                  <w:vAlign w:val="center"/>
                </w:tcPr>
                <w:p w14:paraId="11E2295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r>
                    <w:rPr>
                      <w:color w:val="000000" w:themeColor="text1"/>
                      <w14:textFill>
                        <w14:solidFill>
                          <w14:schemeClr w14:val="tx1"/>
                        </w14:solidFill>
                      </w14:textFill>
                    </w:rPr>
                    <w:t>mg/L</w:t>
                  </w:r>
                </w:p>
              </w:tc>
              <w:tc>
                <w:tcPr>
                  <w:tcW w:w="1830" w:type="pct"/>
                  <w:vMerge w:val="continue"/>
                  <w:vAlign w:val="center"/>
                </w:tcPr>
                <w:p w14:paraId="6E6714CC">
                  <w:pPr>
                    <w:pStyle w:val="221"/>
                    <w:rPr>
                      <w:color w:val="000000" w:themeColor="text1"/>
                      <w14:textFill>
                        <w14:solidFill>
                          <w14:schemeClr w14:val="tx1"/>
                        </w14:solidFill>
                      </w14:textFill>
                    </w:rPr>
                  </w:pPr>
                </w:p>
              </w:tc>
            </w:tr>
            <w:tr w14:paraId="69775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6533CC71">
                  <w:pPr>
                    <w:pStyle w:val="221"/>
                    <w:rPr>
                      <w:color w:val="000000" w:themeColor="text1"/>
                      <w14:textFill>
                        <w14:solidFill>
                          <w14:schemeClr w14:val="tx1"/>
                        </w14:solidFill>
                      </w14:textFill>
                    </w:rPr>
                  </w:pPr>
                </w:p>
              </w:tc>
              <w:tc>
                <w:tcPr>
                  <w:tcW w:w="1057" w:type="pct"/>
                  <w:vAlign w:val="center"/>
                </w:tcPr>
                <w:p w14:paraId="7987790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基准排水量</w:t>
                  </w:r>
                </w:p>
              </w:tc>
              <w:tc>
                <w:tcPr>
                  <w:tcW w:w="1056" w:type="pct"/>
                  <w:vAlign w:val="center"/>
                </w:tcPr>
                <w:p w14:paraId="251E17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1830" w:type="pct"/>
                  <w:vMerge w:val="continue"/>
                  <w:vAlign w:val="center"/>
                </w:tcPr>
                <w:p w14:paraId="4A7E475B">
                  <w:pPr>
                    <w:pStyle w:val="221"/>
                    <w:rPr>
                      <w:color w:val="000000" w:themeColor="text1"/>
                      <w14:textFill>
                        <w14:solidFill>
                          <w14:schemeClr w14:val="tx1"/>
                        </w14:solidFill>
                      </w14:textFill>
                    </w:rPr>
                  </w:pPr>
                </w:p>
              </w:tc>
            </w:tr>
          </w:tbl>
          <w:p w14:paraId="055B284E">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江镜华侨农场污水处理厂排放</w:t>
            </w:r>
            <w:r>
              <w:rPr>
                <w:color w:val="000000" w:themeColor="text1"/>
                <w14:textFill>
                  <w14:solidFill>
                    <w14:schemeClr w14:val="tx1"/>
                  </w14:solidFill>
                </w14:textFill>
              </w:rPr>
              <w:t>执行《城镇污水处理厂污染物排放标准》（GB18918-2002）表1一级A标准</w:t>
            </w: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执行标准详见表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21FEC3B0">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-3江镜华侨农场污水处理厂尾水水质标准（</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 xml:space="preserve">  pH除外）</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09"/>
              <w:gridCol w:w="1417"/>
              <w:gridCol w:w="762"/>
              <w:gridCol w:w="919"/>
              <w:gridCol w:w="979"/>
              <w:gridCol w:w="907"/>
              <w:gridCol w:w="907"/>
              <w:gridCol w:w="810"/>
              <w:gridCol w:w="807"/>
            </w:tblGrid>
            <w:tr w14:paraId="67508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44" w:type="pct"/>
                  <w:vAlign w:val="center"/>
                </w:tcPr>
                <w:p w14:paraId="4BC09CA3">
                  <w:pPr>
                    <w:pStyle w:val="221"/>
                    <w:rPr>
                      <w:color w:val="000000" w:themeColor="text1"/>
                      <w14:textFill>
                        <w14:solidFill>
                          <w14:schemeClr w14:val="tx1"/>
                        </w14:solidFill>
                      </w14:textFill>
                    </w:rPr>
                  </w:pPr>
                  <w:r>
                    <w:rPr>
                      <w:color w:val="000000" w:themeColor="text1"/>
                      <w14:textFill>
                        <w14:solidFill>
                          <w14:schemeClr w14:val="tx1"/>
                        </w14:solidFill>
                      </w14:textFill>
                    </w:rPr>
                    <w:t>水质指标</w:t>
                  </w:r>
                </w:p>
              </w:tc>
              <w:tc>
                <w:tcPr>
                  <w:tcW w:w="822" w:type="pct"/>
                  <w:vAlign w:val="center"/>
                </w:tcPr>
                <w:p w14:paraId="7FCB5A5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42" w:type="pct"/>
                  <w:vAlign w:val="center"/>
                </w:tcPr>
                <w:p w14:paraId="7DF4454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533" w:type="pct"/>
                  <w:vAlign w:val="center"/>
                </w:tcPr>
                <w:p w14:paraId="685D52BE">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568" w:type="pct"/>
                  <w:vAlign w:val="center"/>
                </w:tcPr>
                <w:p w14:paraId="16F2A3E2">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526" w:type="pct"/>
                  <w:vAlign w:val="center"/>
                </w:tcPr>
                <w:p w14:paraId="607A64B4">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526" w:type="pct"/>
                  <w:vAlign w:val="center"/>
                </w:tcPr>
                <w:p w14:paraId="4ABCA063">
                  <w:pPr>
                    <w:pStyle w:val="221"/>
                    <w:rPr>
                      <w:color w:val="000000" w:themeColor="text1"/>
                      <w14:textFill>
                        <w14:solidFill>
                          <w14:schemeClr w14:val="tx1"/>
                        </w14:solidFill>
                      </w14:textFill>
                    </w:rPr>
                  </w:pPr>
                  <w:r>
                    <w:rPr>
                      <w:color w:val="000000" w:themeColor="text1"/>
                      <w14:textFill>
                        <w14:solidFill>
                          <w14:schemeClr w14:val="tx1"/>
                        </w14:solidFill>
                      </w14:textFill>
                    </w:rPr>
                    <w:t>TN</w:t>
                  </w:r>
                </w:p>
              </w:tc>
              <w:tc>
                <w:tcPr>
                  <w:tcW w:w="470" w:type="pct"/>
                  <w:vAlign w:val="center"/>
                </w:tcPr>
                <w:p w14:paraId="58CC582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68" w:type="pct"/>
                  <w:vAlign w:val="center"/>
                </w:tcPr>
                <w:p w14:paraId="1442F7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r>
            <w:tr w14:paraId="5EC52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44" w:type="pct"/>
                  <w:vAlign w:val="center"/>
                </w:tcPr>
                <w:p w14:paraId="33DBADB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出水标准</w:t>
                  </w:r>
                </w:p>
              </w:tc>
              <w:tc>
                <w:tcPr>
                  <w:tcW w:w="822" w:type="pct"/>
                  <w:vAlign w:val="center"/>
                </w:tcPr>
                <w:p w14:paraId="52487BF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6~9(无量纲)</w:t>
                  </w:r>
                </w:p>
              </w:tc>
              <w:tc>
                <w:tcPr>
                  <w:tcW w:w="442" w:type="pct"/>
                  <w:vAlign w:val="center"/>
                </w:tcPr>
                <w:p w14:paraId="5ED49DE2">
                  <w:pPr>
                    <w:pStyle w:val="221"/>
                    <w:rPr>
                      <w:color w:val="000000" w:themeColor="text1"/>
                      <w14:textFill>
                        <w14:solidFill>
                          <w14:schemeClr w14:val="tx1"/>
                        </w14:solidFill>
                      </w14:textFill>
                    </w:rPr>
                  </w:pPr>
                  <w:r>
                    <w:rPr>
                      <w:color w:val="000000" w:themeColor="text1"/>
                      <w14:textFill>
                        <w14:solidFill>
                          <w14:schemeClr w14:val="tx1"/>
                        </w14:solidFill>
                      </w14:textFill>
                    </w:rPr>
                    <w:t>≤50</w:t>
                  </w:r>
                </w:p>
              </w:tc>
              <w:tc>
                <w:tcPr>
                  <w:tcW w:w="533" w:type="pct"/>
                  <w:vAlign w:val="center"/>
                </w:tcPr>
                <w:p w14:paraId="6B04271A">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68" w:type="pct"/>
                  <w:vAlign w:val="center"/>
                </w:tcPr>
                <w:p w14:paraId="4EA4414B">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26" w:type="pct"/>
                  <w:vAlign w:val="center"/>
                </w:tcPr>
                <w:p w14:paraId="019EF4D9">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526" w:type="pct"/>
                  <w:vAlign w:val="center"/>
                </w:tcPr>
                <w:p w14:paraId="378BE73A">
                  <w:pPr>
                    <w:pStyle w:val="221"/>
                    <w:rPr>
                      <w:color w:val="000000" w:themeColor="text1"/>
                      <w14:textFill>
                        <w14:solidFill>
                          <w14:schemeClr w14:val="tx1"/>
                        </w14:solidFill>
                      </w14:textFill>
                    </w:rPr>
                  </w:pPr>
                  <w:r>
                    <w:rPr>
                      <w:color w:val="000000" w:themeColor="text1"/>
                      <w14:textFill>
                        <w14:solidFill>
                          <w14:schemeClr w14:val="tx1"/>
                        </w14:solidFill>
                      </w14:textFill>
                    </w:rPr>
                    <w:t>≤15</w:t>
                  </w:r>
                </w:p>
              </w:tc>
              <w:tc>
                <w:tcPr>
                  <w:tcW w:w="470" w:type="pct"/>
                  <w:vAlign w:val="center"/>
                </w:tcPr>
                <w:p w14:paraId="2304FC1A">
                  <w:pPr>
                    <w:pStyle w:val="221"/>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0.5</w:t>
                  </w:r>
                </w:p>
              </w:tc>
              <w:tc>
                <w:tcPr>
                  <w:tcW w:w="468" w:type="pct"/>
                  <w:vAlign w:val="center"/>
                </w:tcPr>
                <w:p w14:paraId="4D548AF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45A52B15">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p>
          <w:p w14:paraId="5A29A541">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3</w:t>
            </w:r>
            <w:r>
              <w:rPr>
                <w:rFonts w:ascii="Times New Roman" w:hAnsi="Times New Roman" w:eastAsia="宋体" w:cs="Times New Roman"/>
                <w:b/>
                <w:bCs/>
                <w:color w:val="000000" w:themeColor="text1"/>
                <w:szCs w:val="24"/>
                <w14:textFill>
                  <w14:solidFill>
                    <w14:schemeClr w14:val="tx1"/>
                  </w14:solidFill>
                </w14:textFill>
              </w:rPr>
              <w:t xml:space="preserve"> 噪声污染物排放标准</w:t>
            </w:r>
          </w:p>
          <w:p w14:paraId="60C39062">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厂界噪声执行《工业企业厂界环境噪声排放标准》（GB 12348-2008）3类标准，具体详见表3.3-</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w:t>
            </w:r>
          </w:p>
          <w:p w14:paraId="13B3E740">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《工业企业厂界环境噪声排放标准》（GB 12348-2008）</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2"/>
              <w:gridCol w:w="1918"/>
              <w:gridCol w:w="2047"/>
              <w:gridCol w:w="2047"/>
            </w:tblGrid>
            <w:tr w14:paraId="21913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pct"/>
                  <w:vAlign w:val="center"/>
                </w:tcPr>
                <w:p w14:paraId="47CF00B4">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项目</w:t>
                  </w:r>
                </w:p>
              </w:tc>
              <w:tc>
                <w:tcPr>
                  <w:tcW w:w="1113" w:type="pct"/>
                  <w:vAlign w:val="center"/>
                </w:tcPr>
                <w:p w14:paraId="5BF43C35">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执行标准</w:t>
                  </w:r>
                </w:p>
              </w:tc>
              <w:tc>
                <w:tcPr>
                  <w:tcW w:w="1188" w:type="pct"/>
                  <w:vAlign w:val="center"/>
                </w:tcPr>
                <w:p w14:paraId="48514F79">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昼间</w:t>
                  </w:r>
                </w:p>
              </w:tc>
              <w:tc>
                <w:tcPr>
                  <w:tcW w:w="1188" w:type="pct"/>
                  <w:vAlign w:val="center"/>
                </w:tcPr>
                <w:p w14:paraId="07F41778">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夜间</w:t>
                  </w:r>
                </w:p>
              </w:tc>
            </w:tr>
            <w:tr w14:paraId="662D7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pct"/>
                  <w:vAlign w:val="center"/>
                </w:tcPr>
                <w:p w14:paraId="3B29CB2F">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四周厂界</w:t>
                  </w:r>
                </w:p>
              </w:tc>
              <w:tc>
                <w:tcPr>
                  <w:tcW w:w="1113" w:type="pct"/>
                  <w:vAlign w:val="center"/>
                </w:tcPr>
                <w:p w14:paraId="7E7D4454">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3类</w:t>
                  </w:r>
                </w:p>
              </w:tc>
              <w:tc>
                <w:tcPr>
                  <w:tcW w:w="1188" w:type="pct"/>
                  <w:vAlign w:val="center"/>
                </w:tcPr>
                <w:p w14:paraId="2510F88F">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≤65dB（A）</w:t>
                  </w:r>
                </w:p>
              </w:tc>
              <w:tc>
                <w:tcPr>
                  <w:tcW w:w="1188" w:type="pct"/>
                  <w:vAlign w:val="center"/>
                </w:tcPr>
                <w:p w14:paraId="7B66C080">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≤55dB（A）</w:t>
                  </w:r>
                </w:p>
              </w:tc>
            </w:tr>
          </w:tbl>
          <w:p w14:paraId="22B93F5A">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3</w:t>
            </w:r>
            <w:r>
              <w:rPr>
                <w:rFonts w:ascii="Times New Roman" w:hAnsi="Times New Roman" w:eastAsia="宋体" w:cs="Times New Roman"/>
                <w:b/>
                <w:bCs/>
                <w:color w:val="000000" w:themeColor="text1"/>
                <w:szCs w:val="24"/>
                <w14:textFill>
                  <w14:solidFill>
                    <w14:schemeClr w14:val="tx1"/>
                  </w14:solidFill>
                </w14:textFill>
              </w:rPr>
              <w:t xml:space="preserve"> 固体废物污染物排放标准</w:t>
            </w:r>
          </w:p>
          <w:p w14:paraId="34FC409D">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一般固体废物在厂区内暂时贮存执行《一般工业固体废物贮存和填埋污染控制标准》（GB 18599-2020）</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《中华人民共和国固体废物污染环境防治法》中的有关规定</w:t>
            </w:r>
            <w:r>
              <w:rPr>
                <w:rFonts w:hint="eastAsia"/>
                <w:color w:val="000000" w:themeColor="text1"/>
                <w14:textFill>
                  <w14:solidFill>
                    <w14:schemeClr w14:val="tx1"/>
                  </w14:solidFill>
                </w14:textFill>
              </w:rPr>
              <w:t>，危险固废参照《危险废物贮存污染控制标准》（GB18597-2023）和《危险废物转移管理办法》（部令 第23号）相关要求执行</w:t>
            </w:r>
            <w:r>
              <w:rPr>
                <w:color w:val="000000" w:themeColor="text1"/>
                <w14:textFill>
                  <w14:solidFill>
                    <w14:schemeClr w14:val="tx1"/>
                  </w14:solidFill>
                </w14:textFill>
              </w:rPr>
              <w:t>。</w:t>
            </w:r>
          </w:p>
        </w:tc>
      </w:tr>
      <w:bookmarkEnd w:id="8"/>
      <w:tr w14:paraId="6ADD8E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24" w:type="dxa"/>
            <w:vAlign w:val="center"/>
          </w:tcPr>
          <w:p w14:paraId="4D4EAAE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总量</w:t>
            </w:r>
          </w:p>
          <w:p w14:paraId="3F3ACE6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控制</w:t>
            </w:r>
          </w:p>
          <w:p w14:paraId="26CC372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指标</w:t>
            </w:r>
          </w:p>
        </w:tc>
        <w:tc>
          <w:tcPr>
            <w:tcW w:w="8865" w:type="dxa"/>
            <w:vAlign w:val="center"/>
          </w:tcPr>
          <w:p w14:paraId="1C52B3A3">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3.4 总量控制</w:t>
            </w:r>
          </w:p>
          <w:p w14:paraId="30B8C6CB">
            <w:pPr>
              <w:pStyle w:val="192"/>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国家“十四五”期间污染物总量控制要求及《福建省人民政府关于推进排污权有偿使用和交易工作的意见(试行)》（闽政[2014]24号）、《福建省环保厅关于贯彻落实&lt;推进排污权有偿使用和交易工作的意见（试行）&gt;的通知》（闽环发[2014]9号）、《福建省环保厅关于环评审批中落实排污权交易工作要求的通知》（闽环保评[2014]43号）等有关文件要求，需进行排放总量控制的污染物为COD、NH</w:t>
            </w:r>
            <w:r>
              <w:rPr>
                <w:rFonts w:ascii="Times New Roman" w:hAnsi="Times New Roman" w:eastAsia="宋体" w:cs="Times New Roman"/>
                <w:color w:val="000000" w:themeColor="text1"/>
                <w:szCs w:val="24"/>
                <w:vertAlign w:val="sub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-N、SO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、NO</w:t>
            </w:r>
            <w:r>
              <w:rPr>
                <w:rFonts w:ascii="Times New Roman" w:hAnsi="Times New Roman" w:eastAsia="宋体" w:cs="Times New Roman"/>
                <w:color w:val="000000" w:themeColor="text1"/>
                <w:szCs w:val="24"/>
                <w:vertAlign w:val="subscript"/>
                <w14:textFill>
                  <w14:solidFill>
                    <w14:schemeClr w14:val="tx1"/>
                  </w14:solidFill>
                </w14:textFill>
              </w:rPr>
              <w:t>X</w:t>
            </w:r>
            <w:r>
              <w:rPr>
                <w:rFonts w:ascii="Times New Roman" w:hAnsi="Times New Roman" w:eastAsia="宋体" w:cs="Times New Roman"/>
                <w:color w:val="000000" w:themeColor="text1"/>
                <w:szCs w:val="24"/>
                <w14:textFill>
                  <w14:solidFill>
                    <w14:schemeClr w14:val="tx1"/>
                  </w14:solidFill>
                </w14:textFill>
              </w:rPr>
              <w:t>。</w:t>
            </w:r>
          </w:p>
          <w:p w14:paraId="091AB19D">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（1）水污染物排放总量：</w:t>
            </w:r>
            <w:r>
              <w:rPr>
                <w:rFonts w:hint="eastAsia" w:ascii="Times New Roman" w:hAnsi="Times New Roman" w:eastAsia="宋体" w:cs="Times New Roman"/>
                <w:color w:val="000000" w:themeColor="text1"/>
                <w:szCs w:val="24"/>
                <w14:textFill>
                  <w14:solidFill>
                    <w14:schemeClr w14:val="tx1"/>
                  </w14:solidFill>
                </w14:textFill>
              </w:rPr>
              <w:t>项目无生产废水排放。</w:t>
            </w:r>
          </w:p>
          <w:p w14:paraId="49F97951">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（2）大气污染物排放总量：</w:t>
            </w:r>
            <w:r>
              <w:rPr>
                <w:rFonts w:hint="eastAsia" w:ascii="Times New Roman" w:hAnsi="Times New Roman" w:eastAsia="宋体" w:cs="Times New Roman"/>
                <w:color w:val="000000" w:themeColor="text1"/>
                <w:szCs w:val="24"/>
                <w14:textFill>
                  <w14:solidFill>
                    <w14:schemeClr w14:val="tx1"/>
                  </w14:solidFill>
                </w14:textFill>
              </w:rPr>
              <w:t>本项目VOCs(以非甲烷总烃计)有组织排放量为0.256t/a、无组织排放量为0.160t/a，排放总量为0.416t/a；颗粒物有组织排放量为0.08t/a、无组织排放量为0.318t/a，排放总量为0.398t/a。根据《福州市</w:t>
            </w:r>
            <w:r>
              <w:rPr>
                <w:rFonts w:hint="eastAsia" w:ascii="Times New Roman" w:hAnsi="Times New Roman" w:eastAsia="宋体" w:cs="Times New Roman"/>
                <w:color w:val="000000" w:themeColor="text1"/>
                <w:szCs w:val="24"/>
                <w:lang w:eastAsia="zh-CN"/>
                <w14:textFill>
                  <w14:solidFill>
                    <w14:schemeClr w14:val="tx1"/>
                  </w14:solidFill>
                </w14:textFill>
              </w:rPr>
              <w:t>生态环境局</w:t>
            </w:r>
            <w:r>
              <w:rPr>
                <w:rFonts w:hint="eastAsia" w:ascii="Times New Roman" w:hAnsi="Times New Roman" w:eastAsia="宋体" w:cs="Times New Roman"/>
                <w:color w:val="000000" w:themeColor="text1"/>
                <w:szCs w:val="24"/>
                <w14:textFill>
                  <w14:solidFill>
                    <w14:schemeClr w14:val="tx1"/>
                  </w14:solidFill>
                </w14:textFill>
              </w:rPr>
              <w:t>关于印发福州市大气污染联防控联治工作方案的通知》榕环保综[2018]386号：VOCs排放实行区域内倍量替代。由建设单位向福州市福清生态环境局申请区域倍量替代，目前建设单位承诺在项目投产前取得VOCs(以非甲烷总烃计)总量的倍量替代，并依法申领排污许可证（承诺函详见附件8）。</w:t>
            </w:r>
          </w:p>
          <w:p w14:paraId="70ED0540">
            <w:pPr>
              <w:widowControl w:val="0"/>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p>
        </w:tc>
      </w:tr>
    </w:tbl>
    <w:p w14:paraId="5E0588DD">
      <w:pPr>
        <w:pStyle w:val="29"/>
        <w:widowControl w:val="0"/>
        <w:topLinePunct/>
        <w:spacing w:before="0" w:beforeAutospacing="0" w:after="0" w:afterAutospacing="0" w:line="360" w:lineRule="auto"/>
        <w:jc w:val="center"/>
        <w:outlineLvl w:val="0"/>
        <w:rPr>
          <w:rFonts w:ascii="Times New Roman" w:hAnsi="Times New Roman" w:eastAsia="宋体" w:cs="Times New Roman"/>
          <w:snapToGrid w:val="0"/>
          <w:color w:val="000000" w:themeColor="text1"/>
          <w:sz w:val="30"/>
          <w:szCs w:val="30"/>
          <w14:textFill>
            <w14:solidFill>
              <w14:schemeClr w14:val="tx1"/>
            </w14:solidFill>
          </w14:textFill>
        </w:rPr>
      </w:pPr>
      <w:r>
        <w:rPr>
          <w:rFonts w:ascii="Times New Roman" w:hAnsi="Times New Roman" w:eastAsia="宋体" w:cs="Times New Roman"/>
          <w:snapToGrid w:val="0"/>
          <w:color w:val="000000" w:themeColor="text1"/>
          <w:sz w:val="36"/>
          <w:szCs w:val="36"/>
          <w14:textFill>
            <w14:solidFill>
              <w14:schemeClr w14:val="tx1"/>
            </w14:solidFill>
          </w14:textFill>
        </w:rPr>
        <w:br w:type="page"/>
      </w:r>
      <w:bookmarkStart w:id="10" w:name="_Toc20477"/>
      <w:bookmarkStart w:id="11" w:name="_Toc643"/>
      <w:r>
        <w:rPr>
          <w:rFonts w:ascii="Times New Roman" w:hAnsi="Times New Roman" w:eastAsia="宋体" w:cs="Times New Roman"/>
          <w:b/>
          <w:bCs/>
          <w:snapToGrid w:val="0"/>
          <w:color w:val="000000" w:themeColor="text1"/>
          <w:sz w:val="32"/>
          <w:szCs w:val="32"/>
          <w14:textFill>
            <w14:solidFill>
              <w14:schemeClr w14:val="tx1"/>
            </w14:solidFill>
          </w14:textFill>
        </w:rPr>
        <w:t>四、主要环境影响和保护措施</w:t>
      </w:r>
      <w:bookmarkEnd w:id="10"/>
      <w:bookmarkEnd w:id="11"/>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6"/>
        <w:gridCol w:w="8913"/>
      </w:tblGrid>
      <w:tr w14:paraId="20BF2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9" w:type="dxa"/>
            <w:tcMar>
              <w:left w:w="28" w:type="dxa"/>
              <w:right w:w="28" w:type="dxa"/>
            </w:tcMar>
            <w:vAlign w:val="center"/>
          </w:tcPr>
          <w:p w14:paraId="5EC32A0C">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施工</w:t>
            </w:r>
          </w:p>
          <w:p w14:paraId="04F904B2">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期环</w:t>
            </w:r>
          </w:p>
          <w:p w14:paraId="24A25506">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境保</w:t>
            </w:r>
          </w:p>
          <w:p w14:paraId="0FE81F16">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护措</w:t>
            </w:r>
          </w:p>
          <w:p w14:paraId="5060C9B3">
            <w:pPr>
              <w:widowControl w:val="0"/>
              <w:topLinePunct/>
              <w:adjustRightInd w:val="0"/>
              <w:snapToGrid w:val="0"/>
              <w:spacing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w:t>
            </w:r>
          </w:p>
        </w:tc>
        <w:tc>
          <w:tcPr>
            <w:tcW w:w="8573" w:type="dxa"/>
            <w:vAlign w:val="center"/>
          </w:tcPr>
          <w:p w14:paraId="6C7CB858">
            <w:pPr>
              <w:widowControl w:val="0"/>
              <w:topLinePunct/>
              <w:spacing w:after="0" w:line="360" w:lineRule="auto"/>
              <w:ind w:firstLine="480" w:firstLineChars="200"/>
              <w:jc w:val="both"/>
              <w:rPr>
                <w:rFonts w:ascii="Times New Roman" w:hAnsi="Times New Roman" w:eastAsia="宋体" w:cs="Times New Roman"/>
                <w:bCs/>
                <w:color w:val="000000" w:themeColor="text1"/>
                <w:szCs w:val="21"/>
                <w14:textFill>
                  <w14:solidFill>
                    <w14:schemeClr w14:val="tx1"/>
                  </w14:solidFill>
                </w14:textFill>
              </w:rPr>
            </w:pPr>
            <w:r>
              <w:rPr>
                <w:rFonts w:hint="eastAsia" w:ascii="Times New Roman" w:hAnsi="Times New Roman" w:eastAsia="宋体" w:cs="Times New Roman"/>
                <w:bCs/>
                <w:color w:val="000000" w:themeColor="text1"/>
                <w:szCs w:val="21"/>
                <w14:textFill>
                  <w14:solidFill>
                    <w14:schemeClr w14:val="tx1"/>
                  </w14:solidFill>
                </w14:textFill>
              </w:rPr>
              <w:t>本项目利用已建厂房进行生产，施工期主要是新增设备的安装调试及附属设备的完善，不进行大规模土建工程，施工期时间短暂且产生的污染物较少，对周边环境影响较小且是暂时的，随着项目建设完成而终止，因此本评价不作详细评述。</w:t>
            </w:r>
          </w:p>
        </w:tc>
      </w:tr>
      <w:tr w14:paraId="0EB24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71" w:hRule="atLeast"/>
          <w:jc w:val="center"/>
        </w:trPr>
        <w:tc>
          <w:tcPr>
            <w:tcW w:w="549" w:type="dxa"/>
            <w:tcMar>
              <w:left w:w="28" w:type="dxa"/>
              <w:right w:w="28" w:type="dxa"/>
            </w:tcMar>
            <w:vAlign w:val="center"/>
          </w:tcPr>
          <w:p w14:paraId="6C90B30E">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w:t>
            </w:r>
          </w:p>
          <w:p w14:paraId="72573DCB">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期环</w:t>
            </w:r>
          </w:p>
          <w:p w14:paraId="09487E87">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境影</w:t>
            </w:r>
          </w:p>
          <w:p w14:paraId="18369B97">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响和</w:t>
            </w:r>
          </w:p>
          <w:p w14:paraId="48BFC282">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保护</w:t>
            </w:r>
          </w:p>
          <w:p w14:paraId="6E029C8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措施</w:t>
            </w:r>
          </w:p>
        </w:tc>
        <w:tc>
          <w:tcPr>
            <w:tcW w:w="8573" w:type="dxa"/>
            <w:vAlign w:val="center"/>
          </w:tcPr>
          <w:p w14:paraId="6663B2D2">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4.2 运营期环境影响分析</w:t>
            </w:r>
          </w:p>
          <w:p w14:paraId="20B03A54">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1</w:t>
            </w:r>
            <w:r>
              <w:rPr>
                <w:rFonts w:ascii="Times New Roman" w:hAnsi="Times New Roman" w:eastAsia="宋体" w:cs="Times New Roman"/>
                <w:b/>
                <w:bCs/>
                <w:color w:val="000000" w:themeColor="text1"/>
                <w14:textFill>
                  <w14:solidFill>
                    <w14:schemeClr w14:val="tx1"/>
                  </w14:solidFill>
                </w14:textFill>
              </w:rPr>
              <w:t xml:space="preserve"> 大气环境影响和防范措施</w:t>
            </w:r>
          </w:p>
          <w:p w14:paraId="482643D6">
            <w:pPr>
              <w:widowControl w:val="0"/>
              <w:tabs>
                <w:tab w:val="left" w:pos="342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1、污染物产排情况分析</w:t>
            </w:r>
          </w:p>
          <w:p w14:paraId="6DA89EE6">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（1）投料粉尘</w:t>
            </w:r>
          </w:p>
          <w:p w14:paraId="70EF931B">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本项目投料工序将产生颗粒物，其中投料过程颗粒物主要为促进剂、碳黑、陶土产生的，投料粉尘产污情况参考《逸散性工业粉尘控制技术》的第二十七章炭黑厂出料炭黑粉尘产污系数为0.25kg/t，本项目粉料使用量为5300t/a。则投料颗粒物产生量为1.325t/a。项目拟在投料口上方设置集气罩收集粉尘，收集效率60%，收集风量12000m</w:t>
            </w:r>
            <w:r>
              <w:rPr>
                <w:rFonts w:hint="eastAsia" w:ascii="Times New Roman" w:hAnsi="Times New Roman" w:eastAsia="宋体" w:cs="Times New Roman"/>
                <w:color w:val="000000" w:themeColor="text1"/>
                <w:szCs w:val="24"/>
                <w:vertAlign w:val="superscript"/>
                <w:lang w:bidi="zh-CN"/>
                <w14:textFill>
                  <w14:solidFill>
                    <w14:schemeClr w14:val="tx1"/>
                  </w14:solidFill>
                </w14:textFill>
              </w:rPr>
              <w:t>3</w:t>
            </w:r>
            <w:r>
              <w:rPr>
                <w:rFonts w:hint="eastAsia" w:ascii="Times New Roman" w:hAnsi="Times New Roman" w:eastAsia="宋体" w:cs="Times New Roman"/>
                <w:color w:val="000000" w:themeColor="text1"/>
                <w:szCs w:val="24"/>
                <w:lang w:bidi="zh-CN"/>
                <w14:textFill>
                  <w14:solidFill>
                    <w14:schemeClr w14:val="tx1"/>
                  </w14:solidFill>
                </w14:textFill>
              </w:rPr>
              <w:t>/h，收集后通过布袋除尘器处理，处理效率90%，投料时间为1200h/a，则粉尘有组织排放量为0.08t/a。投料口建设在封闭车间内，无组织粉尘经车间阻隔后部分会沉降在车间内，阻隔效率约为40%，无组织粉尘排放量为0.318t/a。</w:t>
            </w:r>
          </w:p>
          <w:p w14:paraId="7BD40CAF">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（2）炼胶有机废气</w:t>
            </w:r>
          </w:p>
          <w:p w14:paraId="1C39730A">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本项目密炼、开炼工序均会产生非甲烷总烃及臭气浓度，根据中国橡胶工业协会《橡胶制品业产排污系数核算》中橡胶制品生产炼胶装置产排污系数计算，炼胶过程非甲烷总烃产生量为0.32kg/t生胶原料，本项目生胶原料用量为2500t/a，则非甲烷总烃产生量为0.8t/a。项目在密炼出气口和开炼机上方均设置了集气罩，收集效率80%，收集风量13000m</w:t>
            </w:r>
            <w:r>
              <w:rPr>
                <w:rFonts w:hint="eastAsia" w:ascii="Times New Roman" w:hAnsi="Times New Roman" w:eastAsia="宋体" w:cs="Times New Roman"/>
                <w:color w:val="000000" w:themeColor="text1"/>
                <w:szCs w:val="24"/>
                <w:vertAlign w:val="superscript"/>
                <w:lang w:bidi="zh-CN"/>
                <w14:textFill>
                  <w14:solidFill>
                    <w14:schemeClr w14:val="tx1"/>
                  </w14:solidFill>
                </w14:textFill>
              </w:rPr>
              <w:t>3</w:t>
            </w:r>
            <w:r>
              <w:rPr>
                <w:rFonts w:hint="eastAsia" w:ascii="Times New Roman" w:hAnsi="Times New Roman" w:eastAsia="宋体" w:cs="Times New Roman"/>
                <w:color w:val="000000" w:themeColor="text1"/>
                <w:szCs w:val="24"/>
                <w:lang w:bidi="zh-CN"/>
                <w14:textFill>
                  <w14:solidFill>
                    <w14:schemeClr w14:val="tx1"/>
                  </w14:solidFill>
                </w14:textFill>
              </w:rPr>
              <w:t>/h，收集后通过二级活性炭吸附处理，处理效率60%，炼胶时间为2400h/a，则有组织排放量为0.256t/a，无组织排放量为0.16t/a。</w:t>
            </w:r>
          </w:p>
          <w:p w14:paraId="4F217517">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目前，国外对恶臭强度的分级和测定多以人的嗅觉感官作为基础得到，如德国的臭气强度5级分级（1958 年）；日本的臭气强度6级分级（1972年）等。这种测定方法以经训练合格的5-8名臭气监测员以自身恶臭感知能力对恶臭进行强度监测。</w:t>
            </w:r>
          </w:p>
          <w:p w14:paraId="7C8EC49B">
            <w:pPr>
              <w:shd w:val="clear" w:color="auto" w:fill="FFFFFF"/>
              <w:spacing w:after="0" w:line="360" w:lineRule="auto"/>
              <w:ind w:firstLine="480" w:firstLineChars="200"/>
              <w:rPr>
                <w:rFonts w:ascii="Times New Roman" w:hAnsi="Times New Roman" w:eastAsia="宋体" w:cs="Times New Roman"/>
                <w:b/>
                <w:bCs/>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北京环境监测中心在吸取国外经验的基础上提出了恶臭6级分级法（见表4.2-1），该分级法以感受器——嗅觉的感觉和人的主观感觉特征两个方面来描述各级特征，既明确了各级的差别，也提高了分级的准确程度。</w:t>
            </w:r>
            <w:bookmarkStart w:id="12" w:name="_Ref25596"/>
          </w:p>
          <w:p w14:paraId="4D497C09">
            <w:pPr>
              <w:pStyle w:val="222"/>
              <w:spacing w:before="120"/>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表4.</w:t>
            </w:r>
            <w:r>
              <w:rPr>
                <w:rFonts w:hint="eastAsia"/>
                <w:color w:val="000000" w:themeColor="text1"/>
                <w:lang w:bidi="zh-CN"/>
                <w14:textFill>
                  <w14:solidFill>
                    <w14:schemeClr w14:val="tx1"/>
                  </w14:solidFill>
                </w14:textFill>
              </w:rPr>
              <w:t>2-1  恶臭6级分级法</w:t>
            </w:r>
            <w:bookmarkEnd w:id="12"/>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21"/>
              <w:gridCol w:w="6476"/>
            </w:tblGrid>
            <w:tr w14:paraId="76256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0685BD33">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臭气强度（</w:t>
                  </w:r>
                  <w:r>
                    <w:rPr>
                      <w:rFonts w:hint="eastAsia"/>
                      <w:color w:val="000000" w:themeColor="text1"/>
                      <w:lang w:bidi="zh-CN"/>
                      <w14:textFill>
                        <w14:solidFill>
                          <w14:schemeClr w14:val="tx1"/>
                        </w14:solidFill>
                      </w14:textFill>
                    </w:rPr>
                    <w:t>无</w:t>
                  </w:r>
                  <w:r>
                    <w:rPr>
                      <w:color w:val="000000" w:themeColor="text1"/>
                      <w:lang w:bidi="zh-CN"/>
                      <w14:textFill>
                        <w14:solidFill>
                          <w14:schemeClr w14:val="tx1"/>
                        </w14:solidFill>
                      </w14:textFill>
                    </w:rPr>
                    <w:t>量纲）</w:t>
                  </w:r>
                </w:p>
              </w:tc>
              <w:tc>
                <w:tcPr>
                  <w:tcW w:w="3722" w:type="pct"/>
                  <w:vAlign w:val="center"/>
                </w:tcPr>
                <w:p w14:paraId="39E68C57">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嗅味感觉</w:t>
                  </w:r>
                </w:p>
              </w:tc>
            </w:tr>
            <w:tr w14:paraId="29DCD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7952DB51">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0级</w:t>
                  </w:r>
                </w:p>
              </w:tc>
              <w:tc>
                <w:tcPr>
                  <w:tcW w:w="3722" w:type="pct"/>
                  <w:vAlign w:val="center"/>
                </w:tcPr>
                <w:p w14:paraId="6C850772">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未闻到有任何气味，无任何反应</w:t>
                  </w:r>
                </w:p>
              </w:tc>
            </w:tr>
            <w:tr w14:paraId="26268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7AD38831">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1级</w:t>
                  </w:r>
                </w:p>
              </w:tc>
              <w:tc>
                <w:tcPr>
                  <w:tcW w:w="3722" w:type="pct"/>
                  <w:vAlign w:val="center"/>
                </w:tcPr>
                <w:p w14:paraId="51237AFA">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勉强能闻到有气味，但不宜辨认气味性质(感觉阈值)认为无</w:t>
                  </w:r>
                </w:p>
              </w:tc>
            </w:tr>
            <w:tr w14:paraId="53CCA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bottom w:val="single" w:color="auto" w:sz="4" w:space="0"/>
                  </w:tcBorders>
                  <w:vAlign w:val="center"/>
                </w:tcPr>
                <w:p w14:paraId="01D4E38D">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2级</w:t>
                  </w:r>
                </w:p>
              </w:tc>
              <w:tc>
                <w:tcPr>
                  <w:tcW w:w="3722" w:type="pct"/>
                  <w:tcBorders>
                    <w:bottom w:val="single" w:color="auto" w:sz="4" w:space="0"/>
                  </w:tcBorders>
                  <w:vAlign w:val="center"/>
                </w:tcPr>
                <w:p w14:paraId="1BE0E4E0">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能闻到气味且能辨认气味的性质(识别阈值)，但感到很正常</w:t>
                  </w:r>
                </w:p>
              </w:tc>
            </w:tr>
            <w:tr w14:paraId="0B816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top w:val="single" w:color="auto" w:sz="4" w:space="0"/>
                    <w:bottom w:val="single" w:color="auto" w:sz="4" w:space="0"/>
                  </w:tcBorders>
                  <w:vAlign w:val="center"/>
                </w:tcPr>
                <w:p w14:paraId="11ADCE10">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3级</w:t>
                  </w:r>
                </w:p>
              </w:tc>
              <w:tc>
                <w:tcPr>
                  <w:tcW w:w="3722" w:type="pct"/>
                  <w:tcBorders>
                    <w:top w:val="single" w:color="auto" w:sz="4" w:space="0"/>
                    <w:bottom w:val="single" w:color="auto" w:sz="4" w:space="0"/>
                  </w:tcBorders>
                  <w:vAlign w:val="center"/>
                </w:tcPr>
                <w:p w14:paraId="1DC54B76">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很容易闻到气味，有所不快，但不反感</w:t>
                  </w:r>
                </w:p>
              </w:tc>
            </w:tr>
            <w:tr w14:paraId="0B491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top w:val="single" w:color="auto" w:sz="4" w:space="0"/>
                  </w:tcBorders>
                  <w:vAlign w:val="center"/>
                </w:tcPr>
                <w:p w14:paraId="469F14E9">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4级</w:t>
                  </w:r>
                </w:p>
              </w:tc>
              <w:tc>
                <w:tcPr>
                  <w:tcW w:w="3722" w:type="pct"/>
                  <w:tcBorders>
                    <w:top w:val="single" w:color="auto" w:sz="4" w:space="0"/>
                  </w:tcBorders>
                  <w:vAlign w:val="center"/>
                </w:tcPr>
                <w:p w14:paraId="24E45D20">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强烈臭气味，很反感，想离开</w:t>
                  </w:r>
                </w:p>
              </w:tc>
            </w:tr>
            <w:tr w14:paraId="49230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428AB51F">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5级</w:t>
                  </w:r>
                </w:p>
              </w:tc>
              <w:tc>
                <w:tcPr>
                  <w:tcW w:w="3722" w:type="pct"/>
                  <w:vAlign w:val="center"/>
                </w:tcPr>
                <w:p w14:paraId="6E4DD863">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有极强的气味，无法忍受，立即逃跑</w:t>
                  </w:r>
                </w:p>
              </w:tc>
            </w:tr>
          </w:tbl>
          <w:p w14:paraId="7DE796DC">
            <w:pPr>
              <w:pStyle w:val="223"/>
              <w:spacing w:before="120"/>
              <w:ind w:firstLine="480"/>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根据类比调查，一般橡胶生产车间内恶臭强度在2-3级，车间外恶臭强度为1级。本项目生产过程产生的恶臭废气随挥发性有机物经集气罩+两级活性炭吸附+15m排气筒处理后排放，不会对周边环境产生明显影响，因此本报告仅作定性分析。</w:t>
            </w:r>
          </w:p>
          <w:p w14:paraId="4B822917">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项目废气污染源产排情况汇总如下：</w:t>
            </w:r>
          </w:p>
          <w:p w14:paraId="38B12BB2">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表4.2-2  废气污染物产排情况汇总一览表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4"/>
              <w:gridCol w:w="1010"/>
              <w:gridCol w:w="933"/>
              <w:gridCol w:w="866"/>
              <w:gridCol w:w="1009"/>
              <w:gridCol w:w="865"/>
              <w:gridCol w:w="729"/>
              <w:gridCol w:w="859"/>
              <w:gridCol w:w="1091"/>
              <w:gridCol w:w="661"/>
            </w:tblGrid>
            <w:tr w14:paraId="63D9FA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27C95B9A">
                  <w:pPr>
                    <w:pStyle w:val="2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993" w:type="dxa"/>
                  <w:vMerge w:val="restart"/>
                  <w:noWrap/>
                  <w:vAlign w:val="center"/>
                </w:tcPr>
                <w:p w14:paraId="1DD8AE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917" w:type="dxa"/>
                  <w:vMerge w:val="restart"/>
                  <w:noWrap/>
                  <w:vAlign w:val="center"/>
                </w:tcPr>
                <w:p w14:paraId="28A05AE0">
                  <w:pPr>
                    <w:pStyle w:val="221"/>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2693" w:type="dxa"/>
                  <w:gridSpan w:val="3"/>
                  <w:tcBorders>
                    <w:left w:val="single" w:color="auto" w:sz="4" w:space="0"/>
                  </w:tcBorders>
                  <w:vAlign w:val="center"/>
                </w:tcPr>
                <w:p w14:paraId="1C6E89E4">
                  <w:pPr>
                    <w:pStyle w:val="2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2632" w:type="dxa"/>
                  <w:gridSpan w:val="3"/>
                  <w:tcBorders>
                    <w:left w:val="single" w:color="auto" w:sz="4" w:space="0"/>
                  </w:tcBorders>
                  <w:vAlign w:val="center"/>
                </w:tcPr>
                <w:p w14:paraId="2A7B3B48">
                  <w:pPr>
                    <w:pStyle w:val="221"/>
                    <w:rPr>
                      <w:color w:val="000000" w:themeColor="text1"/>
                      <w14:textFill>
                        <w14:solidFill>
                          <w14:schemeClr w14:val="tx1"/>
                        </w14:solidFill>
                      </w14:textFill>
                    </w:rPr>
                  </w:pPr>
                  <w:r>
                    <w:rPr>
                      <w:color w:val="000000" w:themeColor="text1"/>
                      <w14:textFill>
                        <w14:solidFill>
                          <w14:schemeClr w14:val="tx1"/>
                        </w14:solidFill>
                      </w14:textFill>
                    </w:rPr>
                    <w:t>排放情况</w:t>
                  </w:r>
                </w:p>
              </w:tc>
              <w:tc>
                <w:tcPr>
                  <w:tcW w:w="650" w:type="dxa"/>
                  <w:vMerge w:val="restart"/>
                  <w:noWrap/>
                  <w:vAlign w:val="center"/>
                </w:tcPr>
                <w:p w14:paraId="49299AA2">
                  <w:pPr>
                    <w:pStyle w:val="221"/>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619AC3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vAlign w:val="center"/>
                </w:tcPr>
                <w:p w14:paraId="44855C3C">
                  <w:pPr>
                    <w:pStyle w:val="221"/>
                    <w:rPr>
                      <w:color w:val="000000" w:themeColor="text1"/>
                      <w14:textFill>
                        <w14:solidFill>
                          <w14:schemeClr w14:val="tx1"/>
                        </w14:solidFill>
                      </w14:textFill>
                    </w:rPr>
                  </w:pPr>
                </w:p>
              </w:tc>
              <w:tc>
                <w:tcPr>
                  <w:tcW w:w="993" w:type="dxa"/>
                  <w:vMerge w:val="continue"/>
                  <w:vAlign w:val="center"/>
                </w:tcPr>
                <w:p w14:paraId="7BCA1CC9">
                  <w:pPr>
                    <w:pStyle w:val="221"/>
                    <w:rPr>
                      <w:color w:val="000000" w:themeColor="text1"/>
                      <w14:textFill>
                        <w14:solidFill>
                          <w14:schemeClr w14:val="tx1"/>
                        </w14:solidFill>
                      </w14:textFill>
                    </w:rPr>
                  </w:pPr>
                </w:p>
              </w:tc>
              <w:tc>
                <w:tcPr>
                  <w:tcW w:w="917" w:type="dxa"/>
                  <w:vMerge w:val="continue"/>
                  <w:vAlign w:val="center"/>
                </w:tcPr>
                <w:p w14:paraId="44537796">
                  <w:pPr>
                    <w:pStyle w:val="221"/>
                    <w:rPr>
                      <w:color w:val="000000" w:themeColor="text1"/>
                      <w14:textFill>
                        <w14:solidFill>
                          <w14:schemeClr w14:val="tx1"/>
                        </w14:solidFill>
                      </w14:textFill>
                    </w:rPr>
                  </w:pPr>
                </w:p>
              </w:tc>
              <w:tc>
                <w:tcPr>
                  <w:tcW w:w="851" w:type="dxa"/>
                  <w:tcBorders>
                    <w:left w:val="single" w:color="auto" w:sz="4" w:space="0"/>
                  </w:tcBorders>
                  <w:noWrap/>
                  <w:vAlign w:val="center"/>
                </w:tcPr>
                <w:p w14:paraId="67B5C19F">
                  <w:pPr>
                    <w:pStyle w:val="2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992" w:type="dxa"/>
                  <w:noWrap/>
                  <w:vAlign w:val="center"/>
                </w:tcPr>
                <w:p w14:paraId="38725634">
                  <w:pPr>
                    <w:pStyle w:val="221"/>
                    <w:rPr>
                      <w:color w:val="000000" w:themeColor="text1"/>
                      <w14:textFill>
                        <w14:solidFill>
                          <w14:schemeClr w14:val="tx1"/>
                        </w14:solidFill>
                      </w14:textFill>
                    </w:rPr>
                  </w:pPr>
                  <w:r>
                    <w:rPr>
                      <w:color w:val="000000" w:themeColor="text1"/>
                      <w14:textFill>
                        <w14:solidFill>
                          <w14:schemeClr w14:val="tx1"/>
                        </w14:solidFill>
                      </w14:textFill>
                    </w:rPr>
                    <w:t>产生速率kg/h</w:t>
                  </w:r>
                </w:p>
              </w:tc>
              <w:tc>
                <w:tcPr>
                  <w:tcW w:w="850" w:type="dxa"/>
                  <w:noWrap/>
                  <w:vAlign w:val="center"/>
                </w:tcPr>
                <w:p w14:paraId="241EF600">
                  <w:pPr>
                    <w:pStyle w:val="221"/>
                    <w:rPr>
                      <w:color w:val="000000" w:themeColor="text1"/>
                      <w14:textFill>
                        <w14:solidFill>
                          <w14:schemeClr w14:val="tx1"/>
                        </w14:solidFill>
                      </w14:textFill>
                    </w:rPr>
                  </w:pPr>
                  <w:r>
                    <w:rPr>
                      <w:color w:val="000000" w:themeColor="text1"/>
                      <w14:textFill>
                        <w14:solidFill>
                          <w14:schemeClr w14:val="tx1"/>
                        </w14:solidFill>
                      </w14:textFill>
                    </w:rPr>
                    <w:t>产生</w:t>
                  </w:r>
                </w:p>
                <w:p w14:paraId="593711C8">
                  <w:pPr>
                    <w:pStyle w:val="2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716" w:type="dxa"/>
                  <w:tcBorders>
                    <w:left w:val="single" w:color="auto" w:sz="4" w:space="0"/>
                  </w:tcBorders>
                  <w:noWrap/>
                  <w:vAlign w:val="center"/>
                </w:tcPr>
                <w:p w14:paraId="6A2FAC45">
                  <w:pPr>
                    <w:pStyle w:val="221"/>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844" w:type="dxa"/>
                  <w:noWrap/>
                  <w:vAlign w:val="center"/>
                </w:tcPr>
                <w:p w14:paraId="0E0B35DF">
                  <w:pPr>
                    <w:pStyle w:val="221"/>
                    <w:rPr>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1072" w:type="dxa"/>
                  <w:noWrap/>
                  <w:vAlign w:val="center"/>
                </w:tcPr>
                <w:p w14:paraId="4CA754D5">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p>
              </w:tc>
              <w:tc>
                <w:tcPr>
                  <w:tcW w:w="650" w:type="dxa"/>
                  <w:vMerge w:val="continue"/>
                  <w:vAlign w:val="center"/>
                </w:tcPr>
                <w:p w14:paraId="4E5085A8">
                  <w:pPr>
                    <w:pStyle w:val="221"/>
                    <w:rPr>
                      <w:color w:val="000000" w:themeColor="text1"/>
                      <w14:textFill>
                        <w14:solidFill>
                          <w14:schemeClr w14:val="tx1"/>
                        </w14:solidFill>
                      </w14:textFill>
                    </w:rPr>
                  </w:pPr>
                </w:p>
              </w:tc>
            </w:tr>
            <w:tr w14:paraId="63A919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1B7206B5">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p>
              </w:tc>
              <w:tc>
                <w:tcPr>
                  <w:tcW w:w="993" w:type="dxa"/>
                  <w:noWrap/>
                  <w:vAlign w:val="center"/>
                </w:tcPr>
                <w:p w14:paraId="110D23AA">
                  <w:pPr>
                    <w:pStyle w:val="221"/>
                    <w:rPr>
                      <w:color w:val="000000" w:themeColor="text1"/>
                      <w14:textFill>
                        <w14:solidFill>
                          <w14:schemeClr w14:val="tx1"/>
                        </w14:solidFill>
                      </w14:textFill>
                    </w:rPr>
                  </w:pPr>
                  <w:r>
                    <w:rPr>
                      <w:color w:val="000000" w:themeColor="text1"/>
                      <w14:textFill>
                        <w14:solidFill>
                          <w14:schemeClr w14:val="tx1"/>
                        </w14:solidFill>
                      </w14:textFill>
                    </w:rPr>
                    <w:t>排气筒DA00</w:t>
                  </w:r>
                  <w:r>
                    <w:rPr>
                      <w:rFonts w:hint="eastAsia"/>
                      <w:color w:val="000000" w:themeColor="text1"/>
                      <w14:textFill>
                        <w14:solidFill>
                          <w14:schemeClr w14:val="tx1"/>
                        </w14:solidFill>
                      </w14:textFill>
                    </w:rPr>
                    <w:t>1</w:t>
                  </w:r>
                </w:p>
              </w:tc>
              <w:tc>
                <w:tcPr>
                  <w:tcW w:w="917" w:type="dxa"/>
                  <w:noWrap/>
                  <w:vAlign w:val="center"/>
                </w:tcPr>
                <w:p w14:paraId="14110FF2">
                  <w:pPr>
                    <w:pStyle w:val="221"/>
                    <w:rPr>
                      <w:color w:val="000000" w:themeColor="text1"/>
                      <w:szCs w:val="18"/>
                      <w:lang w:bidi="ar"/>
                      <w14:textFill>
                        <w14:solidFill>
                          <w14:schemeClr w14:val="tx1"/>
                        </w14:solidFill>
                      </w14:textFill>
                    </w:rPr>
                  </w:pPr>
                  <w:r>
                    <w:rPr>
                      <w:rFonts w:hint="eastAsia"/>
                      <w:color w:val="000000" w:themeColor="text1"/>
                      <w14:textFill>
                        <w14:solidFill>
                          <w14:schemeClr w14:val="tx1"/>
                        </w14:solidFill>
                      </w14:textFill>
                    </w:rPr>
                    <w:t>颗粒物</w:t>
                  </w:r>
                </w:p>
              </w:tc>
              <w:tc>
                <w:tcPr>
                  <w:tcW w:w="851" w:type="dxa"/>
                  <w:noWrap/>
                  <w:vAlign w:val="center"/>
                </w:tcPr>
                <w:p w14:paraId="4868E5B3">
                  <w:pPr>
                    <w:pStyle w:val="221"/>
                    <w:rPr>
                      <w:color w:val="000000" w:themeColor="text1"/>
                      <w14:textFill>
                        <w14:solidFill>
                          <w14:schemeClr w14:val="tx1"/>
                        </w14:solidFill>
                      </w14:textFill>
                    </w:rPr>
                  </w:pPr>
                  <w:r>
                    <w:rPr>
                      <w:color w:val="000000" w:themeColor="text1"/>
                      <w14:textFill>
                        <w14:solidFill>
                          <w14:schemeClr w14:val="tx1"/>
                        </w14:solidFill>
                      </w14:textFill>
                    </w:rPr>
                    <w:t>0.795</w:t>
                  </w:r>
                </w:p>
              </w:tc>
              <w:tc>
                <w:tcPr>
                  <w:tcW w:w="992" w:type="dxa"/>
                  <w:noWrap/>
                  <w:vAlign w:val="center"/>
                </w:tcPr>
                <w:p w14:paraId="0B1CB1F9">
                  <w:pPr>
                    <w:pStyle w:val="221"/>
                    <w:rPr>
                      <w:color w:val="000000" w:themeColor="text1"/>
                      <w14:textFill>
                        <w14:solidFill>
                          <w14:schemeClr w14:val="tx1"/>
                        </w14:solidFill>
                      </w14:textFill>
                    </w:rPr>
                  </w:pPr>
                  <w:r>
                    <w:rPr>
                      <w:color w:val="000000" w:themeColor="text1"/>
                      <w14:textFill>
                        <w14:solidFill>
                          <w14:schemeClr w14:val="tx1"/>
                        </w14:solidFill>
                      </w14:textFill>
                    </w:rPr>
                    <w:t>0.663</w:t>
                  </w:r>
                </w:p>
              </w:tc>
              <w:tc>
                <w:tcPr>
                  <w:tcW w:w="850" w:type="dxa"/>
                  <w:noWrap/>
                  <w:vAlign w:val="center"/>
                </w:tcPr>
                <w:p w14:paraId="636F24C1">
                  <w:pPr>
                    <w:pStyle w:val="221"/>
                    <w:rPr>
                      <w:color w:val="000000" w:themeColor="text1"/>
                      <w14:textFill>
                        <w14:solidFill>
                          <w14:schemeClr w14:val="tx1"/>
                        </w14:solidFill>
                      </w14:textFill>
                    </w:rPr>
                  </w:pPr>
                  <w:r>
                    <w:rPr>
                      <w:color w:val="000000" w:themeColor="text1"/>
                      <w14:textFill>
                        <w14:solidFill>
                          <w14:schemeClr w14:val="tx1"/>
                        </w14:solidFill>
                      </w14:textFill>
                    </w:rPr>
                    <w:t>55.2</w:t>
                  </w:r>
                </w:p>
              </w:tc>
              <w:tc>
                <w:tcPr>
                  <w:tcW w:w="716" w:type="dxa"/>
                  <w:noWrap/>
                  <w:vAlign w:val="center"/>
                </w:tcPr>
                <w:p w14:paraId="4562605C">
                  <w:pPr>
                    <w:pStyle w:val="221"/>
                    <w:rPr>
                      <w:color w:val="000000" w:themeColor="text1"/>
                      <w14:textFill>
                        <w14:solidFill>
                          <w14:schemeClr w14:val="tx1"/>
                        </w14:solidFill>
                      </w14:textFill>
                    </w:rPr>
                  </w:pPr>
                  <w:r>
                    <w:rPr>
                      <w:color w:val="000000" w:themeColor="text1"/>
                      <w14:textFill>
                        <w14:solidFill>
                          <w14:schemeClr w14:val="tx1"/>
                        </w14:solidFill>
                      </w14:textFill>
                    </w:rPr>
                    <w:t>0.080</w:t>
                  </w:r>
                </w:p>
              </w:tc>
              <w:tc>
                <w:tcPr>
                  <w:tcW w:w="844" w:type="dxa"/>
                  <w:noWrap/>
                  <w:vAlign w:val="center"/>
                </w:tcPr>
                <w:p w14:paraId="325246CC">
                  <w:pPr>
                    <w:pStyle w:val="221"/>
                    <w:rPr>
                      <w:color w:val="000000" w:themeColor="text1"/>
                      <w14:textFill>
                        <w14:solidFill>
                          <w14:schemeClr w14:val="tx1"/>
                        </w14:solidFill>
                      </w14:textFill>
                    </w:rPr>
                  </w:pPr>
                  <w:r>
                    <w:rPr>
                      <w:color w:val="000000" w:themeColor="text1"/>
                      <w14:textFill>
                        <w14:solidFill>
                          <w14:schemeClr w14:val="tx1"/>
                        </w14:solidFill>
                      </w14:textFill>
                    </w:rPr>
                    <w:t>0.066</w:t>
                  </w:r>
                </w:p>
              </w:tc>
              <w:tc>
                <w:tcPr>
                  <w:tcW w:w="1072" w:type="dxa"/>
                  <w:noWrap/>
                  <w:vAlign w:val="center"/>
                </w:tcPr>
                <w:p w14:paraId="1C775B99">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c>
                <w:tcPr>
                  <w:tcW w:w="650" w:type="dxa"/>
                  <w:vMerge w:val="restart"/>
                  <w:noWrap/>
                  <w:vAlign w:val="center"/>
                </w:tcPr>
                <w:p w14:paraId="0CED741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1200</w:t>
                  </w:r>
                </w:p>
              </w:tc>
            </w:tr>
            <w:tr w14:paraId="1FB890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noWrap/>
                  <w:vAlign w:val="center"/>
                </w:tcPr>
                <w:p w14:paraId="2C9ABD32">
                  <w:pPr>
                    <w:pStyle w:val="221"/>
                    <w:rPr>
                      <w:color w:val="000000" w:themeColor="text1"/>
                      <w14:textFill>
                        <w14:solidFill>
                          <w14:schemeClr w14:val="tx1"/>
                        </w14:solidFill>
                      </w14:textFill>
                    </w:rPr>
                  </w:pPr>
                </w:p>
              </w:tc>
              <w:tc>
                <w:tcPr>
                  <w:tcW w:w="993" w:type="dxa"/>
                  <w:noWrap/>
                  <w:vAlign w:val="center"/>
                </w:tcPr>
                <w:p w14:paraId="3FD292E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917" w:type="dxa"/>
                  <w:noWrap/>
                  <w:vAlign w:val="center"/>
                </w:tcPr>
                <w:p w14:paraId="0B51713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851" w:type="dxa"/>
                  <w:noWrap/>
                  <w:vAlign w:val="center"/>
                </w:tcPr>
                <w:p w14:paraId="19704DB3">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0.530 </w:t>
                  </w:r>
                </w:p>
              </w:tc>
              <w:tc>
                <w:tcPr>
                  <w:tcW w:w="992" w:type="dxa"/>
                  <w:noWrap/>
                  <w:vAlign w:val="center"/>
                </w:tcPr>
                <w:p w14:paraId="4559B363">
                  <w:pPr>
                    <w:pStyle w:val="221"/>
                    <w:rPr>
                      <w:color w:val="000000" w:themeColor="text1"/>
                      <w14:textFill>
                        <w14:solidFill>
                          <w14:schemeClr w14:val="tx1"/>
                        </w14:solidFill>
                      </w14:textFill>
                    </w:rPr>
                  </w:pPr>
                  <w:r>
                    <w:rPr>
                      <w:color w:val="000000" w:themeColor="text1"/>
                      <w14:textFill>
                        <w14:solidFill>
                          <w14:schemeClr w14:val="tx1"/>
                        </w14:solidFill>
                      </w14:textFill>
                    </w:rPr>
                    <w:t>0.442</w:t>
                  </w:r>
                </w:p>
              </w:tc>
              <w:tc>
                <w:tcPr>
                  <w:tcW w:w="850" w:type="dxa"/>
                  <w:noWrap/>
                  <w:vAlign w:val="center"/>
                </w:tcPr>
                <w:p w14:paraId="1BDEA7BC">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716" w:type="dxa"/>
                  <w:noWrap/>
                  <w:vAlign w:val="center"/>
                </w:tcPr>
                <w:p w14:paraId="6B0A583E">
                  <w:pPr>
                    <w:pStyle w:val="221"/>
                    <w:rPr>
                      <w:color w:val="000000" w:themeColor="text1"/>
                      <w14:textFill>
                        <w14:solidFill>
                          <w14:schemeClr w14:val="tx1"/>
                        </w14:solidFill>
                      </w14:textFill>
                    </w:rPr>
                  </w:pPr>
                  <w:r>
                    <w:rPr>
                      <w:color w:val="000000" w:themeColor="text1"/>
                      <w14:textFill>
                        <w14:solidFill>
                          <w14:schemeClr w14:val="tx1"/>
                        </w14:solidFill>
                      </w14:textFill>
                    </w:rPr>
                    <w:t>0.318</w:t>
                  </w:r>
                </w:p>
              </w:tc>
              <w:tc>
                <w:tcPr>
                  <w:tcW w:w="844" w:type="dxa"/>
                  <w:noWrap/>
                  <w:vAlign w:val="center"/>
                </w:tcPr>
                <w:p w14:paraId="5F3925FE">
                  <w:pPr>
                    <w:pStyle w:val="221"/>
                    <w:rPr>
                      <w:color w:val="000000" w:themeColor="text1"/>
                      <w14:textFill>
                        <w14:solidFill>
                          <w14:schemeClr w14:val="tx1"/>
                        </w14:solidFill>
                      </w14:textFill>
                    </w:rPr>
                  </w:pPr>
                  <w:r>
                    <w:rPr>
                      <w:color w:val="000000" w:themeColor="text1"/>
                      <w14:textFill>
                        <w14:solidFill>
                          <w14:schemeClr w14:val="tx1"/>
                        </w14:solidFill>
                      </w14:textFill>
                    </w:rPr>
                    <w:t>0.265</w:t>
                  </w:r>
                </w:p>
              </w:tc>
              <w:tc>
                <w:tcPr>
                  <w:tcW w:w="1072" w:type="dxa"/>
                  <w:noWrap/>
                  <w:vAlign w:val="center"/>
                </w:tcPr>
                <w:p w14:paraId="42CA9BE2">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50" w:type="dxa"/>
                  <w:vMerge w:val="continue"/>
                  <w:noWrap/>
                  <w:vAlign w:val="center"/>
                </w:tcPr>
                <w:p w14:paraId="193330FE">
                  <w:pPr>
                    <w:pStyle w:val="221"/>
                    <w:rPr>
                      <w:color w:val="000000" w:themeColor="text1"/>
                      <w14:textFill>
                        <w14:solidFill>
                          <w14:schemeClr w14:val="tx1"/>
                        </w14:solidFill>
                      </w14:textFill>
                    </w:rPr>
                  </w:pPr>
                </w:p>
              </w:tc>
            </w:tr>
            <w:tr w14:paraId="1F1EFE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174558F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993" w:type="dxa"/>
                  <w:noWrap/>
                  <w:vAlign w:val="center"/>
                </w:tcPr>
                <w:p w14:paraId="3B2361F0">
                  <w:pPr>
                    <w:pStyle w:val="221"/>
                    <w:rPr>
                      <w:color w:val="000000" w:themeColor="text1"/>
                      <w14:textFill>
                        <w14:solidFill>
                          <w14:schemeClr w14:val="tx1"/>
                        </w14:solidFill>
                      </w14:textFill>
                    </w:rPr>
                  </w:pPr>
                  <w:r>
                    <w:rPr>
                      <w:color w:val="000000" w:themeColor="text1"/>
                      <w14:textFill>
                        <w14:solidFill>
                          <w14:schemeClr w14:val="tx1"/>
                        </w14:solidFill>
                      </w14:textFill>
                    </w:rPr>
                    <w:t>排气筒DA00</w:t>
                  </w:r>
                  <w:r>
                    <w:rPr>
                      <w:rFonts w:hint="eastAsia"/>
                      <w:color w:val="000000" w:themeColor="text1"/>
                      <w14:textFill>
                        <w14:solidFill>
                          <w14:schemeClr w14:val="tx1"/>
                        </w14:solidFill>
                      </w14:textFill>
                    </w:rPr>
                    <w:t>2</w:t>
                  </w:r>
                </w:p>
              </w:tc>
              <w:tc>
                <w:tcPr>
                  <w:tcW w:w="917" w:type="dxa"/>
                  <w:noWrap/>
                  <w:vAlign w:val="center"/>
                </w:tcPr>
                <w:p w14:paraId="7D440D1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51" w:type="dxa"/>
                  <w:noWrap/>
                  <w:vAlign w:val="center"/>
                </w:tcPr>
                <w:p w14:paraId="4F08DABE">
                  <w:pPr>
                    <w:pStyle w:val="221"/>
                    <w:rPr>
                      <w:color w:val="000000" w:themeColor="text1"/>
                      <w14:textFill>
                        <w14:solidFill>
                          <w14:schemeClr w14:val="tx1"/>
                        </w14:solidFill>
                      </w14:textFill>
                    </w:rPr>
                  </w:pPr>
                  <w:r>
                    <w:rPr>
                      <w:color w:val="000000" w:themeColor="text1"/>
                      <w14:textFill>
                        <w14:solidFill>
                          <w14:schemeClr w14:val="tx1"/>
                        </w14:solidFill>
                      </w14:textFill>
                    </w:rPr>
                    <w:t>0.640</w:t>
                  </w:r>
                </w:p>
              </w:tc>
              <w:tc>
                <w:tcPr>
                  <w:tcW w:w="992" w:type="dxa"/>
                  <w:noWrap/>
                  <w:vAlign w:val="center"/>
                </w:tcPr>
                <w:p w14:paraId="263A98F4">
                  <w:pPr>
                    <w:pStyle w:val="221"/>
                    <w:rPr>
                      <w:color w:val="000000" w:themeColor="text1"/>
                      <w14:textFill>
                        <w14:solidFill>
                          <w14:schemeClr w14:val="tx1"/>
                        </w14:solidFill>
                      </w14:textFill>
                    </w:rPr>
                  </w:pPr>
                  <w:r>
                    <w:rPr>
                      <w:color w:val="000000" w:themeColor="text1"/>
                      <w14:textFill>
                        <w14:solidFill>
                          <w14:schemeClr w14:val="tx1"/>
                        </w14:solidFill>
                      </w14:textFill>
                    </w:rPr>
                    <w:t>0.267</w:t>
                  </w:r>
                </w:p>
              </w:tc>
              <w:tc>
                <w:tcPr>
                  <w:tcW w:w="850" w:type="dxa"/>
                  <w:noWrap/>
                  <w:vAlign w:val="center"/>
                </w:tcPr>
                <w:p w14:paraId="61F78717">
                  <w:pPr>
                    <w:pStyle w:val="221"/>
                    <w:rPr>
                      <w:color w:val="000000" w:themeColor="text1"/>
                      <w14:textFill>
                        <w14:solidFill>
                          <w14:schemeClr w14:val="tx1"/>
                        </w14:solidFill>
                      </w14:textFill>
                    </w:rPr>
                  </w:pPr>
                  <w:r>
                    <w:rPr>
                      <w:color w:val="000000" w:themeColor="text1"/>
                      <w14:textFill>
                        <w14:solidFill>
                          <w14:schemeClr w14:val="tx1"/>
                        </w14:solidFill>
                      </w14:textFill>
                    </w:rPr>
                    <w:t>20.5</w:t>
                  </w:r>
                </w:p>
              </w:tc>
              <w:tc>
                <w:tcPr>
                  <w:tcW w:w="716" w:type="dxa"/>
                  <w:noWrap/>
                  <w:vAlign w:val="center"/>
                </w:tcPr>
                <w:p w14:paraId="2929F15E">
                  <w:pPr>
                    <w:pStyle w:val="221"/>
                    <w:rPr>
                      <w:color w:val="000000" w:themeColor="text1"/>
                      <w14:textFill>
                        <w14:solidFill>
                          <w14:schemeClr w14:val="tx1"/>
                        </w14:solidFill>
                      </w14:textFill>
                    </w:rPr>
                  </w:pPr>
                  <w:r>
                    <w:rPr>
                      <w:color w:val="000000" w:themeColor="text1"/>
                      <w14:textFill>
                        <w14:solidFill>
                          <w14:schemeClr w14:val="tx1"/>
                        </w14:solidFill>
                      </w14:textFill>
                    </w:rPr>
                    <w:t>0.256</w:t>
                  </w:r>
                </w:p>
              </w:tc>
              <w:tc>
                <w:tcPr>
                  <w:tcW w:w="844" w:type="dxa"/>
                  <w:noWrap/>
                  <w:vAlign w:val="center"/>
                </w:tcPr>
                <w:p w14:paraId="01E29EEE">
                  <w:pPr>
                    <w:pStyle w:val="221"/>
                    <w:rPr>
                      <w:color w:val="000000" w:themeColor="text1"/>
                      <w14:textFill>
                        <w14:solidFill>
                          <w14:schemeClr w14:val="tx1"/>
                        </w14:solidFill>
                      </w14:textFill>
                    </w:rPr>
                  </w:pPr>
                  <w:r>
                    <w:rPr>
                      <w:color w:val="000000" w:themeColor="text1"/>
                      <w14:textFill>
                        <w14:solidFill>
                          <w14:schemeClr w14:val="tx1"/>
                        </w14:solidFill>
                      </w14:textFill>
                    </w:rPr>
                    <w:t>0.107</w:t>
                  </w:r>
                </w:p>
              </w:tc>
              <w:tc>
                <w:tcPr>
                  <w:tcW w:w="1072" w:type="dxa"/>
                  <w:noWrap/>
                  <w:vAlign w:val="center"/>
                </w:tcPr>
                <w:p w14:paraId="4C79A198">
                  <w:pPr>
                    <w:pStyle w:val="221"/>
                    <w:rPr>
                      <w:color w:val="000000" w:themeColor="text1"/>
                      <w14:textFill>
                        <w14:solidFill>
                          <w14:schemeClr w14:val="tx1"/>
                        </w14:solidFill>
                      </w14:textFill>
                    </w:rPr>
                  </w:pPr>
                  <w:r>
                    <w:rPr>
                      <w:color w:val="000000" w:themeColor="text1"/>
                      <w14:textFill>
                        <w14:solidFill>
                          <w14:schemeClr w14:val="tx1"/>
                        </w14:solidFill>
                      </w14:textFill>
                    </w:rPr>
                    <w:t>8.2</w:t>
                  </w:r>
                </w:p>
              </w:tc>
              <w:tc>
                <w:tcPr>
                  <w:tcW w:w="650" w:type="dxa"/>
                  <w:vMerge w:val="restart"/>
                  <w:noWrap/>
                  <w:vAlign w:val="center"/>
                </w:tcPr>
                <w:p w14:paraId="597C716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2400</w:t>
                  </w:r>
                </w:p>
              </w:tc>
            </w:tr>
            <w:tr w14:paraId="1A3773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noWrap/>
                  <w:vAlign w:val="center"/>
                </w:tcPr>
                <w:p w14:paraId="2EE5F1C8">
                  <w:pPr>
                    <w:pStyle w:val="221"/>
                    <w:rPr>
                      <w:color w:val="000000" w:themeColor="text1"/>
                      <w14:textFill>
                        <w14:solidFill>
                          <w14:schemeClr w14:val="tx1"/>
                        </w14:solidFill>
                      </w14:textFill>
                    </w:rPr>
                  </w:pPr>
                </w:p>
              </w:tc>
              <w:tc>
                <w:tcPr>
                  <w:tcW w:w="993" w:type="dxa"/>
                  <w:noWrap/>
                  <w:vAlign w:val="center"/>
                </w:tcPr>
                <w:p w14:paraId="43CD7CD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917" w:type="dxa"/>
                  <w:noWrap/>
                  <w:vAlign w:val="center"/>
                </w:tcPr>
                <w:p w14:paraId="161604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51" w:type="dxa"/>
                  <w:noWrap/>
                  <w:vAlign w:val="center"/>
                </w:tcPr>
                <w:p w14:paraId="7E78D042">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0.160 </w:t>
                  </w:r>
                </w:p>
              </w:tc>
              <w:tc>
                <w:tcPr>
                  <w:tcW w:w="992" w:type="dxa"/>
                  <w:noWrap/>
                  <w:vAlign w:val="center"/>
                </w:tcPr>
                <w:p w14:paraId="56FE53E7">
                  <w:pPr>
                    <w:pStyle w:val="221"/>
                    <w:rPr>
                      <w:color w:val="000000" w:themeColor="text1"/>
                      <w14:textFill>
                        <w14:solidFill>
                          <w14:schemeClr w14:val="tx1"/>
                        </w14:solidFill>
                      </w14:textFill>
                    </w:rPr>
                  </w:pPr>
                  <w:r>
                    <w:rPr>
                      <w:color w:val="000000" w:themeColor="text1"/>
                      <w14:textFill>
                        <w14:solidFill>
                          <w14:schemeClr w14:val="tx1"/>
                        </w14:solidFill>
                      </w14:textFill>
                    </w:rPr>
                    <w:t>0.067</w:t>
                  </w:r>
                </w:p>
              </w:tc>
              <w:tc>
                <w:tcPr>
                  <w:tcW w:w="850" w:type="dxa"/>
                  <w:noWrap/>
                  <w:vAlign w:val="center"/>
                </w:tcPr>
                <w:p w14:paraId="2BB37FE0">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716" w:type="dxa"/>
                  <w:noWrap/>
                  <w:vAlign w:val="center"/>
                </w:tcPr>
                <w:p w14:paraId="79A369F1">
                  <w:pPr>
                    <w:pStyle w:val="221"/>
                    <w:rPr>
                      <w:color w:val="000000" w:themeColor="text1"/>
                      <w14:textFill>
                        <w14:solidFill>
                          <w14:schemeClr w14:val="tx1"/>
                        </w14:solidFill>
                      </w14:textFill>
                    </w:rPr>
                  </w:pPr>
                  <w:r>
                    <w:rPr>
                      <w:color w:val="000000" w:themeColor="text1"/>
                      <w14:textFill>
                        <w14:solidFill>
                          <w14:schemeClr w14:val="tx1"/>
                        </w14:solidFill>
                      </w14:textFill>
                    </w:rPr>
                    <w:t>0.160</w:t>
                  </w:r>
                </w:p>
              </w:tc>
              <w:tc>
                <w:tcPr>
                  <w:tcW w:w="844" w:type="dxa"/>
                  <w:noWrap/>
                  <w:vAlign w:val="center"/>
                </w:tcPr>
                <w:p w14:paraId="70427BDD">
                  <w:pPr>
                    <w:pStyle w:val="221"/>
                    <w:rPr>
                      <w:color w:val="000000" w:themeColor="text1"/>
                      <w14:textFill>
                        <w14:solidFill>
                          <w14:schemeClr w14:val="tx1"/>
                        </w14:solidFill>
                      </w14:textFill>
                    </w:rPr>
                  </w:pPr>
                  <w:r>
                    <w:rPr>
                      <w:color w:val="000000" w:themeColor="text1"/>
                      <w14:textFill>
                        <w14:solidFill>
                          <w14:schemeClr w14:val="tx1"/>
                        </w14:solidFill>
                      </w14:textFill>
                    </w:rPr>
                    <w:t>0.067</w:t>
                  </w:r>
                </w:p>
              </w:tc>
              <w:tc>
                <w:tcPr>
                  <w:tcW w:w="1072" w:type="dxa"/>
                  <w:noWrap/>
                  <w:vAlign w:val="center"/>
                </w:tcPr>
                <w:p w14:paraId="00E4059D">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50" w:type="dxa"/>
                  <w:vMerge w:val="continue"/>
                  <w:noWrap/>
                  <w:vAlign w:val="center"/>
                </w:tcPr>
                <w:p w14:paraId="33D0815F">
                  <w:pPr>
                    <w:pStyle w:val="221"/>
                    <w:rPr>
                      <w:color w:val="000000" w:themeColor="text1"/>
                      <w14:textFill>
                        <w14:solidFill>
                          <w14:schemeClr w14:val="tx1"/>
                        </w14:solidFill>
                      </w14:textFill>
                    </w:rPr>
                  </w:pPr>
                </w:p>
              </w:tc>
            </w:tr>
          </w:tbl>
          <w:p w14:paraId="68DAE79E">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 xml:space="preserve">  废气治理设施基本情况一览表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009"/>
              <w:gridCol w:w="1290"/>
              <w:gridCol w:w="1174"/>
              <w:gridCol w:w="865"/>
              <w:gridCol w:w="1331"/>
              <w:gridCol w:w="737"/>
              <w:gridCol w:w="1128"/>
            </w:tblGrid>
            <w:tr w14:paraId="0AEE8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43" w:type="dxa"/>
                  <w:vMerge w:val="restart"/>
                  <w:vAlign w:val="center"/>
                </w:tcPr>
                <w:p w14:paraId="38390BAD">
                  <w:pPr>
                    <w:pStyle w:val="221"/>
                    <w:rPr>
                      <w:color w:val="000000" w:themeColor="text1"/>
                      <w14:textFill>
                        <w14:solidFill>
                          <w14:schemeClr w14:val="tx1"/>
                        </w14:solidFill>
                      </w14:textFill>
                    </w:rPr>
                  </w:pPr>
                  <w:r>
                    <w:rPr>
                      <w:color w:val="000000" w:themeColor="text1"/>
                      <w14:textFill>
                        <w14:solidFill>
                          <w14:schemeClr w14:val="tx1"/>
                        </w14:solidFill>
                      </w14:textFill>
                    </w:rPr>
                    <w:t>产排污</w:t>
                  </w:r>
                </w:p>
                <w:p w14:paraId="313F3C51">
                  <w:pPr>
                    <w:pStyle w:val="221"/>
                    <w:rPr>
                      <w:color w:val="000000" w:themeColor="text1"/>
                      <w14:textFill>
                        <w14:solidFill>
                          <w14:schemeClr w14:val="tx1"/>
                        </w14:solidFill>
                      </w14:textFill>
                    </w:rPr>
                  </w:pPr>
                  <w:r>
                    <w:rPr>
                      <w:color w:val="000000" w:themeColor="text1"/>
                      <w14:textFill>
                        <w14:solidFill>
                          <w14:schemeClr w14:val="tx1"/>
                        </w14:solidFill>
                      </w14:textFill>
                    </w:rPr>
                    <w:t>环节</w:t>
                  </w:r>
                </w:p>
              </w:tc>
              <w:tc>
                <w:tcPr>
                  <w:tcW w:w="992" w:type="dxa"/>
                  <w:vMerge w:val="restart"/>
                  <w:vAlign w:val="center"/>
                </w:tcPr>
                <w:p w14:paraId="1C7818AF">
                  <w:pPr>
                    <w:pStyle w:val="221"/>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6412" w:type="dxa"/>
                  <w:gridSpan w:val="6"/>
                  <w:vAlign w:val="center"/>
                </w:tcPr>
                <w:p w14:paraId="51954118">
                  <w:pPr>
                    <w:pStyle w:val="221"/>
                    <w:rPr>
                      <w:color w:val="000000" w:themeColor="text1"/>
                      <w14:textFill>
                        <w14:solidFill>
                          <w14:schemeClr w14:val="tx1"/>
                        </w14:solidFill>
                      </w14:textFill>
                    </w:rPr>
                  </w:pPr>
                  <w:r>
                    <w:rPr>
                      <w:color w:val="000000" w:themeColor="text1"/>
                      <w14:textFill>
                        <w14:solidFill>
                          <w14:schemeClr w14:val="tx1"/>
                        </w14:solidFill>
                      </w14:textFill>
                    </w:rPr>
                    <w:t>治理设施</w:t>
                  </w:r>
                </w:p>
              </w:tc>
            </w:tr>
            <w:tr w14:paraId="3FB3E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Merge w:val="continue"/>
                  <w:vAlign w:val="center"/>
                </w:tcPr>
                <w:p w14:paraId="0E0A2AAF">
                  <w:pPr>
                    <w:pStyle w:val="221"/>
                    <w:rPr>
                      <w:color w:val="000000" w:themeColor="text1"/>
                      <w14:textFill>
                        <w14:solidFill>
                          <w14:schemeClr w14:val="tx1"/>
                        </w14:solidFill>
                      </w14:textFill>
                    </w:rPr>
                  </w:pPr>
                </w:p>
              </w:tc>
              <w:tc>
                <w:tcPr>
                  <w:tcW w:w="992" w:type="dxa"/>
                  <w:vMerge w:val="continue"/>
                  <w:vAlign w:val="center"/>
                </w:tcPr>
                <w:p w14:paraId="1FA15D53">
                  <w:pPr>
                    <w:pStyle w:val="221"/>
                    <w:rPr>
                      <w:color w:val="000000" w:themeColor="text1"/>
                      <w14:textFill>
                        <w14:solidFill>
                          <w14:schemeClr w14:val="tx1"/>
                        </w14:solidFill>
                      </w14:textFill>
                    </w:rPr>
                  </w:pPr>
                </w:p>
              </w:tc>
              <w:tc>
                <w:tcPr>
                  <w:tcW w:w="1268" w:type="dxa"/>
                  <w:vAlign w:val="center"/>
                </w:tcPr>
                <w:p w14:paraId="142E2707">
                  <w:pPr>
                    <w:pStyle w:val="221"/>
                    <w:rPr>
                      <w:color w:val="000000" w:themeColor="text1"/>
                      <w14:textFill>
                        <w14:solidFill>
                          <w14:schemeClr w14:val="tx1"/>
                        </w14:solidFill>
                      </w14:textFill>
                    </w:rPr>
                  </w:pPr>
                  <w:r>
                    <w:rPr>
                      <w:color w:val="000000" w:themeColor="text1"/>
                      <w14:textFill>
                        <w14:solidFill>
                          <w14:schemeClr w14:val="tx1"/>
                        </w14:solidFill>
                      </w14:textFill>
                    </w:rPr>
                    <w:t>排放方式</w:t>
                  </w:r>
                </w:p>
              </w:tc>
              <w:tc>
                <w:tcPr>
                  <w:tcW w:w="1154" w:type="dxa"/>
                  <w:vAlign w:val="center"/>
                </w:tcPr>
                <w:p w14:paraId="532727F7">
                  <w:pPr>
                    <w:pStyle w:val="221"/>
                    <w:rPr>
                      <w:color w:val="000000" w:themeColor="text1"/>
                      <w14:textFill>
                        <w14:solidFill>
                          <w14:schemeClr w14:val="tx1"/>
                        </w14:solidFill>
                      </w14:textFill>
                    </w:rPr>
                  </w:pPr>
                  <w:r>
                    <w:rPr>
                      <w:color w:val="000000" w:themeColor="text1"/>
                      <w14:textFill>
                        <w14:solidFill>
                          <w14:schemeClr w14:val="tx1"/>
                        </w14:solidFill>
                      </w14:textFill>
                    </w:rPr>
                    <w:t>处理能力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p>
              </w:tc>
              <w:tc>
                <w:tcPr>
                  <w:tcW w:w="850" w:type="dxa"/>
                  <w:vAlign w:val="center"/>
                </w:tcPr>
                <w:p w14:paraId="3B93F556">
                  <w:pPr>
                    <w:pStyle w:val="221"/>
                    <w:rPr>
                      <w:color w:val="000000" w:themeColor="text1"/>
                      <w14:textFill>
                        <w14:solidFill>
                          <w14:schemeClr w14:val="tx1"/>
                        </w14:solidFill>
                      </w14:textFill>
                    </w:rPr>
                  </w:pPr>
                  <w:r>
                    <w:rPr>
                      <w:color w:val="000000" w:themeColor="text1"/>
                      <w14:textFill>
                        <w14:solidFill>
                          <w14:schemeClr w14:val="tx1"/>
                        </w14:solidFill>
                      </w14:textFill>
                    </w:rPr>
                    <w:t>收集</w:t>
                  </w:r>
                </w:p>
                <w:p w14:paraId="3377A5FB">
                  <w:pPr>
                    <w:pStyle w:val="221"/>
                    <w:rPr>
                      <w:color w:val="000000" w:themeColor="text1"/>
                      <w14:textFill>
                        <w14:solidFill>
                          <w14:schemeClr w14:val="tx1"/>
                        </w14:solidFill>
                      </w14:textFill>
                    </w:rPr>
                  </w:pPr>
                  <w:r>
                    <w:rPr>
                      <w:color w:val="000000" w:themeColor="text1"/>
                      <w14:textFill>
                        <w14:solidFill>
                          <w14:schemeClr w14:val="tx1"/>
                        </w14:solidFill>
                      </w14:textFill>
                    </w:rPr>
                    <w:t>效率</w:t>
                  </w:r>
                </w:p>
              </w:tc>
              <w:tc>
                <w:tcPr>
                  <w:tcW w:w="1308" w:type="dxa"/>
                  <w:vAlign w:val="center"/>
                </w:tcPr>
                <w:p w14:paraId="60C6DAF3">
                  <w:pPr>
                    <w:pStyle w:val="221"/>
                    <w:rPr>
                      <w:color w:val="000000" w:themeColor="text1"/>
                      <w14:textFill>
                        <w14:solidFill>
                          <w14:schemeClr w14:val="tx1"/>
                        </w14:solidFill>
                      </w14:textFill>
                    </w:rPr>
                  </w:pPr>
                  <w:r>
                    <w:rPr>
                      <w:color w:val="000000" w:themeColor="text1"/>
                      <w14:textFill>
                        <w14:solidFill>
                          <w14:schemeClr w14:val="tx1"/>
                        </w14:solidFill>
                      </w14:textFill>
                    </w:rPr>
                    <w:t>治理</w:t>
                  </w:r>
                  <w:r>
                    <w:rPr>
                      <w:rFonts w:hint="eastAsia"/>
                      <w:color w:val="000000" w:themeColor="text1"/>
                      <w14:textFill>
                        <w14:solidFill>
                          <w14:schemeClr w14:val="tx1"/>
                        </w14:solidFill>
                      </w14:textFill>
                    </w:rPr>
                    <w:t>设施</w:t>
                  </w:r>
                </w:p>
              </w:tc>
              <w:tc>
                <w:tcPr>
                  <w:tcW w:w="724" w:type="dxa"/>
                  <w:vAlign w:val="center"/>
                </w:tcPr>
                <w:p w14:paraId="17B81B87">
                  <w:pPr>
                    <w:pStyle w:val="221"/>
                    <w:rPr>
                      <w:color w:val="000000" w:themeColor="text1"/>
                      <w14:textFill>
                        <w14:solidFill>
                          <w14:schemeClr w14:val="tx1"/>
                        </w14:solidFill>
                      </w14:textFill>
                    </w:rPr>
                  </w:pPr>
                  <w:r>
                    <w:rPr>
                      <w:color w:val="000000" w:themeColor="text1"/>
                      <w14:textFill>
                        <w14:solidFill>
                          <w14:schemeClr w14:val="tx1"/>
                        </w14:solidFill>
                      </w14:textFill>
                    </w:rPr>
                    <w:t>去除率</w:t>
                  </w:r>
                </w:p>
              </w:tc>
              <w:tc>
                <w:tcPr>
                  <w:tcW w:w="1108" w:type="dxa"/>
                  <w:vAlign w:val="center"/>
                </w:tcPr>
                <w:p w14:paraId="30F5B4D3">
                  <w:pPr>
                    <w:pStyle w:val="221"/>
                    <w:rPr>
                      <w:color w:val="000000" w:themeColor="text1"/>
                      <w14:textFill>
                        <w14:solidFill>
                          <w14:schemeClr w14:val="tx1"/>
                        </w14:solidFill>
                      </w14:textFill>
                    </w:rPr>
                  </w:pPr>
                  <w:r>
                    <w:rPr>
                      <w:color w:val="000000" w:themeColor="text1"/>
                      <w14:textFill>
                        <w14:solidFill>
                          <w14:schemeClr w14:val="tx1"/>
                        </w14:solidFill>
                      </w14:textFill>
                    </w:rPr>
                    <w:t>是否可行性技术</w:t>
                  </w:r>
                </w:p>
              </w:tc>
            </w:tr>
            <w:tr w14:paraId="06D98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2CA1343F">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p>
              </w:tc>
              <w:tc>
                <w:tcPr>
                  <w:tcW w:w="992" w:type="dxa"/>
                  <w:vAlign w:val="center"/>
                </w:tcPr>
                <w:p w14:paraId="41269D49">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268" w:type="dxa"/>
                  <w:vAlign w:val="center"/>
                </w:tcPr>
                <w:p w14:paraId="3B1D7055">
                  <w:pPr>
                    <w:pStyle w:val="221"/>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1154" w:type="dxa"/>
                  <w:vAlign w:val="center"/>
                </w:tcPr>
                <w:p w14:paraId="5817F9D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12000</w:t>
                  </w:r>
                </w:p>
              </w:tc>
              <w:tc>
                <w:tcPr>
                  <w:tcW w:w="850" w:type="dxa"/>
                  <w:vAlign w:val="center"/>
                </w:tcPr>
                <w:p w14:paraId="35BDABF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308" w:type="dxa"/>
                  <w:vAlign w:val="center"/>
                </w:tcPr>
                <w:p w14:paraId="507D032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w:t>
                  </w:r>
                </w:p>
              </w:tc>
              <w:tc>
                <w:tcPr>
                  <w:tcW w:w="724" w:type="dxa"/>
                  <w:vAlign w:val="center"/>
                </w:tcPr>
                <w:p w14:paraId="3FDB78A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90</w:t>
                  </w:r>
                  <w:r>
                    <w:rPr>
                      <w:color w:val="000000" w:themeColor="text1"/>
                      <w14:textFill>
                        <w14:solidFill>
                          <w14:schemeClr w14:val="tx1"/>
                        </w14:solidFill>
                      </w14:textFill>
                    </w:rPr>
                    <w:t>%</w:t>
                  </w:r>
                </w:p>
              </w:tc>
              <w:tc>
                <w:tcPr>
                  <w:tcW w:w="1108" w:type="dxa"/>
                  <w:vAlign w:val="center"/>
                </w:tcPr>
                <w:p w14:paraId="7BF1304D">
                  <w:pPr>
                    <w:pStyle w:val="221"/>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7DBD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04EFAF71">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炼胶有机废气</w:t>
                  </w:r>
                </w:p>
              </w:tc>
              <w:tc>
                <w:tcPr>
                  <w:tcW w:w="992" w:type="dxa"/>
                  <w:vAlign w:val="center"/>
                </w:tcPr>
                <w:p w14:paraId="0908219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68" w:type="dxa"/>
                  <w:vAlign w:val="center"/>
                </w:tcPr>
                <w:p w14:paraId="392609A1">
                  <w:pPr>
                    <w:pStyle w:val="221"/>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1154" w:type="dxa"/>
                  <w:vAlign w:val="center"/>
                </w:tcPr>
                <w:p w14:paraId="03A0238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13000</w:t>
                  </w:r>
                </w:p>
              </w:tc>
              <w:tc>
                <w:tcPr>
                  <w:tcW w:w="850" w:type="dxa"/>
                  <w:vAlign w:val="center"/>
                </w:tcPr>
                <w:p w14:paraId="616CD4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08" w:type="dxa"/>
                  <w:vAlign w:val="center"/>
                </w:tcPr>
                <w:p w14:paraId="275DAF4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二级活性炭吸附</w:t>
                  </w:r>
                </w:p>
              </w:tc>
              <w:tc>
                <w:tcPr>
                  <w:tcW w:w="724" w:type="dxa"/>
                  <w:vAlign w:val="center"/>
                </w:tcPr>
                <w:p w14:paraId="665870D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1108" w:type="dxa"/>
                  <w:vAlign w:val="center"/>
                </w:tcPr>
                <w:p w14:paraId="63E7524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r>
          </w:tbl>
          <w:p w14:paraId="4164231E">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废气排放口基本情况一览表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45"/>
              <w:gridCol w:w="853"/>
              <w:gridCol w:w="997"/>
              <w:gridCol w:w="993"/>
              <w:gridCol w:w="1050"/>
              <w:gridCol w:w="1632"/>
              <w:gridCol w:w="1527"/>
            </w:tblGrid>
            <w:tr w14:paraId="1906FE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restart"/>
                  <w:noWrap/>
                  <w:vAlign w:val="center"/>
                </w:tcPr>
                <w:p w14:paraId="286B9518">
                  <w:pPr>
                    <w:pStyle w:val="221"/>
                    <w:rPr>
                      <w:color w:val="000000" w:themeColor="text1"/>
                      <w14:textFill>
                        <w14:solidFill>
                          <w14:schemeClr w14:val="tx1"/>
                        </w14:solidFill>
                      </w14:textFill>
                    </w:rPr>
                  </w:pPr>
                  <w:r>
                    <w:rPr>
                      <w:color w:val="000000" w:themeColor="text1"/>
                      <w14:textFill>
                        <w14:solidFill>
                          <w14:schemeClr w14:val="tx1"/>
                        </w14:solidFill>
                      </w14:textFill>
                    </w:rPr>
                    <w:t>排气筒编号及名称</w:t>
                  </w:r>
                </w:p>
              </w:tc>
              <w:tc>
                <w:tcPr>
                  <w:tcW w:w="7052" w:type="dxa"/>
                  <w:gridSpan w:val="6"/>
                  <w:noWrap/>
                  <w:vAlign w:val="center"/>
                </w:tcPr>
                <w:p w14:paraId="5940C2BE">
                  <w:pPr>
                    <w:pStyle w:val="221"/>
                    <w:rPr>
                      <w:color w:val="000000" w:themeColor="text1"/>
                      <w14:textFill>
                        <w14:solidFill>
                          <w14:schemeClr w14:val="tx1"/>
                        </w14:solidFill>
                      </w14:textFill>
                    </w:rPr>
                  </w:pPr>
                  <w:r>
                    <w:rPr>
                      <w:color w:val="000000" w:themeColor="text1"/>
                      <w14:textFill>
                        <w14:solidFill>
                          <w14:schemeClr w14:val="tx1"/>
                        </w14:solidFill>
                      </w14:textFill>
                    </w:rPr>
                    <w:t>排放口基本情况</w:t>
                  </w:r>
                </w:p>
              </w:tc>
            </w:tr>
            <w:tr w14:paraId="3969E5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continue"/>
                  <w:vAlign w:val="center"/>
                </w:tcPr>
                <w:p w14:paraId="17DFC3CE">
                  <w:pPr>
                    <w:pStyle w:val="221"/>
                    <w:rPr>
                      <w:color w:val="000000" w:themeColor="text1"/>
                      <w14:textFill>
                        <w14:solidFill>
                          <w14:schemeClr w14:val="tx1"/>
                        </w14:solidFill>
                      </w14:textFill>
                    </w:rPr>
                  </w:pPr>
                </w:p>
              </w:tc>
              <w:tc>
                <w:tcPr>
                  <w:tcW w:w="853" w:type="dxa"/>
                  <w:vMerge w:val="restart"/>
                  <w:noWrap/>
                  <w:vAlign w:val="center"/>
                </w:tcPr>
                <w:p w14:paraId="0744310E">
                  <w:pPr>
                    <w:pStyle w:val="221"/>
                    <w:rPr>
                      <w:color w:val="000000" w:themeColor="text1"/>
                      <w14:textFill>
                        <w14:solidFill>
                          <w14:schemeClr w14:val="tx1"/>
                        </w14:solidFill>
                      </w14:textFill>
                    </w:rPr>
                  </w:pPr>
                  <w:r>
                    <w:rPr>
                      <w:color w:val="000000" w:themeColor="text1"/>
                      <w14:textFill>
                        <w14:solidFill>
                          <w14:schemeClr w14:val="tx1"/>
                        </w14:solidFill>
                      </w14:textFill>
                    </w:rPr>
                    <w:t>高度m</w:t>
                  </w:r>
                </w:p>
              </w:tc>
              <w:tc>
                <w:tcPr>
                  <w:tcW w:w="997" w:type="dxa"/>
                  <w:vMerge w:val="restart"/>
                  <w:noWrap/>
                  <w:vAlign w:val="center"/>
                </w:tcPr>
                <w:p w14:paraId="09465374">
                  <w:pPr>
                    <w:pStyle w:val="221"/>
                    <w:rPr>
                      <w:color w:val="000000" w:themeColor="text1"/>
                      <w14:textFill>
                        <w14:solidFill>
                          <w14:schemeClr w14:val="tx1"/>
                        </w14:solidFill>
                      </w14:textFill>
                    </w:rPr>
                  </w:pPr>
                  <w:r>
                    <w:rPr>
                      <w:color w:val="000000" w:themeColor="text1"/>
                      <w14:textFill>
                        <w14:solidFill>
                          <w14:schemeClr w14:val="tx1"/>
                        </w14:solidFill>
                      </w14:textFill>
                    </w:rPr>
                    <w:t>排气筒内径m</w:t>
                  </w:r>
                </w:p>
              </w:tc>
              <w:tc>
                <w:tcPr>
                  <w:tcW w:w="993" w:type="dxa"/>
                  <w:vMerge w:val="restart"/>
                  <w:noWrap/>
                  <w:vAlign w:val="center"/>
                </w:tcPr>
                <w:p w14:paraId="3E34022F">
                  <w:pPr>
                    <w:pStyle w:val="221"/>
                    <w:rPr>
                      <w:color w:val="000000" w:themeColor="text1"/>
                      <w14:textFill>
                        <w14:solidFill>
                          <w14:schemeClr w14:val="tx1"/>
                        </w14:solidFill>
                      </w14:textFill>
                    </w:rPr>
                  </w:pPr>
                  <w:r>
                    <w:rPr>
                      <w:color w:val="000000" w:themeColor="text1"/>
                      <w14:textFill>
                        <w14:solidFill>
                          <w14:schemeClr w14:val="tx1"/>
                        </w14:solidFill>
                      </w14:textFill>
                    </w:rPr>
                    <w:t>烟气温度℃</w:t>
                  </w:r>
                </w:p>
              </w:tc>
              <w:tc>
                <w:tcPr>
                  <w:tcW w:w="1050" w:type="dxa"/>
                  <w:vMerge w:val="restart"/>
                  <w:noWrap/>
                  <w:vAlign w:val="center"/>
                </w:tcPr>
                <w:p w14:paraId="042FC592">
                  <w:pPr>
                    <w:pStyle w:val="221"/>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3159" w:type="dxa"/>
                  <w:gridSpan w:val="2"/>
                  <w:noWrap/>
                  <w:vAlign w:val="center"/>
                </w:tcPr>
                <w:p w14:paraId="4EFF3264">
                  <w:pPr>
                    <w:pStyle w:val="221"/>
                    <w:rPr>
                      <w:color w:val="000000" w:themeColor="text1"/>
                      <w14:textFill>
                        <w14:solidFill>
                          <w14:schemeClr w14:val="tx1"/>
                        </w14:solidFill>
                      </w14:textFill>
                    </w:rPr>
                  </w:pPr>
                  <w:r>
                    <w:rPr>
                      <w:color w:val="000000" w:themeColor="text1"/>
                      <w14:textFill>
                        <w14:solidFill>
                          <w14:schemeClr w14:val="tx1"/>
                        </w14:solidFill>
                      </w14:textFill>
                    </w:rPr>
                    <w:t>地理坐标</w:t>
                  </w:r>
                </w:p>
              </w:tc>
            </w:tr>
            <w:tr w14:paraId="5D8350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continue"/>
                  <w:vAlign w:val="center"/>
                </w:tcPr>
                <w:p w14:paraId="43F33598">
                  <w:pPr>
                    <w:pStyle w:val="221"/>
                    <w:rPr>
                      <w:color w:val="000000" w:themeColor="text1"/>
                      <w14:textFill>
                        <w14:solidFill>
                          <w14:schemeClr w14:val="tx1"/>
                        </w14:solidFill>
                      </w14:textFill>
                    </w:rPr>
                  </w:pPr>
                </w:p>
              </w:tc>
              <w:tc>
                <w:tcPr>
                  <w:tcW w:w="853" w:type="dxa"/>
                  <w:vMerge w:val="continue"/>
                  <w:vAlign w:val="center"/>
                </w:tcPr>
                <w:p w14:paraId="5DA6607B">
                  <w:pPr>
                    <w:pStyle w:val="221"/>
                    <w:rPr>
                      <w:color w:val="000000" w:themeColor="text1"/>
                      <w14:textFill>
                        <w14:solidFill>
                          <w14:schemeClr w14:val="tx1"/>
                        </w14:solidFill>
                      </w14:textFill>
                    </w:rPr>
                  </w:pPr>
                </w:p>
              </w:tc>
              <w:tc>
                <w:tcPr>
                  <w:tcW w:w="997" w:type="dxa"/>
                  <w:vMerge w:val="continue"/>
                  <w:vAlign w:val="center"/>
                </w:tcPr>
                <w:p w14:paraId="0E93B175">
                  <w:pPr>
                    <w:pStyle w:val="221"/>
                    <w:rPr>
                      <w:color w:val="000000" w:themeColor="text1"/>
                      <w14:textFill>
                        <w14:solidFill>
                          <w14:schemeClr w14:val="tx1"/>
                        </w14:solidFill>
                      </w14:textFill>
                    </w:rPr>
                  </w:pPr>
                </w:p>
              </w:tc>
              <w:tc>
                <w:tcPr>
                  <w:tcW w:w="993" w:type="dxa"/>
                  <w:vMerge w:val="continue"/>
                  <w:vAlign w:val="center"/>
                </w:tcPr>
                <w:p w14:paraId="09315530">
                  <w:pPr>
                    <w:pStyle w:val="221"/>
                    <w:rPr>
                      <w:color w:val="000000" w:themeColor="text1"/>
                      <w14:textFill>
                        <w14:solidFill>
                          <w14:schemeClr w14:val="tx1"/>
                        </w14:solidFill>
                      </w14:textFill>
                    </w:rPr>
                  </w:pPr>
                </w:p>
              </w:tc>
              <w:tc>
                <w:tcPr>
                  <w:tcW w:w="1050" w:type="dxa"/>
                  <w:vMerge w:val="continue"/>
                  <w:vAlign w:val="center"/>
                </w:tcPr>
                <w:p w14:paraId="15063CC6">
                  <w:pPr>
                    <w:pStyle w:val="221"/>
                    <w:rPr>
                      <w:color w:val="000000" w:themeColor="text1"/>
                      <w14:textFill>
                        <w14:solidFill>
                          <w14:schemeClr w14:val="tx1"/>
                        </w14:solidFill>
                      </w14:textFill>
                    </w:rPr>
                  </w:pPr>
                </w:p>
              </w:tc>
              <w:tc>
                <w:tcPr>
                  <w:tcW w:w="1632" w:type="dxa"/>
                  <w:noWrap/>
                  <w:vAlign w:val="center"/>
                </w:tcPr>
                <w:p w14:paraId="7BD18793">
                  <w:pPr>
                    <w:pStyle w:val="221"/>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1527" w:type="dxa"/>
                  <w:noWrap/>
                  <w:vAlign w:val="center"/>
                </w:tcPr>
                <w:p w14:paraId="6A23DBE4">
                  <w:pPr>
                    <w:pStyle w:val="221"/>
                    <w:rPr>
                      <w:color w:val="000000" w:themeColor="text1"/>
                      <w14:textFill>
                        <w14:solidFill>
                          <w14:schemeClr w14:val="tx1"/>
                        </w14:solidFill>
                      </w14:textFill>
                    </w:rPr>
                  </w:pPr>
                  <w:r>
                    <w:rPr>
                      <w:color w:val="000000" w:themeColor="text1"/>
                      <w14:textFill>
                        <w14:solidFill>
                          <w14:schemeClr w14:val="tx1"/>
                        </w14:solidFill>
                      </w14:textFill>
                    </w:rPr>
                    <w:t>纬度</w:t>
                  </w:r>
                </w:p>
              </w:tc>
            </w:tr>
            <w:tr w14:paraId="2379A6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645" w:type="dxa"/>
                  <w:noWrap/>
                  <w:vAlign w:val="center"/>
                </w:tcPr>
                <w:p w14:paraId="61C6053D">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r>
                    <w:rPr>
                      <w:rFonts w:hint="eastAsia"/>
                      <w:color w:val="000000" w:themeColor="text1"/>
                      <w14:textFill>
                        <w14:solidFill>
                          <w14:schemeClr w14:val="tx1"/>
                        </w14:solidFill>
                      </w14:textFill>
                    </w:rPr>
                    <w:t>排气筒</w:t>
                  </w:r>
                  <w:r>
                    <w:rPr>
                      <w:color w:val="000000" w:themeColor="text1"/>
                      <w14:textFill>
                        <w14:solidFill>
                          <w14:schemeClr w14:val="tx1"/>
                        </w14:solidFill>
                      </w14:textFill>
                    </w:rPr>
                    <w:t>DA00</w:t>
                  </w:r>
                  <w:r>
                    <w:rPr>
                      <w:rFonts w:hint="eastAsia"/>
                      <w:color w:val="000000" w:themeColor="text1"/>
                      <w14:textFill>
                        <w14:solidFill>
                          <w14:schemeClr w14:val="tx1"/>
                        </w14:solidFill>
                      </w14:textFill>
                    </w:rPr>
                    <w:t>1</w:t>
                  </w:r>
                </w:p>
              </w:tc>
              <w:tc>
                <w:tcPr>
                  <w:tcW w:w="853" w:type="dxa"/>
                  <w:noWrap/>
                  <w:vAlign w:val="center"/>
                </w:tcPr>
                <w:p w14:paraId="5A58C41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97" w:type="dxa"/>
                  <w:noWrap/>
                  <w:vAlign w:val="center"/>
                </w:tcPr>
                <w:p w14:paraId="3560B93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993" w:type="dxa"/>
                  <w:noWrap/>
                  <w:vAlign w:val="center"/>
                </w:tcPr>
                <w:p w14:paraId="6A44BCD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常温</w:t>
                  </w:r>
                </w:p>
              </w:tc>
              <w:tc>
                <w:tcPr>
                  <w:tcW w:w="1050" w:type="dxa"/>
                  <w:noWrap/>
                  <w:vAlign w:val="center"/>
                </w:tcPr>
                <w:p w14:paraId="6F60E9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w:t>
                  </w:r>
                  <w:r>
                    <w:rPr>
                      <w:color w:val="000000" w:themeColor="text1"/>
                      <w14:textFill>
                        <w14:solidFill>
                          <w14:schemeClr w14:val="tx1"/>
                        </w14:solidFill>
                      </w14:textFill>
                    </w:rPr>
                    <w:t>排放口</w:t>
                  </w:r>
                </w:p>
              </w:tc>
              <w:tc>
                <w:tcPr>
                  <w:tcW w:w="1632" w:type="dxa"/>
                  <w:noWrap/>
                  <w:vAlign w:val="center"/>
                </w:tcPr>
                <w:p w14:paraId="435BF4B5">
                  <w:pPr>
                    <w:pStyle w:val="221"/>
                    <w:rPr>
                      <w:color w:val="000000" w:themeColor="text1"/>
                      <w14:textFill>
                        <w14:solidFill>
                          <w14:schemeClr w14:val="tx1"/>
                        </w14:solidFill>
                      </w14:textFill>
                    </w:rPr>
                  </w:pPr>
                  <w:r>
                    <w:rPr>
                      <w:color w:val="000000" w:themeColor="text1"/>
                      <w14:textFill>
                        <w14:solidFill>
                          <w14:schemeClr w14:val="tx1"/>
                        </w14:solidFill>
                      </w14:textFill>
                    </w:rPr>
                    <w:t>119°23'40.6449"</w:t>
                  </w:r>
                </w:p>
              </w:tc>
              <w:tc>
                <w:tcPr>
                  <w:tcW w:w="1527" w:type="dxa"/>
                  <w:noWrap/>
                  <w:vAlign w:val="center"/>
                </w:tcPr>
                <w:p w14:paraId="5A1D07F6">
                  <w:pPr>
                    <w:pStyle w:val="221"/>
                    <w:rPr>
                      <w:color w:val="000000" w:themeColor="text1"/>
                      <w14:textFill>
                        <w14:solidFill>
                          <w14:schemeClr w14:val="tx1"/>
                        </w14:solidFill>
                      </w14:textFill>
                    </w:rPr>
                  </w:pPr>
                  <w:r>
                    <w:rPr>
                      <w:color w:val="000000" w:themeColor="text1"/>
                      <w14:textFill>
                        <w14:solidFill>
                          <w14:schemeClr w14:val="tx1"/>
                        </w14:solidFill>
                      </w14:textFill>
                    </w:rPr>
                    <w:t>25°31'39.2272"</w:t>
                  </w:r>
                </w:p>
              </w:tc>
            </w:tr>
            <w:tr w14:paraId="55BF5D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645" w:type="dxa"/>
                  <w:noWrap/>
                  <w:vAlign w:val="center"/>
                </w:tcPr>
                <w:p w14:paraId="40D109E5">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炼胶有机废气排气筒DA002</w:t>
                  </w:r>
                </w:p>
              </w:tc>
              <w:tc>
                <w:tcPr>
                  <w:tcW w:w="853" w:type="dxa"/>
                  <w:noWrap/>
                  <w:vAlign w:val="center"/>
                </w:tcPr>
                <w:p w14:paraId="52BB7A0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97" w:type="dxa"/>
                  <w:noWrap/>
                  <w:vAlign w:val="center"/>
                </w:tcPr>
                <w:p w14:paraId="059CBA5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993" w:type="dxa"/>
                  <w:noWrap/>
                  <w:vAlign w:val="center"/>
                </w:tcPr>
                <w:p w14:paraId="6BD2D81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常温</w:t>
                  </w:r>
                </w:p>
              </w:tc>
              <w:tc>
                <w:tcPr>
                  <w:tcW w:w="1050" w:type="dxa"/>
                  <w:noWrap/>
                  <w:vAlign w:val="center"/>
                </w:tcPr>
                <w:p w14:paraId="3EDBE81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w:t>
                  </w:r>
                  <w:r>
                    <w:rPr>
                      <w:color w:val="000000" w:themeColor="text1"/>
                      <w14:textFill>
                        <w14:solidFill>
                          <w14:schemeClr w14:val="tx1"/>
                        </w14:solidFill>
                      </w14:textFill>
                    </w:rPr>
                    <w:t>排放口</w:t>
                  </w:r>
                </w:p>
              </w:tc>
              <w:tc>
                <w:tcPr>
                  <w:tcW w:w="1632" w:type="dxa"/>
                  <w:noWrap/>
                  <w:vAlign w:val="center"/>
                </w:tcPr>
                <w:p w14:paraId="2B804713">
                  <w:pPr>
                    <w:pStyle w:val="221"/>
                    <w:rPr>
                      <w:color w:val="000000" w:themeColor="text1"/>
                      <w14:textFill>
                        <w14:solidFill>
                          <w14:schemeClr w14:val="tx1"/>
                        </w14:solidFill>
                      </w14:textFill>
                    </w:rPr>
                  </w:pPr>
                  <w:r>
                    <w:rPr>
                      <w:color w:val="000000" w:themeColor="text1"/>
                      <w14:textFill>
                        <w14:solidFill>
                          <w14:schemeClr w14:val="tx1"/>
                        </w14:solidFill>
                      </w14:textFill>
                    </w:rPr>
                    <w:t>119°23'39.8190"</w:t>
                  </w:r>
                </w:p>
              </w:tc>
              <w:tc>
                <w:tcPr>
                  <w:tcW w:w="1527" w:type="dxa"/>
                  <w:noWrap/>
                  <w:vAlign w:val="center"/>
                </w:tcPr>
                <w:p w14:paraId="126DDA94">
                  <w:pPr>
                    <w:pStyle w:val="221"/>
                    <w:rPr>
                      <w:color w:val="000000" w:themeColor="text1"/>
                      <w14:textFill>
                        <w14:solidFill>
                          <w14:schemeClr w14:val="tx1"/>
                        </w14:solidFill>
                      </w14:textFill>
                    </w:rPr>
                  </w:pPr>
                  <w:r>
                    <w:rPr>
                      <w:color w:val="000000" w:themeColor="text1"/>
                      <w14:textFill>
                        <w14:solidFill>
                          <w14:schemeClr w14:val="tx1"/>
                        </w14:solidFill>
                      </w14:textFill>
                    </w:rPr>
                    <w:t>25°31'39.4576"</w:t>
                  </w:r>
                </w:p>
              </w:tc>
            </w:tr>
          </w:tbl>
          <w:p w14:paraId="66AAD05C">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2、措施可行性分析</w:t>
            </w:r>
          </w:p>
          <w:p w14:paraId="5C60E3A2">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（1）有机废气治理措施可行性分析</w:t>
            </w:r>
          </w:p>
          <w:p w14:paraId="6BE49341">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项目有机废气经集气罩+二级活性炭吸附+15m排气筒（DA002）排放。</w:t>
            </w:r>
          </w:p>
          <w:p w14:paraId="537DD7BD">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活性炭吸附装置工作原理：活性炭是一种具有多孔结构和大比表面积的材料。因其比表面积大、微孔丰富，具备高吸附能力和高表面活性，成为独特的多功能吸附剂</w:t>
            </w:r>
            <w:r>
              <w:rPr>
                <w:rFonts w:hint="eastAsia" w:ascii="Times New Roman" w:hAnsi="Times New Roman" w:eastAsia="宋体" w:cs="Times New Roman"/>
                <w:color w:val="000000" w:themeColor="text1"/>
                <w:szCs w:val="24"/>
                <w:lang w:eastAsia="zh-CN"/>
                <w14:textFill>
                  <w14:solidFill>
                    <w14:schemeClr w14:val="tx1"/>
                  </w14:solidFill>
                </w14:textFill>
              </w:rPr>
              <w:t>且</w:t>
            </w:r>
            <w:r>
              <w:rPr>
                <w:rFonts w:hint="eastAsia" w:ascii="Times New Roman" w:hAnsi="Times New Roman" w:eastAsia="宋体" w:cs="Times New Roman"/>
                <w:color w:val="000000" w:themeColor="text1"/>
                <w:szCs w:val="24"/>
                <w14:textFill>
                  <w14:solidFill>
                    <w14:schemeClr w14:val="tx1"/>
                  </w14:solidFill>
                </w14:textFill>
              </w:rPr>
              <w:t>其价廉易得，可再生活化，同时它可有效去除废水、废气中的大部分有机物和某些无机物，所以它被世界各国广泛地应用于污水及废气的处理、空气净化、回收溶剂等环境保护和资源回收等领域。有机废气先经集气罩集中收集后通过风管引至活性炭箱，活性炭吸附原理是利用固体本身的表面作用力，将流体中的某些物质吸附并集中于固体表面。活性炭吸附法的最大特点，是能在符合经济条件的操作范围内，几乎可以完全除去气流中的有机成分，直至吸附剂容量达到饱和。活性炭是一种很细小的炭粒但有很大的表面积，而且炭粒中还有更细小的孔——毛细管。这种毛细管具有很强的吸附能力，由于炭粒的表面积很大，所以能与气体（杂质）充分接触。当这些气体（杂质）碰到毛细管被吸附后，起净化作用，净化后的有机废气则经15m排气筒排放。</w:t>
            </w:r>
          </w:p>
          <w:p w14:paraId="1AF78181">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根据《吸附法工业有机废气治理工程技术规范》(HJ2026-2013)，项目采用蜂窝活性炭，碘值≥800mg/g的活性炭，活性炭吸附有效的工艺条件为吸附床内废气流速低于1.2m/s，温度低于40℃，颗粒浓度低于1.0mg/m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。从有机废气处理措施入口情况分析，项目有机废气中颗粒物浓度皆小于1.0mg/m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，废气温度低于40℃，故而有机废气级活性炭吸附措施入口的颗粒物及温度满足吸附工艺条件。项目活性炭吸附装置设计时，考虑合理的废气流速，同时其截面积足够大，确保废气气流速度低于1.2m/s。</w:t>
            </w:r>
          </w:p>
          <w:p w14:paraId="0B34D74F">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根据《排污许可证申请与核发技术规范 橡胶和塑料制品工业》（HJ1122—2020）中“表A.1 橡胶制品工业排污单位废气污染防治可行技术参考表”可知，本项目生产过程中所采用的活性炭吸附设施为可行性技术，因此项目废气治理措施是可行的。</w:t>
            </w:r>
          </w:p>
          <w:p w14:paraId="19E4ECD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（2）粉尘治理措施可行性分析</w:t>
            </w:r>
          </w:p>
          <w:p w14:paraId="6D4D242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项目粉尘经集气罩+布袋除尘器+15m排气筒（DA001）排放。</w:t>
            </w:r>
          </w:p>
          <w:p w14:paraId="697DF56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袋式除尘器也称为过滤式除尘器，是一种干式高效除尘器，它是利用纤维编织物制作的袋式过滤元件来捕集含尘气体中固体颗粒物的除尘装置。其作用原理是尘粒在绕过滤布纤维时因惯性力作用与纤维碰撞而被拦截。细微的尘粒（粒径为1微米或更小）则受气体分子冲击（布朗运动）不断改变着运动方向，由于纤维间的空隙小于气体分子布朗运动的自由路径，尘粒便与纤维碰撞接触而被分离出来。</w:t>
            </w:r>
          </w:p>
          <w:p w14:paraId="5E7FB0B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袋式除尘器具有以下的特点：①对细粉尘除尘效率高，一般达95%以上，可以用在净化要求很高的场合；②适应性强，可捕集各类性质的粉尘</w:t>
            </w:r>
            <w:r>
              <w:rPr>
                <w:rFonts w:hint="eastAsia"/>
                <w:color w:val="000000" w:themeColor="text1"/>
                <w:lang w:eastAsia="zh-CN"/>
                <w14:textFill>
                  <w14:solidFill>
                    <w14:schemeClr w14:val="tx1"/>
                  </w14:solidFill>
                </w14:textFill>
              </w:rPr>
              <w:t>且</w:t>
            </w:r>
            <w:r>
              <w:rPr>
                <w:rFonts w:hint="eastAsia"/>
                <w:color w:val="000000" w:themeColor="text1"/>
                <w14:textFill>
                  <w14:solidFill>
                    <w14:schemeClr w14:val="tx1"/>
                  </w14:solidFill>
                </w14:textFill>
              </w:rPr>
              <w:t>不因粉尘的比电阻等性质而影响除尘效率，适应的烟尘浓度范围广，而且当入口浓度或烟气量变化时，也不会影响净化效率和运行阻力；③规格多样、使用灵活。处理风量可由每小时几百到几百万立方米；④便于回收物料，没有二次污染；⑤受滤料的耐温，耐腐蚀等性能的限制，使用温度不能过高，有些腐蚀性气体也不能选用；⑥在捕集</w:t>
            </w:r>
            <w:r>
              <w:rPr>
                <w:rFonts w:hint="eastAsia"/>
                <w:color w:val="000000" w:themeColor="text1"/>
                <w:lang w:eastAsia="zh-CN"/>
                <w14:textFill>
                  <w14:solidFill>
                    <w14:schemeClr w14:val="tx1"/>
                  </w14:solidFill>
                </w14:textFill>
              </w:rPr>
              <w:t>黏性</w:t>
            </w:r>
            <w:r>
              <w:rPr>
                <w:rFonts w:hint="eastAsia"/>
                <w:color w:val="000000" w:themeColor="text1"/>
                <w14:textFill>
                  <w14:solidFill>
                    <w14:schemeClr w14:val="tx1"/>
                  </w14:solidFill>
                </w14:textFill>
              </w:rPr>
              <w:t>强及吸湿性强的粉尘或处理露点很高的烟气时，容易堵塞滤袋，影响正常工作。</w:t>
            </w:r>
          </w:p>
          <w:p w14:paraId="11DCF3E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根据《排污许可证申请与核发技术规范 橡胶和塑料制品工业》（HJ1122—2020）中“表A.1 橡胶制品工业排污单位废气污染防治可行技术参考表”可知，本项目生产过程中所采用的袋式除尘器为可行性技术，因此项目废气治理措施是可行的。</w:t>
            </w:r>
          </w:p>
          <w:p w14:paraId="367B862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（3）集气罩收集效率可行性分析</w:t>
            </w:r>
          </w:p>
          <w:p w14:paraId="43369D1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颗粒物收集效率参考《局部排气罩的捕集效率实验》(彭泰瑶、邵强)中表3平面发生源时罩子的捕集效率，详见下表：</w:t>
            </w:r>
          </w:p>
          <w:p w14:paraId="62180A92">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 xml:space="preserve"> 4.2-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平面发生源时罩子的捕集效率一览表</w:t>
            </w:r>
          </w:p>
          <w:tbl>
            <w:tblPr>
              <w:tblStyle w:val="16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1447"/>
              <w:gridCol w:w="1447"/>
              <w:gridCol w:w="1447"/>
              <w:gridCol w:w="1449"/>
              <w:gridCol w:w="1449"/>
            </w:tblGrid>
            <w:tr w14:paraId="45425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Merge w:val="restart"/>
                  <w:vAlign w:val="center"/>
                </w:tcPr>
                <w:p w14:paraId="765671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距离（mm）</w:t>
                  </w:r>
                </w:p>
              </w:tc>
              <w:tc>
                <w:tcPr>
                  <w:tcW w:w="7362" w:type="dxa"/>
                  <w:gridSpan w:val="5"/>
                  <w:vAlign w:val="center"/>
                </w:tcPr>
                <w:p w14:paraId="697427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在下列罩口风速（m/s）下的捕集效率（%）</w:t>
                  </w:r>
                </w:p>
              </w:tc>
            </w:tr>
            <w:tr w14:paraId="6C1BB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Merge w:val="continue"/>
                  <w:vAlign w:val="center"/>
                </w:tcPr>
                <w:p w14:paraId="2C144D69">
                  <w:pPr>
                    <w:pStyle w:val="221"/>
                    <w:rPr>
                      <w:color w:val="000000" w:themeColor="text1"/>
                      <w14:textFill>
                        <w14:solidFill>
                          <w14:schemeClr w14:val="tx1"/>
                        </w14:solidFill>
                      </w14:textFill>
                    </w:rPr>
                  </w:pPr>
                </w:p>
              </w:tc>
              <w:tc>
                <w:tcPr>
                  <w:tcW w:w="1472" w:type="dxa"/>
                  <w:vAlign w:val="center"/>
                </w:tcPr>
                <w:p w14:paraId="4ACC535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72" w:type="dxa"/>
                  <w:vAlign w:val="center"/>
                </w:tcPr>
                <w:p w14:paraId="294924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472" w:type="dxa"/>
                  <w:vAlign w:val="center"/>
                </w:tcPr>
                <w:p w14:paraId="2BFAA40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473" w:type="dxa"/>
                  <w:vAlign w:val="center"/>
                </w:tcPr>
                <w:p w14:paraId="7D94B5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473" w:type="dxa"/>
                  <w:vAlign w:val="center"/>
                </w:tcPr>
                <w:p w14:paraId="449E783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49C6E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5894C28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1472" w:type="dxa"/>
                  <w:vAlign w:val="center"/>
                </w:tcPr>
                <w:p w14:paraId="21368F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98.4</w:t>
                  </w:r>
                </w:p>
              </w:tc>
              <w:tc>
                <w:tcPr>
                  <w:tcW w:w="1472" w:type="dxa"/>
                  <w:vAlign w:val="center"/>
                </w:tcPr>
                <w:p w14:paraId="237696E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97.2</w:t>
                  </w:r>
                </w:p>
              </w:tc>
              <w:tc>
                <w:tcPr>
                  <w:tcW w:w="1472" w:type="dxa"/>
                  <w:vAlign w:val="center"/>
                </w:tcPr>
                <w:p w14:paraId="1261235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90.1</w:t>
                  </w:r>
                </w:p>
              </w:tc>
              <w:tc>
                <w:tcPr>
                  <w:tcW w:w="1473" w:type="dxa"/>
                  <w:vAlign w:val="center"/>
                </w:tcPr>
                <w:p w14:paraId="2981876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86</w:t>
                  </w:r>
                </w:p>
              </w:tc>
              <w:tc>
                <w:tcPr>
                  <w:tcW w:w="1473" w:type="dxa"/>
                  <w:vAlign w:val="center"/>
                </w:tcPr>
                <w:p w14:paraId="0F5C67B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78.3</w:t>
                  </w:r>
                </w:p>
              </w:tc>
            </w:tr>
            <w:tr w14:paraId="0771D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148BE55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472" w:type="dxa"/>
                  <w:vAlign w:val="center"/>
                </w:tcPr>
                <w:p w14:paraId="0E0DB18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91.4</w:t>
                  </w:r>
                </w:p>
              </w:tc>
              <w:tc>
                <w:tcPr>
                  <w:tcW w:w="1472" w:type="dxa"/>
                  <w:vAlign w:val="center"/>
                </w:tcPr>
                <w:p w14:paraId="6011920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84.8</w:t>
                  </w:r>
                </w:p>
              </w:tc>
              <w:tc>
                <w:tcPr>
                  <w:tcW w:w="1472" w:type="dxa"/>
                  <w:vAlign w:val="center"/>
                </w:tcPr>
                <w:p w14:paraId="1B57D4D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80.1</w:t>
                  </w:r>
                </w:p>
              </w:tc>
              <w:tc>
                <w:tcPr>
                  <w:tcW w:w="1473" w:type="dxa"/>
                  <w:vAlign w:val="center"/>
                </w:tcPr>
                <w:p w14:paraId="1A6CB4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78.3</w:t>
                  </w:r>
                </w:p>
              </w:tc>
              <w:tc>
                <w:tcPr>
                  <w:tcW w:w="1473" w:type="dxa"/>
                  <w:vAlign w:val="center"/>
                </w:tcPr>
                <w:p w14:paraId="1A0C18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66.1</w:t>
                  </w:r>
                </w:p>
              </w:tc>
            </w:tr>
            <w:tr w14:paraId="415E5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7EE133D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1472" w:type="dxa"/>
                  <w:vAlign w:val="center"/>
                </w:tcPr>
                <w:p w14:paraId="22A8BD3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89</w:t>
                  </w:r>
                </w:p>
              </w:tc>
              <w:tc>
                <w:tcPr>
                  <w:tcW w:w="1472" w:type="dxa"/>
                  <w:vAlign w:val="center"/>
                </w:tcPr>
                <w:p w14:paraId="4DFD13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c>
                <w:tcPr>
                  <w:tcW w:w="1472" w:type="dxa"/>
                  <w:vAlign w:val="center"/>
                </w:tcPr>
                <w:p w14:paraId="2F6A49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70.5</w:t>
                  </w:r>
                </w:p>
              </w:tc>
              <w:tc>
                <w:tcPr>
                  <w:tcW w:w="1473" w:type="dxa"/>
                  <w:vAlign w:val="center"/>
                </w:tcPr>
                <w:p w14:paraId="1931E57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59.8</w:t>
                  </w:r>
                </w:p>
              </w:tc>
              <w:tc>
                <w:tcPr>
                  <w:tcW w:w="1473" w:type="dxa"/>
                  <w:vAlign w:val="center"/>
                </w:tcPr>
                <w:p w14:paraId="639482E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44.8</w:t>
                  </w:r>
                </w:p>
              </w:tc>
            </w:tr>
            <w:tr w14:paraId="613E6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478182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1472" w:type="dxa"/>
                  <w:vAlign w:val="center"/>
                </w:tcPr>
                <w:p w14:paraId="74BC1FD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75.2</w:t>
                  </w:r>
                </w:p>
              </w:tc>
              <w:tc>
                <w:tcPr>
                  <w:tcW w:w="1472" w:type="dxa"/>
                  <w:vAlign w:val="center"/>
                </w:tcPr>
                <w:p w14:paraId="0BD2B9C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61.2</w:t>
                  </w:r>
                </w:p>
              </w:tc>
              <w:tc>
                <w:tcPr>
                  <w:tcW w:w="1472" w:type="dxa"/>
                  <w:vAlign w:val="center"/>
                </w:tcPr>
                <w:p w14:paraId="084C459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54.1</w:t>
                  </w:r>
                </w:p>
              </w:tc>
              <w:tc>
                <w:tcPr>
                  <w:tcW w:w="1473" w:type="dxa"/>
                  <w:vAlign w:val="center"/>
                </w:tcPr>
                <w:p w14:paraId="33D8A31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47.4</w:t>
                  </w:r>
                </w:p>
              </w:tc>
              <w:tc>
                <w:tcPr>
                  <w:tcW w:w="1473" w:type="dxa"/>
                  <w:vAlign w:val="center"/>
                </w:tcPr>
                <w:p w14:paraId="395BA02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36.2</w:t>
                  </w:r>
                </w:p>
              </w:tc>
            </w:tr>
          </w:tbl>
          <w:p w14:paraId="1ECFEDF4">
            <w:pPr>
              <w:pStyle w:val="225"/>
              <w:ind w:firstLine="480"/>
              <w:rPr>
                <w:color w:val="000000" w:themeColor="text1"/>
                <w14:textFill>
                  <w14:solidFill>
                    <w14:schemeClr w14:val="tx1"/>
                  </w14:solidFill>
                </w14:textFill>
              </w:rPr>
            </w:pPr>
          </w:p>
        </w:tc>
      </w:tr>
    </w:tbl>
    <w:p w14:paraId="68B132E9">
      <w:pPr>
        <w:widowControl w:val="0"/>
        <w:topLinePunct/>
        <w:spacing w:line="360" w:lineRule="auto"/>
        <w:jc w:val="both"/>
        <w:rPr>
          <w:rFonts w:ascii="Times New Roman" w:hAnsi="Times New Roman" w:eastAsia="宋体" w:cs="Times New Roman"/>
          <w:b/>
          <w:bCs/>
          <w:color w:val="000000" w:themeColor="text1"/>
          <w:shd w:val="clear" w:color="auto" w:fill="FFFFFF"/>
          <w14:textFill>
            <w14:solidFill>
              <w14:schemeClr w14:val="tx1"/>
            </w14:solidFill>
          </w14:textFill>
        </w:rPr>
        <w:sectPr>
          <w:pgSz w:w="11907" w:h="16840"/>
          <w:pgMar w:top="1417" w:right="1417" w:bottom="1417" w:left="1417" w:header="992" w:footer="992" w:gutter="0"/>
          <w:cols w:space="720" w:num="1"/>
          <w:docGrid w:linePitch="312" w:charSpace="0"/>
        </w:sectPr>
      </w:pP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8839"/>
      </w:tblGrid>
      <w:tr w14:paraId="41C53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2" w:hRule="atLeast"/>
        </w:trPr>
        <w:tc>
          <w:tcPr>
            <w:tcW w:w="453" w:type="dxa"/>
            <w:vAlign w:val="center"/>
          </w:tcPr>
          <w:p w14:paraId="65F2A817">
            <w:pPr>
              <w:pStyle w:val="30"/>
              <w:widowControl w:val="0"/>
              <w:topLinePunct/>
              <w:spacing w:after="0" w:line="240" w:lineRule="auto"/>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运营期环境影响和保护措施</w:t>
            </w:r>
          </w:p>
        </w:tc>
        <w:tc>
          <w:tcPr>
            <w:tcW w:w="8836" w:type="dxa"/>
            <w:vAlign w:val="center"/>
          </w:tcPr>
          <w:p w14:paraId="27BBD328">
            <w:pPr>
              <w:pStyle w:val="223"/>
              <w:spacing w:before="120"/>
              <w:ind w:firstLine="480"/>
              <w:rPr>
                <w:color w:val="000000" w:themeColor="text1"/>
                <w:lang w:val="en-GB"/>
                <w14:textFill>
                  <w14:solidFill>
                    <w14:schemeClr w14:val="tx1"/>
                  </w14:solidFill>
                </w14:textFill>
              </w:rPr>
            </w:pPr>
            <w:r>
              <w:rPr>
                <w:rFonts w:hint="eastAsia"/>
                <w:color w:val="000000" w:themeColor="text1"/>
                <w14:textFill>
                  <w14:solidFill>
                    <w14:schemeClr w14:val="tx1"/>
                  </w14:solidFill>
                </w14:textFill>
              </w:rPr>
              <w:t>项目设置的集气罩距离产尘点距离小于500mm，罩口风速不低于0.5m/s，则收集效率取值60%。</w:t>
            </w:r>
          </w:p>
          <w:p w14:paraId="0EBA61A4">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参考《浙江省重点行业VOCs污染排放源排放量计算方法》中表 1-1，VOCs收集效率见下表：</w:t>
            </w:r>
          </w:p>
          <w:p w14:paraId="3D7CFA52">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 xml:space="preserve">4.2-6  </w:t>
            </w:r>
            <w:r>
              <w:rPr>
                <w:color w:val="000000" w:themeColor="text1"/>
                <w14:textFill>
                  <w14:solidFill>
                    <w14:schemeClr w14:val="tx1"/>
                  </w14:solidFill>
                </w14:textFill>
              </w:rPr>
              <w:t>VOCs 认定收集效率表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10"/>
              <w:gridCol w:w="1398"/>
              <w:gridCol w:w="4610"/>
            </w:tblGrid>
            <w:tr w14:paraId="0FBD4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0309010B">
                  <w:pPr>
                    <w:pStyle w:val="221"/>
                    <w:rPr>
                      <w:color w:val="000000" w:themeColor="text1"/>
                      <w14:textFill>
                        <w14:solidFill>
                          <w14:schemeClr w14:val="tx1"/>
                        </w14:solidFill>
                      </w14:textFill>
                    </w:rPr>
                  </w:pPr>
                  <w:r>
                    <w:rPr>
                      <w:color w:val="000000" w:themeColor="text1"/>
                      <w14:textFill>
                        <w14:solidFill>
                          <w14:schemeClr w14:val="tx1"/>
                        </w14:solidFill>
                      </w14:textFill>
                    </w:rPr>
                    <w:t>收集方式</w:t>
                  </w:r>
                </w:p>
              </w:tc>
              <w:tc>
                <w:tcPr>
                  <w:tcW w:w="811" w:type="pct"/>
                  <w:vAlign w:val="center"/>
                </w:tcPr>
                <w:p w14:paraId="4DC26E33">
                  <w:pPr>
                    <w:pStyle w:val="221"/>
                    <w:rPr>
                      <w:color w:val="000000" w:themeColor="text1"/>
                      <w14:textFill>
                        <w14:solidFill>
                          <w14:schemeClr w14:val="tx1"/>
                        </w14:solidFill>
                      </w14:textFill>
                    </w:rPr>
                  </w:pPr>
                  <w:r>
                    <w:rPr>
                      <w:color w:val="000000" w:themeColor="text1"/>
                      <w14:textFill>
                        <w14:solidFill>
                          <w14:schemeClr w14:val="tx1"/>
                        </w14:solidFill>
                      </w14:textFill>
                    </w:rPr>
                    <w:t>收集效率</w:t>
                  </w:r>
                </w:p>
              </w:tc>
              <w:tc>
                <w:tcPr>
                  <w:tcW w:w="2674" w:type="pct"/>
                  <w:vAlign w:val="center"/>
                </w:tcPr>
                <w:p w14:paraId="4957585C">
                  <w:pPr>
                    <w:pStyle w:val="221"/>
                    <w:rPr>
                      <w:color w:val="000000" w:themeColor="text1"/>
                      <w14:textFill>
                        <w14:solidFill>
                          <w14:schemeClr w14:val="tx1"/>
                        </w14:solidFill>
                      </w14:textFill>
                    </w:rPr>
                  </w:pPr>
                  <w:r>
                    <w:rPr>
                      <w:color w:val="000000" w:themeColor="text1"/>
                      <w14:textFill>
                        <w14:solidFill>
                          <w14:schemeClr w14:val="tx1"/>
                        </w14:solidFill>
                      </w14:textFill>
                    </w:rPr>
                    <w:t>达到上限效率必须满足的条件，否则按下限计</w:t>
                  </w:r>
                </w:p>
              </w:tc>
            </w:tr>
            <w:tr w14:paraId="36507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1BF01829">
                  <w:pPr>
                    <w:pStyle w:val="221"/>
                    <w:rPr>
                      <w:color w:val="000000" w:themeColor="text1"/>
                      <w14:textFill>
                        <w14:solidFill>
                          <w14:schemeClr w14:val="tx1"/>
                        </w14:solidFill>
                      </w14:textFill>
                    </w:rPr>
                  </w:pPr>
                  <w:r>
                    <w:rPr>
                      <w:color w:val="000000" w:themeColor="text1"/>
                      <w14:textFill>
                        <w14:solidFill>
                          <w14:schemeClr w14:val="tx1"/>
                        </w14:solidFill>
                      </w14:textFill>
                    </w:rPr>
                    <w:t>设备废气排口直连</w:t>
                  </w:r>
                </w:p>
              </w:tc>
              <w:tc>
                <w:tcPr>
                  <w:tcW w:w="811" w:type="pct"/>
                  <w:vAlign w:val="center"/>
                </w:tcPr>
                <w:p w14:paraId="1377DC84">
                  <w:pPr>
                    <w:pStyle w:val="221"/>
                    <w:rPr>
                      <w:color w:val="000000" w:themeColor="text1"/>
                      <w14:textFill>
                        <w14:solidFill>
                          <w14:schemeClr w14:val="tx1"/>
                        </w14:solidFill>
                      </w14:textFill>
                    </w:rPr>
                  </w:pPr>
                  <w:r>
                    <w:rPr>
                      <w:color w:val="000000" w:themeColor="text1"/>
                      <w14:textFill>
                        <w14:solidFill>
                          <w14:schemeClr w14:val="tx1"/>
                        </w14:solidFill>
                      </w14:textFill>
                    </w:rPr>
                    <w:t>80~95</w:t>
                  </w:r>
                </w:p>
              </w:tc>
              <w:tc>
                <w:tcPr>
                  <w:tcW w:w="2674" w:type="pct"/>
                  <w:vAlign w:val="center"/>
                </w:tcPr>
                <w:p w14:paraId="11B395AB">
                  <w:pPr>
                    <w:pStyle w:val="221"/>
                    <w:rPr>
                      <w:color w:val="000000" w:themeColor="text1"/>
                      <w14:textFill>
                        <w14:solidFill>
                          <w14:schemeClr w14:val="tx1"/>
                        </w14:solidFill>
                      </w14:textFill>
                    </w:rPr>
                  </w:pPr>
                  <w:r>
                    <w:rPr>
                      <w:color w:val="000000" w:themeColor="text1"/>
                      <w14:textFill>
                        <w14:solidFill>
                          <w14:schemeClr w14:val="tx1"/>
                        </w14:solidFill>
                      </w14:textFill>
                    </w:rPr>
                    <w:t>设备有固定排放管（或口）直接与风管相连设备整体密闭只留产 品进出口</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进出口处有废气收集装置，收集系统运行时周边基本无VOCs散发</w:t>
                  </w:r>
                </w:p>
              </w:tc>
            </w:tr>
            <w:tr w14:paraId="1CEC3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52790CCE">
                  <w:pPr>
                    <w:pStyle w:val="221"/>
                    <w:rPr>
                      <w:color w:val="000000" w:themeColor="text1"/>
                      <w14:textFill>
                        <w14:solidFill>
                          <w14:schemeClr w14:val="tx1"/>
                        </w14:solidFill>
                      </w14:textFill>
                    </w:rPr>
                  </w:pPr>
                  <w:r>
                    <w:rPr>
                      <w:color w:val="000000" w:themeColor="text1"/>
                      <w14:textFill>
                        <w14:solidFill>
                          <w14:schemeClr w14:val="tx1"/>
                        </w14:solidFill>
                      </w14:textFill>
                    </w:rPr>
                    <w:t>车间或密闭间进行收集</w:t>
                  </w:r>
                </w:p>
              </w:tc>
              <w:tc>
                <w:tcPr>
                  <w:tcW w:w="811" w:type="pct"/>
                  <w:vAlign w:val="center"/>
                </w:tcPr>
                <w:p w14:paraId="518F5A73">
                  <w:pPr>
                    <w:pStyle w:val="221"/>
                    <w:rPr>
                      <w:color w:val="000000" w:themeColor="text1"/>
                      <w14:textFill>
                        <w14:solidFill>
                          <w14:schemeClr w14:val="tx1"/>
                        </w14:solidFill>
                      </w14:textFill>
                    </w:rPr>
                  </w:pPr>
                  <w:r>
                    <w:rPr>
                      <w:color w:val="000000" w:themeColor="text1"/>
                      <w14:textFill>
                        <w14:solidFill>
                          <w14:schemeClr w14:val="tx1"/>
                        </w14:solidFill>
                      </w14:textFill>
                    </w:rPr>
                    <w:t>80~95</w:t>
                  </w:r>
                </w:p>
              </w:tc>
              <w:tc>
                <w:tcPr>
                  <w:tcW w:w="2674" w:type="pct"/>
                  <w:vAlign w:val="center"/>
                </w:tcPr>
                <w:p w14:paraId="5085573D">
                  <w:pPr>
                    <w:pStyle w:val="221"/>
                    <w:rPr>
                      <w:color w:val="000000" w:themeColor="text1"/>
                      <w14:textFill>
                        <w14:solidFill>
                          <w14:schemeClr w14:val="tx1"/>
                        </w14:solidFill>
                      </w14:textFill>
                    </w:rPr>
                  </w:pPr>
                  <w:r>
                    <w:rPr>
                      <w:color w:val="000000" w:themeColor="text1"/>
                      <w14:textFill>
                        <w14:solidFill>
                          <w14:schemeClr w14:val="tx1"/>
                        </w14:solidFill>
                      </w14:textFill>
                    </w:rPr>
                    <w:t>屋面现浇，四周墙壁或门窗等密闭性好。收集总风量能确保开口处保持微负压（敞开截面处的吸入风速不小于0.5m/s），不让废气外泄。</w:t>
                  </w:r>
                </w:p>
              </w:tc>
            </w:tr>
            <w:tr w14:paraId="2E621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7FB5B7B6">
                  <w:pPr>
                    <w:pStyle w:val="221"/>
                    <w:rPr>
                      <w:color w:val="000000" w:themeColor="text1"/>
                      <w14:textFill>
                        <w14:solidFill>
                          <w14:schemeClr w14:val="tx1"/>
                        </w14:solidFill>
                      </w14:textFill>
                    </w:rPr>
                  </w:pPr>
                  <w:r>
                    <w:rPr>
                      <w:color w:val="000000" w:themeColor="text1"/>
                      <w14:textFill>
                        <w14:solidFill>
                          <w14:schemeClr w14:val="tx1"/>
                        </w14:solidFill>
                      </w14:textFill>
                    </w:rPr>
                    <w:t>半密闭罩或通风橱方式收集（罩内或橱内操作）</w:t>
                  </w:r>
                </w:p>
              </w:tc>
              <w:tc>
                <w:tcPr>
                  <w:tcW w:w="811" w:type="pct"/>
                  <w:vAlign w:val="center"/>
                </w:tcPr>
                <w:p w14:paraId="7139BE7F">
                  <w:pPr>
                    <w:pStyle w:val="221"/>
                    <w:rPr>
                      <w:color w:val="000000" w:themeColor="text1"/>
                      <w14:textFill>
                        <w14:solidFill>
                          <w14:schemeClr w14:val="tx1"/>
                        </w14:solidFill>
                      </w14:textFill>
                    </w:rPr>
                  </w:pPr>
                  <w:r>
                    <w:rPr>
                      <w:color w:val="000000" w:themeColor="text1"/>
                      <w14:textFill>
                        <w14:solidFill>
                          <w14:schemeClr w14:val="tx1"/>
                        </w14:solidFill>
                      </w14:textFill>
                    </w:rPr>
                    <w:t>65~85</w:t>
                  </w:r>
                </w:p>
              </w:tc>
              <w:tc>
                <w:tcPr>
                  <w:tcW w:w="2674" w:type="pct"/>
                  <w:vAlign w:val="center"/>
                </w:tcPr>
                <w:p w14:paraId="001D2424">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污染物产生点（面）处，往吸入口方向的控制风速不小于某一数值（喷漆不小于0.75m/s，其余不小于0.5m/s）</w:t>
                  </w:r>
                </w:p>
              </w:tc>
            </w:tr>
            <w:tr w14:paraId="2804A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057E336B">
                  <w:pPr>
                    <w:pStyle w:val="221"/>
                    <w:rPr>
                      <w:color w:val="000000" w:themeColor="text1"/>
                      <w14:textFill>
                        <w14:solidFill>
                          <w14:schemeClr w14:val="tx1"/>
                        </w14:solidFill>
                      </w14:textFill>
                    </w:rPr>
                  </w:pPr>
                  <w:r>
                    <w:rPr>
                      <w:color w:val="000000" w:themeColor="text1"/>
                      <w14:textFill>
                        <w14:solidFill>
                          <w14:schemeClr w14:val="tx1"/>
                        </w14:solidFill>
                      </w14:textFill>
                    </w:rPr>
                    <w:t>热态上吸风罩</w:t>
                  </w:r>
                </w:p>
              </w:tc>
              <w:tc>
                <w:tcPr>
                  <w:tcW w:w="811" w:type="pct"/>
                  <w:vAlign w:val="center"/>
                </w:tcPr>
                <w:p w14:paraId="1BCBFE49">
                  <w:pPr>
                    <w:pStyle w:val="221"/>
                    <w:rPr>
                      <w:color w:val="000000" w:themeColor="text1"/>
                      <w14:textFill>
                        <w14:solidFill>
                          <w14:schemeClr w14:val="tx1"/>
                        </w14:solidFill>
                      </w14:textFill>
                    </w:rPr>
                  </w:pPr>
                  <w:r>
                    <w:rPr>
                      <w:color w:val="000000" w:themeColor="text1"/>
                      <w14:textFill>
                        <w14:solidFill>
                          <w14:schemeClr w14:val="tx1"/>
                        </w14:solidFill>
                      </w14:textFill>
                    </w:rPr>
                    <w:t>30~60</w:t>
                  </w:r>
                </w:p>
              </w:tc>
              <w:tc>
                <w:tcPr>
                  <w:tcW w:w="2674" w:type="pct"/>
                  <w:vAlign w:val="center"/>
                </w:tcPr>
                <w:p w14:paraId="7CD2C780">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 0.5m/s。热态指污染源散发气体温度≥60℃。 冷态上吸风罩 0~50污染物产生点（面）处，往吸入口方向的控制风速不小</w:t>
                  </w:r>
                </w:p>
              </w:tc>
            </w:tr>
            <w:tr w14:paraId="64A9B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267B16ED">
                  <w:pPr>
                    <w:pStyle w:val="221"/>
                    <w:rPr>
                      <w:color w:val="000000" w:themeColor="text1"/>
                      <w14:textFill>
                        <w14:solidFill>
                          <w14:schemeClr w14:val="tx1"/>
                        </w14:solidFill>
                      </w14:textFill>
                    </w:rPr>
                  </w:pPr>
                  <w:r>
                    <w:rPr>
                      <w:color w:val="000000" w:themeColor="text1"/>
                      <w14:textFill>
                        <w14:solidFill>
                          <w14:schemeClr w14:val="tx1"/>
                        </w14:solidFill>
                      </w14:textFill>
                    </w:rPr>
                    <w:t>冷态上吸风罩</w:t>
                  </w:r>
                </w:p>
              </w:tc>
              <w:tc>
                <w:tcPr>
                  <w:tcW w:w="811" w:type="pct"/>
                  <w:vAlign w:val="center"/>
                </w:tcPr>
                <w:p w14:paraId="01C50903">
                  <w:pPr>
                    <w:pStyle w:val="221"/>
                    <w:rPr>
                      <w:color w:val="000000" w:themeColor="text1"/>
                      <w14:textFill>
                        <w14:solidFill>
                          <w14:schemeClr w14:val="tx1"/>
                        </w14:solidFill>
                      </w14:textFill>
                    </w:rPr>
                  </w:pPr>
                  <w:r>
                    <w:rPr>
                      <w:color w:val="000000" w:themeColor="text1"/>
                      <w14:textFill>
                        <w14:solidFill>
                          <w14:schemeClr w14:val="tx1"/>
                        </w14:solidFill>
                      </w14:textFill>
                    </w:rPr>
                    <w:t>20~50</w:t>
                  </w:r>
                </w:p>
              </w:tc>
              <w:tc>
                <w:tcPr>
                  <w:tcW w:w="2674" w:type="pct"/>
                  <w:vAlign w:val="center"/>
                </w:tcPr>
                <w:p w14:paraId="6D0347E0">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污染物产生点（面）处，往吸入口方向的控制风速不小于0.25m/s。冷态指污染源散发气体温度＜60℃。</w:t>
                  </w:r>
                </w:p>
              </w:tc>
            </w:tr>
            <w:tr w14:paraId="09AA3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6E9634DC">
                  <w:pPr>
                    <w:pStyle w:val="221"/>
                    <w:rPr>
                      <w:color w:val="000000" w:themeColor="text1"/>
                      <w14:textFill>
                        <w14:solidFill>
                          <w14:schemeClr w14:val="tx1"/>
                        </w14:solidFill>
                      </w14:textFill>
                    </w:rPr>
                  </w:pPr>
                  <w:r>
                    <w:rPr>
                      <w:color w:val="000000" w:themeColor="text1"/>
                      <w14:textFill>
                        <w14:solidFill>
                          <w14:schemeClr w14:val="tx1"/>
                        </w14:solidFill>
                      </w14:textFill>
                    </w:rPr>
                    <w:t>侧吸风罩</w:t>
                  </w:r>
                </w:p>
              </w:tc>
              <w:tc>
                <w:tcPr>
                  <w:tcW w:w="811" w:type="pct"/>
                  <w:vAlign w:val="center"/>
                </w:tcPr>
                <w:p w14:paraId="784C72D9">
                  <w:pPr>
                    <w:pStyle w:val="221"/>
                    <w:rPr>
                      <w:color w:val="000000" w:themeColor="text1"/>
                      <w14:textFill>
                        <w14:solidFill>
                          <w14:schemeClr w14:val="tx1"/>
                        </w14:solidFill>
                      </w14:textFill>
                    </w:rPr>
                  </w:pPr>
                  <w:r>
                    <w:rPr>
                      <w:color w:val="000000" w:themeColor="text1"/>
                      <w14:textFill>
                        <w14:solidFill>
                          <w14:schemeClr w14:val="tx1"/>
                        </w14:solidFill>
                      </w14:textFill>
                    </w:rPr>
                    <w:t>20~40</w:t>
                  </w:r>
                </w:p>
              </w:tc>
              <w:tc>
                <w:tcPr>
                  <w:tcW w:w="2674" w:type="pct"/>
                  <w:vAlign w:val="center"/>
                </w:tcPr>
                <w:p w14:paraId="21FEB39B">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污染物产生点（面）处，往吸入口方向的控制风速不小于0.5m/s</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吸风罩离污染源远端的距离不大于 0.6m</w:t>
                  </w:r>
                </w:p>
              </w:tc>
            </w:tr>
          </w:tbl>
          <w:p w14:paraId="37557BEB">
            <w:pPr>
              <w:pStyle w:val="223"/>
              <w:spacing w:before="120"/>
              <w:ind w:firstLine="480"/>
              <w:rPr>
                <w:color w:val="000000" w:themeColor="text1"/>
                <w:lang w:val="en-GB"/>
                <w14:textFill>
                  <w14:solidFill>
                    <w14:schemeClr w14:val="tx1"/>
                  </w14:solidFill>
                </w14:textFill>
              </w:rPr>
            </w:pPr>
            <w:r>
              <w:rPr>
                <w:color w:val="000000" w:themeColor="text1"/>
                <w14:textFill>
                  <w14:solidFill>
                    <w14:schemeClr w14:val="tx1"/>
                  </w14:solidFill>
                </w14:textFill>
              </w:rPr>
              <w:t>项目拟将</w:t>
            </w:r>
            <w:r>
              <w:rPr>
                <w:rFonts w:hint="eastAsia"/>
                <w:color w:val="000000" w:themeColor="text1"/>
                <w14:textFill>
                  <w14:solidFill>
                    <w14:schemeClr w14:val="tx1"/>
                  </w14:solidFill>
                </w14:textFill>
              </w:rPr>
              <w:t>生产线</w:t>
            </w:r>
            <w:r>
              <w:rPr>
                <w:color w:val="000000" w:themeColor="text1"/>
                <w14:textFill>
                  <w14:solidFill>
                    <w14:schemeClr w14:val="tx1"/>
                  </w14:solidFill>
                </w14:textFill>
              </w:rPr>
              <w:t>设置在密闭车间</w:t>
            </w:r>
            <w:r>
              <w:rPr>
                <w:rFonts w:hint="eastAsia"/>
                <w:color w:val="000000" w:themeColor="text1"/>
                <w14:textFill>
                  <w14:solidFill>
                    <w14:schemeClr w14:val="tx1"/>
                  </w14:solidFill>
                </w14:textFill>
              </w:rPr>
              <w:t>内</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四周墙壁或门窗等密闭性好，</w:t>
            </w:r>
            <w:r>
              <w:rPr>
                <w:color w:val="000000" w:themeColor="text1"/>
                <w14:textFill>
                  <w14:solidFill>
                    <w14:schemeClr w14:val="tx1"/>
                  </w14:solidFill>
                </w14:textFill>
              </w:rPr>
              <w:t>废气产生源与集气罩的距离</w:t>
            </w:r>
            <w:r>
              <w:rPr>
                <w:rFonts w:hint="eastAsia"/>
                <w:color w:val="000000" w:themeColor="text1"/>
                <w14:textFill>
                  <w14:solidFill>
                    <w14:schemeClr w14:val="tx1"/>
                  </w14:solidFill>
                </w14:textFill>
              </w:rPr>
              <w:t>较近</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控制风速不小于0.5m/s，</w:t>
            </w:r>
            <w:r>
              <w:rPr>
                <w:rFonts w:hint="eastAsia"/>
                <w:color w:val="000000" w:themeColor="text1"/>
                <w14:textFill>
                  <w14:solidFill>
                    <w14:schemeClr w14:val="tx1"/>
                  </w14:solidFill>
                </w14:textFill>
              </w:rPr>
              <w:t>设计密闭车间内集气罩总抽风量大于车间进风量，可使得密闭车间内保持微负压，</w:t>
            </w:r>
            <w:r>
              <w:rPr>
                <w:color w:val="000000" w:themeColor="text1"/>
                <w14:textFill>
                  <w14:solidFill>
                    <w14:schemeClr w14:val="tx1"/>
                  </w14:solidFill>
                </w14:textFill>
              </w:rPr>
              <w:t>可减少废气扩散，</w:t>
            </w:r>
            <w:r>
              <w:rPr>
                <w:rFonts w:hint="eastAsia"/>
                <w:color w:val="000000" w:themeColor="text1"/>
                <w14:textFill>
                  <w14:solidFill>
                    <w14:schemeClr w14:val="tx1"/>
                  </w14:solidFill>
                </w14:textFill>
              </w:rPr>
              <w:t>因此可认为本项目有机废气得到有效收集，参考上表中“</w:t>
            </w:r>
            <w:r>
              <w:rPr>
                <w:color w:val="000000" w:themeColor="text1"/>
                <w14:textFill>
                  <w14:solidFill>
                    <w14:schemeClr w14:val="tx1"/>
                  </w14:solidFill>
                </w14:textFill>
              </w:rPr>
              <w:t>车间或密闭间进行收集</w:t>
            </w:r>
            <w:r>
              <w:rPr>
                <w:rFonts w:hint="eastAsia"/>
                <w:color w:val="000000" w:themeColor="text1"/>
                <w14:textFill>
                  <w14:solidFill>
                    <w14:schemeClr w14:val="tx1"/>
                  </w14:solidFill>
                </w14:textFill>
              </w:rPr>
              <w:t>的收集效率</w:t>
            </w:r>
            <w:r>
              <w:rPr>
                <w:color w:val="000000" w:themeColor="text1"/>
                <w14:textFill>
                  <w14:solidFill>
                    <w14:schemeClr w14:val="tx1"/>
                  </w14:solidFill>
                </w14:textFill>
              </w:rPr>
              <w:t>80~95</w:t>
            </w:r>
            <w:r>
              <w:rPr>
                <w:rFonts w:hint="eastAsia"/>
                <w:color w:val="000000" w:themeColor="text1"/>
                <w14:textFill>
                  <w14:solidFill>
                    <w14:schemeClr w14:val="tx1"/>
                  </w14:solidFill>
                </w14:textFill>
              </w:rPr>
              <w:t>%”，本项目收集效率按80%计。</w:t>
            </w:r>
          </w:p>
          <w:p w14:paraId="682993D0">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（4）治理效率可行性分析</w:t>
            </w:r>
          </w:p>
          <w:p w14:paraId="54E19A66">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根据《排放源统计调查产排污核算方法和系数手册》3099其他非金属矿物制品制造行业系数表，布袋除尘平均治理效率为99%。本项目保守取值90%可行。</w:t>
            </w:r>
          </w:p>
          <w:p w14:paraId="6566700E">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参考《上海市工业固定源挥发性有机物治理技术指引》，二级活性炭对有机废气去除率按60%计算。</w:t>
            </w:r>
          </w:p>
          <w:p w14:paraId="50D0B5EC">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（5）收集风量设置可行性分析</w:t>
            </w:r>
          </w:p>
          <w:p w14:paraId="31D64FA7">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根据《大气污染控制工程》（第三版）中集气罩风量计算公式：</w:t>
            </w:r>
          </w:p>
          <w:p w14:paraId="79A54628">
            <w:pPr>
              <w:adjustRightInd w:val="0"/>
              <w:spacing w:after="0" w:line="360" w:lineRule="auto"/>
              <w:ind w:firstLine="420" w:firstLineChars="200"/>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drawing>
                <wp:inline distT="0" distB="0" distL="114300" distR="114300">
                  <wp:extent cx="2124075" cy="342900"/>
                  <wp:effectExtent l="0" t="0" r="9525" b="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27" cstate="print"/>
                          <a:stretch>
                            <a:fillRect/>
                          </a:stretch>
                        </pic:blipFill>
                        <pic:spPr>
                          <a:xfrm>
                            <a:off x="0" y="0"/>
                            <a:ext cx="2124075" cy="342900"/>
                          </a:xfrm>
                          <a:prstGeom prst="rect">
                            <a:avLst/>
                          </a:prstGeom>
                          <a:noFill/>
                          <a:ln>
                            <a:noFill/>
                          </a:ln>
                        </pic:spPr>
                      </pic:pic>
                    </a:graphicData>
                  </a:graphic>
                </wp:inline>
              </w:drawing>
            </w:r>
          </w:p>
          <w:p w14:paraId="163C35ED">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式中：</w:t>
            </w:r>
          </w:p>
          <w:p w14:paraId="4B425FF3">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Q—集气罩排风量，m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/s；</w:t>
            </w:r>
          </w:p>
          <w:p w14:paraId="3E2EB1DE">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X—污染物产生点至集气罩口的距离，m；</w:t>
            </w:r>
          </w:p>
          <w:p w14:paraId="330FCB97">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A—罩口面积，m</w:t>
            </w:r>
            <w:r>
              <w:rPr>
                <w:rFonts w:hint="eastAsia" w:ascii="Times New Roman" w:hAnsi="Times New Roman" w:eastAsia="宋体" w:cs="Times New Roman"/>
                <w:color w:val="000000" w:themeColor="text1"/>
                <w:szCs w:val="24"/>
                <w:vertAlign w:val="super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w:t>
            </w:r>
          </w:p>
          <w:p w14:paraId="0C3642A1">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Vx—最小控制风速，m/s，</w:t>
            </w:r>
            <w:r>
              <w:rPr>
                <w:rFonts w:hint="eastAsia" w:ascii="宋体" w:hAnsi="宋体" w:eastAsia="宋体" w:cs="宋体"/>
                <w:color w:val="000000" w:themeColor="text1"/>
                <w:szCs w:val="24"/>
                <w14:textFill>
                  <w14:solidFill>
                    <w14:schemeClr w14:val="tx1"/>
                  </w14:solidFill>
                </w14:textFill>
              </w:rPr>
              <w:t>根据《环境工程设计技术手册》（</w:t>
            </w:r>
            <w:r>
              <w:rPr>
                <w:rFonts w:ascii="Times New Roman" w:hAnsi="Times New Roman" w:eastAsia="宋体" w:cs="Times New Roman"/>
                <w:color w:val="000000" w:themeColor="text1"/>
                <w:szCs w:val="24"/>
                <w14:textFill>
                  <w14:solidFill>
                    <w14:schemeClr w14:val="tx1"/>
                  </w14:solidFill>
                </w14:textFill>
              </w:rPr>
              <w:t>2002</w:t>
            </w:r>
            <w:r>
              <w:rPr>
                <w:rFonts w:hint="eastAsia" w:ascii="宋体" w:hAnsi="宋体" w:eastAsia="宋体" w:cs="宋体"/>
                <w:color w:val="000000" w:themeColor="text1"/>
                <w:szCs w:val="24"/>
                <w14:textFill>
                  <w14:solidFill>
                    <w14:schemeClr w14:val="tx1"/>
                  </w14:solidFill>
                </w14:textFill>
              </w:rPr>
              <w:t>年版），在废气扩散速度较低、稳定的状态下，集气罩罩面风速宜</w:t>
            </w:r>
            <w:r>
              <w:rPr>
                <w:rFonts w:ascii="Times New Roman" w:hAnsi="Times New Roman" w:eastAsia="宋体" w:cs="Times New Roman"/>
                <w:color w:val="000000" w:themeColor="text1"/>
                <w:szCs w:val="24"/>
                <w14:textFill>
                  <w14:solidFill>
                    <w14:schemeClr w14:val="tx1"/>
                  </w14:solidFill>
                </w14:textFill>
              </w:rPr>
              <w:t>≥0.5m/s</w:t>
            </w:r>
            <w:r>
              <w:rPr>
                <w:rFonts w:hint="eastAsia" w:ascii="Times New Roman" w:hAnsi="Times New Roman" w:eastAsia="宋体" w:cs="Times New Roman"/>
                <w:color w:val="000000" w:themeColor="text1"/>
                <w:szCs w:val="24"/>
                <w14:textFill>
                  <w14:solidFill>
                    <w14:schemeClr w14:val="tx1"/>
                  </w14:solidFill>
                </w14:textFill>
              </w:rPr>
              <w:t>。</w:t>
            </w:r>
          </w:p>
          <w:p w14:paraId="1056C0E4">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表4.2-7  集气罩风量计算一览表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007"/>
              <w:gridCol w:w="1071"/>
              <w:gridCol w:w="1502"/>
              <w:gridCol w:w="964"/>
              <w:gridCol w:w="1103"/>
              <w:gridCol w:w="759"/>
              <w:gridCol w:w="1079"/>
            </w:tblGrid>
            <w:tr w14:paraId="2A82C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658" w:type="pct"/>
                  <w:vAlign w:val="center"/>
                </w:tcPr>
                <w:p w14:paraId="059DB01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工序</w:t>
                  </w:r>
                </w:p>
              </w:tc>
              <w:tc>
                <w:tcPr>
                  <w:tcW w:w="584" w:type="pct"/>
                  <w:vAlign w:val="center"/>
                </w:tcPr>
                <w:p w14:paraId="4A6F819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排放源</w:t>
                  </w:r>
                </w:p>
              </w:tc>
              <w:tc>
                <w:tcPr>
                  <w:tcW w:w="621" w:type="pct"/>
                  <w:vAlign w:val="center"/>
                </w:tcPr>
                <w:p w14:paraId="1F668A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集气罩口面积A（m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871" w:type="pct"/>
                  <w:vAlign w:val="center"/>
                </w:tcPr>
                <w:p w14:paraId="4414633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集气罩至污染源的距离X（m）</w:t>
                  </w:r>
                </w:p>
              </w:tc>
              <w:tc>
                <w:tcPr>
                  <w:tcW w:w="559" w:type="pct"/>
                  <w:vAlign w:val="center"/>
                </w:tcPr>
                <w:p w14:paraId="48EE9CC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控制风 速Vx  （m/s）</w:t>
                  </w:r>
                </w:p>
              </w:tc>
              <w:tc>
                <w:tcPr>
                  <w:tcW w:w="640" w:type="pct"/>
                  <w:vAlign w:val="center"/>
                </w:tcPr>
                <w:p w14:paraId="433CD4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单个集气罩风量（m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w:t>
                  </w:r>
                </w:p>
              </w:tc>
              <w:tc>
                <w:tcPr>
                  <w:tcW w:w="440" w:type="pct"/>
                  <w:vAlign w:val="center"/>
                </w:tcPr>
                <w:p w14:paraId="0C0650E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w:t>
                  </w:r>
                </w:p>
                <w:p w14:paraId="7683E98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罩个</w:t>
                  </w:r>
                </w:p>
                <w:p w14:paraId="5D86423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数</w:t>
                  </w:r>
                </w:p>
              </w:tc>
              <w:tc>
                <w:tcPr>
                  <w:tcW w:w="626" w:type="pct"/>
                  <w:vAlign w:val="center"/>
                </w:tcPr>
                <w:p w14:paraId="0BCE89C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总排气量（m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tc>
            </w:tr>
            <w:tr w14:paraId="43442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658" w:type="pct"/>
                  <w:vAlign w:val="center"/>
                </w:tcPr>
                <w:p w14:paraId="6B2506E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w:t>
                  </w:r>
                </w:p>
              </w:tc>
              <w:tc>
                <w:tcPr>
                  <w:tcW w:w="584" w:type="pct"/>
                  <w:vAlign w:val="center"/>
                </w:tcPr>
                <w:p w14:paraId="3F67159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投料口</w:t>
                  </w:r>
                </w:p>
              </w:tc>
              <w:tc>
                <w:tcPr>
                  <w:tcW w:w="621" w:type="pct"/>
                  <w:vAlign w:val="center"/>
                </w:tcPr>
                <w:p w14:paraId="6524B3D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0.25</w:t>
                  </w:r>
                </w:p>
              </w:tc>
              <w:tc>
                <w:tcPr>
                  <w:tcW w:w="871" w:type="pct"/>
                  <w:vAlign w:val="center"/>
                </w:tcPr>
                <w:p w14:paraId="39D897D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559" w:type="pct"/>
                  <w:vAlign w:val="center"/>
                </w:tcPr>
                <w:p w14:paraId="6754DD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640" w:type="pct"/>
                  <w:vAlign w:val="center"/>
                </w:tcPr>
                <w:p w14:paraId="1256C57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1.0313</w:t>
                  </w:r>
                </w:p>
              </w:tc>
              <w:tc>
                <w:tcPr>
                  <w:tcW w:w="440" w:type="pct"/>
                  <w:vAlign w:val="center"/>
                </w:tcPr>
                <w:p w14:paraId="535DE4E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26" w:type="pct"/>
                  <w:vAlign w:val="center"/>
                </w:tcPr>
                <w:p w14:paraId="7C73435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11137.5</w:t>
                  </w:r>
                </w:p>
              </w:tc>
            </w:tr>
            <w:tr w14:paraId="5C627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658" w:type="pct"/>
                  <w:vAlign w:val="center"/>
                </w:tcPr>
                <w:p w14:paraId="5B3FC9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w:t>
                  </w:r>
                </w:p>
              </w:tc>
              <w:tc>
                <w:tcPr>
                  <w:tcW w:w="584" w:type="pct"/>
                  <w:vAlign w:val="center"/>
                </w:tcPr>
                <w:p w14:paraId="7A64BD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出气口</w:t>
                  </w:r>
                </w:p>
              </w:tc>
              <w:tc>
                <w:tcPr>
                  <w:tcW w:w="621" w:type="pct"/>
                  <w:vAlign w:val="center"/>
                </w:tcPr>
                <w:p w14:paraId="1D1D074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0.15</w:t>
                  </w:r>
                </w:p>
              </w:tc>
              <w:tc>
                <w:tcPr>
                  <w:tcW w:w="871" w:type="pct"/>
                  <w:vAlign w:val="center"/>
                </w:tcPr>
                <w:p w14:paraId="1AAA179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559" w:type="pct"/>
                  <w:vAlign w:val="center"/>
                </w:tcPr>
                <w:p w14:paraId="1DC2D0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640" w:type="pct"/>
                  <w:vAlign w:val="center"/>
                </w:tcPr>
                <w:p w14:paraId="1A81ED3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0.3938</w:t>
                  </w:r>
                </w:p>
              </w:tc>
              <w:tc>
                <w:tcPr>
                  <w:tcW w:w="440" w:type="pct"/>
                  <w:vAlign w:val="center"/>
                </w:tcPr>
                <w:p w14:paraId="438075A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626" w:type="pct"/>
                  <w:vAlign w:val="center"/>
                </w:tcPr>
                <w:p w14:paraId="094419B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12758</w:t>
                  </w:r>
                </w:p>
              </w:tc>
            </w:tr>
          </w:tbl>
          <w:p w14:paraId="2A9176F4">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经计算，本项目投料粉尘理论收集风量为</w:t>
            </w:r>
            <w:r>
              <w:rPr>
                <w:color w:val="000000" w:themeColor="text1"/>
                <w14:textFill>
                  <w14:solidFill>
                    <w14:schemeClr w14:val="tx1"/>
                  </w14:solidFill>
                </w14:textFill>
              </w:rPr>
              <w:t>11137.5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/h，有机废气理论收集风量为</w:t>
            </w:r>
            <w:r>
              <w:rPr>
                <w:color w:val="000000" w:themeColor="text1"/>
                <w14:textFill>
                  <w14:solidFill>
                    <w14:schemeClr w14:val="tx1"/>
                  </w14:solidFill>
                </w14:textFill>
              </w:rPr>
              <w:t>12758</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/h。考虑到风阻等损耗，故建议建设单位设置风机风量为12000m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/h和</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/h，确保本项目产生的废气得到有效收集。</w:t>
            </w:r>
          </w:p>
          <w:p w14:paraId="56F82422">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非正常工况</w:t>
            </w:r>
          </w:p>
          <w:p w14:paraId="74FCBA76">
            <w:pPr>
              <w:widowControl w:val="0"/>
              <w:spacing w:after="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本项目应在主体设备开启之前运行废气收集治理设施</w:t>
            </w:r>
            <w:r>
              <w:rPr>
                <w:rFonts w:hint="eastAsia" w:ascii="Times New Roman" w:hAnsi="Times New Roman" w:eastAsia="宋体" w:cs="Times New Roman"/>
                <w:color w:val="000000" w:themeColor="text1"/>
                <w:kern w:val="2"/>
                <w:szCs w:val="24"/>
                <w:lang w:eastAsia="zh-CN"/>
                <w14:textFill>
                  <w14:solidFill>
                    <w14:schemeClr w14:val="tx1"/>
                  </w14:solidFill>
                </w14:textFill>
              </w:rPr>
              <w:t>且</w:t>
            </w:r>
            <w:r>
              <w:rPr>
                <w:rFonts w:ascii="Times New Roman" w:hAnsi="Times New Roman" w:eastAsia="宋体" w:cs="Times New Roman"/>
                <w:color w:val="000000" w:themeColor="text1"/>
                <w:kern w:val="2"/>
                <w:szCs w:val="24"/>
                <w14:textFill>
                  <w14:solidFill>
                    <w14:schemeClr w14:val="tx1"/>
                  </w14:solidFill>
                </w14:textFill>
              </w:rPr>
              <w:t>在停车之后仍保持废气设施运转，确保设备内部的废气有效收集处理，因此，可避免开、停车状态下的非正常排放。主要分析活性炭未及时更换、</w:t>
            </w:r>
            <w:r>
              <w:rPr>
                <w:rFonts w:hint="eastAsia" w:ascii="Times New Roman" w:hAnsi="Times New Roman" w:eastAsia="宋体" w:cs="Times New Roman"/>
                <w:color w:val="000000" w:themeColor="text1"/>
                <w:kern w:val="2"/>
                <w:szCs w:val="24"/>
                <w14:textFill>
                  <w14:solidFill>
                    <w14:schemeClr w14:val="tx1"/>
                  </w14:solidFill>
                </w14:textFill>
              </w:rPr>
              <w:t>布袋除尘器中的布袋破损未及时更换</w:t>
            </w:r>
            <w:r>
              <w:rPr>
                <w:rFonts w:ascii="Times New Roman" w:hAnsi="Times New Roman" w:eastAsia="宋体" w:cs="Times New Roman"/>
                <w:color w:val="000000" w:themeColor="text1"/>
                <w:kern w:val="2"/>
                <w:szCs w:val="24"/>
                <w14:textFill>
                  <w14:solidFill>
                    <w14:schemeClr w14:val="tx1"/>
                  </w14:solidFill>
                </w14:textFill>
              </w:rPr>
              <w:t>导致的废气非正常排放情形。</w:t>
            </w:r>
          </w:p>
          <w:p w14:paraId="04D85333">
            <w:pPr>
              <w:widowControl w:val="0"/>
              <w:spacing w:after="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活性炭吸附箱内活性炭长时间不更换，活性炭超过设计使用寿命而失效，导致非甲烷总烃的处理效率骤降，本评价按</w:t>
            </w:r>
            <w:r>
              <w:rPr>
                <w:rFonts w:hint="eastAsia" w:ascii="Times New Roman" w:hAnsi="Times New Roman" w:eastAsia="宋体" w:cs="Times New Roman"/>
                <w:color w:val="000000" w:themeColor="text1"/>
                <w:kern w:val="2"/>
                <w:szCs w:val="24"/>
                <w14:textFill>
                  <w14:solidFill>
                    <w14:schemeClr w14:val="tx1"/>
                  </w14:solidFill>
                </w14:textFill>
              </w:rPr>
              <w:t>10</w:t>
            </w:r>
            <w:r>
              <w:rPr>
                <w:rFonts w:ascii="Times New Roman" w:hAnsi="Times New Roman" w:eastAsia="宋体" w:cs="Times New Roman"/>
                <w:color w:val="000000" w:themeColor="text1"/>
                <w:kern w:val="2"/>
                <w:szCs w:val="24"/>
                <w14:textFill>
                  <w14:solidFill>
                    <w14:schemeClr w14:val="tx1"/>
                  </w14:solidFill>
                </w14:textFill>
              </w:rPr>
              <w:t>%的处理率进行计算</w:t>
            </w:r>
            <w:r>
              <w:rPr>
                <w:rFonts w:hint="eastAsia" w:ascii="Times New Roman" w:hAnsi="Times New Roman" w:eastAsia="宋体" w:cs="Times New Roman"/>
                <w:color w:val="000000" w:themeColor="text1"/>
                <w:kern w:val="2"/>
                <w:szCs w:val="24"/>
                <w14:textFill>
                  <w14:solidFill>
                    <w14:schemeClr w14:val="tx1"/>
                  </w14:solidFill>
                </w14:textFill>
              </w:rPr>
              <w:t>。布袋除尘器中的布袋破损未及时更换导致颗粒物的处理效率骤降，本评价按50%的处理率进行计算。</w:t>
            </w:r>
          </w:p>
          <w:p w14:paraId="041558BD">
            <w:pPr>
              <w:widowControl w:val="0"/>
              <w:spacing w:before="120" w:beforeLines="50" w:after="0" w:line="240" w:lineRule="auto"/>
              <w:jc w:val="center"/>
              <w:rPr>
                <w:rFonts w:ascii="Times New Roman" w:hAnsi="Times New Roman" w:eastAsia="宋体" w:cs="宋体"/>
                <w:b/>
                <w:color w:val="000000" w:themeColor="text1"/>
                <w:szCs w:val="21"/>
                <w14:textFill>
                  <w14:solidFill>
                    <w14:schemeClr w14:val="tx1"/>
                  </w14:solidFill>
                </w14:textFill>
              </w:rPr>
            </w:pPr>
            <w:r>
              <w:rPr>
                <w:rFonts w:hint="eastAsia" w:ascii="Times New Roman" w:hAnsi="Times New Roman" w:eastAsia="宋体" w:cs="宋体"/>
                <w:b/>
                <w:color w:val="000000" w:themeColor="text1"/>
                <w:szCs w:val="21"/>
                <w14:textFill>
                  <w14:solidFill>
                    <w14:schemeClr w14:val="tx1"/>
                  </w14:solidFill>
                </w14:textFill>
              </w:rPr>
              <w:t>表4</w:t>
            </w:r>
            <w:r>
              <w:rPr>
                <w:rFonts w:hint="eastAsia" w:ascii="Times New Roman" w:hAnsi="Times New Roman" w:eastAsia="宋体" w:cs="Times New Roman"/>
                <w:b/>
                <w:color w:val="000000" w:themeColor="text1"/>
                <w:szCs w:val="21"/>
                <w14:textFill>
                  <w14:solidFill>
                    <w14:schemeClr w14:val="tx1"/>
                  </w14:solidFill>
                </w14:textFill>
              </w:rPr>
              <w:t>.2</w:t>
            </w:r>
            <w:r>
              <w:rPr>
                <w:rFonts w:ascii="Times New Roman" w:hAnsi="Times New Roman" w:eastAsia="宋体" w:cs="Times New Roman"/>
                <w:b/>
                <w:color w:val="000000" w:themeColor="text1"/>
                <w:szCs w:val="21"/>
                <w14:textFill>
                  <w14:solidFill>
                    <w14:schemeClr w14:val="tx1"/>
                  </w14:solidFill>
                </w14:textFill>
              </w:rPr>
              <w:t>-</w:t>
            </w:r>
            <w:r>
              <w:rPr>
                <w:rFonts w:hint="eastAsia" w:ascii="Times New Roman" w:hAnsi="Times New Roman" w:eastAsia="宋体" w:cs="Times New Roman"/>
                <w:b/>
                <w:color w:val="000000" w:themeColor="text1"/>
                <w:szCs w:val="21"/>
                <w14:textFill>
                  <w14:solidFill>
                    <w14:schemeClr w14:val="tx1"/>
                  </w14:solidFill>
                </w14:textFill>
              </w:rPr>
              <w:t xml:space="preserve">8 </w:t>
            </w:r>
            <w:r>
              <w:rPr>
                <w:rFonts w:hint="eastAsia" w:ascii="Times New Roman" w:hAnsi="Times New Roman" w:eastAsia="宋体" w:cs="宋体"/>
                <w:b/>
                <w:color w:val="000000" w:themeColor="text1"/>
                <w:szCs w:val="21"/>
                <w14:textFill>
                  <w14:solidFill>
                    <w14:schemeClr w14:val="tx1"/>
                  </w14:solidFill>
                </w14:textFill>
              </w:rPr>
              <w:t xml:space="preserve"> 非正常工况下污染物排放情况</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967"/>
              <w:gridCol w:w="1049"/>
              <w:gridCol w:w="1290"/>
              <w:gridCol w:w="1137"/>
              <w:gridCol w:w="1157"/>
              <w:gridCol w:w="971"/>
              <w:gridCol w:w="911"/>
            </w:tblGrid>
            <w:tr w14:paraId="0C231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Merge w:val="restart"/>
                  <w:vAlign w:val="center"/>
                </w:tcPr>
                <w:p w14:paraId="3A147B5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污染源名称</w:t>
                  </w:r>
                </w:p>
              </w:tc>
              <w:tc>
                <w:tcPr>
                  <w:tcW w:w="561" w:type="pct"/>
                  <w:vMerge w:val="restart"/>
                  <w:vAlign w:val="center"/>
                </w:tcPr>
                <w:p w14:paraId="3BF67B2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356" w:type="pct"/>
                  <w:gridSpan w:val="2"/>
                  <w:vAlign w:val="center"/>
                </w:tcPr>
                <w:p w14:paraId="114B93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产生情况</w:t>
                  </w:r>
                </w:p>
              </w:tc>
              <w:tc>
                <w:tcPr>
                  <w:tcW w:w="659" w:type="pct"/>
                  <w:vMerge w:val="restart"/>
                  <w:vAlign w:val="center"/>
                </w:tcPr>
                <w:p w14:paraId="3F0E26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持续时间</w:t>
                  </w:r>
                </w:p>
              </w:tc>
              <w:tc>
                <w:tcPr>
                  <w:tcW w:w="671" w:type="pct"/>
                  <w:vMerge w:val="restart"/>
                  <w:vAlign w:val="center"/>
                </w:tcPr>
                <w:p w14:paraId="704D9C6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去除率%</w:t>
                  </w:r>
                </w:p>
              </w:tc>
              <w:tc>
                <w:tcPr>
                  <w:tcW w:w="1091" w:type="pct"/>
                  <w:gridSpan w:val="2"/>
                  <w:vAlign w:val="center"/>
                </w:tcPr>
                <w:p w14:paraId="556F04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排放情况</w:t>
                  </w:r>
                </w:p>
              </w:tc>
            </w:tr>
            <w:tr w14:paraId="27945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Merge w:val="continue"/>
                  <w:vAlign w:val="center"/>
                </w:tcPr>
                <w:p w14:paraId="62AF486C">
                  <w:pPr>
                    <w:pStyle w:val="221"/>
                    <w:rPr>
                      <w:color w:val="000000" w:themeColor="text1"/>
                      <w14:textFill>
                        <w14:solidFill>
                          <w14:schemeClr w14:val="tx1"/>
                        </w14:solidFill>
                      </w14:textFill>
                    </w:rPr>
                  </w:pPr>
                </w:p>
              </w:tc>
              <w:tc>
                <w:tcPr>
                  <w:tcW w:w="561" w:type="pct"/>
                  <w:vMerge w:val="continue"/>
                  <w:vAlign w:val="center"/>
                </w:tcPr>
                <w:p w14:paraId="035D84A4">
                  <w:pPr>
                    <w:pStyle w:val="221"/>
                    <w:rPr>
                      <w:color w:val="000000" w:themeColor="text1"/>
                      <w14:textFill>
                        <w14:solidFill>
                          <w14:schemeClr w14:val="tx1"/>
                        </w14:solidFill>
                      </w14:textFill>
                    </w:rPr>
                  </w:pPr>
                </w:p>
              </w:tc>
              <w:tc>
                <w:tcPr>
                  <w:tcW w:w="608" w:type="pct"/>
                  <w:vAlign w:val="center"/>
                </w:tcPr>
                <w:p w14:paraId="7F97C1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速率</w:t>
                  </w:r>
                  <w:r>
                    <w:rPr>
                      <w:color w:val="000000" w:themeColor="text1"/>
                      <w14:textFill>
                        <w14:solidFill>
                          <w14:schemeClr w14:val="tx1"/>
                        </w14:solidFill>
                      </w14:textFill>
                    </w:rPr>
                    <w:t>kg/h</w:t>
                  </w:r>
                </w:p>
              </w:tc>
              <w:tc>
                <w:tcPr>
                  <w:tcW w:w="748" w:type="pct"/>
                  <w:vAlign w:val="center"/>
                </w:tcPr>
                <w:p w14:paraId="42E0176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659" w:type="pct"/>
                  <w:vMerge w:val="continue"/>
                  <w:vAlign w:val="center"/>
                </w:tcPr>
                <w:p w14:paraId="5DD71F93">
                  <w:pPr>
                    <w:pStyle w:val="221"/>
                    <w:rPr>
                      <w:color w:val="000000" w:themeColor="text1"/>
                      <w14:textFill>
                        <w14:solidFill>
                          <w14:schemeClr w14:val="tx1"/>
                        </w14:solidFill>
                      </w14:textFill>
                    </w:rPr>
                  </w:pPr>
                </w:p>
              </w:tc>
              <w:tc>
                <w:tcPr>
                  <w:tcW w:w="671" w:type="pct"/>
                  <w:vMerge w:val="continue"/>
                  <w:vAlign w:val="center"/>
                </w:tcPr>
                <w:p w14:paraId="26030EAE">
                  <w:pPr>
                    <w:pStyle w:val="221"/>
                    <w:rPr>
                      <w:color w:val="000000" w:themeColor="text1"/>
                      <w14:textFill>
                        <w14:solidFill>
                          <w14:schemeClr w14:val="tx1"/>
                        </w14:solidFill>
                      </w14:textFill>
                    </w:rPr>
                  </w:pPr>
                </w:p>
              </w:tc>
              <w:tc>
                <w:tcPr>
                  <w:tcW w:w="563" w:type="pct"/>
                  <w:vAlign w:val="center"/>
                </w:tcPr>
                <w:p w14:paraId="7ED0550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速率</w:t>
                  </w:r>
                  <w:r>
                    <w:rPr>
                      <w:color w:val="000000" w:themeColor="text1"/>
                      <w14:textFill>
                        <w14:solidFill>
                          <w14:schemeClr w14:val="tx1"/>
                        </w14:solidFill>
                      </w14:textFill>
                    </w:rPr>
                    <w:t>kg/h</w:t>
                  </w:r>
                </w:p>
              </w:tc>
              <w:tc>
                <w:tcPr>
                  <w:tcW w:w="528" w:type="pct"/>
                  <w:vAlign w:val="center"/>
                </w:tcPr>
                <w:p w14:paraId="2A01891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r>
            <w:tr w14:paraId="69BF1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14:paraId="1AF287BF">
                  <w:pPr>
                    <w:pStyle w:val="221"/>
                    <w:rPr>
                      <w:color w:val="000000" w:themeColor="text1"/>
                      <w14:textFill>
                        <w14:solidFill>
                          <w14:schemeClr w14:val="tx1"/>
                        </w14:solidFill>
                      </w14:textFill>
                    </w:rPr>
                  </w:pPr>
                  <w:r>
                    <w:rPr>
                      <w:color w:val="000000" w:themeColor="text1"/>
                      <w14:textFill>
                        <w14:solidFill>
                          <w14:schemeClr w14:val="tx1"/>
                        </w14:solidFill>
                      </w14:textFill>
                    </w:rPr>
                    <w:t>投料粉尘</w:t>
                  </w:r>
                </w:p>
              </w:tc>
              <w:tc>
                <w:tcPr>
                  <w:tcW w:w="561" w:type="pct"/>
                  <w:vAlign w:val="center"/>
                </w:tcPr>
                <w:p w14:paraId="034685F3">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608" w:type="pct"/>
                  <w:vAlign w:val="center"/>
                </w:tcPr>
                <w:p w14:paraId="578AB40C">
                  <w:pPr>
                    <w:pStyle w:val="221"/>
                    <w:rPr>
                      <w:color w:val="000000" w:themeColor="text1"/>
                      <w14:textFill>
                        <w14:solidFill>
                          <w14:schemeClr w14:val="tx1"/>
                        </w14:solidFill>
                      </w14:textFill>
                    </w:rPr>
                  </w:pPr>
                  <w:r>
                    <w:rPr>
                      <w:color w:val="000000" w:themeColor="text1"/>
                      <w14:textFill>
                        <w14:solidFill>
                          <w14:schemeClr w14:val="tx1"/>
                        </w14:solidFill>
                      </w14:textFill>
                    </w:rPr>
                    <w:t>0.113</w:t>
                  </w:r>
                </w:p>
              </w:tc>
              <w:tc>
                <w:tcPr>
                  <w:tcW w:w="748" w:type="pct"/>
                  <w:vAlign w:val="center"/>
                </w:tcPr>
                <w:p w14:paraId="7779B83A">
                  <w:pPr>
                    <w:pStyle w:val="221"/>
                    <w:rPr>
                      <w:color w:val="000000" w:themeColor="text1"/>
                      <w14:textFill>
                        <w14:solidFill>
                          <w14:schemeClr w14:val="tx1"/>
                        </w14:solidFill>
                      </w14:textFill>
                    </w:rPr>
                  </w:pPr>
                  <w:r>
                    <w:rPr>
                      <w:color w:val="000000" w:themeColor="text1"/>
                      <w14:textFill>
                        <w14:solidFill>
                          <w14:schemeClr w14:val="tx1"/>
                        </w14:solidFill>
                      </w14:textFill>
                    </w:rPr>
                    <w:t>9.4</w:t>
                  </w:r>
                </w:p>
              </w:tc>
              <w:tc>
                <w:tcPr>
                  <w:tcW w:w="659" w:type="pct"/>
                  <w:vAlign w:val="center"/>
                </w:tcPr>
                <w:p w14:paraId="07BD48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2h</w:t>
                  </w:r>
                </w:p>
              </w:tc>
              <w:tc>
                <w:tcPr>
                  <w:tcW w:w="671" w:type="pct"/>
                  <w:vAlign w:val="center"/>
                </w:tcPr>
                <w:p w14:paraId="71D6BF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563" w:type="pct"/>
                  <w:vAlign w:val="center"/>
                </w:tcPr>
                <w:p w14:paraId="4D70156E">
                  <w:pPr>
                    <w:pStyle w:val="221"/>
                    <w:rPr>
                      <w:color w:val="000000" w:themeColor="text1"/>
                      <w14:textFill>
                        <w14:solidFill>
                          <w14:schemeClr w14:val="tx1"/>
                        </w14:solidFill>
                      </w14:textFill>
                    </w:rPr>
                  </w:pPr>
                  <w:r>
                    <w:rPr>
                      <w:color w:val="000000" w:themeColor="text1"/>
                      <w14:textFill>
                        <w14:solidFill>
                          <w14:schemeClr w14:val="tx1"/>
                        </w14:solidFill>
                      </w14:textFill>
                    </w:rPr>
                    <w:t>0.281</w:t>
                  </w:r>
                </w:p>
              </w:tc>
              <w:tc>
                <w:tcPr>
                  <w:tcW w:w="528" w:type="pct"/>
                  <w:vAlign w:val="center"/>
                </w:tcPr>
                <w:p w14:paraId="3B804326">
                  <w:pPr>
                    <w:pStyle w:val="221"/>
                    <w:rPr>
                      <w:color w:val="000000" w:themeColor="text1"/>
                      <w14:textFill>
                        <w14:solidFill>
                          <w14:schemeClr w14:val="tx1"/>
                        </w14:solidFill>
                      </w14:textFill>
                    </w:rPr>
                  </w:pPr>
                  <w:r>
                    <w:rPr>
                      <w:color w:val="000000" w:themeColor="text1"/>
                      <w14:textFill>
                        <w14:solidFill>
                          <w14:schemeClr w14:val="tx1"/>
                        </w14:solidFill>
                      </w14:textFill>
                    </w:rPr>
                    <w:t>23.4</w:t>
                  </w:r>
                </w:p>
              </w:tc>
            </w:tr>
            <w:tr w14:paraId="1054D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14:paraId="64C8874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561" w:type="pct"/>
                  <w:vAlign w:val="center"/>
                </w:tcPr>
                <w:p w14:paraId="0D01C73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608" w:type="pct"/>
                  <w:vAlign w:val="center"/>
                </w:tcPr>
                <w:p w14:paraId="4FC08DCC">
                  <w:pPr>
                    <w:pStyle w:val="221"/>
                    <w:rPr>
                      <w:color w:val="000000" w:themeColor="text1"/>
                      <w14:textFill>
                        <w14:solidFill>
                          <w14:schemeClr w14:val="tx1"/>
                        </w14:solidFill>
                      </w14:textFill>
                    </w:rPr>
                  </w:pPr>
                  <w:r>
                    <w:rPr>
                      <w:color w:val="000000" w:themeColor="text1"/>
                      <w14:textFill>
                        <w14:solidFill>
                          <w14:schemeClr w14:val="tx1"/>
                        </w14:solidFill>
                      </w14:textFill>
                    </w:rPr>
                    <w:t>0.267</w:t>
                  </w:r>
                </w:p>
              </w:tc>
              <w:tc>
                <w:tcPr>
                  <w:tcW w:w="748" w:type="pct"/>
                  <w:vAlign w:val="center"/>
                </w:tcPr>
                <w:p w14:paraId="5C37113D">
                  <w:pPr>
                    <w:pStyle w:val="221"/>
                    <w:rPr>
                      <w:color w:val="000000" w:themeColor="text1"/>
                      <w14:textFill>
                        <w14:solidFill>
                          <w14:schemeClr w14:val="tx1"/>
                        </w14:solidFill>
                      </w14:textFill>
                    </w:rPr>
                  </w:pPr>
                  <w:r>
                    <w:rPr>
                      <w:color w:val="000000" w:themeColor="text1"/>
                      <w14:textFill>
                        <w14:solidFill>
                          <w14:schemeClr w14:val="tx1"/>
                        </w14:solidFill>
                      </w14:textFill>
                    </w:rPr>
                    <w:t>20.5</w:t>
                  </w:r>
                </w:p>
              </w:tc>
              <w:tc>
                <w:tcPr>
                  <w:tcW w:w="659" w:type="pct"/>
                  <w:vAlign w:val="center"/>
                </w:tcPr>
                <w:p w14:paraId="6BFF9161">
                  <w:pPr>
                    <w:pStyle w:val="221"/>
                    <w:rPr>
                      <w:color w:val="000000" w:themeColor="text1"/>
                      <w14:textFill>
                        <w14:solidFill>
                          <w14:schemeClr w14:val="tx1"/>
                        </w14:solidFill>
                      </w14:textFill>
                    </w:rPr>
                  </w:pPr>
                  <w:r>
                    <w:rPr>
                      <w:color w:val="000000" w:themeColor="text1"/>
                      <w14:textFill>
                        <w14:solidFill>
                          <w14:schemeClr w14:val="tx1"/>
                        </w14:solidFill>
                      </w14:textFill>
                    </w:rPr>
                    <w:t>2h</w:t>
                  </w:r>
                </w:p>
              </w:tc>
              <w:tc>
                <w:tcPr>
                  <w:tcW w:w="671" w:type="pct"/>
                  <w:vAlign w:val="center"/>
                </w:tcPr>
                <w:p w14:paraId="4D95261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3" w:type="pct"/>
                  <w:vAlign w:val="center"/>
                </w:tcPr>
                <w:p w14:paraId="4B7750D4">
                  <w:pPr>
                    <w:pStyle w:val="221"/>
                    <w:rPr>
                      <w:color w:val="000000" w:themeColor="text1"/>
                      <w14:textFill>
                        <w14:solidFill>
                          <w14:schemeClr w14:val="tx1"/>
                        </w14:solidFill>
                      </w14:textFill>
                    </w:rPr>
                  </w:pPr>
                  <w:r>
                    <w:rPr>
                      <w:color w:val="000000" w:themeColor="text1"/>
                      <w14:textFill>
                        <w14:solidFill>
                          <w14:schemeClr w14:val="tx1"/>
                        </w14:solidFill>
                      </w14:textFill>
                    </w:rPr>
                    <w:t>0.240</w:t>
                  </w:r>
                </w:p>
              </w:tc>
              <w:tc>
                <w:tcPr>
                  <w:tcW w:w="528" w:type="pct"/>
                  <w:vAlign w:val="center"/>
                </w:tcPr>
                <w:p w14:paraId="6974311C">
                  <w:pPr>
                    <w:pStyle w:val="221"/>
                    <w:rPr>
                      <w:color w:val="000000" w:themeColor="text1"/>
                      <w14:textFill>
                        <w14:solidFill>
                          <w14:schemeClr w14:val="tx1"/>
                        </w14:solidFill>
                      </w14:textFill>
                    </w:rPr>
                  </w:pPr>
                  <w:r>
                    <w:rPr>
                      <w:color w:val="000000" w:themeColor="text1"/>
                      <w14:textFill>
                        <w14:solidFill>
                          <w14:schemeClr w14:val="tx1"/>
                        </w14:solidFill>
                      </w14:textFill>
                    </w:rPr>
                    <w:t>18.5</w:t>
                  </w:r>
                </w:p>
              </w:tc>
            </w:tr>
          </w:tbl>
          <w:p w14:paraId="3482B877">
            <w:pPr>
              <w:pStyle w:val="223"/>
              <w:spacing w:before="120"/>
              <w:ind w:firstLine="720" w:firstLineChars="300"/>
              <w:rPr>
                <w:color w:val="000000" w:themeColor="text1"/>
                <w14:textFill>
                  <w14:solidFill>
                    <w14:schemeClr w14:val="tx1"/>
                  </w14:solidFill>
                </w14:textFill>
              </w:rPr>
            </w:pPr>
            <w:r>
              <w:rPr>
                <w:color w:val="000000" w:themeColor="text1"/>
                <w14:textFill>
                  <w14:solidFill>
                    <w14:schemeClr w14:val="tx1"/>
                  </w14:solidFill>
                </w14:textFill>
              </w:rPr>
              <w:t>为预防此类工况发生，除确保生产设备和施工安装质量先进可靠外，还需要加强管理，做好设备的日常维护、保养工作，定期检查环保设施的运行情况，定期检测，确保污染物能够达标排放，同时严格按照操作规程生产，可减少此类非正常工况的发生。</w:t>
            </w:r>
          </w:p>
          <w:p w14:paraId="063380B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4、达标排放分析</w:t>
            </w:r>
          </w:p>
          <w:p w14:paraId="5D6ECC7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上述计算可知，项目排气筒排放的非甲烷总烃、颗粒物可达到《橡胶制品工业污染物排放标准》（GB27632-2011）表5中非甲烷总烃排放限值；排放的臭气浓度可达到《恶臭污染物排放标准》（GB14554-1993）表2中的排放量标准。</w:t>
            </w:r>
          </w:p>
          <w:p w14:paraId="2E009EC6">
            <w:pPr>
              <w:pStyle w:val="225"/>
              <w:ind w:firstLine="480"/>
              <w:rPr>
                <w:color w:val="000000" w:themeColor="text1"/>
                <w:lang w:val="en-US"/>
                <w14:textFill>
                  <w14:solidFill>
                    <w14:schemeClr w14:val="tx1"/>
                  </w14:solidFill>
                </w14:textFill>
              </w:rPr>
            </w:pPr>
            <w:bookmarkStart w:id="13" w:name="_Toc24829"/>
            <w:bookmarkStart w:id="14" w:name="_Toc26960"/>
            <w:r>
              <w:rPr>
                <w:rFonts w:hint="eastAsia"/>
                <w:color w:val="000000" w:themeColor="text1"/>
                <w14:textFill>
                  <w14:solidFill>
                    <w14:schemeClr w14:val="tx1"/>
                  </w14:solidFill>
                </w14:textFill>
              </w:rPr>
              <w:t>根据《橡胶制品工业污染物排放标准》(GB27632-2011)中的基准排气量要求“大气污染物排放浓度限值适用于单位胶料实际排气量不高于单位胶料基准排气量的情况。若单位胶料实际排气量超过单位胶料基准排气量，须将实测大气污染物浓度换算为大气污染物基准气量排放浓度，并</w:t>
            </w:r>
            <w:r>
              <w:rPr>
                <w:rFonts w:hint="eastAsia"/>
                <w:color w:val="000000" w:themeColor="text1"/>
                <w:lang w:val="en-US"/>
                <w14:textFill>
                  <w14:solidFill>
                    <w14:schemeClr w14:val="tx1"/>
                  </w14:solidFill>
                </w14:textFill>
              </w:rPr>
              <w:t>以大气污染物基准气量排放浓度作为判定排放是否达标的依据。”根据《橡胶制品工业污染物排放标准》(GB27632-2011)中“表5新建企业大气污染物排放限值”，项目颗粒物、非甲烷总烃基准排气量执行“轮胎企业及其他制品企业炼胶、硫化装置”标准值均为2000m</w:t>
            </w:r>
            <w:r>
              <w:rPr>
                <w:rFonts w:hint="eastAsia"/>
                <w:color w:val="000000" w:themeColor="text1"/>
                <w:vertAlign w:val="superscript"/>
                <w:lang w:val="en-US"/>
                <w14:textFill>
                  <w14:solidFill>
                    <w14:schemeClr w14:val="tx1"/>
                  </w14:solidFill>
                </w14:textFill>
              </w:rPr>
              <w:t>3</w:t>
            </w:r>
            <w:r>
              <w:rPr>
                <w:rFonts w:hint="eastAsia"/>
                <w:color w:val="000000" w:themeColor="text1"/>
                <w:lang w:val="en-US"/>
                <w14:textFill>
                  <w14:solidFill>
                    <w14:schemeClr w14:val="tx1"/>
                  </w14:solidFill>
                </w14:textFill>
              </w:rPr>
              <w:t>/t胶。</w:t>
            </w:r>
            <w:bookmarkEnd w:id="13"/>
            <w:bookmarkEnd w:id="14"/>
          </w:p>
          <w:p w14:paraId="3E500B0D">
            <w:pPr>
              <w:pStyle w:val="225"/>
              <w:ind w:firstLine="480"/>
              <w:rPr>
                <w:rFonts w:hint="eastAsia" w:ascii="宋体" w:hAnsi="宋体" w:cs="宋体"/>
                <w:color w:val="000000" w:themeColor="text1"/>
                <w:lang w:val="en-US"/>
                <w14:textFill>
                  <w14:solidFill>
                    <w14:schemeClr w14:val="tx1"/>
                  </w14:solidFill>
                </w14:textFill>
              </w:rPr>
            </w:pPr>
            <w:bookmarkStart w:id="15" w:name="_Toc7502"/>
            <w:bookmarkStart w:id="16" w:name="_Toc21677"/>
            <w:r>
              <w:rPr>
                <w:rFonts w:hint="eastAsia" w:ascii="宋体" w:hAnsi="宋体" w:cs="宋体"/>
                <w:color w:val="000000" w:themeColor="text1"/>
                <w:lang w:val="en-US"/>
                <w14:textFill>
                  <w14:solidFill>
                    <w14:schemeClr w14:val="tx1"/>
                  </w14:solidFill>
                </w14:textFill>
              </w:rPr>
              <w:t>根据《关于橡胶(轮胎)行业执行标准问题的复函》(环函</w:t>
            </w:r>
            <w:r>
              <w:rPr>
                <w:rFonts w:ascii="宋体" w:hAnsi="宋体" w:cs="宋体"/>
                <w:color w:val="000000" w:themeColor="text1"/>
                <w:lang w:val="en-US"/>
                <w14:textFill>
                  <w14:solidFill>
                    <w14:schemeClr w14:val="tx1"/>
                  </w14:solidFill>
                </w14:textFill>
              </w:rPr>
              <w:t>〔201</w:t>
            </w:r>
            <w:r>
              <w:rPr>
                <w:rFonts w:hint="eastAsia" w:ascii="宋体" w:hAnsi="宋体" w:cs="宋体"/>
                <w:color w:val="000000" w:themeColor="text1"/>
                <w:lang w:val="en-US"/>
                <w14:textFill>
                  <w14:solidFill>
                    <w14:schemeClr w14:val="tx1"/>
                  </w14:solidFill>
                </w14:textFill>
              </w:rPr>
              <w:t>4</w:t>
            </w:r>
            <w:r>
              <w:rPr>
                <w:rFonts w:ascii="宋体" w:hAnsi="宋体" w:cs="宋体"/>
                <w:color w:val="000000" w:themeColor="text1"/>
                <w:lang w:val="en-US"/>
                <w14:textFill>
                  <w14:solidFill>
                    <w14:schemeClr w14:val="tx1"/>
                  </w14:solidFill>
                </w14:textFill>
              </w:rPr>
              <w:t>〕</w:t>
            </w:r>
            <w:r>
              <w:rPr>
                <w:rFonts w:hint="eastAsia" w:ascii="宋体" w:hAnsi="宋体" w:cs="宋体"/>
                <w:color w:val="000000" w:themeColor="text1"/>
                <w:lang w:val="en-US"/>
                <w14:textFill>
                  <w14:solidFill>
                    <w14:schemeClr w14:val="tx1"/>
                  </w14:solidFill>
                </w14:textFill>
              </w:rPr>
              <w:t>244号)“考虑企业对生胶可能需经过多次重复炼胶，基准排气量可以将计算炼胶次数后的总胶量作为企业用胶量进行核算，同时也应将计算炼胶次数后的总气量作为企业排气量进行核算”。</w:t>
            </w:r>
            <w:bookmarkEnd w:id="15"/>
            <w:bookmarkEnd w:id="16"/>
          </w:p>
          <w:p w14:paraId="71B3404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项目橡胶用量约为2500t/a，生产工作时间共8h/天，全年工作300天。项目密炼+</w:t>
            </w:r>
            <w:r>
              <w:rPr>
                <w:rFonts w:hint="eastAsia"/>
                <w:color w:val="000000" w:themeColor="text1"/>
                <w:lang w:val="en-US"/>
                <w14:textFill>
                  <w14:solidFill>
                    <w14:schemeClr w14:val="tx1"/>
                  </w14:solidFill>
                </w14:textFill>
              </w:rPr>
              <w:t>开</w:t>
            </w:r>
            <w:r>
              <w:rPr>
                <w:rFonts w:hint="eastAsia"/>
                <w:color w:val="000000" w:themeColor="text1"/>
                <w:lang w:val="en-US" w:eastAsia="zh-CN"/>
                <w14:textFill>
                  <w14:solidFill>
                    <w14:schemeClr w14:val="tx1"/>
                  </w14:solidFill>
                </w14:textFill>
              </w:rPr>
              <w:t>炼</w:t>
            </w:r>
            <w:r>
              <w:rPr>
                <w:rFonts w:hint="eastAsia"/>
                <w:color w:val="000000" w:themeColor="text1"/>
                <w14:textFill>
                  <w14:solidFill>
                    <w14:schemeClr w14:val="tx1"/>
                  </w14:solidFill>
                </w14:textFill>
              </w:rPr>
              <w:t>胶次数为9次（3条生产线），则总炼胶量为9.375t/h，DA001的排气量为</w:t>
            </w:r>
            <w:r>
              <w:rPr>
                <w:color w:val="000000" w:themeColor="text1"/>
                <w14:textFill>
                  <w14:solidFill>
                    <w14:schemeClr w14:val="tx1"/>
                  </w14:solidFill>
                </w14:textFill>
              </w:rPr>
              <w:t>12000m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，DA002的排气量为13000m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/h，算得项目实际排气量为1280m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/t胶和1387m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/t胶&lt;2000m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/t胶，无需进行换算。</w:t>
            </w:r>
          </w:p>
          <w:p w14:paraId="64EB12F3">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5、</w:t>
            </w:r>
            <w:r>
              <w:rPr>
                <w:rFonts w:ascii="Times New Roman" w:hAnsi="Times New Roman" w:eastAsia="宋体" w:cs="Times New Roman"/>
                <w:color w:val="000000" w:themeColor="text1"/>
                <w:szCs w:val="24"/>
                <w:lang w:val="en-GB"/>
                <w14:textFill>
                  <w14:solidFill>
                    <w14:schemeClr w14:val="tx1"/>
                  </w14:solidFill>
                </w14:textFill>
              </w:rPr>
              <w:t>监测要求</w:t>
            </w:r>
          </w:p>
          <w:p w14:paraId="6CDB7D3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根据《固定污染源排污许可分类管理名录》（2019版），本项目属于橡胶</w:t>
            </w:r>
            <w:r>
              <w:rPr>
                <w:rFonts w:hint="eastAsia"/>
                <w:color w:val="000000" w:themeColor="text1"/>
                <w:lang w:bidi="en-US"/>
                <w14:textFill>
                  <w14:solidFill>
                    <w14:schemeClr w14:val="tx1"/>
                  </w14:solidFill>
                </w14:textFill>
              </w:rPr>
              <w:t>零件</w:t>
            </w:r>
            <w:r>
              <w:rPr>
                <w:rFonts w:hint="eastAsia"/>
                <w:color w:val="000000" w:themeColor="text1"/>
                <w14:textFill>
                  <w14:solidFill>
                    <w14:schemeClr w14:val="tx1"/>
                  </w14:solidFill>
                </w14:textFill>
              </w:rPr>
              <w:t>制造，属于登记管理，</w:t>
            </w:r>
            <w:r>
              <w:rPr>
                <w:color w:val="000000" w:themeColor="text1"/>
                <w14:textFill>
                  <w14:solidFill>
                    <w14:schemeClr w14:val="tx1"/>
                  </w14:solidFill>
                </w14:textFill>
              </w:rPr>
              <w:t>企业在运营期应进行废气污染物排放监测。监测工作可委托当地环境保护监测站或有资质的监测机构进行。</w:t>
            </w:r>
            <w:r>
              <w:rPr>
                <w:rFonts w:hint="eastAsia"/>
                <w:color w:val="000000" w:themeColor="text1"/>
                <w14:textFill>
                  <w14:solidFill>
                    <w14:schemeClr w14:val="tx1"/>
                  </w14:solidFill>
                </w14:textFill>
              </w:rPr>
              <w:t>参照</w:t>
            </w:r>
            <w:r>
              <w:rPr>
                <w:color w:val="000000" w:themeColor="text1"/>
                <w14:textFill>
                  <w14:solidFill>
                    <w14:schemeClr w14:val="tx1"/>
                  </w14:solidFill>
                </w14:textFill>
              </w:rPr>
              <w:t>《排污许可</w:t>
            </w:r>
            <w:r>
              <w:rPr>
                <w:rFonts w:hint="eastAsia"/>
                <w:color w:val="000000" w:themeColor="text1"/>
                <w14:textFill>
                  <w14:solidFill>
                    <w14:schemeClr w14:val="tx1"/>
                  </w14:solidFill>
                </w14:textFill>
              </w:rPr>
              <w:t>证</w:t>
            </w:r>
            <w:r>
              <w:rPr>
                <w:color w:val="000000" w:themeColor="text1"/>
                <w14:textFill>
                  <w14:solidFill>
                    <w14:schemeClr w14:val="tx1"/>
                  </w14:solidFill>
                </w14:textFill>
              </w:rPr>
              <w:t>申请与核发技术规范 橡胶和塑料制品工业》（HJ1122-2020）</w:t>
            </w:r>
            <w:r>
              <w:rPr>
                <w:rFonts w:hint="eastAsia"/>
                <w:color w:val="000000" w:themeColor="text1"/>
                <w14:textFill>
                  <w14:solidFill>
                    <w14:schemeClr w14:val="tx1"/>
                  </w14:solidFill>
                </w14:textFill>
              </w:rPr>
              <w:t>、《排污单位自行监测技术指南</w:t>
            </w:r>
            <w:r>
              <w:rPr>
                <w:color w:val="000000" w:themeColor="text1"/>
                <w14:textFill>
                  <w14:solidFill>
                    <w14:schemeClr w14:val="tx1"/>
                  </w14:solidFill>
                </w14:textFill>
              </w:rPr>
              <w:t xml:space="preserve"> 橡胶和塑料制品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1207-2021）</w:t>
            </w:r>
            <w:r>
              <w:rPr>
                <w:color w:val="000000" w:themeColor="text1"/>
                <w14:textFill>
                  <w14:solidFill>
                    <w14:schemeClr w14:val="tx1"/>
                  </w14:solidFill>
                </w14:textFill>
              </w:rPr>
              <w:t>，项目自行监测计划见表</w:t>
            </w:r>
            <w:r>
              <w:rPr>
                <w:rFonts w:hint="eastAsia"/>
                <w:color w:val="000000" w:themeColor="text1"/>
                <w14:textFill>
                  <w14:solidFill>
                    <w14:schemeClr w14:val="tx1"/>
                  </w14:solidFill>
                </w14:textFill>
              </w:rPr>
              <w:t>4.2-9。</w:t>
            </w:r>
          </w:p>
          <w:p w14:paraId="462BE26E">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表4.2-9  </w:t>
            </w:r>
            <w:r>
              <w:rPr>
                <w:color w:val="000000" w:themeColor="text1"/>
                <w14:textFill>
                  <w14:solidFill>
                    <w14:schemeClr w14:val="tx1"/>
                  </w14:solidFill>
                </w14:textFill>
              </w:rPr>
              <w:t>废气污染源监测</w:t>
            </w:r>
            <w:r>
              <w:rPr>
                <w:rFonts w:hint="eastAsia"/>
                <w:color w:val="000000" w:themeColor="text1"/>
                <w14:textFill>
                  <w14:solidFill>
                    <w14:schemeClr w14:val="tx1"/>
                  </w14:solidFill>
                </w14:textFill>
              </w:rPr>
              <w:t>计划</w:t>
            </w:r>
          </w:p>
          <w:tbl>
            <w:tblPr>
              <w:tblStyle w:val="16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1445"/>
              <w:gridCol w:w="1228"/>
              <w:gridCol w:w="1228"/>
              <w:gridCol w:w="4206"/>
            </w:tblGrid>
            <w:tr w14:paraId="15D7F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299" w:type="pct"/>
                  <w:vAlign w:val="center"/>
                </w:tcPr>
                <w:p w14:paraId="7F09FB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要素</w:t>
                  </w:r>
                </w:p>
              </w:tc>
              <w:tc>
                <w:tcPr>
                  <w:tcW w:w="838" w:type="pct"/>
                  <w:vAlign w:val="center"/>
                </w:tcPr>
                <w:p w14:paraId="6B458A9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76BDE72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点位</w:t>
                  </w:r>
                </w:p>
              </w:tc>
              <w:tc>
                <w:tcPr>
                  <w:tcW w:w="712" w:type="pct"/>
                  <w:vAlign w:val="center"/>
                </w:tcPr>
                <w:p w14:paraId="5472D1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6F5278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712" w:type="pct"/>
                  <w:vAlign w:val="center"/>
                </w:tcPr>
                <w:p w14:paraId="432F55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5D2493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频率</w:t>
                  </w:r>
                </w:p>
              </w:tc>
              <w:tc>
                <w:tcPr>
                  <w:tcW w:w="2439" w:type="pct"/>
                  <w:vAlign w:val="center"/>
                </w:tcPr>
                <w:p w14:paraId="13A77AB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执行标准</w:t>
                  </w:r>
                </w:p>
              </w:tc>
            </w:tr>
            <w:tr w14:paraId="451EA8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99" w:type="pct"/>
                  <w:vMerge w:val="restart"/>
                  <w:vAlign w:val="center"/>
                </w:tcPr>
                <w:p w14:paraId="0BB55DD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838" w:type="pct"/>
                  <w:vAlign w:val="center"/>
                </w:tcPr>
                <w:p w14:paraId="5EAC3E6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c>
              <w:tc>
                <w:tcPr>
                  <w:tcW w:w="712" w:type="pct"/>
                  <w:vAlign w:val="center"/>
                </w:tcPr>
                <w:p w14:paraId="16F2D72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712" w:type="pct"/>
                  <w:vAlign w:val="center"/>
                </w:tcPr>
                <w:p w14:paraId="0FA1C64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Merge w:val="restart"/>
                  <w:vAlign w:val="center"/>
                </w:tcPr>
                <w:p w14:paraId="7EE1D04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《橡胶制品工业污染物排放标准》(GB27632-2011)中表5</w:t>
                  </w:r>
                </w:p>
              </w:tc>
            </w:tr>
            <w:tr w14:paraId="30C71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299" w:type="pct"/>
                  <w:vMerge w:val="continue"/>
                  <w:vAlign w:val="center"/>
                </w:tcPr>
                <w:p w14:paraId="659AF491">
                  <w:pPr>
                    <w:pStyle w:val="221"/>
                    <w:rPr>
                      <w:color w:val="000000" w:themeColor="text1"/>
                      <w14:textFill>
                        <w14:solidFill>
                          <w14:schemeClr w14:val="tx1"/>
                        </w14:solidFill>
                      </w14:textFill>
                    </w:rPr>
                  </w:pPr>
                </w:p>
              </w:tc>
              <w:tc>
                <w:tcPr>
                  <w:tcW w:w="838" w:type="pct"/>
                  <w:vMerge w:val="restart"/>
                  <w:vAlign w:val="center"/>
                </w:tcPr>
                <w:p w14:paraId="2D7CD23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c>
              <w:tc>
                <w:tcPr>
                  <w:tcW w:w="712" w:type="pct"/>
                  <w:vAlign w:val="center"/>
                </w:tcPr>
                <w:p w14:paraId="773576A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Align w:val="center"/>
                </w:tcPr>
                <w:p w14:paraId="7949D3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c>
                <w:tcPr>
                  <w:tcW w:w="2439" w:type="pct"/>
                  <w:vMerge w:val="continue"/>
                  <w:vAlign w:val="center"/>
                </w:tcPr>
                <w:p w14:paraId="4FCC6B0D">
                  <w:pPr>
                    <w:pStyle w:val="221"/>
                    <w:rPr>
                      <w:color w:val="000000" w:themeColor="text1"/>
                      <w14:textFill>
                        <w14:solidFill>
                          <w14:schemeClr w14:val="tx1"/>
                        </w14:solidFill>
                      </w14:textFill>
                    </w:rPr>
                  </w:pPr>
                </w:p>
              </w:tc>
            </w:tr>
            <w:tr w14:paraId="346B8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299" w:type="pct"/>
                  <w:vMerge w:val="continue"/>
                  <w:vAlign w:val="center"/>
                </w:tcPr>
                <w:p w14:paraId="374C362B">
                  <w:pPr>
                    <w:pStyle w:val="221"/>
                    <w:rPr>
                      <w:color w:val="000000" w:themeColor="text1"/>
                      <w14:textFill>
                        <w14:solidFill>
                          <w14:schemeClr w14:val="tx1"/>
                        </w14:solidFill>
                      </w14:textFill>
                    </w:rPr>
                  </w:pPr>
                </w:p>
              </w:tc>
              <w:tc>
                <w:tcPr>
                  <w:tcW w:w="838" w:type="pct"/>
                  <w:vMerge w:val="continue"/>
                  <w:vAlign w:val="center"/>
                </w:tcPr>
                <w:p w14:paraId="1CAC1CBF">
                  <w:pPr>
                    <w:pStyle w:val="221"/>
                    <w:rPr>
                      <w:color w:val="000000" w:themeColor="text1"/>
                      <w14:textFill>
                        <w14:solidFill>
                          <w14:schemeClr w14:val="tx1"/>
                        </w14:solidFill>
                      </w14:textFill>
                    </w:rPr>
                  </w:pPr>
                </w:p>
              </w:tc>
              <w:tc>
                <w:tcPr>
                  <w:tcW w:w="712" w:type="pct"/>
                  <w:vAlign w:val="center"/>
                </w:tcPr>
                <w:p w14:paraId="7C017B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712" w:type="pct"/>
                  <w:vAlign w:val="center"/>
                </w:tcPr>
                <w:p w14:paraId="4802553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6CD112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《恶臭污染物排放标准》GB14554-93)表2</w:t>
                  </w:r>
                </w:p>
              </w:tc>
            </w:tr>
            <w:tr w14:paraId="56FE6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99" w:type="pct"/>
                  <w:vMerge w:val="continue"/>
                  <w:vAlign w:val="center"/>
                </w:tcPr>
                <w:p w14:paraId="2B423B91">
                  <w:pPr>
                    <w:pStyle w:val="221"/>
                    <w:rPr>
                      <w:color w:val="000000" w:themeColor="text1"/>
                      <w14:textFill>
                        <w14:solidFill>
                          <w14:schemeClr w14:val="tx1"/>
                        </w14:solidFill>
                      </w14:textFill>
                    </w:rPr>
                  </w:pPr>
                </w:p>
              </w:tc>
              <w:tc>
                <w:tcPr>
                  <w:tcW w:w="838" w:type="pct"/>
                  <w:vMerge w:val="restart"/>
                  <w:vAlign w:val="center"/>
                </w:tcPr>
                <w:p w14:paraId="7989E6E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w:t>
                  </w:r>
                </w:p>
              </w:tc>
              <w:tc>
                <w:tcPr>
                  <w:tcW w:w="712" w:type="pct"/>
                  <w:vAlign w:val="center"/>
                </w:tcPr>
                <w:p w14:paraId="6C1BD41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Merge w:val="restart"/>
                  <w:vAlign w:val="center"/>
                </w:tcPr>
                <w:p w14:paraId="1DBA090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Merge w:val="restart"/>
                  <w:vAlign w:val="center"/>
                </w:tcPr>
                <w:p w14:paraId="57D0C7E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《橡胶制品工业污染物排放标准》(GB27632-2011)中表6</w:t>
                  </w:r>
                </w:p>
              </w:tc>
            </w:tr>
            <w:tr w14:paraId="52B8C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99" w:type="pct"/>
                  <w:vMerge w:val="continue"/>
                  <w:vAlign w:val="center"/>
                </w:tcPr>
                <w:p w14:paraId="15D17672">
                  <w:pPr>
                    <w:pStyle w:val="221"/>
                    <w:rPr>
                      <w:color w:val="000000" w:themeColor="text1"/>
                      <w14:textFill>
                        <w14:solidFill>
                          <w14:schemeClr w14:val="tx1"/>
                        </w14:solidFill>
                      </w14:textFill>
                    </w:rPr>
                  </w:pPr>
                </w:p>
              </w:tc>
              <w:tc>
                <w:tcPr>
                  <w:tcW w:w="838" w:type="pct"/>
                  <w:vMerge w:val="continue"/>
                  <w:vAlign w:val="center"/>
                </w:tcPr>
                <w:p w14:paraId="60992036">
                  <w:pPr>
                    <w:pStyle w:val="221"/>
                    <w:rPr>
                      <w:color w:val="000000" w:themeColor="text1"/>
                      <w14:textFill>
                        <w14:solidFill>
                          <w14:schemeClr w14:val="tx1"/>
                        </w14:solidFill>
                      </w14:textFill>
                    </w:rPr>
                  </w:pPr>
                </w:p>
              </w:tc>
              <w:tc>
                <w:tcPr>
                  <w:tcW w:w="712" w:type="pct"/>
                  <w:vAlign w:val="center"/>
                </w:tcPr>
                <w:p w14:paraId="716EEE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712" w:type="pct"/>
                  <w:vMerge w:val="continue"/>
                  <w:vAlign w:val="center"/>
                </w:tcPr>
                <w:p w14:paraId="6BA4E36D">
                  <w:pPr>
                    <w:pStyle w:val="221"/>
                    <w:rPr>
                      <w:color w:val="000000" w:themeColor="text1"/>
                      <w14:textFill>
                        <w14:solidFill>
                          <w14:schemeClr w14:val="tx1"/>
                        </w14:solidFill>
                      </w14:textFill>
                    </w:rPr>
                  </w:pPr>
                </w:p>
              </w:tc>
              <w:tc>
                <w:tcPr>
                  <w:tcW w:w="2439" w:type="pct"/>
                  <w:vMerge w:val="continue"/>
                  <w:vAlign w:val="center"/>
                </w:tcPr>
                <w:p w14:paraId="039337CA">
                  <w:pPr>
                    <w:pStyle w:val="221"/>
                    <w:rPr>
                      <w:color w:val="000000" w:themeColor="text1"/>
                      <w14:textFill>
                        <w14:solidFill>
                          <w14:schemeClr w14:val="tx1"/>
                        </w14:solidFill>
                      </w14:textFill>
                    </w:rPr>
                  </w:pPr>
                </w:p>
              </w:tc>
            </w:tr>
            <w:tr w14:paraId="500D0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9" w:type="pct"/>
                  <w:vMerge w:val="continue"/>
                  <w:vAlign w:val="center"/>
                </w:tcPr>
                <w:p w14:paraId="1C85FC6E">
                  <w:pPr>
                    <w:pStyle w:val="221"/>
                    <w:rPr>
                      <w:color w:val="000000" w:themeColor="text1"/>
                      <w14:textFill>
                        <w14:solidFill>
                          <w14:schemeClr w14:val="tx1"/>
                        </w14:solidFill>
                      </w14:textFill>
                    </w:rPr>
                  </w:pPr>
                </w:p>
              </w:tc>
              <w:tc>
                <w:tcPr>
                  <w:tcW w:w="838" w:type="pct"/>
                  <w:vMerge w:val="continue"/>
                  <w:vAlign w:val="center"/>
                </w:tcPr>
                <w:p w14:paraId="49E60C5B">
                  <w:pPr>
                    <w:pStyle w:val="221"/>
                    <w:rPr>
                      <w:color w:val="000000" w:themeColor="text1"/>
                      <w14:textFill>
                        <w14:solidFill>
                          <w14:schemeClr w14:val="tx1"/>
                        </w14:solidFill>
                      </w14:textFill>
                    </w:rPr>
                  </w:pPr>
                </w:p>
              </w:tc>
              <w:tc>
                <w:tcPr>
                  <w:tcW w:w="712" w:type="pct"/>
                  <w:vAlign w:val="center"/>
                </w:tcPr>
                <w:p w14:paraId="2AB77D5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712" w:type="pct"/>
                  <w:vAlign w:val="center"/>
                </w:tcPr>
                <w:p w14:paraId="54F64C3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58B281B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《恶臭污染物排放标准》GB14554-93)表1恶臭污染物厂界标准值中二级“新改扩建”项目标准要求</w:t>
                  </w:r>
                </w:p>
              </w:tc>
            </w:tr>
            <w:tr w14:paraId="1EE3D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299" w:type="pct"/>
                  <w:vMerge w:val="continue"/>
                  <w:vAlign w:val="center"/>
                </w:tcPr>
                <w:p w14:paraId="68A098DE">
                  <w:pPr>
                    <w:pStyle w:val="221"/>
                    <w:rPr>
                      <w:color w:val="000000" w:themeColor="text1"/>
                      <w14:textFill>
                        <w14:solidFill>
                          <w14:schemeClr w14:val="tx1"/>
                        </w14:solidFill>
                      </w14:textFill>
                    </w:rPr>
                  </w:pPr>
                </w:p>
              </w:tc>
              <w:tc>
                <w:tcPr>
                  <w:tcW w:w="838" w:type="pct"/>
                  <w:vAlign w:val="center"/>
                </w:tcPr>
                <w:p w14:paraId="77B9B899">
                  <w:pPr>
                    <w:pStyle w:val="221"/>
                    <w:rPr>
                      <w:color w:val="000000" w:themeColor="text1"/>
                      <w14:textFill>
                        <w14:solidFill>
                          <w14:schemeClr w14:val="tx1"/>
                        </w14:solidFill>
                      </w14:textFill>
                    </w:rPr>
                  </w:pPr>
                  <w:r>
                    <w:rPr>
                      <w:color w:val="000000" w:themeColor="text1"/>
                      <w14:textFill>
                        <w14:solidFill>
                          <w14:schemeClr w14:val="tx1"/>
                        </w14:solidFill>
                      </w14:textFill>
                    </w:rPr>
                    <w:t>厂</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内</w:t>
                  </w:r>
                  <w:r>
                    <w:rPr>
                      <w:rFonts w:hint="eastAsia"/>
                      <w:color w:val="000000" w:themeColor="text1"/>
                      <w14:textFill>
                        <w14:solidFill>
                          <w14:schemeClr w14:val="tx1"/>
                        </w14:solidFill>
                      </w14:textFill>
                    </w:rPr>
                    <w:t>（监控点处1h平均浓度值、监控点处任意一次浓度值）</w:t>
                  </w:r>
                </w:p>
              </w:tc>
              <w:tc>
                <w:tcPr>
                  <w:tcW w:w="712" w:type="pct"/>
                  <w:vAlign w:val="center"/>
                </w:tcPr>
                <w:p w14:paraId="3CD77D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Align w:val="center"/>
                </w:tcPr>
                <w:p w14:paraId="4FE2BB5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6859EB3F">
                  <w:pPr>
                    <w:pStyle w:val="221"/>
                    <w:rPr>
                      <w:color w:val="000000" w:themeColor="text1"/>
                      <w14:textFill>
                        <w14:solidFill>
                          <w14:schemeClr w14:val="tx1"/>
                        </w14:solidFill>
                      </w14:textFill>
                    </w:rPr>
                  </w:pPr>
                  <w:r>
                    <w:rPr>
                      <w:color w:val="000000" w:themeColor="text1"/>
                      <w14:textFill>
                        <w14:solidFill>
                          <w14:schemeClr w14:val="tx1"/>
                        </w14:solidFill>
                      </w14:textFill>
                    </w:rPr>
                    <w:t>《挥发性有机物无组织排放控制标准》（GB 37822-2019）附录A表A.1中相应浓度限值</w:t>
                  </w:r>
                </w:p>
              </w:tc>
            </w:tr>
          </w:tbl>
          <w:p w14:paraId="69862A32">
            <w:pPr>
              <w:pStyle w:val="4"/>
              <w:keepNext w:val="0"/>
              <w:keepLines w:val="0"/>
              <w:widowControl w:val="0"/>
              <w:topLinePunct/>
              <w:spacing w:before="120" w:beforeLines="5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2</w:t>
            </w:r>
            <w:r>
              <w:rPr>
                <w:rFonts w:ascii="Times New Roman" w:hAnsi="Times New Roman" w:eastAsia="宋体" w:cs="Times New Roman"/>
                <w:b/>
                <w:bCs/>
                <w:color w:val="000000" w:themeColor="text1"/>
                <w14:textFill>
                  <w14:solidFill>
                    <w14:schemeClr w14:val="tx1"/>
                  </w14:solidFill>
                </w14:textFill>
              </w:rPr>
              <w:t xml:space="preserve"> </w:t>
            </w:r>
            <w:r>
              <w:rPr>
                <w:rFonts w:hint="eastAsia" w:ascii="Times New Roman" w:hAnsi="Times New Roman" w:eastAsia="宋体" w:cs="Times New Roman"/>
                <w:b/>
                <w:bCs/>
                <w:color w:val="000000" w:themeColor="text1"/>
                <w14:textFill>
                  <w14:solidFill>
                    <w14:schemeClr w14:val="tx1"/>
                  </w14:solidFill>
                </w14:textFill>
              </w:rPr>
              <w:t>水</w:t>
            </w:r>
            <w:r>
              <w:rPr>
                <w:rFonts w:ascii="Times New Roman" w:hAnsi="Times New Roman" w:eastAsia="宋体" w:cs="Times New Roman"/>
                <w:b/>
                <w:bCs/>
                <w:color w:val="000000" w:themeColor="text1"/>
                <w14:textFill>
                  <w14:solidFill>
                    <w14:schemeClr w14:val="tx1"/>
                  </w14:solidFill>
                </w14:textFill>
              </w:rPr>
              <w:t>环境影响和防范措施</w:t>
            </w:r>
          </w:p>
          <w:p w14:paraId="35473AA5">
            <w:pPr>
              <w:pStyle w:val="175"/>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1、废水源强分析</w:t>
            </w:r>
          </w:p>
          <w:p w14:paraId="5D233FCC">
            <w:pPr>
              <w:pStyle w:val="225"/>
              <w:ind w:firstLine="480"/>
              <w:rPr>
                <w:color w:val="000000" w:themeColor="text1"/>
                <w:lang w:val="en-US" w:bidi="ar-SA"/>
                <w14:textFill>
                  <w14:solidFill>
                    <w14:schemeClr w14:val="tx1"/>
                  </w14:solidFill>
                </w14:textFill>
              </w:rPr>
            </w:pPr>
            <w:r>
              <w:rPr>
                <w:rFonts w:hint="eastAsia"/>
                <w:color w:val="000000" w:themeColor="text1"/>
                <w:lang w:val="en-US" w:bidi="ar-SA"/>
                <w14:textFill>
                  <w14:solidFill>
                    <w14:schemeClr w14:val="tx1"/>
                  </w14:solidFill>
                </w14:textFill>
              </w:rPr>
              <w:t>（1）生活污水</w:t>
            </w:r>
          </w:p>
          <w:p w14:paraId="73F4A4C6">
            <w:pPr>
              <w:pStyle w:val="225"/>
              <w:ind w:firstLine="480"/>
              <w:rPr>
                <w:color w:val="000000" w:themeColor="text1"/>
                <w14:textFill>
                  <w14:solidFill>
                    <w14:schemeClr w14:val="tx1"/>
                  </w14:solidFill>
                </w14:textFill>
              </w:rPr>
            </w:pPr>
            <w:r>
              <w:rPr>
                <w:rFonts w:hint="eastAsia"/>
                <w:color w:val="000000" w:themeColor="text1"/>
                <w:lang w:val="en-US" w:bidi="ar-SA"/>
                <w14:textFill>
                  <w14:solidFill>
                    <w14:schemeClr w14:val="tx1"/>
                  </w14:solidFill>
                </w14:textFill>
              </w:rPr>
              <w:t>根据水平衡分析，本项目生活污水产生量为</w:t>
            </w:r>
            <w:r>
              <w:rPr>
                <w:rFonts w:hint="eastAsia"/>
                <w:color w:val="000000" w:themeColor="text1"/>
                <w:lang w:val="en-US"/>
                <w14:textFill>
                  <w14:solidFill>
                    <w14:schemeClr w14:val="tx1"/>
                  </w14:solidFill>
                </w14:textFill>
              </w:rPr>
              <w:t>0.52</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156</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w:t>
            </w:r>
            <w:r>
              <w:rPr>
                <w:rFonts w:hint="eastAsia"/>
                <w:color w:val="000000" w:themeColor="text1"/>
                <w:lang w:val="en-US" w:bidi="ar-SA"/>
                <w14:textFill>
                  <w14:solidFill>
                    <w14:schemeClr w14:val="tx1"/>
                  </w14:solidFill>
                </w14:textFill>
              </w:rPr>
              <w:t>，</w:t>
            </w:r>
            <w:r>
              <w:rPr>
                <w:color w:val="000000" w:themeColor="text1"/>
                <w:lang w:val="en-US" w:bidi="ar-SA"/>
                <w14:textFill>
                  <w14:solidFill>
                    <w14:schemeClr w14:val="tx1"/>
                  </w14:solidFill>
                </w14:textFill>
              </w:rPr>
              <w:t>生活污水</w:t>
            </w:r>
            <w:r>
              <w:rPr>
                <w:color w:val="000000" w:themeColor="text1"/>
                <w14:textFill>
                  <w14:solidFill>
                    <w14:schemeClr w14:val="tx1"/>
                  </w14:solidFill>
                </w14:textFill>
              </w:rPr>
              <w:t>主要污染物pH、</w:t>
            </w:r>
            <w:r>
              <w:rPr>
                <w:rFonts w:hint="eastAsia"/>
                <w:color w:val="000000" w:themeColor="text1"/>
                <w14:textFill>
                  <w14:solidFill>
                    <w14:schemeClr w14:val="tx1"/>
                  </w14:solidFill>
                </w14:textFill>
              </w:rPr>
              <w:t>SS</w:t>
            </w:r>
            <w:r>
              <w:rPr>
                <w:color w:val="000000" w:themeColor="text1"/>
                <w14:textFill>
                  <w14:solidFill>
                    <w14:schemeClr w14:val="tx1"/>
                  </w14:solidFill>
                </w14:textFill>
              </w:rPr>
              <w:t>、COD、BOD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w:t>
            </w:r>
            <w:r>
              <w:rPr>
                <w:color w:val="000000" w:themeColor="text1"/>
                <w14:textFill>
                  <w14:solidFill>
                    <w14:schemeClr w14:val="tx1"/>
                  </w14:solidFill>
                </w14:textFill>
              </w:rPr>
              <w:t>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参考《给排水设计手册》(第五册城镇排水)典型生活污水水质，生活污水中各主要污染物浓度按COD：400mg/L ，BOD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 xml:space="preserve"> ：200mg/L ，SS：220mg/L ，NH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-N：35mg/L</w:t>
            </w:r>
            <w:r>
              <w:rPr>
                <w:color w:val="000000" w:themeColor="text1"/>
                <w:lang w:val="en-US" w:bidi="ar-SA"/>
                <w14:textFill>
                  <w14:solidFill>
                    <w14:schemeClr w14:val="tx1"/>
                  </w14:solidFill>
                </w14:textFill>
              </w:rPr>
              <w:t>、</w:t>
            </w:r>
            <w:r>
              <w:rPr>
                <w:bCs/>
                <w:color w:val="000000" w:themeColor="text1"/>
                <w:lang w:val="en-US" w:bidi="ar-SA"/>
                <w14:textFill>
                  <w14:solidFill>
                    <w14:schemeClr w14:val="tx1"/>
                  </w14:solidFill>
                </w14:textFill>
              </w:rPr>
              <w:t>总磷：4.27mg/L、总氮：44.8mg/L</w:t>
            </w:r>
            <w:r>
              <w:rPr>
                <w:color w:val="000000" w:themeColor="text1"/>
                <w14:textFill>
                  <w14:solidFill>
                    <w14:schemeClr w14:val="tx1"/>
                  </w14:solidFill>
                </w14:textFill>
              </w:rPr>
              <w:t>计算</w:t>
            </w:r>
            <w:r>
              <w:rPr>
                <w:rFonts w:hint="eastAsia"/>
                <w:color w:val="000000" w:themeColor="text1"/>
                <w14:textFill>
                  <w14:solidFill>
                    <w14:schemeClr w14:val="tx1"/>
                  </w14:solidFill>
                </w14:textFill>
              </w:rPr>
              <w:t>。</w:t>
            </w:r>
          </w:p>
          <w:p w14:paraId="79AA1BA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生活污水经化粪池处理后经生活污水排放口（DW002）排入市政污水管网，</w:t>
            </w:r>
            <w:r>
              <w:rPr>
                <w:color w:val="000000" w:themeColor="text1"/>
                <w14:textFill>
                  <w14:solidFill>
                    <w14:schemeClr w14:val="tx1"/>
                  </w14:solidFill>
                </w14:textFill>
              </w:rPr>
              <w:t>根据《化粪池原理及水污染物去除率》中数据，化粪池对主要水污染物 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-N的去除率分别为15%、9%、30%、3%</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根据《村镇生活污染防治最佳可行技术指南（试行）》（HJ-BAT-9）中的数据：TN（总氮）</w:t>
            </w:r>
            <w:r>
              <w:rPr>
                <w:rFonts w:hint="eastAsia"/>
                <w:bCs/>
                <w:color w:val="000000" w:themeColor="text1"/>
                <w14:textFill>
                  <w14:solidFill>
                    <w14:schemeClr w14:val="tx1"/>
                  </w14:solidFill>
                </w14:textFill>
              </w:rPr>
              <w:t>去除率</w:t>
            </w:r>
            <w:r>
              <w:rPr>
                <w:bCs/>
                <w:color w:val="000000" w:themeColor="text1"/>
                <w14:textFill>
                  <w14:solidFill>
                    <w14:schemeClr w14:val="tx1"/>
                  </w14:solidFill>
                </w14:textFill>
              </w:rPr>
              <w:t>不大于10%（本项目取</w:t>
            </w:r>
            <w:r>
              <w:rPr>
                <w:rFonts w:hint="eastAsia"/>
                <w:bCs/>
                <w:color w:val="000000" w:themeColor="text1"/>
                <w14:textFill>
                  <w14:solidFill>
                    <w14:schemeClr w14:val="tx1"/>
                  </w14:solidFill>
                </w14:textFill>
              </w:rPr>
              <w:t>3</w:t>
            </w:r>
            <w:r>
              <w:rPr>
                <w:bCs/>
                <w:color w:val="000000" w:themeColor="text1"/>
                <w14:textFill>
                  <w14:solidFill>
                    <w14:schemeClr w14:val="tx1"/>
                  </w14:solidFill>
                </w14:textFill>
              </w:rPr>
              <w:t>%），TP（总磷）去除率不大于20%（本项目取</w:t>
            </w:r>
            <w:r>
              <w:rPr>
                <w:rFonts w:hint="eastAsia"/>
                <w:bCs/>
                <w:color w:val="000000" w:themeColor="text1"/>
                <w14:textFill>
                  <w14:solidFill>
                    <w14:schemeClr w14:val="tx1"/>
                  </w14:solidFill>
                </w14:textFill>
              </w:rPr>
              <w:t>5</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。项目生活污水污染物进水和出水情况见表4.2-10。</w:t>
            </w:r>
          </w:p>
          <w:p w14:paraId="29ED2012">
            <w:pPr>
              <w:pStyle w:val="175"/>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（2）冷却循环水</w:t>
            </w:r>
          </w:p>
          <w:p w14:paraId="2DFBD18A">
            <w:pPr>
              <w:pStyle w:val="225"/>
              <w:ind w:firstLine="480"/>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防止开炼过程产生的胶片叠放在一起发生黏连，开炼后的胶片需经过胶片冷却线冷却，胶片进入冷却槽中直接冷却，冷却水经冷冻机降温，再经过滤器过滤后循环使用，不外排。</w:t>
            </w:r>
          </w:p>
          <w:p w14:paraId="2C1C9346">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4.2-10</w:t>
            </w:r>
            <w:r>
              <w:rPr>
                <w:rFonts w:ascii="Times New Roman" w:hAnsi="Times New Roman" w:eastAsia="宋体" w:cs="宋体"/>
                <w:b/>
                <w:color w:val="000000" w:themeColor="text1"/>
                <w:spacing w:val="6"/>
                <w:kern w:val="2"/>
                <w:szCs w:val="20"/>
                <w14:textFill>
                  <w14:solidFill>
                    <w14:schemeClr w14:val="tx1"/>
                  </w14:solidFill>
                </w14:textFill>
              </w:rPr>
              <w:t xml:space="preserve"> </w:t>
            </w:r>
            <w:r>
              <w:rPr>
                <w:rFonts w:hint="eastAsia" w:ascii="Times New Roman" w:hAnsi="Times New Roman" w:eastAsia="宋体" w:cs="宋体"/>
                <w:b/>
                <w:color w:val="000000" w:themeColor="text1"/>
                <w:spacing w:val="6"/>
                <w:kern w:val="2"/>
                <w:szCs w:val="20"/>
                <w14:textFill>
                  <w14:solidFill>
                    <w14:schemeClr w14:val="tx1"/>
                  </w14:solidFill>
                </w14:textFill>
              </w:rPr>
              <w:t xml:space="preserve"> 废水</w:t>
            </w:r>
            <w:r>
              <w:rPr>
                <w:rFonts w:ascii="Times New Roman" w:hAnsi="Times New Roman" w:eastAsia="宋体" w:cs="宋体"/>
                <w:b/>
                <w:color w:val="000000" w:themeColor="text1"/>
                <w:spacing w:val="6"/>
                <w:kern w:val="2"/>
                <w:szCs w:val="20"/>
                <w14:textFill>
                  <w14:solidFill>
                    <w14:schemeClr w14:val="tx1"/>
                  </w14:solidFill>
                </w14:textFill>
              </w:rPr>
              <w:t>污染物产</w:t>
            </w:r>
            <w:r>
              <w:rPr>
                <w:rFonts w:hint="eastAsia" w:ascii="Times New Roman" w:hAnsi="Times New Roman" w:eastAsia="宋体" w:cs="宋体"/>
                <w:b/>
                <w:color w:val="000000" w:themeColor="text1"/>
                <w:spacing w:val="6"/>
                <w:kern w:val="2"/>
                <w:szCs w:val="20"/>
                <w14:textFill>
                  <w14:solidFill>
                    <w14:schemeClr w14:val="tx1"/>
                  </w14:solidFill>
                </w14:textFill>
              </w:rPr>
              <w:t>排</w:t>
            </w:r>
            <w:r>
              <w:rPr>
                <w:rFonts w:ascii="Times New Roman" w:hAnsi="Times New Roman" w:eastAsia="宋体" w:cs="宋体"/>
                <w:b/>
                <w:color w:val="000000" w:themeColor="text1"/>
                <w:spacing w:val="6"/>
                <w:kern w:val="2"/>
                <w:szCs w:val="20"/>
                <w14:textFill>
                  <w14:solidFill>
                    <w14:schemeClr w14:val="tx1"/>
                  </w14:solidFill>
                </w14:textFill>
              </w:rPr>
              <w:t>情况</w:t>
            </w:r>
            <w:r>
              <w:rPr>
                <w:rFonts w:hint="eastAsia" w:ascii="Times New Roman" w:hAnsi="Times New Roman" w:eastAsia="宋体" w:cs="宋体"/>
                <w:b/>
                <w:color w:val="000000" w:themeColor="text1"/>
                <w:spacing w:val="6"/>
                <w:kern w:val="2"/>
                <w:szCs w:val="20"/>
                <w14:textFill>
                  <w14:solidFill>
                    <w14:schemeClr w14:val="tx1"/>
                  </w14:solidFill>
                </w14:textFill>
              </w:rPr>
              <w:t>汇总</w:t>
            </w:r>
            <w:r>
              <w:rPr>
                <w:rFonts w:ascii="Times New Roman" w:hAnsi="Times New Roman" w:eastAsia="宋体" w:cs="宋体"/>
                <w:b/>
                <w:color w:val="000000" w:themeColor="text1"/>
                <w:spacing w:val="6"/>
                <w:kern w:val="2"/>
                <w:szCs w:val="20"/>
                <w14:textFill>
                  <w14:solidFill>
                    <w14:schemeClr w14:val="tx1"/>
                  </w14:solidFill>
                </w14:textFill>
              </w:rPr>
              <w:t>一览表</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835"/>
              <w:gridCol w:w="831"/>
              <w:gridCol w:w="1119"/>
              <w:gridCol w:w="995"/>
              <w:gridCol w:w="1162"/>
              <w:gridCol w:w="1506"/>
              <w:gridCol w:w="1147"/>
              <w:gridCol w:w="1028"/>
            </w:tblGrid>
            <w:tr w14:paraId="7253FCB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restart"/>
                  <w:tcBorders>
                    <w:tl2br w:val="nil"/>
                    <w:tr2bl w:val="nil"/>
                  </w:tcBorders>
                  <w:vAlign w:val="center"/>
                </w:tcPr>
                <w:p w14:paraId="03B7FE98">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排放源</w:t>
                  </w:r>
                </w:p>
              </w:tc>
              <w:tc>
                <w:tcPr>
                  <w:tcW w:w="482" w:type="pct"/>
                  <w:vMerge w:val="restart"/>
                  <w:tcBorders>
                    <w:tl2br w:val="nil"/>
                    <w:tr2bl w:val="nil"/>
                  </w:tcBorders>
                  <w:vAlign w:val="center"/>
                </w:tcPr>
                <w:p w14:paraId="4EB63756">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污染物名称</w:t>
                  </w:r>
                </w:p>
              </w:tc>
              <w:tc>
                <w:tcPr>
                  <w:tcW w:w="1226" w:type="pct"/>
                  <w:gridSpan w:val="2"/>
                  <w:tcBorders>
                    <w:tl2br w:val="nil"/>
                    <w:tr2bl w:val="nil"/>
                  </w:tcBorders>
                  <w:vAlign w:val="center"/>
                </w:tcPr>
                <w:p w14:paraId="6838E9B5">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产生情况</w:t>
                  </w:r>
                </w:p>
              </w:tc>
              <w:tc>
                <w:tcPr>
                  <w:tcW w:w="1547" w:type="pct"/>
                  <w:gridSpan w:val="2"/>
                  <w:tcBorders>
                    <w:tl2br w:val="nil"/>
                    <w:tr2bl w:val="nil"/>
                  </w:tcBorders>
                  <w:vAlign w:val="center"/>
                </w:tcPr>
                <w:p w14:paraId="70ED5713">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厂内处理后排放情况</w:t>
                  </w:r>
                </w:p>
              </w:tc>
              <w:tc>
                <w:tcPr>
                  <w:tcW w:w="1262" w:type="pct"/>
                  <w:gridSpan w:val="2"/>
                  <w:tcBorders>
                    <w:tl2br w:val="nil"/>
                    <w:tr2bl w:val="nil"/>
                  </w:tcBorders>
                  <w:vAlign w:val="center"/>
                </w:tcPr>
                <w:p w14:paraId="70245A56">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排入外环境情况</w:t>
                  </w:r>
                </w:p>
              </w:tc>
            </w:tr>
            <w:tr w14:paraId="1333D4F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1946EDC5">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vMerge w:val="continue"/>
                  <w:tcBorders>
                    <w:tl2br w:val="nil"/>
                    <w:tr2bl w:val="nil"/>
                  </w:tcBorders>
                  <w:vAlign w:val="center"/>
                </w:tcPr>
                <w:p w14:paraId="003DFB8D">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649" w:type="pct"/>
                  <w:tcBorders>
                    <w:tl2br w:val="nil"/>
                    <w:tr2bl w:val="nil"/>
                  </w:tcBorders>
                  <w:vAlign w:val="center"/>
                </w:tcPr>
                <w:p w14:paraId="26FDB20D">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产生浓度（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577" w:type="pct"/>
                  <w:tcBorders>
                    <w:tl2br w:val="nil"/>
                    <w:tr2bl w:val="nil"/>
                  </w:tcBorders>
                  <w:vAlign w:val="center"/>
                </w:tcPr>
                <w:p w14:paraId="38EB91B8">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产生量（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74" w:type="pct"/>
                  <w:tcBorders>
                    <w:tl2br w:val="nil"/>
                    <w:tr2bl w:val="nil"/>
                  </w:tcBorders>
                  <w:vAlign w:val="center"/>
                </w:tcPr>
                <w:p w14:paraId="6F7BD103">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入管浓度（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873" w:type="pct"/>
                  <w:tcBorders>
                    <w:tl2br w:val="nil"/>
                    <w:tr2bl w:val="nil"/>
                  </w:tcBorders>
                  <w:vAlign w:val="center"/>
                </w:tcPr>
                <w:p w14:paraId="6250893D">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入管排放量（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65" w:type="pct"/>
                  <w:tcBorders>
                    <w:tl2br w:val="nil"/>
                    <w:tr2bl w:val="nil"/>
                  </w:tcBorders>
                  <w:vAlign w:val="center"/>
                </w:tcPr>
                <w:p w14:paraId="76E71686">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外排浓度（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597" w:type="pct"/>
                  <w:tcBorders>
                    <w:tl2br w:val="nil"/>
                    <w:tr2bl w:val="nil"/>
                  </w:tcBorders>
                  <w:vAlign w:val="center"/>
                </w:tcPr>
                <w:p w14:paraId="3C52C9E4">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外排量（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r>
            <w:tr w14:paraId="6092264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restart"/>
                  <w:tcBorders>
                    <w:tl2br w:val="nil"/>
                    <w:tr2bl w:val="nil"/>
                  </w:tcBorders>
                  <w:vAlign w:val="center"/>
                </w:tcPr>
                <w:p w14:paraId="6F585FF3">
                  <w:pPr>
                    <w:spacing w:after="0" w:line="240" w:lineRule="auto"/>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生活</w:t>
                  </w:r>
                </w:p>
                <w:p w14:paraId="702C9D17">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污水</w:t>
                  </w:r>
                </w:p>
              </w:tc>
              <w:tc>
                <w:tcPr>
                  <w:tcW w:w="482" w:type="pct"/>
                  <w:tcBorders>
                    <w:tl2br w:val="nil"/>
                    <w:tr2bl w:val="nil"/>
                  </w:tcBorders>
                  <w:vAlign w:val="center"/>
                </w:tcPr>
                <w:p w14:paraId="7D308F79">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废水量</w:t>
                  </w:r>
                </w:p>
              </w:tc>
              <w:tc>
                <w:tcPr>
                  <w:tcW w:w="649" w:type="pct"/>
                  <w:tcBorders>
                    <w:tl2br w:val="nil"/>
                    <w:tr2bl w:val="nil"/>
                  </w:tcBorders>
                  <w:vAlign w:val="center"/>
                </w:tcPr>
                <w:p w14:paraId="139C3473">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w:t>
                  </w:r>
                </w:p>
              </w:tc>
              <w:tc>
                <w:tcPr>
                  <w:tcW w:w="577" w:type="pct"/>
                  <w:tcBorders>
                    <w:tl2br w:val="nil"/>
                    <w:tr2bl w:val="nil"/>
                  </w:tcBorders>
                  <w:vAlign w:val="center"/>
                </w:tcPr>
                <w:p w14:paraId="4BD12552">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156</w:t>
                  </w:r>
                </w:p>
              </w:tc>
              <w:tc>
                <w:tcPr>
                  <w:tcW w:w="674" w:type="pct"/>
                  <w:tcBorders>
                    <w:tl2br w:val="nil"/>
                    <w:tr2bl w:val="nil"/>
                  </w:tcBorders>
                  <w:vAlign w:val="center"/>
                </w:tcPr>
                <w:p w14:paraId="53EFCE46">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w:t>
                  </w:r>
                </w:p>
              </w:tc>
              <w:tc>
                <w:tcPr>
                  <w:tcW w:w="873" w:type="pct"/>
                  <w:tcBorders>
                    <w:tl2br w:val="nil"/>
                    <w:tr2bl w:val="nil"/>
                  </w:tcBorders>
                  <w:vAlign w:val="center"/>
                </w:tcPr>
                <w:p w14:paraId="35365C36">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156</w:t>
                  </w:r>
                </w:p>
              </w:tc>
              <w:tc>
                <w:tcPr>
                  <w:tcW w:w="665" w:type="pct"/>
                  <w:tcBorders>
                    <w:tl2br w:val="nil"/>
                    <w:tr2bl w:val="nil"/>
                  </w:tcBorders>
                  <w:vAlign w:val="center"/>
                </w:tcPr>
                <w:p w14:paraId="336A8EB6">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w:t>
                  </w:r>
                </w:p>
              </w:tc>
              <w:tc>
                <w:tcPr>
                  <w:tcW w:w="597" w:type="pct"/>
                  <w:tcBorders>
                    <w:tl2br w:val="nil"/>
                    <w:tr2bl w:val="nil"/>
                  </w:tcBorders>
                  <w:vAlign w:val="center"/>
                </w:tcPr>
                <w:p w14:paraId="32FCEE5D">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156</w:t>
                  </w:r>
                </w:p>
              </w:tc>
            </w:tr>
            <w:tr w14:paraId="4FD1E73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52B9A47F">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71113408">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COD</w:t>
                  </w:r>
                </w:p>
              </w:tc>
              <w:tc>
                <w:tcPr>
                  <w:tcW w:w="649" w:type="pct"/>
                  <w:tcBorders>
                    <w:tl2br w:val="nil"/>
                    <w:tr2bl w:val="nil"/>
                  </w:tcBorders>
                  <w:vAlign w:val="center"/>
                </w:tcPr>
                <w:p w14:paraId="36D3FDD3">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400</w:t>
                  </w:r>
                </w:p>
              </w:tc>
              <w:tc>
                <w:tcPr>
                  <w:tcW w:w="577" w:type="pct"/>
                  <w:tcBorders>
                    <w:tl2br w:val="nil"/>
                    <w:tr2bl w:val="nil"/>
                  </w:tcBorders>
                  <w:vAlign w:val="center"/>
                </w:tcPr>
                <w:p w14:paraId="5198D003">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0.062</w:t>
                  </w:r>
                </w:p>
              </w:tc>
              <w:tc>
                <w:tcPr>
                  <w:tcW w:w="674" w:type="pct"/>
                  <w:tcBorders>
                    <w:tl2br w:val="nil"/>
                    <w:tr2bl w:val="nil"/>
                  </w:tcBorders>
                  <w:vAlign w:val="center"/>
                </w:tcPr>
                <w:p w14:paraId="2F163053">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340</w:t>
                  </w:r>
                </w:p>
              </w:tc>
              <w:tc>
                <w:tcPr>
                  <w:tcW w:w="873" w:type="pct"/>
                  <w:tcBorders>
                    <w:tl2br w:val="nil"/>
                    <w:tr2bl w:val="nil"/>
                  </w:tcBorders>
                  <w:vAlign w:val="center"/>
                </w:tcPr>
                <w:p w14:paraId="1B86D1DA">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0.053</w:t>
                  </w:r>
                </w:p>
              </w:tc>
              <w:tc>
                <w:tcPr>
                  <w:tcW w:w="665" w:type="pct"/>
                  <w:tcBorders>
                    <w:tl2br w:val="nil"/>
                    <w:tr2bl w:val="nil"/>
                  </w:tcBorders>
                  <w:vAlign w:val="center"/>
                </w:tcPr>
                <w:p w14:paraId="78D1274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50</w:t>
                  </w:r>
                </w:p>
              </w:tc>
              <w:tc>
                <w:tcPr>
                  <w:tcW w:w="597" w:type="pct"/>
                  <w:tcBorders>
                    <w:tl2br w:val="nil"/>
                    <w:tr2bl w:val="nil"/>
                  </w:tcBorders>
                  <w:vAlign w:val="center"/>
                </w:tcPr>
                <w:p w14:paraId="477EE8D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0.008</w:t>
                  </w:r>
                </w:p>
              </w:tc>
            </w:tr>
            <w:tr w14:paraId="18F0D86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4BF1E3F7">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24175483">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BOD</w:t>
                  </w:r>
                  <w:r>
                    <w:rPr>
                      <w:color w:val="000000" w:themeColor="text1"/>
                      <w:kern w:val="2"/>
                      <w:vertAlign w:val="subscript"/>
                      <w14:textFill>
                        <w14:solidFill>
                          <w14:schemeClr w14:val="tx1"/>
                        </w14:solidFill>
                      </w14:textFill>
                    </w:rPr>
                    <w:t>5</w:t>
                  </w:r>
                </w:p>
              </w:tc>
              <w:tc>
                <w:tcPr>
                  <w:tcW w:w="649" w:type="pct"/>
                  <w:tcBorders>
                    <w:tl2br w:val="nil"/>
                    <w:tr2bl w:val="nil"/>
                  </w:tcBorders>
                  <w:vAlign w:val="center"/>
                </w:tcPr>
                <w:p w14:paraId="7232393C">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200</w:t>
                  </w:r>
                </w:p>
              </w:tc>
              <w:tc>
                <w:tcPr>
                  <w:tcW w:w="577" w:type="pct"/>
                  <w:tcBorders>
                    <w:tl2br w:val="nil"/>
                    <w:tr2bl w:val="nil"/>
                  </w:tcBorders>
                  <w:vAlign w:val="center"/>
                </w:tcPr>
                <w:p w14:paraId="24167B0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0.031</w:t>
                  </w:r>
                </w:p>
              </w:tc>
              <w:tc>
                <w:tcPr>
                  <w:tcW w:w="674" w:type="pct"/>
                  <w:tcBorders>
                    <w:tl2br w:val="nil"/>
                    <w:tr2bl w:val="nil"/>
                  </w:tcBorders>
                  <w:vAlign w:val="center"/>
                </w:tcPr>
                <w:p w14:paraId="6EB02E8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182</w:t>
                  </w:r>
                </w:p>
              </w:tc>
              <w:tc>
                <w:tcPr>
                  <w:tcW w:w="873" w:type="pct"/>
                  <w:tcBorders>
                    <w:tl2br w:val="nil"/>
                    <w:tr2bl w:val="nil"/>
                  </w:tcBorders>
                  <w:vAlign w:val="center"/>
                </w:tcPr>
                <w:p w14:paraId="7D609F8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0.028</w:t>
                  </w:r>
                </w:p>
              </w:tc>
              <w:tc>
                <w:tcPr>
                  <w:tcW w:w="665" w:type="pct"/>
                  <w:tcBorders>
                    <w:tl2br w:val="nil"/>
                    <w:tr2bl w:val="nil"/>
                  </w:tcBorders>
                  <w:vAlign w:val="center"/>
                </w:tcPr>
                <w:p w14:paraId="1D3C5DA9">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10</w:t>
                  </w:r>
                </w:p>
              </w:tc>
              <w:tc>
                <w:tcPr>
                  <w:tcW w:w="597" w:type="pct"/>
                  <w:tcBorders>
                    <w:tl2br w:val="nil"/>
                    <w:tr2bl w:val="nil"/>
                  </w:tcBorders>
                  <w:vAlign w:val="center"/>
                </w:tcPr>
                <w:p w14:paraId="18096CF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r w14:paraId="66DBDEC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26C62693">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1A043B9C">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SS</w:t>
                  </w:r>
                </w:p>
              </w:tc>
              <w:tc>
                <w:tcPr>
                  <w:tcW w:w="649" w:type="pct"/>
                  <w:tcBorders>
                    <w:tl2br w:val="nil"/>
                    <w:tr2bl w:val="nil"/>
                  </w:tcBorders>
                  <w:vAlign w:val="center"/>
                </w:tcPr>
                <w:p w14:paraId="6391CD5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220</w:t>
                  </w:r>
                </w:p>
              </w:tc>
              <w:tc>
                <w:tcPr>
                  <w:tcW w:w="577" w:type="pct"/>
                  <w:tcBorders>
                    <w:tl2br w:val="nil"/>
                    <w:tr2bl w:val="nil"/>
                  </w:tcBorders>
                  <w:vAlign w:val="center"/>
                </w:tcPr>
                <w:p w14:paraId="0B2A731F">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0.034</w:t>
                  </w:r>
                </w:p>
              </w:tc>
              <w:tc>
                <w:tcPr>
                  <w:tcW w:w="674" w:type="pct"/>
                  <w:tcBorders>
                    <w:tl2br w:val="nil"/>
                    <w:tr2bl w:val="nil"/>
                  </w:tcBorders>
                  <w:vAlign w:val="center"/>
                </w:tcPr>
                <w:p w14:paraId="604FC5A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154</w:t>
                  </w:r>
                </w:p>
              </w:tc>
              <w:tc>
                <w:tcPr>
                  <w:tcW w:w="873" w:type="pct"/>
                  <w:tcBorders>
                    <w:tl2br w:val="nil"/>
                    <w:tr2bl w:val="nil"/>
                  </w:tcBorders>
                  <w:vAlign w:val="center"/>
                </w:tcPr>
                <w:p w14:paraId="5B0FF65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0.024</w:t>
                  </w:r>
                </w:p>
              </w:tc>
              <w:tc>
                <w:tcPr>
                  <w:tcW w:w="665" w:type="pct"/>
                  <w:tcBorders>
                    <w:tl2br w:val="nil"/>
                    <w:tr2bl w:val="nil"/>
                  </w:tcBorders>
                  <w:vAlign w:val="center"/>
                </w:tcPr>
                <w:p w14:paraId="0462D5F2">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10</w:t>
                  </w:r>
                </w:p>
              </w:tc>
              <w:tc>
                <w:tcPr>
                  <w:tcW w:w="597" w:type="pct"/>
                  <w:tcBorders>
                    <w:tl2br w:val="nil"/>
                    <w:tr2bl w:val="nil"/>
                  </w:tcBorders>
                  <w:vAlign w:val="center"/>
                </w:tcPr>
                <w:p w14:paraId="23C1AFA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r w14:paraId="138947E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0AEB7715">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0E7C5CC2">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NH</w:t>
                  </w:r>
                  <w:r>
                    <w:rPr>
                      <w:color w:val="000000" w:themeColor="text1"/>
                      <w:kern w:val="2"/>
                      <w:vertAlign w:val="subscript"/>
                      <w14:textFill>
                        <w14:solidFill>
                          <w14:schemeClr w14:val="tx1"/>
                        </w14:solidFill>
                      </w14:textFill>
                    </w:rPr>
                    <w:t>3</w:t>
                  </w:r>
                  <w:r>
                    <w:rPr>
                      <w:color w:val="000000" w:themeColor="text1"/>
                      <w:kern w:val="2"/>
                      <w14:textFill>
                        <w14:solidFill>
                          <w14:schemeClr w14:val="tx1"/>
                        </w14:solidFill>
                      </w14:textFill>
                    </w:rPr>
                    <w:t>-N</w:t>
                  </w:r>
                </w:p>
              </w:tc>
              <w:tc>
                <w:tcPr>
                  <w:tcW w:w="649" w:type="pct"/>
                  <w:tcBorders>
                    <w:tl2br w:val="nil"/>
                    <w:tr2bl w:val="nil"/>
                  </w:tcBorders>
                  <w:vAlign w:val="center"/>
                </w:tcPr>
                <w:p w14:paraId="69A624AE">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35</w:t>
                  </w:r>
                </w:p>
              </w:tc>
              <w:tc>
                <w:tcPr>
                  <w:tcW w:w="577" w:type="pct"/>
                  <w:tcBorders>
                    <w:tl2br w:val="nil"/>
                    <w:tr2bl w:val="nil"/>
                  </w:tcBorders>
                  <w:vAlign w:val="center"/>
                </w:tcPr>
                <w:p w14:paraId="0C92C533">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0.005</w:t>
                  </w:r>
                </w:p>
              </w:tc>
              <w:tc>
                <w:tcPr>
                  <w:tcW w:w="674" w:type="pct"/>
                  <w:tcBorders>
                    <w:tl2br w:val="nil"/>
                    <w:tr2bl w:val="nil"/>
                  </w:tcBorders>
                  <w:vAlign w:val="center"/>
                </w:tcPr>
                <w:p w14:paraId="4BE2A9E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33.95</w:t>
                  </w:r>
                </w:p>
              </w:tc>
              <w:tc>
                <w:tcPr>
                  <w:tcW w:w="873" w:type="pct"/>
                  <w:tcBorders>
                    <w:tl2br w:val="nil"/>
                    <w:tr2bl w:val="nil"/>
                  </w:tcBorders>
                  <w:vAlign w:val="center"/>
                </w:tcPr>
                <w:p w14:paraId="08A9A547">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0.005</w:t>
                  </w:r>
                </w:p>
              </w:tc>
              <w:tc>
                <w:tcPr>
                  <w:tcW w:w="665" w:type="pct"/>
                  <w:tcBorders>
                    <w:tl2br w:val="nil"/>
                    <w:tr2bl w:val="nil"/>
                  </w:tcBorders>
                  <w:vAlign w:val="center"/>
                </w:tcPr>
                <w:p w14:paraId="0736A9ED">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w:t>
                  </w:r>
                </w:p>
              </w:tc>
              <w:tc>
                <w:tcPr>
                  <w:tcW w:w="597" w:type="pct"/>
                  <w:tcBorders>
                    <w:tl2br w:val="nil"/>
                    <w:tr2bl w:val="nil"/>
                  </w:tcBorders>
                  <w:vAlign w:val="center"/>
                </w:tcPr>
                <w:p w14:paraId="6A2A1449">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r>
            <w:tr w14:paraId="7D05E43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14F865B0">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7B00578D">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TP</w:t>
                  </w:r>
                </w:p>
              </w:tc>
              <w:tc>
                <w:tcPr>
                  <w:tcW w:w="649" w:type="pct"/>
                  <w:tcBorders>
                    <w:tl2br w:val="nil"/>
                    <w:tr2bl w:val="nil"/>
                  </w:tcBorders>
                  <w:vAlign w:val="center"/>
                </w:tcPr>
                <w:p w14:paraId="1CF91523">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4.27</w:t>
                  </w:r>
                </w:p>
              </w:tc>
              <w:tc>
                <w:tcPr>
                  <w:tcW w:w="577" w:type="pct"/>
                  <w:tcBorders>
                    <w:tl2br w:val="nil"/>
                    <w:tr2bl w:val="nil"/>
                  </w:tcBorders>
                  <w:vAlign w:val="center"/>
                </w:tcPr>
                <w:p w14:paraId="6AF24875">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c>
                <w:tcPr>
                  <w:tcW w:w="674" w:type="pct"/>
                  <w:tcBorders>
                    <w:tl2br w:val="nil"/>
                    <w:tr2bl w:val="nil"/>
                  </w:tcBorders>
                  <w:vAlign w:val="center"/>
                </w:tcPr>
                <w:p w14:paraId="643B4F52">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4.057</w:t>
                  </w:r>
                </w:p>
              </w:tc>
              <w:tc>
                <w:tcPr>
                  <w:tcW w:w="873" w:type="pct"/>
                  <w:tcBorders>
                    <w:tl2br w:val="nil"/>
                    <w:tr2bl w:val="nil"/>
                  </w:tcBorders>
                  <w:vAlign w:val="center"/>
                </w:tcPr>
                <w:p w14:paraId="694B5824">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c>
                <w:tcPr>
                  <w:tcW w:w="665" w:type="pct"/>
                  <w:tcBorders>
                    <w:tl2br w:val="nil"/>
                    <w:tr2bl w:val="nil"/>
                  </w:tcBorders>
                  <w:vAlign w:val="center"/>
                </w:tcPr>
                <w:p w14:paraId="1026E059">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0.5</w:t>
                  </w:r>
                </w:p>
              </w:tc>
              <w:tc>
                <w:tcPr>
                  <w:tcW w:w="597" w:type="pct"/>
                  <w:tcBorders>
                    <w:tl2br w:val="nil"/>
                    <w:tr2bl w:val="nil"/>
                  </w:tcBorders>
                  <w:vAlign w:val="center"/>
                </w:tcPr>
                <w:p w14:paraId="219B4D6B">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r>
            <w:tr w14:paraId="4128827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1E027C4B">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0089D338">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TN</w:t>
                  </w:r>
                </w:p>
              </w:tc>
              <w:tc>
                <w:tcPr>
                  <w:tcW w:w="649" w:type="pct"/>
                  <w:tcBorders>
                    <w:tl2br w:val="nil"/>
                    <w:tr2bl w:val="nil"/>
                  </w:tcBorders>
                  <w:vAlign w:val="center"/>
                </w:tcPr>
                <w:p w14:paraId="2DDDC97C">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44.8</w:t>
                  </w:r>
                </w:p>
              </w:tc>
              <w:tc>
                <w:tcPr>
                  <w:tcW w:w="577" w:type="pct"/>
                  <w:tcBorders>
                    <w:tl2br w:val="nil"/>
                    <w:tr2bl w:val="nil"/>
                  </w:tcBorders>
                  <w:vAlign w:val="center"/>
                </w:tcPr>
                <w:p w14:paraId="445053F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0.007</w:t>
                  </w:r>
                </w:p>
              </w:tc>
              <w:tc>
                <w:tcPr>
                  <w:tcW w:w="674" w:type="pct"/>
                  <w:tcBorders>
                    <w:tl2br w:val="nil"/>
                    <w:tr2bl w:val="nil"/>
                  </w:tcBorders>
                  <w:vAlign w:val="center"/>
                </w:tcPr>
                <w:p w14:paraId="40536B71">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43.456</w:t>
                  </w:r>
                </w:p>
              </w:tc>
              <w:tc>
                <w:tcPr>
                  <w:tcW w:w="873" w:type="pct"/>
                  <w:tcBorders>
                    <w:tl2br w:val="nil"/>
                    <w:tr2bl w:val="nil"/>
                  </w:tcBorders>
                  <w:vAlign w:val="center"/>
                </w:tcPr>
                <w:p w14:paraId="493C7DEE">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0.007</w:t>
                  </w:r>
                </w:p>
              </w:tc>
              <w:tc>
                <w:tcPr>
                  <w:tcW w:w="665" w:type="pct"/>
                  <w:tcBorders>
                    <w:tl2br w:val="nil"/>
                    <w:tr2bl w:val="nil"/>
                  </w:tcBorders>
                  <w:vAlign w:val="center"/>
                </w:tcPr>
                <w:p w14:paraId="5CF82AA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w:t>
                  </w:r>
                </w:p>
              </w:tc>
              <w:tc>
                <w:tcPr>
                  <w:tcW w:w="597" w:type="pct"/>
                  <w:tcBorders>
                    <w:tl2br w:val="nil"/>
                    <w:tr2bl w:val="nil"/>
                  </w:tcBorders>
                  <w:vAlign w:val="center"/>
                </w:tcPr>
                <w:p w14:paraId="2653CB6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bl>
          <w:p w14:paraId="721F634D">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4.2-11</w:t>
            </w:r>
            <w:r>
              <w:rPr>
                <w:rFonts w:ascii="Times New Roman" w:hAnsi="Times New Roman" w:eastAsia="宋体" w:cs="宋体"/>
                <w:b/>
                <w:color w:val="000000" w:themeColor="text1"/>
                <w:spacing w:val="6"/>
                <w:kern w:val="2"/>
                <w:szCs w:val="20"/>
                <w14:textFill>
                  <w14:solidFill>
                    <w14:schemeClr w14:val="tx1"/>
                  </w14:solidFill>
                </w14:textFill>
              </w:rPr>
              <w:t xml:space="preserve">  项目废水治理设施基本情况一览表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494"/>
              <w:gridCol w:w="907"/>
              <w:gridCol w:w="712"/>
              <w:gridCol w:w="751"/>
              <w:gridCol w:w="1513"/>
              <w:gridCol w:w="736"/>
              <w:gridCol w:w="1074"/>
              <w:gridCol w:w="971"/>
              <w:gridCol w:w="701"/>
            </w:tblGrid>
            <w:tr w14:paraId="38471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noWrap/>
                  <w:vAlign w:val="center"/>
                </w:tcPr>
                <w:p w14:paraId="5B244A8C">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产排污环节</w:t>
                  </w:r>
                </w:p>
              </w:tc>
              <w:tc>
                <w:tcPr>
                  <w:tcW w:w="482" w:type="dxa"/>
                  <w:vMerge w:val="restart"/>
                  <w:noWrap/>
                  <w:vAlign w:val="center"/>
                </w:tcPr>
                <w:p w14:paraId="4B91178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类别</w:t>
                  </w:r>
                </w:p>
              </w:tc>
              <w:tc>
                <w:tcPr>
                  <w:tcW w:w="884" w:type="dxa"/>
                  <w:vMerge w:val="restart"/>
                  <w:noWrap/>
                  <w:vAlign w:val="center"/>
                </w:tcPr>
                <w:p w14:paraId="2F69172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污染物种类</w:t>
                  </w:r>
                </w:p>
              </w:tc>
              <w:tc>
                <w:tcPr>
                  <w:tcW w:w="694" w:type="dxa"/>
                  <w:vMerge w:val="restart"/>
                  <w:noWrap/>
                  <w:vAlign w:val="center"/>
                </w:tcPr>
                <w:p w14:paraId="44D5A90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排放方式</w:t>
                  </w:r>
                </w:p>
              </w:tc>
              <w:tc>
                <w:tcPr>
                  <w:tcW w:w="732" w:type="dxa"/>
                  <w:vMerge w:val="restart"/>
                  <w:noWrap/>
                  <w:vAlign w:val="center"/>
                </w:tcPr>
                <w:p w14:paraId="16F0A63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排放去向</w:t>
                  </w:r>
                </w:p>
              </w:tc>
              <w:tc>
                <w:tcPr>
                  <w:tcW w:w="1475" w:type="dxa"/>
                  <w:vMerge w:val="restart"/>
                  <w:noWrap/>
                  <w:vAlign w:val="center"/>
                </w:tcPr>
                <w:p w14:paraId="606A22B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排放规律</w:t>
                  </w:r>
                </w:p>
              </w:tc>
              <w:tc>
                <w:tcPr>
                  <w:tcW w:w="3396" w:type="dxa"/>
                  <w:gridSpan w:val="4"/>
                  <w:noWrap/>
                  <w:vAlign w:val="center"/>
                </w:tcPr>
                <w:p w14:paraId="259ABD6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治理设施</w:t>
                  </w:r>
                </w:p>
              </w:tc>
            </w:tr>
            <w:tr w14:paraId="6AA93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vAlign w:val="center"/>
                </w:tcPr>
                <w:p w14:paraId="54ADB3F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vAlign w:val="center"/>
                </w:tcPr>
                <w:p w14:paraId="4E697D5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vMerge w:val="continue"/>
                  <w:vAlign w:val="center"/>
                </w:tcPr>
                <w:p w14:paraId="55254E9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94" w:type="dxa"/>
                  <w:vMerge w:val="continue"/>
                  <w:vAlign w:val="center"/>
                </w:tcPr>
                <w:p w14:paraId="69105A7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vAlign w:val="center"/>
                </w:tcPr>
                <w:p w14:paraId="206AB7A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vAlign w:val="center"/>
                </w:tcPr>
                <w:p w14:paraId="77ABEDF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noWrap/>
                  <w:vAlign w:val="center"/>
                </w:tcPr>
                <w:p w14:paraId="5DD26D0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处理能力</w:t>
                  </w:r>
                </w:p>
              </w:tc>
              <w:tc>
                <w:tcPr>
                  <w:tcW w:w="1047" w:type="dxa"/>
                  <w:noWrap/>
                  <w:vAlign w:val="center"/>
                </w:tcPr>
                <w:p w14:paraId="2D8B71E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治理工艺</w:t>
                  </w:r>
                </w:p>
              </w:tc>
              <w:tc>
                <w:tcPr>
                  <w:tcW w:w="947" w:type="dxa"/>
                  <w:noWrap/>
                  <w:vAlign w:val="center"/>
                </w:tcPr>
                <w:p w14:paraId="4B8AE41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治理效率%</w:t>
                  </w:r>
                </w:p>
              </w:tc>
              <w:tc>
                <w:tcPr>
                  <w:tcW w:w="684" w:type="dxa"/>
                  <w:noWrap/>
                  <w:vAlign w:val="center"/>
                </w:tcPr>
                <w:p w14:paraId="45F4871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可行技术</w:t>
                  </w:r>
                </w:p>
              </w:tc>
            </w:tr>
            <w:tr w14:paraId="32B22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noWrap/>
                  <w:vAlign w:val="center"/>
                </w:tcPr>
                <w:p w14:paraId="4D57AED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员工</w:t>
                  </w:r>
                  <w:r>
                    <w:rPr>
                      <w:rFonts w:hint="eastAsia" w:ascii="Times New Roman" w:hAnsi="Times New Roman" w:eastAsia="宋体" w:cs="Times New Roman"/>
                      <w:color w:val="000000" w:themeColor="text1"/>
                      <w:sz w:val="21"/>
                      <w:szCs w:val="21"/>
                      <w14:textFill>
                        <w14:solidFill>
                          <w14:schemeClr w14:val="tx1"/>
                        </w14:solidFill>
                      </w14:textFill>
                    </w:rPr>
                    <w:t>生活</w:t>
                  </w:r>
                </w:p>
              </w:tc>
              <w:tc>
                <w:tcPr>
                  <w:tcW w:w="482" w:type="dxa"/>
                  <w:vMerge w:val="restart"/>
                  <w:noWrap/>
                  <w:vAlign w:val="center"/>
                </w:tcPr>
                <w:p w14:paraId="27540FC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生活污水</w:t>
                  </w:r>
                </w:p>
              </w:tc>
              <w:tc>
                <w:tcPr>
                  <w:tcW w:w="884" w:type="dxa"/>
                  <w:noWrap/>
                  <w:vAlign w:val="center"/>
                </w:tcPr>
                <w:p w14:paraId="4B6933E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COD</w:t>
                  </w:r>
                </w:p>
              </w:tc>
              <w:tc>
                <w:tcPr>
                  <w:tcW w:w="694" w:type="dxa"/>
                  <w:vMerge w:val="restart"/>
                  <w:noWrap/>
                  <w:vAlign w:val="center"/>
                </w:tcPr>
                <w:p w14:paraId="6A4E51E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间接排放</w:t>
                  </w:r>
                </w:p>
              </w:tc>
              <w:tc>
                <w:tcPr>
                  <w:tcW w:w="732" w:type="dxa"/>
                  <w:vMerge w:val="restart"/>
                  <w:noWrap/>
                  <w:vAlign w:val="center"/>
                </w:tcPr>
                <w:p w14:paraId="1F881C9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江镜华侨农场污水处理厂</w:t>
                  </w:r>
                </w:p>
              </w:tc>
              <w:tc>
                <w:tcPr>
                  <w:tcW w:w="1475" w:type="dxa"/>
                  <w:vMerge w:val="restart"/>
                  <w:noWrap/>
                  <w:vAlign w:val="center"/>
                </w:tcPr>
                <w:p w14:paraId="05D3452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排放期间流量不稳定且无规律，但不属于冲击排放</w:t>
                  </w:r>
                </w:p>
              </w:tc>
              <w:tc>
                <w:tcPr>
                  <w:tcW w:w="718" w:type="dxa"/>
                  <w:vMerge w:val="restart"/>
                  <w:noWrap/>
                  <w:vAlign w:val="center"/>
                </w:tcPr>
                <w:p w14:paraId="61E9657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kern w:val="2"/>
                      <w:sz w:val="21"/>
                      <w:szCs w:val="21"/>
                      <w14:textFill>
                        <w14:solidFill>
                          <w14:schemeClr w14:val="tx1"/>
                        </w14:solidFill>
                      </w14:textFill>
                    </w:rPr>
                    <w:t>/d</w:t>
                  </w:r>
                </w:p>
              </w:tc>
              <w:tc>
                <w:tcPr>
                  <w:tcW w:w="1047" w:type="dxa"/>
                  <w:vMerge w:val="restart"/>
                  <w:noWrap/>
                  <w:vAlign w:val="center"/>
                </w:tcPr>
                <w:p w14:paraId="4D77DC0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化粪池</w:t>
                  </w:r>
                </w:p>
              </w:tc>
              <w:tc>
                <w:tcPr>
                  <w:tcW w:w="947" w:type="dxa"/>
                  <w:noWrap/>
                  <w:vAlign w:val="center"/>
                </w:tcPr>
                <w:p w14:paraId="2D9AA56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15</w:t>
                  </w:r>
                </w:p>
              </w:tc>
              <w:tc>
                <w:tcPr>
                  <w:tcW w:w="684" w:type="dxa"/>
                  <w:vMerge w:val="restart"/>
                  <w:noWrap/>
                  <w:vAlign w:val="center"/>
                </w:tcPr>
                <w:p w14:paraId="4D051BA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w:t>
                  </w:r>
                </w:p>
              </w:tc>
            </w:tr>
            <w:tr w14:paraId="60918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7B80D3F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705793D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0920C02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BOD</w:t>
                  </w:r>
                  <w:r>
                    <w:rPr>
                      <w:rFonts w:ascii="Times New Roman" w:hAnsi="Times New Roman" w:eastAsia="宋体" w:cs="Times New Roman"/>
                      <w:color w:val="000000" w:themeColor="text1"/>
                      <w:kern w:val="2"/>
                      <w:sz w:val="21"/>
                      <w:szCs w:val="21"/>
                      <w:vertAlign w:val="subscript"/>
                      <w14:textFill>
                        <w14:solidFill>
                          <w14:schemeClr w14:val="tx1"/>
                        </w14:solidFill>
                      </w14:textFill>
                    </w:rPr>
                    <w:t>5</w:t>
                  </w:r>
                </w:p>
              </w:tc>
              <w:tc>
                <w:tcPr>
                  <w:tcW w:w="694" w:type="dxa"/>
                  <w:vMerge w:val="continue"/>
                  <w:noWrap/>
                  <w:vAlign w:val="center"/>
                </w:tcPr>
                <w:p w14:paraId="4412B00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7805771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6B7F550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455A987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2A4E590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2A53575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9</w:t>
                  </w:r>
                </w:p>
              </w:tc>
              <w:tc>
                <w:tcPr>
                  <w:tcW w:w="684" w:type="dxa"/>
                  <w:vMerge w:val="continue"/>
                  <w:noWrap/>
                  <w:vAlign w:val="center"/>
                </w:tcPr>
                <w:p w14:paraId="77F564A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A62D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607352B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501B024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4EF9763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SS</w:t>
                  </w:r>
                </w:p>
              </w:tc>
              <w:tc>
                <w:tcPr>
                  <w:tcW w:w="694" w:type="dxa"/>
                  <w:vMerge w:val="continue"/>
                  <w:noWrap/>
                  <w:vAlign w:val="center"/>
                </w:tcPr>
                <w:p w14:paraId="1C19D25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704225D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2D360AE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5CA6E48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468CC5F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3315D60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30</w:t>
                  </w:r>
                </w:p>
              </w:tc>
              <w:tc>
                <w:tcPr>
                  <w:tcW w:w="684" w:type="dxa"/>
                  <w:vMerge w:val="continue"/>
                  <w:noWrap/>
                  <w:vAlign w:val="center"/>
                </w:tcPr>
                <w:p w14:paraId="529A8C4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4BC56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35C14D8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3B8D63C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0A5C096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NH</w:t>
                  </w:r>
                  <w:r>
                    <w:rPr>
                      <w:rFonts w:ascii="Times New Roman" w:hAnsi="Times New Roman" w:eastAsia="宋体" w:cs="Times New Roman"/>
                      <w:color w:val="000000" w:themeColor="text1"/>
                      <w:kern w:val="2"/>
                      <w:sz w:val="21"/>
                      <w:szCs w:val="21"/>
                      <w:vertAlign w:val="subscript"/>
                      <w14:textFill>
                        <w14:solidFill>
                          <w14:schemeClr w14:val="tx1"/>
                        </w14:solidFill>
                      </w14:textFill>
                    </w:rPr>
                    <w:t>3</w:t>
                  </w:r>
                  <w:r>
                    <w:rPr>
                      <w:rFonts w:ascii="Times New Roman" w:hAnsi="Times New Roman" w:eastAsia="宋体" w:cs="Times New Roman"/>
                      <w:color w:val="000000" w:themeColor="text1"/>
                      <w:kern w:val="2"/>
                      <w:sz w:val="21"/>
                      <w:szCs w:val="21"/>
                      <w14:textFill>
                        <w14:solidFill>
                          <w14:schemeClr w14:val="tx1"/>
                        </w14:solidFill>
                      </w14:textFill>
                    </w:rPr>
                    <w:t>-N</w:t>
                  </w:r>
                </w:p>
              </w:tc>
              <w:tc>
                <w:tcPr>
                  <w:tcW w:w="694" w:type="dxa"/>
                  <w:vMerge w:val="continue"/>
                  <w:noWrap/>
                  <w:vAlign w:val="center"/>
                </w:tcPr>
                <w:p w14:paraId="4C94A40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3FC01DD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327235B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198752A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5FF034B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6E9246A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84" w:type="dxa"/>
                  <w:vMerge w:val="continue"/>
                  <w:noWrap/>
                  <w:vAlign w:val="center"/>
                </w:tcPr>
                <w:p w14:paraId="153E25A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29F7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730183C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04F87DA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584CD09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TP</w:t>
                  </w:r>
                </w:p>
              </w:tc>
              <w:tc>
                <w:tcPr>
                  <w:tcW w:w="694" w:type="dxa"/>
                  <w:vMerge w:val="continue"/>
                  <w:noWrap/>
                  <w:vAlign w:val="center"/>
                </w:tcPr>
                <w:p w14:paraId="1E6A813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7FAA26A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658F5F8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6780052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3FEFB3B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54ECF3B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w:t>
                  </w:r>
                </w:p>
              </w:tc>
              <w:tc>
                <w:tcPr>
                  <w:tcW w:w="684" w:type="dxa"/>
                  <w:vMerge w:val="continue"/>
                  <w:noWrap/>
                  <w:vAlign w:val="center"/>
                </w:tcPr>
                <w:p w14:paraId="624EC9A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7A5D1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36D7CC1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28A9E5E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6837835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TN</w:t>
                  </w:r>
                </w:p>
              </w:tc>
              <w:tc>
                <w:tcPr>
                  <w:tcW w:w="694" w:type="dxa"/>
                  <w:vMerge w:val="continue"/>
                  <w:noWrap/>
                  <w:vAlign w:val="center"/>
                </w:tcPr>
                <w:p w14:paraId="1F3ACD4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61A2970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40A74D5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7E91BE6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1C22FED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01C3C34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84" w:type="dxa"/>
                  <w:vMerge w:val="continue"/>
                  <w:noWrap/>
                  <w:vAlign w:val="center"/>
                </w:tcPr>
                <w:p w14:paraId="1B31053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2954C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4672C412">
                  <w:pPr>
                    <w:pStyle w:val="221"/>
                    <w:rPr>
                      <w:color w:val="000000" w:themeColor="text1"/>
                      <w14:textFill>
                        <w14:solidFill>
                          <w14:schemeClr w14:val="tx1"/>
                        </w14:solidFill>
                      </w14:textFill>
                    </w:rPr>
                  </w:pPr>
                </w:p>
              </w:tc>
              <w:tc>
                <w:tcPr>
                  <w:tcW w:w="482" w:type="dxa"/>
                  <w:vMerge w:val="continue"/>
                  <w:noWrap/>
                  <w:vAlign w:val="center"/>
                </w:tcPr>
                <w:p w14:paraId="4D8A0B00">
                  <w:pPr>
                    <w:pStyle w:val="221"/>
                    <w:rPr>
                      <w:color w:val="000000" w:themeColor="text1"/>
                      <w14:textFill>
                        <w14:solidFill>
                          <w14:schemeClr w14:val="tx1"/>
                        </w14:solidFill>
                      </w14:textFill>
                    </w:rPr>
                  </w:pPr>
                </w:p>
              </w:tc>
              <w:tc>
                <w:tcPr>
                  <w:tcW w:w="884" w:type="dxa"/>
                  <w:noWrap/>
                  <w:vAlign w:val="center"/>
                </w:tcPr>
                <w:p w14:paraId="444AE206">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COD</w:t>
                  </w:r>
                </w:p>
              </w:tc>
              <w:tc>
                <w:tcPr>
                  <w:tcW w:w="694" w:type="dxa"/>
                  <w:vMerge w:val="continue"/>
                  <w:noWrap/>
                  <w:vAlign w:val="center"/>
                </w:tcPr>
                <w:p w14:paraId="23B10B81">
                  <w:pPr>
                    <w:pStyle w:val="221"/>
                    <w:rPr>
                      <w:color w:val="000000" w:themeColor="text1"/>
                      <w14:textFill>
                        <w14:solidFill>
                          <w14:schemeClr w14:val="tx1"/>
                        </w14:solidFill>
                      </w14:textFill>
                    </w:rPr>
                  </w:pPr>
                </w:p>
              </w:tc>
              <w:tc>
                <w:tcPr>
                  <w:tcW w:w="732" w:type="dxa"/>
                  <w:vMerge w:val="continue"/>
                  <w:noWrap/>
                  <w:vAlign w:val="center"/>
                </w:tcPr>
                <w:p w14:paraId="02C0FEF5">
                  <w:pPr>
                    <w:pStyle w:val="221"/>
                    <w:rPr>
                      <w:color w:val="000000" w:themeColor="text1"/>
                      <w14:textFill>
                        <w14:solidFill>
                          <w14:schemeClr w14:val="tx1"/>
                        </w14:solidFill>
                      </w14:textFill>
                    </w:rPr>
                  </w:pPr>
                </w:p>
              </w:tc>
              <w:tc>
                <w:tcPr>
                  <w:tcW w:w="1475" w:type="dxa"/>
                  <w:vMerge w:val="continue"/>
                  <w:noWrap/>
                  <w:vAlign w:val="center"/>
                </w:tcPr>
                <w:p w14:paraId="50E9FAF8">
                  <w:pPr>
                    <w:pStyle w:val="221"/>
                    <w:rPr>
                      <w:color w:val="000000" w:themeColor="text1"/>
                      <w14:textFill>
                        <w14:solidFill>
                          <w14:schemeClr w14:val="tx1"/>
                        </w14:solidFill>
                      </w14:textFill>
                    </w:rPr>
                  </w:pPr>
                </w:p>
              </w:tc>
              <w:tc>
                <w:tcPr>
                  <w:tcW w:w="718" w:type="dxa"/>
                  <w:vMerge w:val="continue"/>
                  <w:noWrap/>
                  <w:vAlign w:val="center"/>
                </w:tcPr>
                <w:p w14:paraId="630E2B7A">
                  <w:pPr>
                    <w:pStyle w:val="221"/>
                    <w:rPr>
                      <w:color w:val="000000" w:themeColor="text1"/>
                      <w14:textFill>
                        <w14:solidFill>
                          <w14:schemeClr w14:val="tx1"/>
                        </w14:solidFill>
                      </w14:textFill>
                    </w:rPr>
                  </w:pPr>
                </w:p>
              </w:tc>
              <w:tc>
                <w:tcPr>
                  <w:tcW w:w="1047" w:type="dxa"/>
                  <w:vMerge w:val="continue"/>
                  <w:noWrap/>
                  <w:vAlign w:val="center"/>
                </w:tcPr>
                <w:p w14:paraId="106B1338">
                  <w:pPr>
                    <w:pStyle w:val="221"/>
                    <w:rPr>
                      <w:color w:val="000000" w:themeColor="text1"/>
                      <w14:textFill>
                        <w14:solidFill>
                          <w14:schemeClr w14:val="tx1"/>
                        </w14:solidFill>
                      </w14:textFill>
                    </w:rPr>
                  </w:pPr>
                </w:p>
              </w:tc>
              <w:tc>
                <w:tcPr>
                  <w:tcW w:w="947" w:type="dxa"/>
                  <w:noWrap/>
                  <w:vAlign w:val="center"/>
                </w:tcPr>
                <w:p w14:paraId="7D9B675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84" w:type="dxa"/>
                  <w:vMerge w:val="continue"/>
                  <w:noWrap/>
                  <w:vAlign w:val="center"/>
                </w:tcPr>
                <w:p w14:paraId="512BAB3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12F3A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598F8A69">
                  <w:pPr>
                    <w:pStyle w:val="221"/>
                    <w:rPr>
                      <w:color w:val="000000" w:themeColor="text1"/>
                      <w14:textFill>
                        <w14:solidFill>
                          <w14:schemeClr w14:val="tx1"/>
                        </w14:solidFill>
                      </w14:textFill>
                    </w:rPr>
                  </w:pPr>
                </w:p>
              </w:tc>
              <w:tc>
                <w:tcPr>
                  <w:tcW w:w="482" w:type="dxa"/>
                  <w:vMerge w:val="continue"/>
                  <w:noWrap/>
                  <w:vAlign w:val="center"/>
                </w:tcPr>
                <w:p w14:paraId="1ABD007A">
                  <w:pPr>
                    <w:pStyle w:val="221"/>
                    <w:rPr>
                      <w:color w:val="000000" w:themeColor="text1"/>
                      <w14:textFill>
                        <w14:solidFill>
                          <w14:schemeClr w14:val="tx1"/>
                        </w14:solidFill>
                      </w14:textFill>
                    </w:rPr>
                  </w:pPr>
                </w:p>
              </w:tc>
              <w:tc>
                <w:tcPr>
                  <w:tcW w:w="884" w:type="dxa"/>
                  <w:noWrap/>
                  <w:vAlign w:val="center"/>
                </w:tcPr>
                <w:p w14:paraId="3F6ECD49">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SS</w:t>
                  </w:r>
                </w:p>
              </w:tc>
              <w:tc>
                <w:tcPr>
                  <w:tcW w:w="694" w:type="dxa"/>
                  <w:vMerge w:val="continue"/>
                  <w:noWrap/>
                  <w:vAlign w:val="center"/>
                </w:tcPr>
                <w:p w14:paraId="30CCE5D1">
                  <w:pPr>
                    <w:pStyle w:val="221"/>
                    <w:rPr>
                      <w:color w:val="000000" w:themeColor="text1"/>
                      <w14:textFill>
                        <w14:solidFill>
                          <w14:schemeClr w14:val="tx1"/>
                        </w14:solidFill>
                      </w14:textFill>
                    </w:rPr>
                  </w:pPr>
                </w:p>
              </w:tc>
              <w:tc>
                <w:tcPr>
                  <w:tcW w:w="732" w:type="dxa"/>
                  <w:vMerge w:val="continue"/>
                  <w:noWrap/>
                  <w:vAlign w:val="center"/>
                </w:tcPr>
                <w:p w14:paraId="2E45D589">
                  <w:pPr>
                    <w:pStyle w:val="221"/>
                    <w:rPr>
                      <w:color w:val="000000" w:themeColor="text1"/>
                      <w14:textFill>
                        <w14:solidFill>
                          <w14:schemeClr w14:val="tx1"/>
                        </w14:solidFill>
                      </w14:textFill>
                    </w:rPr>
                  </w:pPr>
                </w:p>
              </w:tc>
              <w:tc>
                <w:tcPr>
                  <w:tcW w:w="1475" w:type="dxa"/>
                  <w:vMerge w:val="continue"/>
                  <w:noWrap/>
                  <w:vAlign w:val="center"/>
                </w:tcPr>
                <w:p w14:paraId="2F61B17D">
                  <w:pPr>
                    <w:pStyle w:val="221"/>
                    <w:rPr>
                      <w:color w:val="000000" w:themeColor="text1"/>
                      <w14:textFill>
                        <w14:solidFill>
                          <w14:schemeClr w14:val="tx1"/>
                        </w14:solidFill>
                      </w14:textFill>
                    </w:rPr>
                  </w:pPr>
                </w:p>
              </w:tc>
              <w:tc>
                <w:tcPr>
                  <w:tcW w:w="718" w:type="dxa"/>
                  <w:vMerge w:val="continue"/>
                  <w:noWrap/>
                  <w:vAlign w:val="center"/>
                </w:tcPr>
                <w:p w14:paraId="038AA0EA">
                  <w:pPr>
                    <w:pStyle w:val="221"/>
                    <w:rPr>
                      <w:color w:val="000000" w:themeColor="text1"/>
                      <w14:textFill>
                        <w14:solidFill>
                          <w14:schemeClr w14:val="tx1"/>
                        </w14:solidFill>
                      </w14:textFill>
                    </w:rPr>
                  </w:pPr>
                </w:p>
              </w:tc>
              <w:tc>
                <w:tcPr>
                  <w:tcW w:w="1047" w:type="dxa"/>
                  <w:vMerge w:val="continue"/>
                  <w:noWrap/>
                  <w:vAlign w:val="center"/>
                </w:tcPr>
                <w:p w14:paraId="0856CF09">
                  <w:pPr>
                    <w:pStyle w:val="221"/>
                    <w:rPr>
                      <w:color w:val="000000" w:themeColor="text1"/>
                      <w14:textFill>
                        <w14:solidFill>
                          <w14:schemeClr w14:val="tx1"/>
                        </w14:solidFill>
                      </w14:textFill>
                    </w:rPr>
                  </w:pPr>
                </w:p>
              </w:tc>
              <w:tc>
                <w:tcPr>
                  <w:tcW w:w="947" w:type="dxa"/>
                  <w:noWrap/>
                  <w:vAlign w:val="center"/>
                </w:tcPr>
                <w:p w14:paraId="4692E0F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684" w:type="dxa"/>
                  <w:vMerge w:val="continue"/>
                  <w:noWrap/>
                  <w:vAlign w:val="center"/>
                </w:tcPr>
                <w:p w14:paraId="32C03E6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1BFD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0479AA28">
                  <w:pPr>
                    <w:pStyle w:val="221"/>
                    <w:rPr>
                      <w:color w:val="000000" w:themeColor="text1"/>
                      <w14:textFill>
                        <w14:solidFill>
                          <w14:schemeClr w14:val="tx1"/>
                        </w14:solidFill>
                      </w14:textFill>
                    </w:rPr>
                  </w:pPr>
                </w:p>
              </w:tc>
              <w:tc>
                <w:tcPr>
                  <w:tcW w:w="482" w:type="dxa"/>
                  <w:vMerge w:val="continue"/>
                  <w:noWrap/>
                  <w:vAlign w:val="center"/>
                </w:tcPr>
                <w:p w14:paraId="2F93FC7A">
                  <w:pPr>
                    <w:pStyle w:val="221"/>
                    <w:rPr>
                      <w:color w:val="000000" w:themeColor="text1"/>
                      <w14:textFill>
                        <w14:solidFill>
                          <w14:schemeClr w14:val="tx1"/>
                        </w14:solidFill>
                      </w14:textFill>
                    </w:rPr>
                  </w:pPr>
                </w:p>
              </w:tc>
              <w:tc>
                <w:tcPr>
                  <w:tcW w:w="884" w:type="dxa"/>
                  <w:noWrap/>
                  <w:vAlign w:val="center"/>
                </w:tcPr>
                <w:p w14:paraId="29FCF2A8">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石油类</w:t>
                  </w:r>
                </w:p>
              </w:tc>
              <w:tc>
                <w:tcPr>
                  <w:tcW w:w="694" w:type="dxa"/>
                  <w:vMerge w:val="continue"/>
                  <w:noWrap/>
                  <w:vAlign w:val="center"/>
                </w:tcPr>
                <w:p w14:paraId="0514CC21">
                  <w:pPr>
                    <w:pStyle w:val="221"/>
                    <w:rPr>
                      <w:color w:val="000000" w:themeColor="text1"/>
                      <w14:textFill>
                        <w14:solidFill>
                          <w14:schemeClr w14:val="tx1"/>
                        </w14:solidFill>
                      </w14:textFill>
                    </w:rPr>
                  </w:pPr>
                </w:p>
              </w:tc>
              <w:tc>
                <w:tcPr>
                  <w:tcW w:w="732" w:type="dxa"/>
                  <w:vMerge w:val="continue"/>
                  <w:noWrap/>
                  <w:vAlign w:val="center"/>
                </w:tcPr>
                <w:p w14:paraId="31AC7184">
                  <w:pPr>
                    <w:pStyle w:val="221"/>
                    <w:rPr>
                      <w:color w:val="000000" w:themeColor="text1"/>
                      <w14:textFill>
                        <w14:solidFill>
                          <w14:schemeClr w14:val="tx1"/>
                        </w14:solidFill>
                      </w14:textFill>
                    </w:rPr>
                  </w:pPr>
                </w:p>
              </w:tc>
              <w:tc>
                <w:tcPr>
                  <w:tcW w:w="1475" w:type="dxa"/>
                  <w:vMerge w:val="continue"/>
                  <w:noWrap/>
                  <w:vAlign w:val="center"/>
                </w:tcPr>
                <w:p w14:paraId="3DA7CDFF">
                  <w:pPr>
                    <w:pStyle w:val="221"/>
                    <w:rPr>
                      <w:color w:val="000000" w:themeColor="text1"/>
                      <w14:textFill>
                        <w14:solidFill>
                          <w14:schemeClr w14:val="tx1"/>
                        </w14:solidFill>
                      </w14:textFill>
                    </w:rPr>
                  </w:pPr>
                </w:p>
              </w:tc>
              <w:tc>
                <w:tcPr>
                  <w:tcW w:w="718" w:type="dxa"/>
                  <w:vMerge w:val="continue"/>
                  <w:noWrap/>
                  <w:vAlign w:val="center"/>
                </w:tcPr>
                <w:p w14:paraId="5B0BD191">
                  <w:pPr>
                    <w:pStyle w:val="221"/>
                    <w:rPr>
                      <w:color w:val="000000" w:themeColor="text1"/>
                      <w14:textFill>
                        <w14:solidFill>
                          <w14:schemeClr w14:val="tx1"/>
                        </w14:solidFill>
                      </w14:textFill>
                    </w:rPr>
                  </w:pPr>
                </w:p>
              </w:tc>
              <w:tc>
                <w:tcPr>
                  <w:tcW w:w="1047" w:type="dxa"/>
                  <w:vMerge w:val="continue"/>
                  <w:noWrap/>
                  <w:vAlign w:val="center"/>
                </w:tcPr>
                <w:p w14:paraId="46EE8873">
                  <w:pPr>
                    <w:pStyle w:val="221"/>
                    <w:rPr>
                      <w:color w:val="000000" w:themeColor="text1"/>
                      <w14:textFill>
                        <w14:solidFill>
                          <w14:schemeClr w14:val="tx1"/>
                        </w14:solidFill>
                      </w14:textFill>
                    </w:rPr>
                  </w:pPr>
                </w:p>
              </w:tc>
              <w:tc>
                <w:tcPr>
                  <w:tcW w:w="947" w:type="dxa"/>
                  <w:noWrap/>
                  <w:vAlign w:val="center"/>
                </w:tcPr>
                <w:p w14:paraId="2E61D7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84" w:type="dxa"/>
                  <w:vMerge w:val="continue"/>
                  <w:noWrap/>
                  <w:vAlign w:val="center"/>
                </w:tcPr>
                <w:p w14:paraId="4E61814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bl>
          <w:p w14:paraId="5EFBDA63">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4.2-12</w:t>
            </w:r>
            <w:r>
              <w:rPr>
                <w:rFonts w:ascii="Times New Roman" w:hAnsi="Times New Roman" w:eastAsia="宋体" w:cs="宋体"/>
                <w:b/>
                <w:color w:val="000000" w:themeColor="text1"/>
                <w:spacing w:val="6"/>
                <w:kern w:val="2"/>
                <w:szCs w:val="20"/>
                <w14:textFill>
                  <w14:solidFill>
                    <w14:schemeClr w14:val="tx1"/>
                  </w14:solidFill>
                </w14:textFill>
              </w:rPr>
              <w:t xml:space="preserve">  废水排放口基本情况、排放标准一览表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0"/>
              <w:gridCol w:w="874"/>
              <w:gridCol w:w="1565"/>
              <w:gridCol w:w="1580"/>
              <w:gridCol w:w="3224"/>
            </w:tblGrid>
            <w:tr w14:paraId="1EEE66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restart"/>
                  <w:noWrap/>
                  <w:vAlign w:val="center"/>
                </w:tcPr>
                <w:p w14:paraId="7F1866A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废水排放口编号</w:t>
                  </w:r>
                </w:p>
              </w:tc>
              <w:tc>
                <w:tcPr>
                  <w:tcW w:w="3916" w:type="dxa"/>
                  <w:gridSpan w:val="3"/>
                  <w:noWrap/>
                  <w:vAlign w:val="center"/>
                </w:tcPr>
                <w:p w14:paraId="7E440FE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排放口基本情况</w:t>
                  </w:r>
                </w:p>
              </w:tc>
              <w:tc>
                <w:tcPr>
                  <w:tcW w:w="3145" w:type="dxa"/>
                  <w:vMerge w:val="restart"/>
                  <w:noWrap/>
                  <w:vAlign w:val="center"/>
                </w:tcPr>
                <w:p w14:paraId="3F9C7BF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排放标准</w:t>
                  </w:r>
                </w:p>
              </w:tc>
            </w:tr>
            <w:tr w14:paraId="27D01D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continue"/>
                  <w:vAlign w:val="center"/>
                </w:tcPr>
                <w:p w14:paraId="5332D59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53" w:type="dxa"/>
                  <w:vMerge w:val="restart"/>
                  <w:noWrap/>
                  <w:vAlign w:val="center"/>
                </w:tcPr>
                <w:p w14:paraId="416DB2B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类型</w:t>
                  </w:r>
                </w:p>
              </w:tc>
              <w:tc>
                <w:tcPr>
                  <w:tcW w:w="3063" w:type="dxa"/>
                  <w:gridSpan w:val="2"/>
                  <w:noWrap/>
                  <w:vAlign w:val="center"/>
                </w:tcPr>
                <w:p w14:paraId="7BF7BBD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地理坐标</w:t>
                  </w:r>
                </w:p>
              </w:tc>
              <w:tc>
                <w:tcPr>
                  <w:tcW w:w="3145" w:type="dxa"/>
                  <w:vMerge w:val="continue"/>
                  <w:vAlign w:val="center"/>
                </w:tcPr>
                <w:p w14:paraId="29DA0E3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ADFD8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continue"/>
                  <w:vAlign w:val="center"/>
                </w:tcPr>
                <w:p w14:paraId="1720511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53" w:type="dxa"/>
                  <w:vMerge w:val="continue"/>
                  <w:noWrap/>
                  <w:vAlign w:val="center"/>
                </w:tcPr>
                <w:p w14:paraId="2A8E8D9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521" w:type="dxa"/>
                  <w:noWrap/>
                  <w:vAlign w:val="center"/>
                </w:tcPr>
                <w:p w14:paraId="6D8141A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经度</w:t>
                  </w:r>
                </w:p>
              </w:tc>
              <w:tc>
                <w:tcPr>
                  <w:tcW w:w="1542" w:type="dxa"/>
                  <w:noWrap/>
                  <w:vAlign w:val="center"/>
                </w:tcPr>
                <w:p w14:paraId="111D9F8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纬度</w:t>
                  </w:r>
                </w:p>
              </w:tc>
              <w:tc>
                <w:tcPr>
                  <w:tcW w:w="3145" w:type="dxa"/>
                  <w:vMerge w:val="continue"/>
                  <w:vAlign w:val="center"/>
                </w:tcPr>
                <w:p w14:paraId="6FE2135C">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2D28E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noWrap/>
                  <w:vAlign w:val="center"/>
                </w:tcPr>
                <w:p w14:paraId="6A2703C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生活污水排放口</w:t>
                  </w:r>
                  <w:r>
                    <w:rPr>
                      <w:rFonts w:ascii="Times New Roman" w:hAnsi="Times New Roman" w:eastAsia="宋体" w:cs="Times New Roman"/>
                      <w:color w:val="000000" w:themeColor="text1"/>
                      <w:sz w:val="21"/>
                      <w:szCs w:val="21"/>
                      <w14:textFill>
                        <w14:solidFill>
                          <w14:schemeClr w14:val="tx1"/>
                        </w14:solidFill>
                      </w14:textFill>
                    </w:rPr>
                    <w:t>DW00</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853" w:type="dxa"/>
                  <w:noWrap/>
                  <w:vAlign w:val="center"/>
                </w:tcPr>
                <w:p w14:paraId="69B4331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一般排放口</w:t>
                  </w:r>
                </w:p>
              </w:tc>
              <w:tc>
                <w:tcPr>
                  <w:tcW w:w="1521" w:type="dxa"/>
                  <w:noWrap/>
                  <w:vAlign w:val="center"/>
                </w:tcPr>
                <w:p w14:paraId="5C433ECF">
                  <w:pPr>
                    <w:widowControl w:val="0"/>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119°23'41.224"</w:t>
                  </w:r>
                </w:p>
              </w:tc>
              <w:tc>
                <w:tcPr>
                  <w:tcW w:w="1542" w:type="dxa"/>
                  <w:noWrap/>
                  <w:vAlign w:val="center"/>
                </w:tcPr>
                <w:p w14:paraId="51C28525">
                  <w:pPr>
                    <w:widowControl w:val="0"/>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25°31'39.183"</w:t>
                  </w:r>
                </w:p>
              </w:tc>
              <w:tc>
                <w:tcPr>
                  <w:tcW w:w="3145" w:type="dxa"/>
                  <w:noWrap/>
                  <w:vAlign w:val="center"/>
                </w:tcPr>
                <w:p w14:paraId="000CC44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《污水综合排放标准》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GB8978-1996</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表4三级标准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其中NH</w:t>
                  </w:r>
                  <w:r>
                    <w:rPr>
                      <w:rFonts w:ascii="Times New Roman" w:hAnsi="Times New Roman" w:eastAsia="宋体" w:cs="Times New Roman"/>
                      <w:color w:val="000000" w:themeColor="text1"/>
                      <w:sz w:val="21"/>
                      <w:szCs w:val="21"/>
                      <w:vertAlign w:val="sub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-N</w:t>
                  </w:r>
                  <w:r>
                    <w:rPr>
                      <w:rFonts w:hint="eastAsia" w:ascii="Times New Roman" w:hAnsi="Times New Roman" w:eastAsia="宋体" w:cs="Times New Roman"/>
                      <w:color w:val="000000" w:themeColor="text1"/>
                      <w:sz w:val="21"/>
                      <w:szCs w:val="21"/>
                      <w14:textFill>
                        <w14:solidFill>
                          <w14:schemeClr w14:val="tx1"/>
                        </w14:solidFill>
                      </w14:textFill>
                    </w:rPr>
                    <w:t>、TN、TP</w:t>
                  </w:r>
                  <w:r>
                    <w:rPr>
                      <w:rFonts w:ascii="Times New Roman" w:hAnsi="Times New Roman" w:eastAsia="宋体" w:cs="Times New Roman"/>
                      <w:color w:val="000000" w:themeColor="text1"/>
                      <w:sz w:val="21"/>
                      <w:szCs w:val="21"/>
                      <w14:textFill>
                        <w14:solidFill>
                          <w14:schemeClr w14:val="tx1"/>
                        </w14:solidFill>
                      </w14:textFill>
                    </w:rPr>
                    <w:t>指标执行《污水排入城镇下水道水质标准》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GB/T31962-2015</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表1中B级标准</w:t>
                  </w:r>
                  <w:r>
                    <w:rPr>
                      <w:rFonts w:hint="eastAsia" w:ascii="Times New Roman" w:hAnsi="Times New Roman" w:eastAsia="宋体" w:cs="Times New Roman"/>
                      <w:color w:val="000000" w:themeColor="text1"/>
                      <w:sz w:val="21"/>
                      <w:szCs w:val="21"/>
                      <w14:textFill>
                        <w14:solidFill>
                          <w14:schemeClr w14:val="tx1"/>
                        </w14:solidFill>
                      </w14:textFill>
                    </w:rPr>
                    <w:t>）</w:t>
                  </w:r>
                </w:p>
              </w:tc>
            </w:tr>
          </w:tbl>
          <w:p w14:paraId="17D2D70F">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废水</w:t>
            </w:r>
            <w:r>
              <w:rPr>
                <w:rFonts w:hint="eastAsia"/>
                <w:color w:val="000000" w:themeColor="text1"/>
                <w14:textFill>
                  <w14:solidFill>
                    <w14:schemeClr w14:val="tx1"/>
                  </w14:solidFill>
                </w14:textFill>
              </w:rPr>
              <w:t>排放达标分析</w:t>
            </w:r>
          </w:p>
          <w:p w14:paraId="28F1B314">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项目废水</w:t>
            </w:r>
            <w:r>
              <w:rPr>
                <w:rFonts w:hint="eastAsia"/>
                <w:color w:val="000000" w:themeColor="text1"/>
                <w14:textFill>
                  <w14:solidFill>
                    <w14:schemeClr w14:val="tx1"/>
                  </w14:solidFill>
                </w14:textFill>
              </w:rPr>
              <w:t>达标情况</w:t>
            </w:r>
            <w:r>
              <w:rPr>
                <w:color w:val="000000" w:themeColor="text1"/>
                <w14:textFill>
                  <w14:solidFill>
                    <w14:schemeClr w14:val="tx1"/>
                  </w14:solidFill>
                </w14:textFill>
              </w:rPr>
              <w:t>见表</w:t>
            </w:r>
            <w:r>
              <w:rPr>
                <w:rFonts w:hint="eastAsia"/>
                <w:bCs/>
                <w:color w:val="000000" w:themeColor="text1"/>
                <w14:textFill>
                  <w14:solidFill>
                    <w14:schemeClr w14:val="tx1"/>
                  </w14:solidFill>
                </w14:textFill>
              </w:rPr>
              <w:t>4.2-13</w:t>
            </w:r>
            <w:r>
              <w:rPr>
                <w:color w:val="000000" w:themeColor="text1"/>
                <w14:textFill>
                  <w14:solidFill>
                    <w14:schemeClr w14:val="tx1"/>
                  </w14:solidFill>
                </w14:textFill>
              </w:rPr>
              <w:t>。</w:t>
            </w:r>
          </w:p>
          <w:p w14:paraId="2F17DF84">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表4.2-13  项目废水污染物达标情况一览表</w:t>
            </w:r>
          </w:p>
          <w:tbl>
            <w:tblPr>
              <w:tblStyle w:val="167"/>
              <w:tblW w:w="497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934"/>
              <w:gridCol w:w="2072"/>
              <w:gridCol w:w="2282"/>
              <w:gridCol w:w="1053"/>
            </w:tblGrid>
            <w:tr w14:paraId="20B13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Align w:val="center"/>
                </w:tcPr>
                <w:p w14:paraId="7E09321F">
                  <w:pPr>
                    <w:pStyle w:val="221"/>
                    <w:rPr>
                      <w:color w:val="000000" w:themeColor="text1"/>
                      <w14:textFill>
                        <w14:solidFill>
                          <w14:schemeClr w14:val="tx1"/>
                        </w14:solidFill>
                      </w14:textFill>
                    </w:rPr>
                  </w:pPr>
                  <w:r>
                    <w:rPr>
                      <w:color w:val="000000" w:themeColor="text1"/>
                      <w14:textFill>
                        <w14:solidFill>
                          <w14:schemeClr w14:val="tx1"/>
                        </w14:solidFill>
                      </w14:textFill>
                    </w:rPr>
                    <w:t>废水</w:t>
                  </w:r>
                  <w:r>
                    <w:rPr>
                      <w:rFonts w:hint="eastAsia"/>
                      <w:color w:val="000000" w:themeColor="text1"/>
                      <w14:textFill>
                        <w14:solidFill>
                          <w14:schemeClr w14:val="tx1"/>
                        </w14:solidFill>
                      </w14:textFill>
                    </w:rPr>
                    <w:t>类型</w:t>
                  </w:r>
                </w:p>
              </w:tc>
              <w:tc>
                <w:tcPr>
                  <w:tcW w:w="1128" w:type="pct"/>
                  <w:vAlign w:val="center"/>
                </w:tcPr>
                <w:p w14:paraId="68B70045">
                  <w:pPr>
                    <w:pStyle w:val="221"/>
                    <w:rPr>
                      <w:color w:val="000000" w:themeColor="text1"/>
                      <w14:textFill>
                        <w14:solidFill>
                          <w14:schemeClr w14:val="tx1"/>
                        </w14:solidFill>
                      </w14:textFill>
                    </w:rPr>
                  </w:pPr>
                  <w:r>
                    <w:rPr>
                      <w:color w:val="000000" w:themeColor="text1"/>
                      <w14:textFill>
                        <w14:solidFill>
                          <w14:schemeClr w14:val="tx1"/>
                        </w14:solidFill>
                      </w14:textFill>
                    </w:rPr>
                    <w:t>主要污染物名称</w:t>
                  </w:r>
                </w:p>
              </w:tc>
              <w:tc>
                <w:tcPr>
                  <w:tcW w:w="1209" w:type="pct"/>
                  <w:vAlign w:val="center"/>
                </w:tcPr>
                <w:p w14:paraId="6F5E3A9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厂区出水</w:t>
                  </w:r>
                  <w:r>
                    <w:rPr>
                      <w:color w:val="000000" w:themeColor="text1"/>
                      <w14:textFill>
                        <w14:solidFill>
                          <w14:schemeClr w14:val="tx1"/>
                        </w14:solidFill>
                      </w14:textFill>
                    </w:rPr>
                    <w:t>浓度mg/L</w:t>
                  </w:r>
                </w:p>
              </w:tc>
              <w:tc>
                <w:tcPr>
                  <w:tcW w:w="1331" w:type="pct"/>
                  <w:vAlign w:val="center"/>
                </w:tcPr>
                <w:p w14:paraId="430939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浓度限值mg/L</w:t>
                  </w:r>
                </w:p>
              </w:tc>
              <w:tc>
                <w:tcPr>
                  <w:tcW w:w="614" w:type="pct"/>
                  <w:vAlign w:val="center"/>
                </w:tcPr>
                <w:p w14:paraId="6518D6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744C2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restart"/>
                  <w:vAlign w:val="center"/>
                </w:tcPr>
                <w:p w14:paraId="5EE96D39">
                  <w:pPr>
                    <w:pStyle w:val="221"/>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生活污水</w:t>
                  </w:r>
                </w:p>
              </w:tc>
              <w:tc>
                <w:tcPr>
                  <w:tcW w:w="1128" w:type="pct"/>
                  <w:vAlign w:val="center"/>
                </w:tcPr>
                <w:p w14:paraId="2618BFA7">
                  <w:pPr>
                    <w:pStyle w:val="221"/>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COD</w:t>
                  </w:r>
                </w:p>
              </w:tc>
              <w:tc>
                <w:tcPr>
                  <w:tcW w:w="1209" w:type="pct"/>
                  <w:vAlign w:val="center"/>
                </w:tcPr>
                <w:p w14:paraId="4BA7DE0F">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340</w:t>
                  </w:r>
                </w:p>
              </w:tc>
              <w:tc>
                <w:tcPr>
                  <w:tcW w:w="1331" w:type="pct"/>
                  <w:vAlign w:val="center"/>
                </w:tcPr>
                <w:p w14:paraId="795AED8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614" w:type="pct"/>
                  <w:vAlign w:val="center"/>
                </w:tcPr>
                <w:p w14:paraId="05B3B04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2777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3EB795B9">
                  <w:pPr>
                    <w:pStyle w:val="221"/>
                    <w:rPr>
                      <w:color w:val="000000" w:themeColor="text1"/>
                      <w14:textFill>
                        <w14:solidFill>
                          <w14:schemeClr w14:val="tx1"/>
                        </w14:solidFill>
                      </w14:textFill>
                    </w:rPr>
                  </w:pPr>
                </w:p>
              </w:tc>
              <w:tc>
                <w:tcPr>
                  <w:tcW w:w="1128" w:type="pct"/>
                  <w:vAlign w:val="center"/>
                </w:tcPr>
                <w:p w14:paraId="7D9AFD4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BOD</w:t>
                  </w:r>
                </w:p>
              </w:tc>
              <w:tc>
                <w:tcPr>
                  <w:tcW w:w="1209" w:type="pct"/>
                  <w:vAlign w:val="center"/>
                </w:tcPr>
                <w:p w14:paraId="25D5394D">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182</w:t>
                  </w:r>
                </w:p>
              </w:tc>
              <w:tc>
                <w:tcPr>
                  <w:tcW w:w="1331" w:type="pct"/>
                  <w:vAlign w:val="center"/>
                </w:tcPr>
                <w:p w14:paraId="56D76E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14" w:type="pct"/>
                  <w:vAlign w:val="center"/>
                </w:tcPr>
                <w:p w14:paraId="1152DD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39B0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4042E3A0">
                  <w:pPr>
                    <w:pStyle w:val="221"/>
                    <w:rPr>
                      <w:color w:val="000000" w:themeColor="text1"/>
                      <w14:textFill>
                        <w14:solidFill>
                          <w14:schemeClr w14:val="tx1"/>
                        </w14:solidFill>
                      </w14:textFill>
                    </w:rPr>
                  </w:pPr>
                </w:p>
              </w:tc>
              <w:tc>
                <w:tcPr>
                  <w:tcW w:w="1128" w:type="pct"/>
                  <w:vAlign w:val="center"/>
                </w:tcPr>
                <w:p w14:paraId="182D6F0D">
                  <w:pPr>
                    <w:pStyle w:val="221"/>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SS</w:t>
                  </w:r>
                </w:p>
              </w:tc>
              <w:tc>
                <w:tcPr>
                  <w:tcW w:w="1209" w:type="pct"/>
                  <w:vAlign w:val="center"/>
                </w:tcPr>
                <w:p w14:paraId="5EC43DD7">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154</w:t>
                  </w:r>
                </w:p>
              </w:tc>
              <w:tc>
                <w:tcPr>
                  <w:tcW w:w="1331" w:type="pct"/>
                  <w:vAlign w:val="center"/>
                </w:tcPr>
                <w:p w14:paraId="3DD1E8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400</w:t>
                  </w:r>
                </w:p>
              </w:tc>
              <w:tc>
                <w:tcPr>
                  <w:tcW w:w="614" w:type="pct"/>
                  <w:vAlign w:val="center"/>
                </w:tcPr>
                <w:p w14:paraId="608EA19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EA8C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7EB2415E">
                  <w:pPr>
                    <w:pStyle w:val="221"/>
                    <w:rPr>
                      <w:color w:val="000000" w:themeColor="text1"/>
                      <w14:textFill>
                        <w14:solidFill>
                          <w14:schemeClr w14:val="tx1"/>
                        </w14:solidFill>
                      </w14:textFill>
                    </w:rPr>
                  </w:pPr>
                </w:p>
              </w:tc>
              <w:tc>
                <w:tcPr>
                  <w:tcW w:w="1128" w:type="pct"/>
                  <w:vAlign w:val="center"/>
                </w:tcPr>
                <w:p w14:paraId="7CCDC7E0">
                  <w:pPr>
                    <w:pStyle w:val="221"/>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NH</w:t>
                  </w:r>
                  <w:r>
                    <w:rPr>
                      <w:rFonts w:eastAsiaTheme="minorEastAsia"/>
                      <w:color w:val="000000" w:themeColor="text1"/>
                      <w:vertAlign w:val="subscript"/>
                      <w14:textFill>
                        <w14:solidFill>
                          <w14:schemeClr w14:val="tx1"/>
                        </w14:solidFill>
                      </w14:textFill>
                    </w:rPr>
                    <w:t>3</w:t>
                  </w:r>
                  <w:r>
                    <w:rPr>
                      <w:rFonts w:eastAsiaTheme="minorEastAsia"/>
                      <w:color w:val="000000" w:themeColor="text1"/>
                      <w14:textFill>
                        <w14:solidFill>
                          <w14:schemeClr w14:val="tx1"/>
                        </w14:solidFill>
                      </w14:textFill>
                    </w:rPr>
                    <w:t>-N</w:t>
                  </w:r>
                </w:p>
              </w:tc>
              <w:tc>
                <w:tcPr>
                  <w:tcW w:w="1209" w:type="pct"/>
                  <w:vAlign w:val="center"/>
                </w:tcPr>
                <w:p w14:paraId="3D95265B">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33.95</w:t>
                  </w:r>
                </w:p>
              </w:tc>
              <w:tc>
                <w:tcPr>
                  <w:tcW w:w="1331" w:type="pct"/>
                  <w:vAlign w:val="center"/>
                </w:tcPr>
                <w:p w14:paraId="5BEA87D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614" w:type="pct"/>
                  <w:vAlign w:val="center"/>
                </w:tcPr>
                <w:p w14:paraId="3EAC18F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AAF2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5A4487ED">
                  <w:pPr>
                    <w:pStyle w:val="221"/>
                    <w:rPr>
                      <w:color w:val="000000" w:themeColor="text1"/>
                      <w14:textFill>
                        <w14:solidFill>
                          <w14:schemeClr w14:val="tx1"/>
                        </w14:solidFill>
                      </w14:textFill>
                    </w:rPr>
                  </w:pPr>
                </w:p>
              </w:tc>
              <w:tc>
                <w:tcPr>
                  <w:tcW w:w="1128" w:type="pct"/>
                  <w:vAlign w:val="center"/>
                </w:tcPr>
                <w:p w14:paraId="618406A3">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TP</w:t>
                  </w:r>
                </w:p>
              </w:tc>
              <w:tc>
                <w:tcPr>
                  <w:tcW w:w="1209" w:type="pct"/>
                  <w:vAlign w:val="center"/>
                </w:tcPr>
                <w:p w14:paraId="6BD2DCD9">
                  <w:pPr>
                    <w:pStyle w:val="221"/>
                    <w:rPr>
                      <w:rFonts w:eastAsiaTheme="minorEastAsia"/>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eastAsiaTheme="minorEastAsia"/>
                      <w:color w:val="000000" w:themeColor="text1"/>
                      <w14:textFill>
                        <w14:solidFill>
                          <w14:schemeClr w14:val="tx1"/>
                        </w14:solidFill>
                      </w14:textFill>
                    </w:rPr>
                    <w:t>1</w:t>
                  </w:r>
                </w:p>
              </w:tc>
              <w:tc>
                <w:tcPr>
                  <w:tcW w:w="1331" w:type="pct"/>
                  <w:vAlign w:val="center"/>
                </w:tcPr>
                <w:p w14:paraId="54227AA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614" w:type="pct"/>
                  <w:vAlign w:val="center"/>
                </w:tcPr>
                <w:p w14:paraId="3FCAC26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1F62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2FB96D3B">
                  <w:pPr>
                    <w:pStyle w:val="221"/>
                    <w:rPr>
                      <w:color w:val="000000" w:themeColor="text1"/>
                      <w14:textFill>
                        <w14:solidFill>
                          <w14:schemeClr w14:val="tx1"/>
                        </w14:solidFill>
                      </w14:textFill>
                    </w:rPr>
                  </w:pPr>
                </w:p>
              </w:tc>
              <w:tc>
                <w:tcPr>
                  <w:tcW w:w="1128" w:type="pct"/>
                  <w:vAlign w:val="center"/>
                </w:tcPr>
                <w:p w14:paraId="72ACB9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209" w:type="pct"/>
                  <w:vAlign w:val="center"/>
                </w:tcPr>
                <w:p w14:paraId="15E81B35">
                  <w:pPr>
                    <w:pStyle w:val="221"/>
                    <w:rPr>
                      <w:rFonts w:eastAsiaTheme="minorEastAsia"/>
                      <w:color w:val="000000" w:themeColor="text1"/>
                      <w14:textFill>
                        <w14:solidFill>
                          <w14:schemeClr w14:val="tx1"/>
                        </w14:solidFill>
                      </w14:textFill>
                    </w:rPr>
                  </w:pPr>
                  <w:r>
                    <w:rPr>
                      <w:color w:val="000000" w:themeColor="text1"/>
                      <w14:textFill>
                        <w14:solidFill>
                          <w14:schemeClr w14:val="tx1"/>
                        </w14:solidFill>
                      </w14:textFill>
                    </w:rPr>
                    <w:t>43.</w:t>
                  </w:r>
                  <w:r>
                    <w:rPr>
                      <w:rFonts w:hint="eastAsia" w:eastAsiaTheme="minorEastAsia"/>
                      <w:color w:val="000000" w:themeColor="text1"/>
                      <w14:textFill>
                        <w14:solidFill>
                          <w14:schemeClr w14:val="tx1"/>
                        </w14:solidFill>
                      </w14:textFill>
                    </w:rPr>
                    <w:t>5</w:t>
                  </w:r>
                </w:p>
              </w:tc>
              <w:tc>
                <w:tcPr>
                  <w:tcW w:w="1331" w:type="pct"/>
                  <w:vAlign w:val="center"/>
                </w:tcPr>
                <w:p w14:paraId="03DE47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614" w:type="pct"/>
                  <w:vAlign w:val="center"/>
                </w:tcPr>
                <w:p w14:paraId="4167970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5E558412">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由表4.2-13可知，项目生活污水排放口可满足</w:t>
            </w:r>
            <w:r>
              <w:rPr>
                <w:color w:val="000000" w:themeColor="text1"/>
                <w14:textFill>
                  <w14:solidFill>
                    <w14:schemeClr w14:val="tx1"/>
                  </w14:solidFill>
                </w14:textFill>
              </w:rPr>
              <w:t>《污水综合排放标准》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GB8978-1996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表4三级标准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其中NH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w:t>
            </w:r>
            <w:r>
              <w:rPr>
                <w:color w:val="000000" w:themeColor="text1"/>
                <w14:textFill>
                  <w14:solidFill>
                    <w14:schemeClr w14:val="tx1"/>
                  </w14:solidFill>
                </w14:textFill>
              </w:rPr>
              <w:t>指标执行《污水排入城镇下水道水质标准》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GB/T31962-2015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表1中B级标准</w:t>
            </w:r>
            <w:r>
              <w:rPr>
                <w:rFonts w:hint="eastAsia"/>
                <w:color w:val="000000" w:themeColor="text1"/>
                <w14:textFill>
                  <w14:solidFill>
                    <w14:schemeClr w14:val="tx1"/>
                  </w14:solidFill>
                </w14:textFill>
              </w:rPr>
              <w:t>）。</w:t>
            </w:r>
          </w:p>
          <w:p w14:paraId="1516EB4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废</w:t>
            </w:r>
            <w:r>
              <w:rPr>
                <w:rFonts w:hint="eastAsia"/>
                <w:color w:val="000000" w:themeColor="text1"/>
                <w14:textFill>
                  <w14:solidFill>
                    <w14:schemeClr w14:val="tx1"/>
                  </w14:solidFill>
                </w14:textFill>
              </w:rPr>
              <w:t>水</w:t>
            </w:r>
            <w:r>
              <w:rPr>
                <w:color w:val="000000" w:themeColor="text1"/>
                <w14:textFill>
                  <w14:solidFill>
                    <w14:schemeClr w14:val="tx1"/>
                  </w14:solidFill>
                </w14:textFill>
              </w:rPr>
              <w:t>治理措施可行性分析</w:t>
            </w:r>
          </w:p>
          <w:p w14:paraId="26893F4F">
            <w:pPr>
              <w:pStyle w:val="225"/>
              <w:ind w:firstLine="480"/>
              <w:rPr>
                <w:color w:val="000000" w:themeColor="text1"/>
                <w:lang w:bidi="ar-SA"/>
                <w14:textFill>
                  <w14:solidFill>
                    <w14:schemeClr w14:val="tx1"/>
                  </w14:solidFill>
                </w14:textFill>
              </w:rPr>
            </w:pPr>
            <w:r>
              <w:rPr>
                <w:rFonts w:hint="eastAsia"/>
                <w:color w:val="000000" w:themeColor="text1"/>
                <w:lang w:bidi="ar-SA"/>
                <w14:textFill>
                  <w14:solidFill>
                    <w14:schemeClr w14:val="tx1"/>
                  </w14:solidFill>
                </w14:textFill>
              </w:rPr>
              <w:t>（1）生活污水三级化粪池工作原理</w:t>
            </w:r>
          </w:p>
          <w:p w14:paraId="02467392">
            <w:pPr>
              <w:pStyle w:val="225"/>
              <w:ind w:firstLine="480"/>
              <w:rPr>
                <w:color w:val="000000" w:themeColor="text1"/>
                <w:lang w:bidi="ar-SA"/>
                <w14:textFill>
                  <w14:solidFill>
                    <w14:schemeClr w14:val="tx1"/>
                  </w14:solidFill>
                </w14:textFill>
              </w:rPr>
            </w:pPr>
            <w:r>
              <w:rPr>
                <w:rFonts w:hint="eastAsia"/>
                <w:color w:val="000000" w:themeColor="text1"/>
                <w:lang w:bidi="ar-SA"/>
                <w14:textFill>
                  <w14:solidFill>
                    <w14:schemeClr w14:val="tx1"/>
                  </w14:solidFill>
                </w14:textFill>
              </w:rPr>
              <w:t>三级化粪池由相连的三个池子组成，中间由过粪管联通，主要是利用厌氧发酵、中层过粪和寄生虫卵比重大于一般混合液比重而易于沉淀的原理，粪便在池内经过30天以上的发酵分解，中层粪液依次由1池流至3池，以达到沉淀或杀灭粪便中寄生虫卵和肠道致病菌的目的，第3池粪液成为优质化肥。新鲜粪便由进粪口进入第一池，池内粪便开始发酵分解、因比重不同粪液可自然分为三层，上层为糊状粪皮，下层为块状或颗状粪渣，中层为比较澄清的粪液。在上层粪皮和下层粪渣中含细菌和寄生虫卵最多，中层含虫卵最少，初步发酵的中层粪液经过粪管溢流至第二池，而将大部分未经充分发酵的粪皮和粪渣阻留在第一池内继续发酵。流入第二池的粪液进一步发酵分解，虫卵继续下沉，病原体逐渐死亡，粪液得到进一步无害化，产生的粪皮和粪厚度比第一池显著减少。流入第三池的粪液一般已经腐熟，其中病菌和寄生虫卵已基本杀灭。第三池功能主要起储存已基本无害化的粪液作用。</w:t>
            </w:r>
          </w:p>
          <w:p w14:paraId="12679A02">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项目使用出租方已建设的化粪池，其容积为4m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生活污水产生量为</w:t>
            </w:r>
            <w:r>
              <w:rPr>
                <w:rFonts w:hint="eastAsia"/>
                <w:color w:val="000000" w:themeColor="text1"/>
                <w14:textFill>
                  <w14:solidFill>
                    <w14:schemeClr w14:val="tx1"/>
                  </w14:solidFill>
                </w14:textFill>
              </w:rPr>
              <w:t>0.52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，按生活污水在化粪池中停留12h计算，需化粪池处理能力为2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，可见化粪池处理能力可满足使用需求。</w:t>
            </w:r>
          </w:p>
          <w:p w14:paraId="2810D0B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（2）冷却循环水治理措施可行性</w:t>
            </w:r>
          </w:p>
          <w:p w14:paraId="34098E5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项目冷却循环水中的主要污染物为SS（橡胶微粒），项目拟设置一套</w:t>
            </w:r>
            <w:r>
              <w:rPr>
                <w:rFonts w:hint="eastAsia"/>
                <w:color w:val="000000" w:themeColor="text1"/>
                <w:lang w:val="en-US"/>
                <w14:textFill>
                  <w14:solidFill>
                    <w14:schemeClr w14:val="tx1"/>
                  </w14:solidFill>
                </w14:textFill>
              </w:rPr>
              <w:t>循环水过滤器，用于过滤循环水中的橡胶微粒，过滤出的橡胶粒作为固废处理</w:t>
            </w:r>
            <w:r>
              <w:rPr>
                <w:rFonts w:hint="eastAsia"/>
                <w:color w:val="000000" w:themeColor="text1"/>
                <w14:textFill>
                  <w14:solidFill>
                    <w14:schemeClr w14:val="tx1"/>
                  </w14:solidFill>
                </w14:textFill>
              </w:rPr>
              <w:t>。经过滤处理后冷却水可实现循环回用，定期补充损耗即可。</w:t>
            </w:r>
          </w:p>
          <w:p w14:paraId="6ECB265F">
            <w:pPr>
              <w:pStyle w:val="225"/>
              <w:ind w:firstLine="480"/>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（3）废水排入江镜华侨农场污水处理厂处理的可行性分析</w:t>
            </w:r>
          </w:p>
          <w:p w14:paraId="7DD539A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①与市政管网的衔接性</w:t>
            </w:r>
          </w:p>
          <w:p w14:paraId="727D1039">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本项目属于江镜华侨农场污水处理厂的服务范围内，项目所在园区已敷设雨水管网和污水管网，并与区域市政管网相衔接，可确保厂内污废水正常排入市政雨污管网。</w:t>
            </w:r>
          </w:p>
          <w:p w14:paraId="558C2ED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②污水厂处理能力</w:t>
            </w:r>
          </w:p>
          <w:p w14:paraId="104EC2D4">
            <w:pPr>
              <w:pStyle w:val="225"/>
              <w:widowControl w:val="0"/>
              <w:topLinePun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江镜华侨农场污水处理厂投建一期一组1.25万 m³/d，预留一期二组1.25万m³/d，远期2030年污水工程规模为15.0万m³/d。根据调查，目前江镜华侨农场污水处理厂实际日平均处理量为2000m³/d，尚有余量10500m³/d。项目排放量共1.81 m³/d，仅占江镜华侨农场污水处理厂处理余量的0.1%，从水量上而言，江镜华侨农场污水处理厂可接纳项目废水排放量，不会对污水厂水量负荷造成冲击。</w:t>
            </w:r>
          </w:p>
          <w:p w14:paraId="527CCF1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4、废水自行监测要求</w:t>
            </w:r>
          </w:p>
          <w:p w14:paraId="337F848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参照《排污许可证申请与核发技术规范 橡胶和塑料制品工业》（HJ1122-2020）、《排污单位自行监测技术指南 橡胶和塑料制品》（HJ 1207-2021），项目仅排放生活污水，无需对污水进行监测。</w:t>
            </w:r>
          </w:p>
          <w:p w14:paraId="70CE0723">
            <w:pPr>
              <w:pStyle w:val="4"/>
              <w:keepNext w:val="0"/>
              <w:keepLines w:val="0"/>
              <w:widowControl w:val="0"/>
              <w:topLinePunct/>
              <w:spacing w:before="120" w:beforeLines="5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3</w:t>
            </w:r>
            <w:r>
              <w:rPr>
                <w:rFonts w:ascii="Times New Roman" w:hAnsi="Times New Roman" w:eastAsia="宋体" w:cs="Times New Roman"/>
                <w:b/>
                <w:bCs/>
                <w:color w:val="000000" w:themeColor="text1"/>
                <w14:textFill>
                  <w14:solidFill>
                    <w14:schemeClr w14:val="tx1"/>
                  </w14:solidFill>
                </w14:textFill>
              </w:rPr>
              <w:t xml:space="preserve"> 运营期噪声影响分析和防范措施</w:t>
            </w:r>
          </w:p>
          <w:p w14:paraId="647FCF62">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噪声源强分析</w:t>
            </w:r>
          </w:p>
          <w:p w14:paraId="7F4A8C0B">
            <w:pPr>
              <w:pStyle w:val="225"/>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项目噪声源主要为</w:t>
            </w:r>
            <w:r>
              <w:rPr>
                <w:rFonts w:hint="eastAsia"/>
                <w:color w:val="000000" w:themeColor="text1"/>
                <w:lang w:val="en-US"/>
                <w14:textFill>
                  <w14:solidFill>
                    <w14:schemeClr w14:val="tx1"/>
                  </w14:solidFill>
                </w14:textFill>
              </w:rPr>
              <w:t>设备运行时产生的噪声，</w:t>
            </w:r>
            <w:r>
              <w:rPr>
                <w:color w:val="000000" w:themeColor="text1"/>
                <w14:textFill>
                  <w14:solidFill>
                    <w14:schemeClr w14:val="tx1"/>
                  </w14:solidFill>
                </w14:textFill>
              </w:rPr>
              <w:t>各噪声源</w:t>
            </w:r>
            <w:r>
              <w:rPr>
                <w:rFonts w:hint="eastAsia"/>
                <w:color w:val="000000" w:themeColor="text1"/>
                <w14:textFill>
                  <w14:solidFill>
                    <w14:schemeClr w14:val="tx1"/>
                  </w14:solidFill>
                </w14:textFill>
              </w:rPr>
              <w:t>情况</w:t>
            </w:r>
            <w:r>
              <w:rPr>
                <w:color w:val="000000" w:themeColor="text1"/>
                <w14:textFill>
                  <w14:solidFill>
                    <w14:schemeClr w14:val="tx1"/>
                  </w14:solidFill>
                </w14:textFill>
              </w:rPr>
              <w:t>见表4.2-</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w:t>
            </w:r>
          </w:p>
          <w:p w14:paraId="2B63EA89">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 xml:space="preserve">  室内主要噪声设备声级特性 单位：dB（A）</w:t>
            </w:r>
          </w:p>
          <w:tbl>
            <w:tblPr>
              <w:tblStyle w:val="2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408"/>
              <w:gridCol w:w="726"/>
              <w:gridCol w:w="1309"/>
              <w:gridCol w:w="1417"/>
              <w:gridCol w:w="1102"/>
              <w:gridCol w:w="937"/>
              <w:gridCol w:w="938"/>
            </w:tblGrid>
            <w:tr w14:paraId="3910A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13970E44">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73" w:type="dxa"/>
                  <w:vAlign w:val="center"/>
                </w:tcPr>
                <w:p w14:paraId="269B3A04">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708" w:type="dxa"/>
                  <w:vAlign w:val="center"/>
                </w:tcPr>
                <w:p w14:paraId="62129703">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276" w:type="dxa"/>
                  <w:vAlign w:val="center"/>
                </w:tcPr>
                <w:p w14:paraId="45CA3D0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产生强度</w:t>
                  </w:r>
                  <w:r>
                    <w:rPr>
                      <w:color w:val="000000" w:themeColor="text1"/>
                      <w14:textFill>
                        <w14:solidFill>
                          <w14:schemeClr w14:val="tx1"/>
                        </w14:solidFill>
                      </w14:textFill>
                    </w:rPr>
                    <w:t>dB(A)</w:t>
                  </w:r>
                </w:p>
              </w:tc>
              <w:tc>
                <w:tcPr>
                  <w:tcW w:w="1382" w:type="dxa"/>
                  <w:vAlign w:val="center"/>
                </w:tcPr>
                <w:p w14:paraId="02A9114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强度dB(A)</w:t>
                  </w:r>
                </w:p>
              </w:tc>
              <w:tc>
                <w:tcPr>
                  <w:tcW w:w="1075" w:type="dxa"/>
                  <w:vAlign w:val="center"/>
                </w:tcPr>
                <w:p w14:paraId="4150C931">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降噪措施</w:t>
                  </w:r>
                </w:p>
              </w:tc>
              <w:tc>
                <w:tcPr>
                  <w:tcW w:w="914" w:type="dxa"/>
                  <w:vAlign w:val="center"/>
                </w:tcPr>
                <w:p w14:paraId="7B46B4A7">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位置</w:t>
                  </w:r>
                </w:p>
              </w:tc>
              <w:tc>
                <w:tcPr>
                  <w:tcW w:w="914" w:type="dxa"/>
                  <w:vAlign w:val="center"/>
                </w:tcPr>
                <w:p w14:paraId="2BC0070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持续时间</w:t>
                  </w:r>
                </w:p>
              </w:tc>
            </w:tr>
            <w:tr w14:paraId="0D802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D346F01">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373" w:type="dxa"/>
                  <w:vAlign w:val="center"/>
                </w:tcPr>
                <w:p w14:paraId="756F5F5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上辅机</w:t>
                  </w:r>
                </w:p>
              </w:tc>
              <w:tc>
                <w:tcPr>
                  <w:tcW w:w="708" w:type="dxa"/>
                  <w:vAlign w:val="center"/>
                </w:tcPr>
                <w:p w14:paraId="2B8CEC5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4DB6B88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382" w:type="dxa"/>
                  <w:vAlign w:val="center"/>
                </w:tcPr>
                <w:p w14:paraId="356EF43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075" w:type="dxa"/>
                  <w:vMerge w:val="restart"/>
                  <w:vAlign w:val="center"/>
                </w:tcPr>
                <w:p w14:paraId="20C2D9FE">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设备减震、厂房隔声</w:t>
                  </w:r>
                </w:p>
              </w:tc>
              <w:tc>
                <w:tcPr>
                  <w:tcW w:w="914" w:type="dxa"/>
                  <w:vMerge w:val="restart"/>
                  <w:vAlign w:val="center"/>
                </w:tcPr>
                <w:p w14:paraId="6CA5321D">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室内</w:t>
                  </w:r>
                </w:p>
              </w:tc>
              <w:tc>
                <w:tcPr>
                  <w:tcW w:w="914" w:type="dxa"/>
                  <w:vMerge w:val="restart"/>
                  <w:vAlign w:val="center"/>
                </w:tcPr>
                <w:p w14:paraId="2293642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昼间8小时</w:t>
                  </w:r>
                </w:p>
              </w:tc>
            </w:tr>
            <w:tr w14:paraId="62386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069336B1">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373" w:type="dxa"/>
                  <w:vAlign w:val="center"/>
                </w:tcPr>
                <w:p w14:paraId="5B4BE95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过滤机</w:t>
                  </w:r>
                </w:p>
              </w:tc>
              <w:tc>
                <w:tcPr>
                  <w:tcW w:w="708" w:type="dxa"/>
                  <w:vAlign w:val="center"/>
                </w:tcPr>
                <w:p w14:paraId="10222D2E">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76" w:type="dxa"/>
                  <w:vAlign w:val="center"/>
                </w:tcPr>
                <w:p w14:paraId="70F6AD4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0A7EAF7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075" w:type="dxa"/>
                  <w:vMerge w:val="continue"/>
                  <w:vAlign w:val="center"/>
                </w:tcPr>
                <w:p w14:paraId="5EC0F91A">
                  <w:pPr>
                    <w:pStyle w:val="221"/>
                    <w:widowControl w:val="0"/>
                    <w:rPr>
                      <w:color w:val="000000" w:themeColor="text1"/>
                      <w14:textFill>
                        <w14:solidFill>
                          <w14:schemeClr w14:val="tx1"/>
                        </w14:solidFill>
                      </w14:textFill>
                    </w:rPr>
                  </w:pPr>
                </w:p>
              </w:tc>
              <w:tc>
                <w:tcPr>
                  <w:tcW w:w="914" w:type="dxa"/>
                  <w:vMerge w:val="continue"/>
                  <w:vAlign w:val="center"/>
                </w:tcPr>
                <w:p w14:paraId="77AF2937">
                  <w:pPr>
                    <w:pStyle w:val="221"/>
                    <w:widowControl w:val="0"/>
                    <w:rPr>
                      <w:color w:val="000000" w:themeColor="text1"/>
                      <w14:textFill>
                        <w14:solidFill>
                          <w14:schemeClr w14:val="tx1"/>
                        </w14:solidFill>
                      </w14:textFill>
                    </w:rPr>
                  </w:pPr>
                </w:p>
              </w:tc>
              <w:tc>
                <w:tcPr>
                  <w:tcW w:w="914" w:type="dxa"/>
                  <w:vMerge w:val="continue"/>
                  <w:vAlign w:val="center"/>
                </w:tcPr>
                <w:p w14:paraId="00F74550">
                  <w:pPr>
                    <w:pStyle w:val="221"/>
                    <w:widowControl w:val="0"/>
                    <w:rPr>
                      <w:color w:val="000000" w:themeColor="text1"/>
                      <w14:textFill>
                        <w14:solidFill>
                          <w14:schemeClr w14:val="tx1"/>
                        </w14:solidFill>
                      </w14:textFill>
                    </w:rPr>
                  </w:pPr>
                </w:p>
              </w:tc>
            </w:tr>
            <w:tr w14:paraId="2DCA9E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402D0F1C">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373" w:type="dxa"/>
                  <w:vAlign w:val="center"/>
                </w:tcPr>
                <w:p w14:paraId="7E90D23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密炼机</w:t>
                  </w:r>
                </w:p>
              </w:tc>
              <w:tc>
                <w:tcPr>
                  <w:tcW w:w="708" w:type="dxa"/>
                  <w:vAlign w:val="center"/>
                </w:tcPr>
                <w:p w14:paraId="24A5DD28">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1B4B820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1382" w:type="dxa"/>
                  <w:vAlign w:val="center"/>
                </w:tcPr>
                <w:p w14:paraId="471E9F6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1075" w:type="dxa"/>
                  <w:vMerge w:val="continue"/>
                  <w:vAlign w:val="center"/>
                </w:tcPr>
                <w:p w14:paraId="6A2F6566">
                  <w:pPr>
                    <w:pStyle w:val="221"/>
                    <w:widowControl w:val="0"/>
                    <w:rPr>
                      <w:color w:val="000000" w:themeColor="text1"/>
                      <w14:textFill>
                        <w14:solidFill>
                          <w14:schemeClr w14:val="tx1"/>
                        </w14:solidFill>
                      </w14:textFill>
                    </w:rPr>
                  </w:pPr>
                </w:p>
              </w:tc>
              <w:tc>
                <w:tcPr>
                  <w:tcW w:w="914" w:type="dxa"/>
                  <w:vMerge w:val="continue"/>
                  <w:vAlign w:val="center"/>
                </w:tcPr>
                <w:p w14:paraId="4EFF05E2">
                  <w:pPr>
                    <w:pStyle w:val="221"/>
                    <w:widowControl w:val="0"/>
                    <w:rPr>
                      <w:color w:val="000000" w:themeColor="text1"/>
                      <w14:textFill>
                        <w14:solidFill>
                          <w14:schemeClr w14:val="tx1"/>
                        </w14:solidFill>
                      </w14:textFill>
                    </w:rPr>
                  </w:pPr>
                </w:p>
              </w:tc>
              <w:tc>
                <w:tcPr>
                  <w:tcW w:w="914" w:type="dxa"/>
                  <w:vMerge w:val="continue"/>
                  <w:vAlign w:val="center"/>
                </w:tcPr>
                <w:p w14:paraId="4C8BA7F3">
                  <w:pPr>
                    <w:pStyle w:val="221"/>
                    <w:widowControl w:val="0"/>
                    <w:rPr>
                      <w:color w:val="000000" w:themeColor="text1"/>
                      <w14:textFill>
                        <w14:solidFill>
                          <w14:schemeClr w14:val="tx1"/>
                        </w14:solidFill>
                      </w14:textFill>
                    </w:rPr>
                  </w:pPr>
                </w:p>
              </w:tc>
            </w:tr>
            <w:tr w14:paraId="14F61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03D44AD6">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373" w:type="dxa"/>
                  <w:vAlign w:val="center"/>
                </w:tcPr>
                <w:p w14:paraId="0A7CA4A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出片机</w:t>
                  </w:r>
                </w:p>
              </w:tc>
              <w:tc>
                <w:tcPr>
                  <w:tcW w:w="708" w:type="dxa"/>
                  <w:vAlign w:val="center"/>
                </w:tcPr>
                <w:p w14:paraId="40B2DD5B">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5AB233E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2F8A5C4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212D0582">
                  <w:pPr>
                    <w:pStyle w:val="221"/>
                    <w:widowControl w:val="0"/>
                    <w:rPr>
                      <w:color w:val="000000" w:themeColor="text1"/>
                      <w14:textFill>
                        <w14:solidFill>
                          <w14:schemeClr w14:val="tx1"/>
                        </w14:solidFill>
                      </w14:textFill>
                    </w:rPr>
                  </w:pPr>
                </w:p>
              </w:tc>
              <w:tc>
                <w:tcPr>
                  <w:tcW w:w="914" w:type="dxa"/>
                  <w:vMerge w:val="continue"/>
                  <w:vAlign w:val="center"/>
                </w:tcPr>
                <w:p w14:paraId="238E4BC2">
                  <w:pPr>
                    <w:pStyle w:val="221"/>
                    <w:widowControl w:val="0"/>
                    <w:rPr>
                      <w:color w:val="000000" w:themeColor="text1"/>
                      <w14:textFill>
                        <w14:solidFill>
                          <w14:schemeClr w14:val="tx1"/>
                        </w14:solidFill>
                      </w14:textFill>
                    </w:rPr>
                  </w:pPr>
                </w:p>
              </w:tc>
              <w:tc>
                <w:tcPr>
                  <w:tcW w:w="914" w:type="dxa"/>
                  <w:vMerge w:val="continue"/>
                  <w:vAlign w:val="center"/>
                </w:tcPr>
                <w:p w14:paraId="75309181">
                  <w:pPr>
                    <w:pStyle w:val="221"/>
                    <w:widowControl w:val="0"/>
                    <w:rPr>
                      <w:color w:val="000000" w:themeColor="text1"/>
                      <w14:textFill>
                        <w14:solidFill>
                          <w14:schemeClr w14:val="tx1"/>
                        </w14:solidFill>
                      </w14:textFill>
                    </w:rPr>
                  </w:pPr>
                </w:p>
              </w:tc>
            </w:tr>
            <w:tr w14:paraId="32EE7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66" w:type="dxa"/>
                  <w:vAlign w:val="center"/>
                </w:tcPr>
                <w:p w14:paraId="1D3B795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373" w:type="dxa"/>
                  <w:vAlign w:val="center"/>
                </w:tcPr>
                <w:p w14:paraId="4A5A199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开炼机</w:t>
                  </w:r>
                </w:p>
              </w:tc>
              <w:tc>
                <w:tcPr>
                  <w:tcW w:w="708" w:type="dxa"/>
                  <w:vAlign w:val="center"/>
                </w:tcPr>
                <w:p w14:paraId="2D860448">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6</w:t>
                  </w:r>
                </w:p>
              </w:tc>
              <w:tc>
                <w:tcPr>
                  <w:tcW w:w="1276" w:type="dxa"/>
                  <w:vAlign w:val="center"/>
                </w:tcPr>
                <w:p w14:paraId="3B9E6C8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12DA2CA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1075" w:type="dxa"/>
                  <w:vMerge w:val="continue"/>
                  <w:vAlign w:val="center"/>
                </w:tcPr>
                <w:p w14:paraId="14C24F96">
                  <w:pPr>
                    <w:pStyle w:val="221"/>
                    <w:widowControl w:val="0"/>
                    <w:rPr>
                      <w:color w:val="000000" w:themeColor="text1"/>
                      <w14:textFill>
                        <w14:solidFill>
                          <w14:schemeClr w14:val="tx1"/>
                        </w14:solidFill>
                      </w14:textFill>
                    </w:rPr>
                  </w:pPr>
                </w:p>
              </w:tc>
              <w:tc>
                <w:tcPr>
                  <w:tcW w:w="914" w:type="dxa"/>
                  <w:vMerge w:val="continue"/>
                  <w:vAlign w:val="center"/>
                </w:tcPr>
                <w:p w14:paraId="22A36F11">
                  <w:pPr>
                    <w:pStyle w:val="221"/>
                    <w:widowControl w:val="0"/>
                    <w:rPr>
                      <w:color w:val="000000" w:themeColor="text1"/>
                      <w14:textFill>
                        <w14:solidFill>
                          <w14:schemeClr w14:val="tx1"/>
                        </w14:solidFill>
                      </w14:textFill>
                    </w:rPr>
                  </w:pPr>
                </w:p>
              </w:tc>
              <w:tc>
                <w:tcPr>
                  <w:tcW w:w="914" w:type="dxa"/>
                  <w:vMerge w:val="continue"/>
                  <w:vAlign w:val="center"/>
                </w:tcPr>
                <w:p w14:paraId="71BBDD0D">
                  <w:pPr>
                    <w:pStyle w:val="221"/>
                    <w:widowControl w:val="0"/>
                    <w:rPr>
                      <w:color w:val="000000" w:themeColor="text1"/>
                      <w14:textFill>
                        <w14:solidFill>
                          <w14:schemeClr w14:val="tx1"/>
                        </w14:solidFill>
                      </w14:textFill>
                    </w:rPr>
                  </w:pPr>
                </w:p>
              </w:tc>
            </w:tr>
            <w:tr w14:paraId="36E36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47AF0E4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373" w:type="dxa"/>
                  <w:vAlign w:val="center"/>
                </w:tcPr>
                <w:p w14:paraId="74E63F3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冷冻机</w:t>
                  </w:r>
                </w:p>
              </w:tc>
              <w:tc>
                <w:tcPr>
                  <w:tcW w:w="708" w:type="dxa"/>
                  <w:vAlign w:val="center"/>
                </w:tcPr>
                <w:p w14:paraId="72499BB4">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1B15BF1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382" w:type="dxa"/>
                  <w:vAlign w:val="center"/>
                </w:tcPr>
                <w:p w14:paraId="7FFDE63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1075" w:type="dxa"/>
                  <w:vMerge w:val="continue"/>
                  <w:vAlign w:val="center"/>
                </w:tcPr>
                <w:p w14:paraId="09E93731">
                  <w:pPr>
                    <w:pStyle w:val="221"/>
                    <w:widowControl w:val="0"/>
                    <w:rPr>
                      <w:color w:val="000000" w:themeColor="text1"/>
                      <w14:textFill>
                        <w14:solidFill>
                          <w14:schemeClr w14:val="tx1"/>
                        </w14:solidFill>
                      </w14:textFill>
                    </w:rPr>
                  </w:pPr>
                </w:p>
              </w:tc>
              <w:tc>
                <w:tcPr>
                  <w:tcW w:w="914" w:type="dxa"/>
                  <w:vMerge w:val="continue"/>
                  <w:vAlign w:val="center"/>
                </w:tcPr>
                <w:p w14:paraId="15F6C55D">
                  <w:pPr>
                    <w:pStyle w:val="221"/>
                    <w:widowControl w:val="0"/>
                    <w:rPr>
                      <w:color w:val="000000" w:themeColor="text1"/>
                      <w14:textFill>
                        <w14:solidFill>
                          <w14:schemeClr w14:val="tx1"/>
                        </w14:solidFill>
                      </w14:textFill>
                    </w:rPr>
                  </w:pPr>
                </w:p>
              </w:tc>
              <w:tc>
                <w:tcPr>
                  <w:tcW w:w="914" w:type="dxa"/>
                  <w:vMerge w:val="continue"/>
                  <w:vAlign w:val="center"/>
                </w:tcPr>
                <w:p w14:paraId="047DADBE">
                  <w:pPr>
                    <w:pStyle w:val="221"/>
                    <w:widowControl w:val="0"/>
                    <w:rPr>
                      <w:color w:val="000000" w:themeColor="text1"/>
                      <w14:textFill>
                        <w14:solidFill>
                          <w14:schemeClr w14:val="tx1"/>
                        </w14:solidFill>
                      </w14:textFill>
                    </w:rPr>
                  </w:pPr>
                </w:p>
              </w:tc>
            </w:tr>
            <w:tr w14:paraId="7CD6E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140F185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373" w:type="dxa"/>
                  <w:vAlign w:val="center"/>
                </w:tcPr>
                <w:p w14:paraId="31505CA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708" w:type="dxa"/>
                  <w:vAlign w:val="center"/>
                </w:tcPr>
                <w:p w14:paraId="05226522">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1</w:t>
                  </w:r>
                </w:p>
              </w:tc>
              <w:tc>
                <w:tcPr>
                  <w:tcW w:w="1276" w:type="dxa"/>
                  <w:vAlign w:val="center"/>
                </w:tcPr>
                <w:p w14:paraId="7315957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1382" w:type="dxa"/>
                  <w:vAlign w:val="center"/>
                </w:tcPr>
                <w:p w14:paraId="05FC835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075" w:type="dxa"/>
                  <w:vMerge w:val="continue"/>
                  <w:vAlign w:val="center"/>
                </w:tcPr>
                <w:p w14:paraId="751FB8CC">
                  <w:pPr>
                    <w:pStyle w:val="221"/>
                    <w:widowControl w:val="0"/>
                    <w:rPr>
                      <w:color w:val="000000" w:themeColor="text1"/>
                      <w14:textFill>
                        <w14:solidFill>
                          <w14:schemeClr w14:val="tx1"/>
                        </w14:solidFill>
                      </w14:textFill>
                    </w:rPr>
                  </w:pPr>
                </w:p>
              </w:tc>
              <w:tc>
                <w:tcPr>
                  <w:tcW w:w="914" w:type="dxa"/>
                  <w:vMerge w:val="continue"/>
                  <w:vAlign w:val="center"/>
                </w:tcPr>
                <w:p w14:paraId="393F25E5">
                  <w:pPr>
                    <w:pStyle w:val="221"/>
                    <w:widowControl w:val="0"/>
                    <w:rPr>
                      <w:color w:val="000000" w:themeColor="text1"/>
                      <w14:textFill>
                        <w14:solidFill>
                          <w14:schemeClr w14:val="tx1"/>
                        </w14:solidFill>
                      </w14:textFill>
                    </w:rPr>
                  </w:pPr>
                </w:p>
              </w:tc>
              <w:tc>
                <w:tcPr>
                  <w:tcW w:w="914" w:type="dxa"/>
                  <w:vMerge w:val="continue"/>
                  <w:vAlign w:val="center"/>
                </w:tcPr>
                <w:p w14:paraId="1A401825">
                  <w:pPr>
                    <w:pStyle w:val="221"/>
                    <w:widowControl w:val="0"/>
                    <w:rPr>
                      <w:color w:val="000000" w:themeColor="text1"/>
                      <w14:textFill>
                        <w14:solidFill>
                          <w14:schemeClr w14:val="tx1"/>
                        </w14:solidFill>
                      </w14:textFill>
                    </w:rPr>
                  </w:pPr>
                </w:p>
              </w:tc>
            </w:tr>
            <w:tr w14:paraId="79B72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4CF7E5E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373" w:type="dxa"/>
                  <w:vAlign w:val="center"/>
                </w:tcPr>
                <w:p w14:paraId="0A4D3EE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提升机</w:t>
                  </w:r>
                </w:p>
              </w:tc>
              <w:tc>
                <w:tcPr>
                  <w:tcW w:w="708" w:type="dxa"/>
                  <w:vAlign w:val="center"/>
                </w:tcPr>
                <w:p w14:paraId="79F5FFE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276" w:type="dxa"/>
                  <w:vAlign w:val="center"/>
                </w:tcPr>
                <w:p w14:paraId="4FA3536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00372C65">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1075" w:type="dxa"/>
                  <w:vMerge w:val="continue"/>
                  <w:vAlign w:val="center"/>
                </w:tcPr>
                <w:p w14:paraId="0F6791F6">
                  <w:pPr>
                    <w:pStyle w:val="221"/>
                    <w:widowControl w:val="0"/>
                    <w:rPr>
                      <w:color w:val="000000" w:themeColor="text1"/>
                      <w14:textFill>
                        <w14:solidFill>
                          <w14:schemeClr w14:val="tx1"/>
                        </w14:solidFill>
                      </w14:textFill>
                    </w:rPr>
                  </w:pPr>
                </w:p>
              </w:tc>
              <w:tc>
                <w:tcPr>
                  <w:tcW w:w="914" w:type="dxa"/>
                  <w:vMerge w:val="continue"/>
                  <w:vAlign w:val="center"/>
                </w:tcPr>
                <w:p w14:paraId="3E5978B1">
                  <w:pPr>
                    <w:pStyle w:val="221"/>
                    <w:widowControl w:val="0"/>
                    <w:rPr>
                      <w:color w:val="000000" w:themeColor="text1"/>
                      <w14:textFill>
                        <w14:solidFill>
                          <w14:schemeClr w14:val="tx1"/>
                        </w14:solidFill>
                      </w14:textFill>
                    </w:rPr>
                  </w:pPr>
                </w:p>
              </w:tc>
              <w:tc>
                <w:tcPr>
                  <w:tcW w:w="914" w:type="dxa"/>
                  <w:vMerge w:val="continue"/>
                  <w:vAlign w:val="center"/>
                </w:tcPr>
                <w:p w14:paraId="1EE58F9D">
                  <w:pPr>
                    <w:pStyle w:val="221"/>
                    <w:widowControl w:val="0"/>
                    <w:rPr>
                      <w:color w:val="000000" w:themeColor="text1"/>
                      <w14:textFill>
                        <w14:solidFill>
                          <w14:schemeClr w14:val="tx1"/>
                        </w14:solidFill>
                      </w14:textFill>
                    </w:rPr>
                  </w:pPr>
                </w:p>
              </w:tc>
            </w:tr>
            <w:tr w14:paraId="039C4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5FEA65F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373" w:type="dxa"/>
                  <w:vAlign w:val="center"/>
                </w:tcPr>
                <w:p w14:paraId="02E0C4C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冷却线挂式</w:t>
                  </w:r>
                </w:p>
              </w:tc>
              <w:tc>
                <w:tcPr>
                  <w:tcW w:w="708" w:type="dxa"/>
                  <w:vAlign w:val="center"/>
                </w:tcPr>
                <w:p w14:paraId="36BC618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422451C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2218335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2B23E31F">
                  <w:pPr>
                    <w:pStyle w:val="221"/>
                    <w:widowControl w:val="0"/>
                    <w:rPr>
                      <w:color w:val="000000" w:themeColor="text1"/>
                      <w14:textFill>
                        <w14:solidFill>
                          <w14:schemeClr w14:val="tx1"/>
                        </w14:solidFill>
                      </w14:textFill>
                    </w:rPr>
                  </w:pPr>
                </w:p>
              </w:tc>
              <w:tc>
                <w:tcPr>
                  <w:tcW w:w="914" w:type="dxa"/>
                  <w:vMerge w:val="continue"/>
                  <w:vAlign w:val="center"/>
                </w:tcPr>
                <w:p w14:paraId="729B9A28">
                  <w:pPr>
                    <w:pStyle w:val="221"/>
                    <w:widowControl w:val="0"/>
                    <w:rPr>
                      <w:color w:val="000000" w:themeColor="text1"/>
                      <w14:textFill>
                        <w14:solidFill>
                          <w14:schemeClr w14:val="tx1"/>
                        </w14:solidFill>
                      </w14:textFill>
                    </w:rPr>
                  </w:pPr>
                </w:p>
              </w:tc>
              <w:tc>
                <w:tcPr>
                  <w:tcW w:w="914" w:type="dxa"/>
                  <w:vMerge w:val="continue"/>
                  <w:vAlign w:val="center"/>
                </w:tcPr>
                <w:p w14:paraId="33E049F3">
                  <w:pPr>
                    <w:pStyle w:val="221"/>
                    <w:widowControl w:val="0"/>
                    <w:rPr>
                      <w:color w:val="000000" w:themeColor="text1"/>
                      <w14:textFill>
                        <w14:solidFill>
                          <w14:schemeClr w14:val="tx1"/>
                        </w14:solidFill>
                      </w14:textFill>
                    </w:rPr>
                  </w:pPr>
                </w:p>
              </w:tc>
            </w:tr>
            <w:tr w14:paraId="0CCC8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079C6F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73" w:type="dxa"/>
                  <w:vAlign w:val="center"/>
                </w:tcPr>
                <w:p w14:paraId="57E08D6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冷却线网式</w:t>
                  </w:r>
                </w:p>
              </w:tc>
              <w:tc>
                <w:tcPr>
                  <w:tcW w:w="708" w:type="dxa"/>
                  <w:vAlign w:val="center"/>
                </w:tcPr>
                <w:p w14:paraId="0D0B619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27A6718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499B7B5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49DFE35D">
                  <w:pPr>
                    <w:pStyle w:val="221"/>
                    <w:widowControl w:val="0"/>
                    <w:rPr>
                      <w:color w:val="000000" w:themeColor="text1"/>
                      <w14:textFill>
                        <w14:solidFill>
                          <w14:schemeClr w14:val="tx1"/>
                        </w14:solidFill>
                      </w14:textFill>
                    </w:rPr>
                  </w:pPr>
                </w:p>
              </w:tc>
              <w:tc>
                <w:tcPr>
                  <w:tcW w:w="914" w:type="dxa"/>
                  <w:vMerge w:val="continue"/>
                  <w:vAlign w:val="center"/>
                </w:tcPr>
                <w:p w14:paraId="4C785A3A">
                  <w:pPr>
                    <w:pStyle w:val="221"/>
                    <w:widowControl w:val="0"/>
                    <w:rPr>
                      <w:color w:val="000000" w:themeColor="text1"/>
                      <w14:textFill>
                        <w14:solidFill>
                          <w14:schemeClr w14:val="tx1"/>
                        </w14:solidFill>
                      </w14:textFill>
                    </w:rPr>
                  </w:pPr>
                </w:p>
              </w:tc>
              <w:tc>
                <w:tcPr>
                  <w:tcW w:w="914" w:type="dxa"/>
                  <w:vMerge w:val="continue"/>
                  <w:vAlign w:val="center"/>
                </w:tcPr>
                <w:p w14:paraId="087FB377">
                  <w:pPr>
                    <w:pStyle w:val="221"/>
                    <w:widowControl w:val="0"/>
                    <w:rPr>
                      <w:color w:val="000000" w:themeColor="text1"/>
                      <w14:textFill>
                        <w14:solidFill>
                          <w14:schemeClr w14:val="tx1"/>
                        </w14:solidFill>
                      </w14:textFill>
                    </w:rPr>
                  </w:pPr>
                </w:p>
              </w:tc>
            </w:tr>
            <w:tr w14:paraId="12BD1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0212A4F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1373" w:type="dxa"/>
                  <w:vAlign w:val="center"/>
                </w:tcPr>
                <w:p w14:paraId="08A7B09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检验设备</w:t>
                  </w:r>
                </w:p>
              </w:tc>
              <w:tc>
                <w:tcPr>
                  <w:tcW w:w="708" w:type="dxa"/>
                  <w:vAlign w:val="center"/>
                </w:tcPr>
                <w:p w14:paraId="0E04C48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76" w:type="dxa"/>
                  <w:vAlign w:val="center"/>
                </w:tcPr>
                <w:p w14:paraId="232FD17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382" w:type="dxa"/>
                  <w:vAlign w:val="center"/>
                </w:tcPr>
                <w:p w14:paraId="29BB457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075" w:type="dxa"/>
                  <w:vMerge w:val="continue"/>
                  <w:vAlign w:val="center"/>
                </w:tcPr>
                <w:p w14:paraId="08743A6B">
                  <w:pPr>
                    <w:pStyle w:val="221"/>
                    <w:widowControl w:val="0"/>
                    <w:rPr>
                      <w:color w:val="000000" w:themeColor="text1"/>
                      <w14:textFill>
                        <w14:solidFill>
                          <w14:schemeClr w14:val="tx1"/>
                        </w14:solidFill>
                      </w14:textFill>
                    </w:rPr>
                  </w:pPr>
                </w:p>
              </w:tc>
              <w:tc>
                <w:tcPr>
                  <w:tcW w:w="914" w:type="dxa"/>
                  <w:vMerge w:val="continue"/>
                  <w:vAlign w:val="center"/>
                </w:tcPr>
                <w:p w14:paraId="1C531061">
                  <w:pPr>
                    <w:pStyle w:val="221"/>
                    <w:widowControl w:val="0"/>
                    <w:rPr>
                      <w:color w:val="000000" w:themeColor="text1"/>
                      <w14:textFill>
                        <w14:solidFill>
                          <w14:schemeClr w14:val="tx1"/>
                        </w14:solidFill>
                      </w14:textFill>
                    </w:rPr>
                  </w:pPr>
                </w:p>
              </w:tc>
              <w:tc>
                <w:tcPr>
                  <w:tcW w:w="914" w:type="dxa"/>
                  <w:vMerge w:val="continue"/>
                  <w:vAlign w:val="center"/>
                </w:tcPr>
                <w:p w14:paraId="0175BB58">
                  <w:pPr>
                    <w:pStyle w:val="221"/>
                    <w:widowControl w:val="0"/>
                    <w:rPr>
                      <w:color w:val="000000" w:themeColor="text1"/>
                      <w14:textFill>
                        <w14:solidFill>
                          <w14:schemeClr w14:val="tx1"/>
                        </w14:solidFill>
                      </w14:textFill>
                    </w:rPr>
                  </w:pPr>
                </w:p>
              </w:tc>
            </w:tr>
          </w:tbl>
          <w:p w14:paraId="33AD3F69">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2、声环境影响分析</w:t>
            </w:r>
          </w:p>
          <w:p w14:paraId="718F5E0B">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本评价根据《环境影响评价技术导则-声环境》（HJ2.4-2021）推荐的方法，预测工程边界噪声值。</w:t>
            </w:r>
          </w:p>
          <w:p w14:paraId="609830AE">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点声源衰减公式噪声室外传播声级衰减计算模式：</w:t>
            </w:r>
          </w:p>
          <w:p w14:paraId="65C998F9">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1783080" cy="264160"/>
                  <wp:effectExtent l="0" t="0" r="7620" b="2540"/>
                  <wp:docPr id="56"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72"/>
                          <pic:cNvPicPr>
                            <a:picLocks noChangeAspect="1"/>
                          </pic:cNvPicPr>
                        </pic:nvPicPr>
                        <pic:blipFill>
                          <a:blip r:embed="rId28"/>
                          <a:stretch>
                            <a:fillRect/>
                          </a:stretch>
                        </pic:blipFill>
                        <pic:spPr>
                          <a:xfrm>
                            <a:off x="0" y="0"/>
                            <a:ext cx="1783080" cy="264160"/>
                          </a:xfrm>
                          <a:prstGeom prst="rect">
                            <a:avLst/>
                          </a:prstGeom>
                          <a:noFill/>
                          <a:ln>
                            <a:noFill/>
                          </a:ln>
                        </pic:spPr>
                      </pic:pic>
                    </a:graphicData>
                  </a:graphic>
                </wp:inline>
              </w:drawing>
            </w:r>
          </w:p>
          <w:p w14:paraId="4164DEA0">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式中：LAi—i声源在预测点产生的A声级，dB(A)； r</w:t>
            </w:r>
            <w:r>
              <w:rPr>
                <w:color w:val="000000" w:themeColor="text1"/>
                <w:vertAlign w:val="subscript"/>
                <w14:textFill>
                  <w14:solidFill>
                    <w14:schemeClr w14:val="tx1"/>
                  </w14:solidFill>
                </w14:textFill>
              </w:rPr>
              <w:t>ij</w:t>
            </w:r>
            <w:r>
              <w:rPr>
                <w:color w:val="000000" w:themeColor="text1"/>
                <w14:textFill>
                  <w14:solidFill>
                    <w14:schemeClr w14:val="tx1"/>
                  </w14:solidFill>
                </w14:textFill>
              </w:rPr>
              <w:t>—i声源至预测点j的距离，m； L</w:t>
            </w:r>
            <w:r>
              <w:rPr>
                <w:color w:val="000000" w:themeColor="text1"/>
                <w:vertAlign w:val="subscript"/>
                <w14:textFill>
                  <w14:solidFill>
                    <w14:schemeClr w14:val="tx1"/>
                  </w14:solidFill>
                </w14:textFill>
              </w:rPr>
              <w:t>Wi</w:t>
            </w:r>
            <w:r>
              <w:rPr>
                <w:color w:val="000000" w:themeColor="text1"/>
                <w14:textFill>
                  <w14:solidFill>
                    <w14:schemeClr w14:val="tx1"/>
                  </w14:solidFill>
                </w14:textFill>
              </w:rPr>
              <w:t>——噪声源的等效声级，dB(A)；TL—大气吸收、屏障屏蔽、地面效应等引起的噪声衰减，本项目取5dB(A)。</w:t>
            </w:r>
          </w:p>
          <w:p w14:paraId="7B2207A6">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 xml:space="preserve">噪声级的叠加公式 </w:t>
            </w:r>
          </w:p>
          <w:p w14:paraId="79827F06">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对于相距较远的两个或两个以上噪声源同时存在时，它们对远处某一点（预测点）的声压级必须按能量叠加，该点的总声压级可用下面的公式进行计算：</w:t>
            </w:r>
          </w:p>
          <w:p w14:paraId="39C73833">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3152140" cy="584835"/>
                  <wp:effectExtent l="0" t="0" r="10160" b="5715"/>
                  <wp:docPr id="57"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73"/>
                          <pic:cNvPicPr>
                            <a:picLocks noChangeAspect="1"/>
                          </pic:cNvPicPr>
                        </pic:nvPicPr>
                        <pic:blipFill>
                          <a:blip r:embed="rId29"/>
                          <a:stretch>
                            <a:fillRect/>
                          </a:stretch>
                        </pic:blipFill>
                        <pic:spPr>
                          <a:xfrm>
                            <a:off x="0" y="0"/>
                            <a:ext cx="3152140" cy="584835"/>
                          </a:xfrm>
                          <a:prstGeom prst="rect">
                            <a:avLst/>
                          </a:prstGeom>
                          <a:noFill/>
                          <a:ln>
                            <a:noFill/>
                          </a:ln>
                        </pic:spPr>
                      </pic:pic>
                    </a:graphicData>
                  </a:graphic>
                </wp:inline>
              </w:drawing>
            </w:r>
          </w:p>
          <w:p w14:paraId="34523AA8">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式中：T为计算等效声级的时间，N为室外声源个数，M为等效室外声源个数。</w:t>
            </w:r>
          </w:p>
          <w:p w14:paraId="1E7C5AE0">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预测点的预测等效声级Leq（A）计算公式</w:t>
            </w:r>
          </w:p>
          <w:p w14:paraId="476FCAC2">
            <w:pPr>
              <w:adjustRightInd w:val="0"/>
              <w:snapToGrid w:val="0"/>
              <w:spacing w:line="360" w:lineRule="auto"/>
              <w:ind w:firstLine="480" w:firstLineChars="20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2750820" cy="332105"/>
                  <wp:effectExtent l="0" t="0" r="11430" b="10795"/>
                  <wp:docPr id="58"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76"/>
                          <pic:cNvPicPr>
                            <a:picLocks noChangeAspect="1"/>
                          </pic:cNvPicPr>
                        </pic:nvPicPr>
                        <pic:blipFill>
                          <a:blip r:embed="rId30"/>
                          <a:stretch>
                            <a:fillRect/>
                          </a:stretch>
                        </pic:blipFill>
                        <pic:spPr>
                          <a:xfrm>
                            <a:off x="0" y="0"/>
                            <a:ext cx="2750820" cy="332105"/>
                          </a:xfrm>
                          <a:prstGeom prst="rect">
                            <a:avLst/>
                          </a:prstGeom>
                          <a:noFill/>
                          <a:ln>
                            <a:noFill/>
                          </a:ln>
                        </pic:spPr>
                      </pic:pic>
                    </a:graphicData>
                  </a:graphic>
                </wp:inline>
              </w:drawing>
            </w:r>
          </w:p>
          <w:p w14:paraId="6D5BFDF8">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iCs/>
                <w:color w:val="000000" w:themeColor="text1"/>
                <w14:textFill>
                  <w14:solidFill>
                    <w14:schemeClr w14:val="tx1"/>
                  </w14:solidFill>
                </w14:textFill>
              </w:rPr>
              <w:t>L</w:t>
            </w:r>
            <w:r>
              <w:rPr>
                <w:i/>
                <w:iCs/>
                <w:color w:val="000000" w:themeColor="text1"/>
                <w:vertAlign w:val="subscript"/>
                <w14:textFill>
                  <w14:solidFill>
                    <w14:schemeClr w14:val="tx1"/>
                  </w14:solidFill>
                </w14:textFill>
              </w:rPr>
              <w:t>eq</w:t>
            </w:r>
            <w:r>
              <w:rPr>
                <w:color w:val="000000" w:themeColor="text1"/>
                <w14:textFill>
                  <w14:solidFill>
                    <w14:schemeClr w14:val="tx1"/>
                  </w14:solidFill>
                </w14:textFill>
              </w:rPr>
              <w:t xml:space="preserve">（A）—建设项目声源在预测点的等效声级贡献值，dB(A)； </w:t>
            </w:r>
            <w:r>
              <w:rPr>
                <w:i/>
                <w:iCs/>
                <w:color w:val="000000" w:themeColor="text1"/>
                <w14:textFill>
                  <w14:solidFill>
                    <w14:schemeClr w14:val="tx1"/>
                  </w14:solidFill>
                </w14:textFill>
              </w:rPr>
              <w:t>Leqb</w:t>
            </w:r>
            <w:r>
              <w:rPr>
                <w:color w:val="000000" w:themeColor="text1"/>
                <w14:textFill>
                  <w14:solidFill>
                    <w14:schemeClr w14:val="tx1"/>
                  </w14:solidFill>
                </w14:textFill>
              </w:rPr>
              <w:t>—预测点背景值，dB(A)；</w:t>
            </w:r>
          </w:p>
          <w:p w14:paraId="1DF8112B">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本项目声环境影响预测：厂界噪声影响预测结果见下表4.</w:t>
            </w:r>
            <w:r>
              <w:rPr>
                <w:rFonts w:hint="eastAsia"/>
                <w:color w:val="000000" w:themeColor="text1"/>
                <w14:textFill>
                  <w14:solidFill>
                    <w14:schemeClr w14:val="tx1"/>
                  </w14:solidFill>
                </w14:textFill>
              </w:rPr>
              <w:t>2-15</w:t>
            </w:r>
            <w:r>
              <w:rPr>
                <w:color w:val="000000" w:themeColor="text1"/>
                <w14:textFill>
                  <w14:solidFill>
                    <w14:schemeClr w14:val="tx1"/>
                  </w14:solidFill>
                </w14:textFill>
              </w:rPr>
              <w:t>。</w:t>
            </w:r>
          </w:p>
          <w:p w14:paraId="56BED3FE">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表4.2-15  </w:t>
            </w:r>
            <w:r>
              <w:rPr>
                <w:color w:val="000000" w:themeColor="text1"/>
                <w14:textFill>
                  <w14:solidFill>
                    <w14:schemeClr w14:val="tx1"/>
                  </w14:solidFill>
                </w14:textFill>
              </w:rPr>
              <w:t>项目厂界噪声排放预测结果</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99"/>
              <w:gridCol w:w="1918"/>
              <w:gridCol w:w="1918"/>
              <w:gridCol w:w="2388"/>
            </w:tblGrid>
            <w:tr w14:paraId="5C37D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Merge w:val="restart"/>
                  <w:vAlign w:val="center"/>
                </w:tcPr>
                <w:p w14:paraId="59AC01A6">
                  <w:pPr>
                    <w:pStyle w:val="221"/>
                    <w:rPr>
                      <w:color w:val="000000" w:themeColor="text1"/>
                      <w:lang w:val="en-GB"/>
                      <w14:textFill>
                        <w14:solidFill>
                          <w14:schemeClr w14:val="tx1"/>
                        </w14:solidFill>
                      </w14:textFill>
                    </w:rPr>
                  </w:pPr>
                  <w:bookmarkStart w:id="17" w:name="_Hlk297299088"/>
                  <w:r>
                    <w:rPr>
                      <w:rFonts w:hint="eastAsia"/>
                      <w:color w:val="000000" w:themeColor="text1"/>
                      <w:lang w:val="en-GB"/>
                      <w14:textFill>
                        <w14:solidFill>
                          <w14:schemeClr w14:val="tx1"/>
                        </w14:solidFill>
                      </w14:textFill>
                    </w:rPr>
                    <w:t>预测点</w:t>
                  </w:r>
                </w:p>
              </w:tc>
              <w:tc>
                <w:tcPr>
                  <w:tcW w:w="1112" w:type="pct"/>
                  <w:vAlign w:val="center"/>
                </w:tcPr>
                <w:p w14:paraId="64F7CD93">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贡献值</w:t>
                  </w:r>
                </w:p>
              </w:tc>
              <w:tc>
                <w:tcPr>
                  <w:tcW w:w="1112" w:type="pct"/>
                  <w:vAlign w:val="center"/>
                </w:tcPr>
                <w:p w14:paraId="5A5D5CBE">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标准值</w:t>
                  </w:r>
                </w:p>
              </w:tc>
              <w:tc>
                <w:tcPr>
                  <w:tcW w:w="1384" w:type="pct"/>
                  <w:vAlign w:val="center"/>
                </w:tcPr>
                <w:p w14:paraId="5022EAC5">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达标情况</w:t>
                  </w:r>
                </w:p>
              </w:tc>
            </w:tr>
            <w:tr w14:paraId="375B0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Merge w:val="continue"/>
                  <w:vAlign w:val="center"/>
                </w:tcPr>
                <w:p w14:paraId="14D49E3F">
                  <w:pPr>
                    <w:pStyle w:val="221"/>
                    <w:rPr>
                      <w:color w:val="000000" w:themeColor="text1"/>
                      <w:lang w:val="en-GB"/>
                      <w14:textFill>
                        <w14:solidFill>
                          <w14:schemeClr w14:val="tx1"/>
                        </w14:solidFill>
                      </w14:textFill>
                    </w:rPr>
                  </w:pPr>
                </w:p>
              </w:tc>
              <w:tc>
                <w:tcPr>
                  <w:tcW w:w="1112" w:type="pct"/>
                  <w:vAlign w:val="center"/>
                </w:tcPr>
                <w:p w14:paraId="79D95BAF">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c>
                <w:tcPr>
                  <w:tcW w:w="1112" w:type="pct"/>
                  <w:vAlign w:val="center"/>
                </w:tcPr>
                <w:p w14:paraId="4F10E5D6">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c>
                <w:tcPr>
                  <w:tcW w:w="1384" w:type="pct"/>
                  <w:vAlign w:val="center"/>
                </w:tcPr>
                <w:p w14:paraId="11DBAAEF">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r>
            <w:tr w14:paraId="5B527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1C58C6D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东侧厂界</w:t>
                  </w:r>
                </w:p>
              </w:tc>
              <w:tc>
                <w:tcPr>
                  <w:tcW w:w="1112" w:type="pct"/>
                  <w:vAlign w:val="center"/>
                </w:tcPr>
                <w:p w14:paraId="18EE019A">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53.9</w:t>
                  </w:r>
                </w:p>
              </w:tc>
              <w:tc>
                <w:tcPr>
                  <w:tcW w:w="1112" w:type="pct"/>
                  <w:vAlign w:val="center"/>
                </w:tcPr>
                <w:p w14:paraId="1928A6B7">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79541ED8">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3FF5E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5C12F6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南侧厂界</w:t>
                  </w:r>
                </w:p>
              </w:tc>
              <w:tc>
                <w:tcPr>
                  <w:tcW w:w="1112" w:type="pct"/>
                  <w:vAlign w:val="center"/>
                </w:tcPr>
                <w:p w14:paraId="0FDBD5BC">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60.2</w:t>
                  </w:r>
                </w:p>
              </w:tc>
              <w:tc>
                <w:tcPr>
                  <w:tcW w:w="1112" w:type="pct"/>
                  <w:vAlign w:val="center"/>
                </w:tcPr>
                <w:p w14:paraId="4492A07C">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3603BA23">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4DBEC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7188885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西侧厂界</w:t>
                  </w:r>
                </w:p>
              </w:tc>
              <w:tc>
                <w:tcPr>
                  <w:tcW w:w="1112" w:type="pct"/>
                  <w:vAlign w:val="center"/>
                </w:tcPr>
                <w:p w14:paraId="7C93D33E">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54.1</w:t>
                  </w:r>
                </w:p>
              </w:tc>
              <w:tc>
                <w:tcPr>
                  <w:tcW w:w="1112" w:type="pct"/>
                  <w:vAlign w:val="center"/>
                </w:tcPr>
                <w:p w14:paraId="6C274C7D">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48CD0FB7">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77F8A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38C0108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北侧厂界</w:t>
                  </w:r>
                </w:p>
              </w:tc>
              <w:tc>
                <w:tcPr>
                  <w:tcW w:w="1112" w:type="pct"/>
                  <w:vAlign w:val="center"/>
                </w:tcPr>
                <w:p w14:paraId="59ECB98C">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60.5</w:t>
                  </w:r>
                </w:p>
              </w:tc>
              <w:tc>
                <w:tcPr>
                  <w:tcW w:w="1112" w:type="pct"/>
                  <w:vAlign w:val="center"/>
                </w:tcPr>
                <w:p w14:paraId="5DFED55C">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4238BA1B">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bookmarkEnd w:id="17"/>
          </w:tbl>
          <w:p w14:paraId="7697475A">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由上表可知，本项目投产后正常运行过程中对厂界的噪声预测值可以满足《工业企业厂界环境噪声排放标准》（GB12348-2008）3类标准，正常生产时不会造成噪声污染，声环境影响可以接受。</w:t>
            </w:r>
          </w:p>
          <w:p w14:paraId="7BFCD62A">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噪声治理措施可行性分析</w:t>
            </w:r>
          </w:p>
          <w:p w14:paraId="79E2AD95">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根据对本项目运营期噪声环境影响分析可得：各厂界可达到《工业企业厂界环境噪声排放标准》（GB 12348-2008）中相应标准限值。因此项目运营后产生的噪声对周边声环境产生影响较小。但厂方应对高噪声设备采取减震等综合措施进行降噪，加大设备用房的隔声效果，确保厂界噪声达标排放。本次环评建议厂方采取以下措施来减小噪声对外界环境的影响：</w:t>
            </w:r>
          </w:p>
          <w:p w14:paraId="09E70DBF">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（1）设备应合理布局，尽可能使高噪声设备远离居民敏感点，减少噪声对居民生活的影响。</w:t>
            </w:r>
          </w:p>
          <w:p w14:paraId="67891DBC">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加强设备的安装、调试、使用和维护管理。建立设备使用档案，做好日常维护保养，使其处于良好的工况下运行。正确的安装、调试、使用，良好的润滑和合理有效的检修，积极应用各种设备状态监测和故障诊断技术，对运行的设备进行及时、合理而有效的维护保养，能有效防止零部件的松动、磨损和设备运转状态的劣化，从而减小摩擦和撞击振动所产生的噪声。综上，本项目运营期声防治措施基本可行。</w:t>
            </w:r>
          </w:p>
          <w:p w14:paraId="6C5B2C62">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监测要求</w:t>
            </w:r>
          </w:p>
          <w:p w14:paraId="096D064A">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bCs/>
                <w:color w:val="000000" w:themeColor="text1"/>
                <w:szCs w:val="24"/>
                <w14:textFill>
                  <w14:solidFill>
                    <w14:schemeClr w14:val="tx1"/>
                  </w14:solidFill>
                </w14:textFill>
              </w:rPr>
              <w:t>参照《排污许可证申请与核发技术规范 橡胶和塑料制品工业》（HJ1122-2020）、《排污单位自行监测技术指南 橡胶和塑料制品》（HJ 1207-2021），项目自行监测计划见表4.2-16</w:t>
            </w:r>
            <w:r>
              <w:rPr>
                <w:rFonts w:ascii="Times New Roman" w:hAnsi="Times New Roman" w:eastAsia="宋体" w:cs="Times New Roman"/>
                <w:color w:val="000000" w:themeColor="text1"/>
                <w:szCs w:val="24"/>
                <w14:textFill>
                  <w14:solidFill>
                    <w14:schemeClr w14:val="tx1"/>
                  </w14:solidFill>
                </w14:textFill>
              </w:rPr>
              <w:t>。</w:t>
            </w:r>
          </w:p>
          <w:p w14:paraId="29C032D8">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表4.2-16  噪声污染源监测计划一览表</w:t>
            </w:r>
          </w:p>
          <w:tbl>
            <w:tblPr>
              <w:tblStyle w:val="168"/>
              <w:tblW w:w="498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1451"/>
              <w:gridCol w:w="1199"/>
              <w:gridCol w:w="4607"/>
            </w:tblGrid>
            <w:tr w14:paraId="2F6D0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2" w:type="pct"/>
                  <w:vAlign w:val="center"/>
                </w:tcPr>
                <w:p w14:paraId="622CF2DA">
                  <w:pPr>
                    <w:pStyle w:val="221"/>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843" w:type="pct"/>
                  <w:vAlign w:val="center"/>
                </w:tcPr>
                <w:p w14:paraId="16E948AE">
                  <w:pPr>
                    <w:pStyle w:val="221"/>
                    <w:rPr>
                      <w:color w:val="000000" w:themeColor="text1"/>
                      <w14:textFill>
                        <w14:solidFill>
                          <w14:schemeClr w14:val="tx1"/>
                        </w14:solidFill>
                      </w14:textFill>
                    </w:rPr>
                  </w:pPr>
                  <w:r>
                    <w:rPr>
                      <w:color w:val="000000" w:themeColor="text1"/>
                      <w14:textFill>
                        <w14:solidFill>
                          <w14:schemeClr w14:val="tx1"/>
                        </w14:solidFill>
                      </w14:textFill>
                    </w:rPr>
                    <w:t>监测因子</w:t>
                  </w:r>
                </w:p>
              </w:tc>
              <w:tc>
                <w:tcPr>
                  <w:tcW w:w="697" w:type="pct"/>
                  <w:vAlign w:val="center"/>
                </w:tcPr>
                <w:p w14:paraId="5D963607">
                  <w:pPr>
                    <w:pStyle w:val="221"/>
                    <w:rPr>
                      <w:color w:val="000000" w:themeColor="text1"/>
                      <w14:textFill>
                        <w14:solidFill>
                          <w14:schemeClr w14:val="tx1"/>
                        </w14:solidFill>
                      </w14:textFill>
                    </w:rPr>
                  </w:pPr>
                  <w:r>
                    <w:rPr>
                      <w:color w:val="000000" w:themeColor="text1"/>
                      <w14:textFill>
                        <w14:solidFill>
                          <w14:schemeClr w14:val="tx1"/>
                        </w14:solidFill>
                      </w14:textFill>
                    </w:rPr>
                    <w:t>监测频次</w:t>
                  </w:r>
                </w:p>
              </w:tc>
              <w:tc>
                <w:tcPr>
                  <w:tcW w:w="2677" w:type="pct"/>
                  <w:vAlign w:val="center"/>
                </w:tcPr>
                <w:p w14:paraId="61B2CDDE">
                  <w:pPr>
                    <w:pStyle w:val="221"/>
                    <w:rPr>
                      <w:color w:val="000000" w:themeColor="text1"/>
                      <w14:textFill>
                        <w14:solidFill>
                          <w14:schemeClr w14:val="tx1"/>
                        </w14:solidFill>
                      </w14:textFill>
                    </w:rPr>
                  </w:pPr>
                  <w:r>
                    <w:rPr>
                      <w:color w:val="000000" w:themeColor="text1"/>
                      <w14:textFill>
                        <w14:solidFill>
                          <w14:schemeClr w14:val="tx1"/>
                        </w14:solidFill>
                      </w14:textFill>
                    </w:rPr>
                    <w:t>执行排放标准</w:t>
                  </w:r>
                </w:p>
              </w:tc>
            </w:tr>
            <w:tr w14:paraId="55830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82" w:type="pct"/>
                  <w:vAlign w:val="center"/>
                </w:tcPr>
                <w:p w14:paraId="251D311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w:t>
                  </w:r>
                </w:p>
              </w:tc>
              <w:tc>
                <w:tcPr>
                  <w:tcW w:w="843" w:type="pct"/>
                  <w:vAlign w:val="center"/>
                </w:tcPr>
                <w:p w14:paraId="219AF6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697" w:type="pct"/>
                  <w:vAlign w:val="center"/>
                </w:tcPr>
                <w:p w14:paraId="066FB61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1次/季度，昼间</w:t>
                  </w:r>
                </w:p>
              </w:tc>
              <w:tc>
                <w:tcPr>
                  <w:tcW w:w="2677" w:type="pct"/>
                  <w:vAlign w:val="center"/>
                </w:tcPr>
                <w:p w14:paraId="3D11210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《工业企业厂界环境噪声排放标准》（GBl2348-2008）3类标准（昼间≤65dB（A））</w:t>
                  </w:r>
                </w:p>
              </w:tc>
            </w:tr>
          </w:tbl>
          <w:p w14:paraId="3B178189">
            <w:pPr>
              <w:pStyle w:val="4"/>
              <w:keepNext w:val="0"/>
              <w:keepLines w:val="0"/>
              <w:widowControl w:val="0"/>
              <w:topLinePunct/>
              <w:spacing w:before="120" w:beforeLines="5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4</w:t>
            </w:r>
            <w:r>
              <w:rPr>
                <w:rFonts w:ascii="Times New Roman" w:hAnsi="Times New Roman" w:eastAsia="宋体" w:cs="Times New Roman"/>
                <w:b/>
                <w:bCs/>
                <w:color w:val="000000" w:themeColor="text1"/>
                <w14:textFill>
                  <w14:solidFill>
                    <w14:schemeClr w14:val="tx1"/>
                  </w14:solidFill>
                </w14:textFill>
              </w:rPr>
              <w:t xml:space="preserve"> 运营期固废影响分析和防范措施</w:t>
            </w:r>
          </w:p>
          <w:p w14:paraId="07AAF0B1">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固废种类</w:t>
            </w:r>
            <w:r>
              <w:rPr>
                <w:rFonts w:hint="eastAsia" w:ascii="Times New Roman" w:hAnsi="Times New Roman" w:eastAsia="宋体" w:cs="Times New Roman"/>
                <w:color w:val="000000" w:themeColor="text1"/>
                <w:szCs w:val="24"/>
                <w14:textFill>
                  <w14:solidFill>
                    <w14:schemeClr w14:val="tx1"/>
                  </w14:solidFill>
                </w14:textFill>
              </w:rPr>
              <w:t>及产生量分析</w:t>
            </w:r>
          </w:p>
          <w:p w14:paraId="271FD082">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①</w:t>
            </w:r>
            <w:r>
              <w:rPr>
                <w:rFonts w:hint="eastAsia" w:ascii="Times New Roman" w:hAnsi="Times New Roman" w:eastAsia="宋体" w:cs="Times New Roman"/>
                <w:color w:val="000000" w:themeColor="text1"/>
                <w:szCs w:val="24"/>
                <w14:textFill>
                  <w14:solidFill>
                    <w14:schemeClr w14:val="tx1"/>
                  </w14:solidFill>
                </w14:textFill>
              </w:rPr>
              <w:t>废包装袋</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项目炭黑、陶土、促进剂为袋装，在使用后会产生废包装袋，主要为塑料袋和编织袋，按每袋</w:t>
            </w:r>
            <w:r>
              <w:rPr>
                <w:rFonts w:ascii="Times New Roman" w:hAnsi="Times New Roman" w:eastAsia="宋体" w:cs="Times New Roman"/>
                <w:color w:val="000000" w:themeColor="text1"/>
                <w:szCs w:val="24"/>
                <w14:textFill>
                  <w14:solidFill>
                    <w14:schemeClr w14:val="tx1"/>
                  </w14:solidFill>
                </w14:textFill>
              </w:rPr>
              <w:t>25kg</w:t>
            </w:r>
            <w:r>
              <w:rPr>
                <w:rFonts w:hint="eastAsia" w:ascii="Times New Roman" w:hAnsi="Times New Roman" w:eastAsia="宋体" w:cs="Times New Roman"/>
                <w:color w:val="000000" w:themeColor="text1"/>
                <w:szCs w:val="24"/>
                <w14:textFill>
                  <w14:solidFill>
                    <w14:schemeClr w14:val="tx1"/>
                  </w14:solidFill>
                </w14:textFill>
              </w:rPr>
              <w:t>、袋重</w:t>
            </w:r>
            <w:r>
              <w:rPr>
                <w:rFonts w:ascii="Times New Roman" w:hAnsi="Times New Roman" w:eastAsia="宋体" w:cs="Times New Roman"/>
                <w:color w:val="000000" w:themeColor="text1"/>
                <w:szCs w:val="24"/>
                <w14:textFill>
                  <w14:solidFill>
                    <w14:schemeClr w14:val="tx1"/>
                  </w14:solidFill>
                </w14:textFill>
              </w:rPr>
              <w:t>0.</w:t>
            </w:r>
            <w:r>
              <w:rPr>
                <w:rFonts w:hint="eastAsia" w:ascii="Times New Roman" w:hAnsi="Times New Roman" w:eastAsia="宋体" w:cs="Times New Roman"/>
                <w:color w:val="000000" w:themeColor="text1"/>
                <w:szCs w:val="24"/>
                <w14:textFill>
                  <w14:solidFill>
                    <w14:schemeClr w14:val="tx1"/>
                  </w14:solidFill>
                </w14:textFill>
              </w:rPr>
              <w:t>05</w:t>
            </w:r>
            <w:r>
              <w:rPr>
                <w:rFonts w:ascii="Times New Roman" w:hAnsi="Times New Roman" w:eastAsia="宋体" w:cs="Times New Roman"/>
                <w:color w:val="000000" w:themeColor="text1"/>
                <w:szCs w:val="24"/>
                <w14:textFill>
                  <w14:solidFill>
                    <w14:schemeClr w14:val="tx1"/>
                  </w14:solidFill>
                </w14:textFill>
              </w:rPr>
              <w:t>kg</w:t>
            </w:r>
            <w:r>
              <w:rPr>
                <w:rFonts w:hint="eastAsia" w:ascii="Times New Roman" w:hAnsi="Times New Roman" w:eastAsia="宋体" w:cs="Times New Roman"/>
                <w:color w:val="000000" w:themeColor="text1"/>
                <w:szCs w:val="24"/>
                <w14:textFill>
                  <w14:solidFill>
                    <w14:schemeClr w14:val="tx1"/>
                  </w14:solidFill>
                </w14:textFill>
              </w:rPr>
              <w:t>估算，产生量约为15.5t/a，</w:t>
            </w:r>
            <w:r>
              <w:rPr>
                <w:rFonts w:ascii="Times New Roman" w:hAnsi="Times New Roman" w:eastAsia="宋体" w:cs="Times New Roman"/>
                <w:color w:val="000000" w:themeColor="text1"/>
                <w:szCs w:val="24"/>
                <w14:textFill>
                  <w14:solidFill>
                    <w14:schemeClr w14:val="tx1"/>
                  </w14:solidFill>
                </w14:textFill>
              </w:rPr>
              <w:t>暂存一般固废区，</w:t>
            </w:r>
            <w:r>
              <w:rPr>
                <w:rFonts w:hint="eastAsia" w:ascii="Times New Roman" w:hAnsi="Times New Roman" w:eastAsia="宋体" w:cs="Times New Roman"/>
                <w:color w:val="000000" w:themeColor="text1"/>
                <w:szCs w:val="24"/>
                <w14:textFill>
                  <w14:solidFill>
                    <w14:schemeClr w14:val="tx1"/>
                  </w14:solidFill>
                </w14:textFill>
              </w:rPr>
              <w:t>外售物资回收单位。</w:t>
            </w:r>
          </w:p>
          <w:p w14:paraId="6B895421">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②</w:t>
            </w:r>
            <w:r>
              <w:rPr>
                <w:rFonts w:hint="eastAsia" w:ascii="Times New Roman" w:hAnsi="Times New Roman" w:eastAsia="宋体" w:cs="Times New Roman"/>
                <w:color w:val="000000" w:themeColor="text1"/>
                <w:szCs w:val="24"/>
                <w14:textFill>
                  <w14:solidFill>
                    <w14:schemeClr w14:val="tx1"/>
                  </w14:solidFill>
                </w14:textFill>
              </w:rPr>
              <w:t>布袋除尘器收集的粉尘</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本项目投料工序产生的粉尘经布袋除尘器处理，根据污染源核算，粉尘收集量约为0.6t/a，主要成分为炭黑、陶土、促进剂，收集后可回用于生产。</w:t>
            </w:r>
          </w:p>
          <w:p w14:paraId="293E7145">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③</w:t>
            </w:r>
            <w:r>
              <w:rPr>
                <w:rFonts w:hint="eastAsia" w:ascii="Times New Roman" w:hAnsi="Times New Roman" w:eastAsia="宋体" w:cs="Times New Roman"/>
                <w:color w:val="000000" w:themeColor="text1"/>
                <w:szCs w:val="24"/>
                <w14:textFill>
                  <w14:solidFill>
                    <w14:schemeClr w14:val="tx1"/>
                  </w14:solidFill>
                </w14:textFill>
              </w:rPr>
              <w:t>废除尘布袋</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项目布袋除尘器在使用过程中需定期更换布袋，更换量约0.01t/a，</w:t>
            </w:r>
            <w:r>
              <w:rPr>
                <w:rFonts w:ascii="Times New Roman" w:hAnsi="Times New Roman" w:eastAsia="宋体" w:cs="Times New Roman"/>
                <w:color w:val="000000" w:themeColor="text1"/>
                <w:szCs w:val="24"/>
                <w14:textFill>
                  <w14:solidFill>
                    <w14:schemeClr w14:val="tx1"/>
                  </w14:solidFill>
                </w14:textFill>
              </w:rPr>
              <w:t>暂存一般固废区，外售物资回收单位。</w:t>
            </w:r>
          </w:p>
          <w:p w14:paraId="4D456A3F">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4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fldChar w:fldCharType="end"/>
            </w:r>
            <w:r>
              <w:rPr>
                <w:rFonts w:hint="eastAsia" w:ascii="Times New Roman" w:hAnsi="Times New Roman" w:eastAsia="宋体" w:cs="Times New Roman"/>
                <w:color w:val="000000" w:themeColor="text1"/>
                <w:szCs w:val="24"/>
                <w14:textFill>
                  <w14:solidFill>
                    <w14:schemeClr w14:val="tx1"/>
                  </w14:solidFill>
                </w14:textFill>
              </w:rPr>
              <w:t>废胶片</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项目在生产过程中会产生不合格的废胶片，产生量约5t/a，</w:t>
            </w:r>
            <w:r>
              <w:rPr>
                <w:rFonts w:ascii="Times New Roman" w:hAnsi="Times New Roman" w:eastAsia="宋体" w:cs="Times New Roman"/>
                <w:color w:val="000000" w:themeColor="text1"/>
                <w:szCs w:val="24"/>
                <w:lang w:bidi="ar"/>
                <w14:textFill>
                  <w14:solidFill>
                    <w14:schemeClr w14:val="tx1"/>
                  </w14:solidFill>
                </w14:textFill>
              </w:rPr>
              <w:t>暂存一般固废区，外售物资回收单位。</w:t>
            </w:r>
          </w:p>
          <w:p w14:paraId="07947A11">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5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⑤</w:t>
            </w:r>
            <w:r>
              <w:rPr>
                <w:rFonts w:ascii="Times New Roman" w:hAnsi="Times New Roman" w:eastAsia="宋体" w:cs="Times New Roman"/>
                <w:color w:val="000000" w:themeColor="text1"/>
                <w:szCs w:val="24"/>
                <w14:textFill>
                  <w14:solidFill>
                    <w14:schemeClr w14:val="tx1"/>
                  </w14:solidFill>
                </w14:textFill>
              </w:rPr>
              <w:fldChar w:fldCharType="end"/>
            </w:r>
            <w:r>
              <w:rPr>
                <w:rFonts w:hint="eastAsia" w:ascii="Times New Roman" w:hAnsi="Times New Roman" w:eastAsia="宋体" w:cs="Times New Roman"/>
                <w:color w:val="000000" w:themeColor="text1"/>
                <w:szCs w:val="24"/>
                <w14:textFill>
                  <w14:solidFill>
                    <w14:schemeClr w14:val="tx1"/>
                  </w14:solidFill>
                </w14:textFill>
              </w:rPr>
              <w:t>沉淀池污泥</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项目冷却循环废水沉淀池使用过程中会产生污泥，主要成分为炭黑、陶土等，属于一般固废，产生量约为1t/a，定期打捞后装入塑料袋中，暂存一般固废区</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委托环卫部门处置</w:t>
            </w:r>
            <w:r>
              <w:rPr>
                <w:rFonts w:ascii="Times New Roman" w:hAnsi="Times New Roman" w:eastAsia="宋体" w:cs="Times New Roman"/>
                <w:color w:val="000000" w:themeColor="text1"/>
                <w:szCs w:val="24"/>
                <w14:textFill>
                  <w14:solidFill>
                    <w14:schemeClr w14:val="tx1"/>
                  </w14:solidFill>
                </w14:textFill>
              </w:rPr>
              <w:t>。</w:t>
            </w:r>
          </w:p>
          <w:p w14:paraId="4D15A400">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⑥生活垃圾：项目定员13名，年工作300天，生活垃圾按每人每天0.8kg计。则生活垃圾产生量3.12t/a，收集后交由环卫部门处置。</w:t>
            </w:r>
          </w:p>
          <w:p w14:paraId="40CD0F5D">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⑦废润滑油：项目机械设备生产过程中产生的废润滑油大部分可回用，部分做危废处置，经对照《国家危险废物名录（2025年版）》，其危废类别为HW08废矿物油与含矿物油废物，废物代码900-217-08。根据建设单位提供资料，其产生量约0.05t/a，收集后存放于危废暂存库，委托有危废处置资质的单位处理。</w:t>
            </w:r>
          </w:p>
          <w:p w14:paraId="57485B6A">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⑧废润滑油桶：项目润滑油使用后会产生废润滑油桶，经对照《国家危险废物名录（2025年版）》其危废类别为HW49其他废物（危废代码900-041-49），产生量约为0.01t/a，收集后存放于危废暂存库，委托有危废处置资质的单位处理。</w:t>
            </w:r>
          </w:p>
          <w:p w14:paraId="06F77D2B">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⑨</w:t>
            </w:r>
            <w:r>
              <w:rPr>
                <w:rFonts w:ascii="Times New Roman" w:hAnsi="Times New Roman" w:eastAsia="宋体" w:cs="Times New Roman"/>
                <w:color w:val="000000" w:themeColor="text1"/>
                <w:szCs w:val="24"/>
                <w:lang w:bidi="ar"/>
                <w14:textFill>
                  <w14:solidFill>
                    <w14:schemeClr w14:val="tx1"/>
                  </w14:solidFill>
                </w14:textFill>
              </w:rPr>
              <w:t>废活性炭</w:t>
            </w:r>
            <w:r>
              <w:rPr>
                <w:rFonts w:hint="eastAsia"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根据杨芬刘品华《活性炭纤维在挥发性有机废气处理中应用》的试验结果表明，每公斤活性炭可吸附0.</w:t>
            </w:r>
            <w:r>
              <w:rPr>
                <w:rFonts w:hint="eastAsia" w:ascii="Times New Roman" w:hAnsi="Times New Roman" w:eastAsia="宋体" w:cs="Times New Roman"/>
                <w:color w:val="000000" w:themeColor="text1"/>
                <w:szCs w:val="24"/>
                <w:lang w:bidi="ar"/>
                <w14:textFill>
                  <w14:solidFill>
                    <w14:schemeClr w14:val="tx1"/>
                  </w14:solidFill>
                </w14:textFill>
              </w:rPr>
              <w:t>15—</w:t>
            </w:r>
            <w:r>
              <w:rPr>
                <w:rFonts w:ascii="Times New Roman" w:hAnsi="Times New Roman" w:eastAsia="宋体" w:cs="Times New Roman"/>
                <w:color w:val="000000" w:themeColor="text1"/>
                <w:szCs w:val="24"/>
                <w:lang w:bidi="ar"/>
                <w14:textFill>
                  <w14:solidFill>
                    <w14:schemeClr w14:val="tx1"/>
                  </w14:solidFill>
                </w14:textFill>
              </w:rPr>
              <w:t>0.</w:t>
            </w:r>
            <w:r>
              <w:rPr>
                <w:rFonts w:hint="eastAsia" w:ascii="Times New Roman" w:hAnsi="Times New Roman" w:eastAsia="宋体" w:cs="Times New Roman"/>
                <w:color w:val="000000" w:themeColor="text1"/>
                <w:szCs w:val="24"/>
                <w:lang w:bidi="ar"/>
                <w14:textFill>
                  <w14:solidFill>
                    <w14:schemeClr w14:val="tx1"/>
                  </w14:solidFill>
                </w14:textFill>
              </w:rPr>
              <w:t>25</w:t>
            </w:r>
            <w:r>
              <w:rPr>
                <w:rFonts w:ascii="Times New Roman" w:hAnsi="Times New Roman" w:eastAsia="宋体" w:cs="Times New Roman"/>
                <w:color w:val="000000" w:themeColor="text1"/>
                <w:szCs w:val="24"/>
                <w:lang w:bidi="ar"/>
                <w14:textFill>
                  <w14:solidFill>
                    <w14:schemeClr w14:val="tx1"/>
                  </w14:solidFill>
                </w14:textFill>
              </w:rPr>
              <w:t>kg的有机废气（本次环评取每公斤活性炭吸附量为</w:t>
            </w:r>
            <w:r>
              <w:rPr>
                <w:rFonts w:hint="eastAsia" w:ascii="Times New Roman" w:hAnsi="Times New Roman" w:eastAsia="宋体" w:cs="Times New Roman"/>
                <w:color w:val="000000" w:themeColor="text1"/>
                <w:szCs w:val="24"/>
                <w:lang w:bidi="ar"/>
                <w14:textFill>
                  <w14:solidFill>
                    <w14:schemeClr w14:val="tx1"/>
                  </w14:solidFill>
                </w14:textFill>
              </w:rPr>
              <w:t>0.15</w:t>
            </w:r>
            <w:r>
              <w:rPr>
                <w:rFonts w:ascii="Times New Roman" w:hAnsi="Times New Roman" w:eastAsia="宋体" w:cs="Times New Roman"/>
                <w:color w:val="000000" w:themeColor="text1"/>
                <w:szCs w:val="24"/>
                <w:lang w:bidi="ar"/>
                <w14:textFill>
                  <w14:solidFill>
                    <w14:schemeClr w14:val="tx1"/>
                  </w14:solidFill>
                </w14:textFill>
              </w:rPr>
              <w:t>kg/kg）。根据上述工程分析可知，拟建项目有机废气去除量为</w:t>
            </w:r>
            <w:r>
              <w:rPr>
                <w:rFonts w:hint="eastAsia" w:ascii="Times New Roman" w:hAnsi="Times New Roman" w:eastAsia="宋体" w:cs="Times New Roman"/>
                <w:color w:val="000000" w:themeColor="text1"/>
                <w:szCs w:val="24"/>
                <w:lang w:bidi="ar"/>
                <w14:textFill>
                  <w14:solidFill>
                    <w14:schemeClr w14:val="tx1"/>
                  </w14:solidFill>
                </w14:textFill>
              </w:rPr>
              <w:t>0.384</w:t>
            </w:r>
            <w:r>
              <w:rPr>
                <w:rFonts w:ascii="Times New Roman" w:hAnsi="Times New Roman" w:eastAsia="宋体" w:cs="Times New Roman"/>
                <w:color w:val="000000" w:themeColor="text1"/>
                <w:szCs w:val="24"/>
                <w:lang w:bidi="ar"/>
                <w14:textFill>
                  <w14:solidFill>
                    <w14:schemeClr w14:val="tx1"/>
                  </w14:solidFill>
                </w14:textFill>
              </w:rPr>
              <w:t>t/a，经计算共需活性炭</w:t>
            </w:r>
            <w:r>
              <w:rPr>
                <w:rFonts w:hint="eastAsia" w:ascii="Times New Roman" w:hAnsi="Times New Roman" w:eastAsia="宋体" w:cs="Times New Roman"/>
                <w:color w:val="000000" w:themeColor="text1"/>
                <w:szCs w:val="24"/>
                <w:lang w:bidi="ar"/>
                <w14:textFill>
                  <w14:solidFill>
                    <w14:schemeClr w14:val="tx1"/>
                  </w14:solidFill>
                </w14:textFill>
              </w:rPr>
              <w:t>2.56</w:t>
            </w:r>
            <w:r>
              <w:rPr>
                <w:rFonts w:ascii="Times New Roman" w:hAnsi="Times New Roman" w:eastAsia="宋体" w:cs="Times New Roman"/>
                <w:color w:val="000000" w:themeColor="text1"/>
                <w:szCs w:val="24"/>
                <w:lang w:bidi="ar"/>
                <w14:textFill>
                  <w14:solidFill>
                    <w14:schemeClr w14:val="tx1"/>
                  </w14:solidFill>
                </w14:textFill>
              </w:rPr>
              <w:t>t/a。</w:t>
            </w:r>
            <w:r>
              <w:rPr>
                <w:rFonts w:hint="eastAsia" w:ascii="Times New Roman" w:hAnsi="Times New Roman" w:eastAsia="宋体" w:cs="Times New Roman"/>
                <w:color w:val="000000" w:themeColor="text1"/>
                <w:szCs w:val="24"/>
                <w:lang w:bidi="ar"/>
                <w14:textFill>
                  <w14:solidFill>
                    <w14:schemeClr w14:val="tx1"/>
                  </w14:solidFill>
                </w14:textFill>
              </w:rPr>
              <w:t>为保证废气去除效率，活性炭需定期更换。</w:t>
            </w:r>
            <w:r>
              <w:rPr>
                <w:rFonts w:ascii="Times New Roman" w:hAnsi="Times New Roman" w:eastAsia="宋体" w:cs="Times New Roman"/>
                <w:color w:val="000000" w:themeColor="text1"/>
                <w:szCs w:val="24"/>
                <w:lang w:bidi="ar"/>
                <w14:textFill>
                  <w14:solidFill>
                    <w14:schemeClr w14:val="tx1"/>
                  </w14:solidFill>
                </w14:textFill>
              </w:rPr>
              <w:t>据企业提供资料，</w:t>
            </w:r>
            <w:r>
              <w:rPr>
                <w:rFonts w:hint="eastAsia" w:ascii="Times New Roman" w:hAnsi="Times New Roman" w:eastAsia="宋体" w:cs="Times New Roman"/>
                <w:color w:val="000000" w:themeColor="text1"/>
                <w:szCs w:val="24"/>
                <w:lang w:bidi="ar"/>
                <w14:textFill>
                  <w14:solidFill>
                    <w14:schemeClr w14:val="tx1"/>
                  </w14:solidFill>
                </w14:textFill>
              </w:rPr>
              <w:t>2级</w:t>
            </w:r>
            <w:r>
              <w:rPr>
                <w:rFonts w:ascii="Times New Roman" w:hAnsi="Times New Roman" w:eastAsia="宋体" w:cs="Times New Roman"/>
                <w:color w:val="000000" w:themeColor="text1"/>
                <w:szCs w:val="24"/>
                <w:lang w:bidi="ar"/>
                <w14:textFill>
                  <w14:solidFill>
                    <w14:schemeClr w14:val="tx1"/>
                  </w14:solidFill>
                </w14:textFill>
              </w:rPr>
              <w:t>活性炭吸附装置活性炭</w:t>
            </w:r>
            <w:r>
              <w:rPr>
                <w:rFonts w:hint="eastAsia" w:ascii="Times New Roman" w:hAnsi="Times New Roman" w:eastAsia="宋体" w:cs="Times New Roman"/>
                <w:color w:val="000000" w:themeColor="text1"/>
                <w:szCs w:val="24"/>
                <w:lang w:bidi="ar"/>
                <w14:textFill>
                  <w14:solidFill>
                    <w14:schemeClr w14:val="tx1"/>
                  </w14:solidFill>
                </w14:textFill>
              </w:rPr>
              <w:t>充填</w:t>
            </w:r>
            <w:r>
              <w:rPr>
                <w:rFonts w:ascii="Times New Roman" w:hAnsi="Times New Roman" w:eastAsia="宋体" w:cs="Times New Roman"/>
                <w:color w:val="000000" w:themeColor="text1"/>
                <w:szCs w:val="24"/>
                <w:lang w:bidi="ar"/>
                <w14:textFill>
                  <w14:solidFill>
                    <w14:schemeClr w14:val="tx1"/>
                  </w14:solidFill>
                </w14:textFill>
              </w:rPr>
              <w:t>量</w:t>
            </w:r>
            <w:r>
              <w:rPr>
                <w:rFonts w:hint="eastAsia" w:ascii="Times New Roman" w:hAnsi="Times New Roman" w:eastAsia="宋体" w:cs="Times New Roman"/>
                <w:color w:val="000000" w:themeColor="text1"/>
                <w:szCs w:val="24"/>
                <w:lang w:bidi="ar"/>
                <w14:textFill>
                  <w14:solidFill>
                    <w14:schemeClr w14:val="tx1"/>
                  </w14:solidFill>
                </w14:textFill>
              </w:rPr>
              <w:t>共</w:t>
            </w:r>
            <w:r>
              <w:rPr>
                <w:rFonts w:ascii="Times New Roman" w:hAnsi="Times New Roman" w:eastAsia="宋体" w:cs="Times New Roman"/>
                <w:color w:val="000000" w:themeColor="text1"/>
                <w:szCs w:val="24"/>
                <w:lang w:bidi="ar"/>
                <w14:textFill>
                  <w14:solidFill>
                    <w14:schemeClr w14:val="tx1"/>
                  </w14:solidFill>
                </w14:textFill>
              </w:rPr>
              <w:t>为</w:t>
            </w:r>
            <w:r>
              <w:rPr>
                <w:rFonts w:hint="eastAsia" w:ascii="Times New Roman" w:hAnsi="Times New Roman" w:eastAsia="宋体" w:cs="Times New Roman"/>
                <w:color w:val="000000" w:themeColor="text1"/>
                <w:szCs w:val="24"/>
                <w:lang w:bidi="ar"/>
                <w14:textFill>
                  <w14:solidFill>
                    <w14:schemeClr w14:val="tx1"/>
                  </w14:solidFill>
                </w14:textFill>
              </w:rPr>
              <w:t>1t，则更换频次为3次/年</w:t>
            </w:r>
            <w:r>
              <w:rPr>
                <w:rFonts w:ascii="Times New Roman" w:hAnsi="Times New Roman" w:eastAsia="宋体" w:cs="Times New Roman"/>
                <w:color w:val="000000" w:themeColor="text1"/>
                <w:szCs w:val="24"/>
                <w:lang w:bidi="ar"/>
                <w14:textFill>
                  <w14:solidFill>
                    <w14:schemeClr w14:val="tx1"/>
                  </w14:solidFill>
                </w14:textFill>
              </w:rPr>
              <w:t>，则废活性炭产生量为</w:t>
            </w:r>
            <w:r>
              <w:rPr>
                <w:rFonts w:hint="eastAsia" w:ascii="Times New Roman" w:hAnsi="Times New Roman" w:eastAsia="宋体" w:cs="Times New Roman"/>
                <w:color w:val="000000" w:themeColor="text1"/>
                <w:szCs w:val="24"/>
                <w:lang w:bidi="ar"/>
                <w14:textFill>
                  <w14:solidFill>
                    <w14:schemeClr w14:val="tx1"/>
                  </w14:solidFill>
                </w14:textFill>
              </w:rPr>
              <w:t>3.384</w:t>
            </w:r>
            <w:r>
              <w:rPr>
                <w:rFonts w:ascii="Times New Roman" w:hAnsi="Times New Roman" w:eastAsia="宋体" w:cs="Times New Roman"/>
                <w:color w:val="000000" w:themeColor="text1"/>
                <w:szCs w:val="24"/>
                <w:lang w:bidi="ar"/>
                <w14:textFill>
                  <w14:solidFill>
                    <w14:schemeClr w14:val="tx1"/>
                  </w14:solidFill>
                </w14:textFill>
              </w:rPr>
              <w:t>t/a。</w:t>
            </w:r>
            <w:r>
              <w:rPr>
                <w:rFonts w:hint="eastAsia" w:ascii="Times New Roman" w:hAnsi="Times New Roman" w:eastAsia="宋体" w:cs="Times New Roman"/>
                <w:color w:val="000000" w:themeColor="text1"/>
                <w:szCs w:val="24"/>
                <w:lang w:bidi="ar"/>
                <w14:textFill>
                  <w14:solidFill>
                    <w14:schemeClr w14:val="tx1"/>
                  </w14:solidFill>
                </w14:textFill>
              </w:rPr>
              <w:t>活性炭装填及吸附更换频次满足</w:t>
            </w:r>
            <w:r>
              <w:rPr>
                <w:rFonts w:ascii="Times New Roman" w:hAnsi="Times New Roman" w:eastAsia="宋体" w:cs="Times New Roman"/>
                <w:color w:val="000000" w:themeColor="text1"/>
                <w:szCs w:val="24"/>
                <w:lang w:bidi="ar"/>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吸附法工业有机废气治理工程技术规范（HJ2026-2013)</w:t>
            </w:r>
            <w:r>
              <w:rPr>
                <w:rFonts w:ascii="Times New Roman" w:hAnsi="Times New Roman" w:eastAsia="宋体" w:cs="Times New Roman"/>
                <w:color w:val="000000" w:themeColor="text1"/>
                <w:szCs w:val="24"/>
                <w:lang w:bidi="ar"/>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要求。</w:t>
            </w:r>
            <w:r>
              <w:rPr>
                <w:rFonts w:ascii="Times New Roman" w:hAnsi="Times New Roman" w:eastAsia="宋体" w:cs="Times New Roman"/>
                <w:color w:val="000000" w:themeColor="text1"/>
                <w:szCs w:val="24"/>
                <w:lang w:bidi="ar"/>
                <w14:textFill>
                  <w14:solidFill>
                    <w14:schemeClr w14:val="tx1"/>
                  </w14:solidFill>
                </w14:textFill>
              </w:rPr>
              <w:t>项目废活性炭属于危险废物，废物类别为HW</w:t>
            </w:r>
            <w:r>
              <w:rPr>
                <w:rFonts w:hint="eastAsia" w:ascii="Times New Roman" w:hAnsi="Times New Roman" w:eastAsia="宋体" w:cs="Times New Roman"/>
                <w:color w:val="000000" w:themeColor="text1"/>
                <w:szCs w:val="24"/>
                <w:lang w:bidi="ar"/>
                <w14:textFill>
                  <w14:solidFill>
                    <w14:schemeClr w14:val="tx1"/>
                  </w14:solidFill>
                </w14:textFill>
              </w:rPr>
              <w:t>49</w:t>
            </w:r>
            <w:r>
              <w:rPr>
                <w:rFonts w:ascii="Times New Roman" w:hAnsi="Times New Roman" w:eastAsia="宋体" w:cs="Times New Roman"/>
                <w:color w:val="000000" w:themeColor="text1"/>
                <w:szCs w:val="24"/>
                <w:lang w:bidi="ar"/>
                <w14:textFill>
                  <w14:solidFill>
                    <w14:schemeClr w14:val="tx1"/>
                  </w14:solidFill>
                </w14:textFill>
              </w:rPr>
              <w:t>，废物代码为900-0</w:t>
            </w:r>
            <w:r>
              <w:rPr>
                <w:rFonts w:hint="eastAsia" w:ascii="Times New Roman" w:hAnsi="Times New Roman" w:eastAsia="宋体" w:cs="Times New Roman"/>
                <w:color w:val="000000" w:themeColor="text1"/>
                <w:szCs w:val="24"/>
                <w:lang w:bidi="ar"/>
                <w14:textFill>
                  <w14:solidFill>
                    <w14:schemeClr w14:val="tx1"/>
                  </w14:solidFill>
                </w14:textFill>
              </w:rPr>
              <w:t>39</w:t>
            </w:r>
            <w:r>
              <w:rPr>
                <w:rFonts w:ascii="Times New Roman" w:hAnsi="Times New Roman" w:eastAsia="宋体" w:cs="Times New Roman"/>
                <w:color w:val="000000" w:themeColor="text1"/>
                <w:szCs w:val="24"/>
                <w:lang w:bidi="ar"/>
                <w14:textFill>
                  <w14:solidFill>
                    <w14:schemeClr w14:val="tx1"/>
                  </w14:solidFill>
                </w14:textFill>
              </w:rPr>
              <w:t>-49，暂存于危废</w:t>
            </w:r>
            <w:r>
              <w:rPr>
                <w:rFonts w:hint="eastAsia" w:ascii="Times New Roman" w:hAnsi="Times New Roman" w:eastAsia="宋体" w:cs="Times New Roman"/>
                <w:color w:val="000000" w:themeColor="text1"/>
                <w:szCs w:val="24"/>
                <w:lang w:bidi="ar"/>
                <w14:textFill>
                  <w14:solidFill>
                    <w14:schemeClr w14:val="tx1"/>
                  </w14:solidFill>
                </w14:textFill>
              </w:rPr>
              <w:t>库</w:t>
            </w:r>
            <w:r>
              <w:rPr>
                <w:rFonts w:ascii="Times New Roman" w:hAnsi="Times New Roman" w:eastAsia="宋体" w:cs="Times New Roman"/>
                <w:color w:val="000000" w:themeColor="text1"/>
                <w:szCs w:val="24"/>
                <w:lang w:bidi="ar"/>
                <w14:textFill>
                  <w14:solidFill>
                    <w14:schemeClr w14:val="tx1"/>
                  </w14:solidFill>
                </w14:textFill>
              </w:rPr>
              <w:t>，委托有危废处置资质的单位处置。</w:t>
            </w:r>
          </w:p>
          <w:p w14:paraId="712B1600">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⑩冷却水过滤橡胶粒</w:t>
            </w:r>
          </w:p>
          <w:p w14:paraId="11F00183">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项目冷却循环水使用过滤器进行过滤处理，处理过程中会产生过滤橡胶粒，产生量约0.5t/a，</w:t>
            </w:r>
            <w:r>
              <w:rPr>
                <w:rFonts w:ascii="Times New Roman" w:hAnsi="Times New Roman" w:eastAsia="宋体" w:cs="Times New Roman"/>
                <w:color w:val="000000" w:themeColor="text1"/>
                <w:szCs w:val="24"/>
                <w:lang w:bidi="ar"/>
                <w14:textFill>
                  <w14:solidFill>
                    <w14:schemeClr w14:val="tx1"/>
                  </w14:solidFill>
                </w14:textFill>
              </w:rPr>
              <w:t>暂存一般固废区，外售物资回收单位。</w:t>
            </w:r>
          </w:p>
          <w:p w14:paraId="62C73F05">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本项目固废源强见表4.2-</w:t>
            </w:r>
            <w:r>
              <w:rPr>
                <w:rFonts w:hint="eastAsia" w:ascii="Times New Roman" w:hAnsi="Times New Roman" w:eastAsia="宋体" w:cs="Times New Roman"/>
                <w:color w:val="000000" w:themeColor="text1"/>
                <w:szCs w:val="24"/>
                <w14:textFill>
                  <w14:solidFill>
                    <w14:schemeClr w14:val="tx1"/>
                  </w14:solidFill>
                </w14:textFill>
              </w:rPr>
              <w:t>8</w:t>
            </w:r>
            <w:r>
              <w:rPr>
                <w:rFonts w:ascii="Times New Roman" w:hAnsi="Times New Roman" w:eastAsia="宋体" w:cs="Times New Roman"/>
                <w:color w:val="000000" w:themeColor="text1"/>
                <w:szCs w:val="24"/>
                <w14:textFill>
                  <w14:solidFill>
                    <w14:schemeClr w14:val="tx1"/>
                  </w14:solidFill>
                </w14:textFill>
              </w:rPr>
              <w:t>。</w:t>
            </w:r>
          </w:p>
          <w:p w14:paraId="764F8774">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bookmarkStart w:id="18" w:name="_Hlk186212561"/>
            <w:r>
              <w:rPr>
                <w:rFonts w:hint="eastAsia" w:ascii="Times New Roman" w:hAnsi="Times New Roman" w:eastAsia="宋体" w:cs="宋体"/>
                <w:b/>
                <w:color w:val="000000" w:themeColor="text1"/>
                <w:spacing w:val="6"/>
                <w:kern w:val="2"/>
                <w:szCs w:val="20"/>
                <w14:textFill>
                  <w14:solidFill>
                    <w14:schemeClr w14:val="tx1"/>
                  </w14:solidFill>
                </w14:textFill>
              </w:rPr>
              <w:t>表4.2-19  一般固体废物产生及处理处置情况汇总表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05"/>
              <w:gridCol w:w="1137"/>
              <w:gridCol w:w="1136"/>
              <w:gridCol w:w="848"/>
              <w:gridCol w:w="1274"/>
              <w:gridCol w:w="866"/>
              <w:gridCol w:w="848"/>
              <w:gridCol w:w="709"/>
              <w:gridCol w:w="1400"/>
            </w:tblGrid>
            <w:tr w14:paraId="64063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17" w:hRule="atLeast"/>
                <w:jc w:val="center"/>
              </w:trPr>
              <w:tc>
                <w:tcPr>
                  <w:tcW w:w="395" w:type="dxa"/>
                  <w:vAlign w:val="center"/>
                </w:tcPr>
                <w:p w14:paraId="193086A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序号</w:t>
                  </w:r>
                </w:p>
              </w:tc>
              <w:tc>
                <w:tcPr>
                  <w:tcW w:w="1109" w:type="dxa"/>
                  <w:vAlign w:val="center"/>
                </w:tcPr>
                <w:p w14:paraId="0A197C8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产生环节</w:t>
                  </w:r>
                </w:p>
              </w:tc>
              <w:tc>
                <w:tcPr>
                  <w:tcW w:w="1108" w:type="dxa"/>
                  <w:vAlign w:val="center"/>
                </w:tcPr>
                <w:p w14:paraId="143938E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成分</w:t>
                  </w:r>
                </w:p>
              </w:tc>
              <w:tc>
                <w:tcPr>
                  <w:tcW w:w="827" w:type="dxa"/>
                  <w:vAlign w:val="center"/>
                </w:tcPr>
                <w:p w14:paraId="166C8E5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物理</w:t>
                  </w:r>
                </w:p>
                <w:p w14:paraId="743F3A6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性状</w:t>
                  </w:r>
                </w:p>
              </w:tc>
              <w:tc>
                <w:tcPr>
                  <w:tcW w:w="1242" w:type="dxa"/>
                  <w:vAlign w:val="center"/>
                </w:tcPr>
                <w:p w14:paraId="5686B71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代码</w:t>
                  </w:r>
                </w:p>
              </w:tc>
              <w:tc>
                <w:tcPr>
                  <w:tcW w:w="844" w:type="dxa"/>
                  <w:vAlign w:val="center"/>
                </w:tcPr>
                <w:p w14:paraId="585D834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产生量</w:t>
                  </w:r>
                  <w:r>
                    <w:rPr>
                      <w:rFonts w:hint="eastAsia" w:ascii="Times New Roman" w:hAnsi="Times New Roman" w:eastAsia="宋体" w:cs="Times New Roman"/>
                      <w:color w:val="000000" w:themeColor="text1"/>
                      <w:kern w:val="2"/>
                      <w:sz w:val="21"/>
                      <w:szCs w:val="21"/>
                      <w14:textFill>
                        <w14:solidFill>
                          <w14:schemeClr w14:val="tx1"/>
                        </w14:solidFill>
                      </w14:textFill>
                    </w:rPr>
                    <w:t>（</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827" w:type="dxa"/>
                  <w:vAlign w:val="center"/>
                </w:tcPr>
                <w:p w14:paraId="06D562C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贮存</w:t>
                  </w:r>
                </w:p>
                <w:p w14:paraId="07B3BB2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方式</w:t>
                  </w:r>
                </w:p>
              </w:tc>
              <w:tc>
                <w:tcPr>
                  <w:tcW w:w="691" w:type="dxa"/>
                  <w:vAlign w:val="center"/>
                </w:tcPr>
                <w:p w14:paraId="4A20DB6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贮存</w:t>
                  </w:r>
                </w:p>
                <w:p w14:paraId="069AE0D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地点</w:t>
                  </w:r>
                </w:p>
              </w:tc>
              <w:tc>
                <w:tcPr>
                  <w:tcW w:w="1365" w:type="dxa"/>
                  <w:vAlign w:val="center"/>
                </w:tcPr>
                <w:p w14:paraId="6F90926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处置措施及去向</w:t>
                  </w:r>
                </w:p>
              </w:tc>
            </w:tr>
            <w:tr w14:paraId="28174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37599AC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w:t>
                  </w:r>
                </w:p>
              </w:tc>
              <w:tc>
                <w:tcPr>
                  <w:tcW w:w="1109" w:type="dxa"/>
                  <w:vAlign w:val="center"/>
                </w:tcPr>
                <w:p w14:paraId="1B91EEA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废包装袋</w:t>
                  </w:r>
                </w:p>
              </w:tc>
              <w:tc>
                <w:tcPr>
                  <w:tcW w:w="1108" w:type="dxa"/>
                  <w:vAlign w:val="center"/>
                </w:tcPr>
                <w:p w14:paraId="2E04937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废塑料</w:t>
                  </w:r>
                </w:p>
              </w:tc>
              <w:tc>
                <w:tcPr>
                  <w:tcW w:w="827" w:type="dxa"/>
                  <w:vAlign w:val="center"/>
                </w:tcPr>
                <w:p w14:paraId="2A923FE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674674E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900-003-S17</w:t>
                  </w:r>
                </w:p>
              </w:tc>
              <w:tc>
                <w:tcPr>
                  <w:tcW w:w="844" w:type="dxa"/>
                  <w:vAlign w:val="center"/>
                </w:tcPr>
                <w:p w14:paraId="44BD3D8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15.5</w:t>
                  </w:r>
                </w:p>
              </w:tc>
              <w:tc>
                <w:tcPr>
                  <w:tcW w:w="827" w:type="dxa"/>
                  <w:vAlign w:val="center"/>
                </w:tcPr>
                <w:p w14:paraId="4FAB13C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91" w:type="dxa"/>
                  <w:vMerge w:val="restart"/>
                  <w:vAlign w:val="center"/>
                </w:tcPr>
                <w:p w14:paraId="628CB94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一般固废暂存区</w:t>
                  </w:r>
                </w:p>
              </w:tc>
              <w:tc>
                <w:tcPr>
                  <w:tcW w:w="1365" w:type="dxa"/>
                  <w:vAlign w:val="center"/>
                </w:tcPr>
                <w:p w14:paraId="117F348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4B5EF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5323284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2</w:t>
                  </w:r>
                </w:p>
              </w:tc>
              <w:tc>
                <w:tcPr>
                  <w:tcW w:w="1109" w:type="dxa"/>
                  <w:vAlign w:val="center"/>
                </w:tcPr>
                <w:p w14:paraId="0B96C34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除尘器收集的粉尘</w:t>
                  </w:r>
                </w:p>
              </w:tc>
              <w:tc>
                <w:tcPr>
                  <w:tcW w:w="1108" w:type="dxa"/>
                  <w:vAlign w:val="center"/>
                </w:tcPr>
                <w:p w14:paraId="23D9CC4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炭黑、陶土、促进剂</w:t>
                  </w:r>
                </w:p>
              </w:tc>
              <w:tc>
                <w:tcPr>
                  <w:tcW w:w="827" w:type="dxa"/>
                  <w:vAlign w:val="center"/>
                </w:tcPr>
                <w:p w14:paraId="3491DFD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61CCE04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900-099-S59</w:t>
                  </w:r>
                </w:p>
              </w:tc>
              <w:tc>
                <w:tcPr>
                  <w:tcW w:w="844" w:type="dxa"/>
                  <w:vAlign w:val="center"/>
                </w:tcPr>
                <w:p w14:paraId="7194F00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0.6</w:t>
                  </w:r>
                </w:p>
              </w:tc>
              <w:tc>
                <w:tcPr>
                  <w:tcW w:w="827" w:type="dxa"/>
                  <w:vAlign w:val="center"/>
                </w:tcPr>
                <w:p w14:paraId="0CA2C5F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包装袋</w:t>
                  </w:r>
                </w:p>
              </w:tc>
              <w:tc>
                <w:tcPr>
                  <w:tcW w:w="691" w:type="dxa"/>
                  <w:vMerge w:val="continue"/>
                  <w:vAlign w:val="center"/>
                </w:tcPr>
                <w:p w14:paraId="7A8F9ED4">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00C79B8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回用于生产</w:t>
                  </w:r>
                </w:p>
              </w:tc>
            </w:tr>
            <w:tr w14:paraId="1BB9D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0CBD1B8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w:t>
                  </w:r>
                </w:p>
              </w:tc>
              <w:tc>
                <w:tcPr>
                  <w:tcW w:w="1109" w:type="dxa"/>
                  <w:vAlign w:val="center"/>
                </w:tcPr>
                <w:p w14:paraId="709F218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废除尘布袋</w:t>
                  </w:r>
                </w:p>
              </w:tc>
              <w:tc>
                <w:tcPr>
                  <w:tcW w:w="1108" w:type="dxa"/>
                  <w:vAlign w:val="center"/>
                </w:tcPr>
                <w:p w14:paraId="4625AA6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纤维布袋</w:t>
                  </w:r>
                </w:p>
              </w:tc>
              <w:tc>
                <w:tcPr>
                  <w:tcW w:w="827" w:type="dxa"/>
                  <w:vAlign w:val="center"/>
                </w:tcPr>
                <w:p w14:paraId="6FEDC4E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71A0236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900-009-S59</w:t>
                  </w:r>
                </w:p>
              </w:tc>
              <w:tc>
                <w:tcPr>
                  <w:tcW w:w="844" w:type="dxa"/>
                  <w:vAlign w:val="center"/>
                </w:tcPr>
                <w:p w14:paraId="7598BA7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0.01</w:t>
                  </w:r>
                </w:p>
              </w:tc>
              <w:tc>
                <w:tcPr>
                  <w:tcW w:w="827" w:type="dxa"/>
                  <w:vAlign w:val="center"/>
                </w:tcPr>
                <w:p w14:paraId="6E445A6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2B36562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Merge w:val="restart"/>
                  <w:vAlign w:val="center"/>
                </w:tcPr>
                <w:p w14:paraId="2211646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62FF0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3AA24B2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4</w:t>
                  </w:r>
                </w:p>
              </w:tc>
              <w:tc>
                <w:tcPr>
                  <w:tcW w:w="1109" w:type="dxa"/>
                  <w:vAlign w:val="center"/>
                </w:tcPr>
                <w:p w14:paraId="7A4C6B74">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废胶片</w:t>
                  </w:r>
                </w:p>
              </w:tc>
              <w:tc>
                <w:tcPr>
                  <w:tcW w:w="1108" w:type="dxa"/>
                  <w:vAlign w:val="center"/>
                </w:tcPr>
                <w:p w14:paraId="7A48FE2B">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橡胶</w:t>
                  </w:r>
                </w:p>
              </w:tc>
              <w:tc>
                <w:tcPr>
                  <w:tcW w:w="827" w:type="dxa"/>
                  <w:vAlign w:val="center"/>
                </w:tcPr>
                <w:p w14:paraId="4848B8A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762971D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w:t>
                  </w:r>
                  <w:r>
                    <w:rPr>
                      <w:rFonts w:hint="eastAsia" w:ascii="Times New Roman" w:hAnsi="Times New Roman" w:eastAsia="宋体" w:cs="Times New Roman"/>
                      <w:color w:val="000000" w:themeColor="text1"/>
                      <w:kern w:val="2"/>
                      <w:sz w:val="21"/>
                      <w:szCs w:val="21"/>
                      <w14:textFill>
                        <w14:solidFill>
                          <w14:schemeClr w14:val="tx1"/>
                        </w14:solidFill>
                      </w14:textFill>
                    </w:rPr>
                    <w:t>6</w:t>
                  </w:r>
                  <w:r>
                    <w:rPr>
                      <w:rFonts w:ascii="Times New Roman" w:hAnsi="Times New Roman" w:eastAsia="宋体" w:cs="Times New Roman"/>
                      <w:color w:val="000000" w:themeColor="text1"/>
                      <w:kern w:val="2"/>
                      <w:sz w:val="21"/>
                      <w:szCs w:val="21"/>
                      <w14:textFill>
                        <w14:solidFill>
                          <w14:schemeClr w14:val="tx1"/>
                        </w14:solidFill>
                      </w14:textFill>
                    </w:rPr>
                    <w:t>-S</w:t>
                  </w:r>
                  <w:r>
                    <w:rPr>
                      <w:rFonts w:hint="eastAsia" w:ascii="Times New Roman" w:hAnsi="Times New Roman" w:eastAsia="宋体" w:cs="Times New Roman"/>
                      <w:color w:val="000000" w:themeColor="text1"/>
                      <w:kern w:val="2"/>
                      <w:sz w:val="21"/>
                      <w:szCs w:val="21"/>
                      <w14:textFill>
                        <w14:solidFill>
                          <w14:schemeClr w14:val="tx1"/>
                        </w14:solidFill>
                      </w14:textFill>
                    </w:rPr>
                    <w:t>17</w:t>
                  </w:r>
                </w:p>
              </w:tc>
              <w:tc>
                <w:tcPr>
                  <w:tcW w:w="844" w:type="dxa"/>
                  <w:vAlign w:val="center"/>
                </w:tcPr>
                <w:p w14:paraId="413D997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5</w:t>
                  </w:r>
                </w:p>
              </w:tc>
              <w:tc>
                <w:tcPr>
                  <w:tcW w:w="827" w:type="dxa"/>
                  <w:vAlign w:val="center"/>
                </w:tcPr>
                <w:p w14:paraId="3423B08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91" w:type="dxa"/>
                  <w:vMerge w:val="continue"/>
                  <w:vAlign w:val="center"/>
                </w:tcPr>
                <w:p w14:paraId="58554C1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Merge w:val="continue"/>
                  <w:vAlign w:val="center"/>
                </w:tcPr>
                <w:p w14:paraId="08969D3E">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p>
              </w:tc>
            </w:tr>
            <w:tr w14:paraId="4741F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57F6B664">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5</w:t>
                  </w:r>
                </w:p>
              </w:tc>
              <w:tc>
                <w:tcPr>
                  <w:tcW w:w="1109" w:type="dxa"/>
                  <w:vAlign w:val="center"/>
                </w:tcPr>
                <w:p w14:paraId="3B68DDD8">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沉淀池</w:t>
                  </w:r>
                </w:p>
                <w:p w14:paraId="176CE1C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污泥</w:t>
                  </w:r>
                </w:p>
              </w:tc>
              <w:tc>
                <w:tcPr>
                  <w:tcW w:w="1108" w:type="dxa"/>
                  <w:vAlign w:val="center"/>
                </w:tcPr>
                <w:p w14:paraId="2B092D8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炭黑、陶土</w:t>
                  </w:r>
                </w:p>
              </w:tc>
              <w:tc>
                <w:tcPr>
                  <w:tcW w:w="827" w:type="dxa"/>
                  <w:vAlign w:val="center"/>
                </w:tcPr>
                <w:p w14:paraId="6F96DBC6">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5A7B1E9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900-099-S07</w:t>
                  </w:r>
                </w:p>
              </w:tc>
              <w:tc>
                <w:tcPr>
                  <w:tcW w:w="844" w:type="dxa"/>
                  <w:vAlign w:val="center"/>
                </w:tcPr>
                <w:p w14:paraId="5EA2CCF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w:t>
                  </w:r>
                </w:p>
              </w:tc>
              <w:tc>
                <w:tcPr>
                  <w:tcW w:w="827" w:type="dxa"/>
                  <w:vAlign w:val="center"/>
                </w:tcPr>
                <w:p w14:paraId="18D08E0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43EAABD6">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56B5A61A">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环卫部处理</w:t>
                  </w:r>
                </w:p>
              </w:tc>
            </w:tr>
            <w:tr w14:paraId="76EB7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147C519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6</w:t>
                  </w:r>
                </w:p>
              </w:tc>
              <w:tc>
                <w:tcPr>
                  <w:tcW w:w="1109" w:type="dxa"/>
                  <w:vAlign w:val="center"/>
                </w:tcPr>
                <w:p w14:paraId="09F06841">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冷却水过滤橡胶粒</w:t>
                  </w:r>
                </w:p>
              </w:tc>
              <w:tc>
                <w:tcPr>
                  <w:tcW w:w="1108" w:type="dxa"/>
                  <w:vAlign w:val="center"/>
                </w:tcPr>
                <w:p w14:paraId="1E60E7C8">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橡胶粒</w:t>
                  </w:r>
                </w:p>
              </w:tc>
              <w:tc>
                <w:tcPr>
                  <w:tcW w:w="827" w:type="dxa"/>
                  <w:vAlign w:val="center"/>
                </w:tcPr>
                <w:p w14:paraId="0513A67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7DDF3FE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w:t>
                  </w:r>
                  <w:r>
                    <w:rPr>
                      <w:rFonts w:hint="eastAsia" w:ascii="Times New Roman" w:hAnsi="Times New Roman" w:eastAsia="宋体" w:cs="Times New Roman"/>
                      <w:color w:val="000000" w:themeColor="text1"/>
                      <w:kern w:val="2"/>
                      <w:sz w:val="21"/>
                      <w:szCs w:val="21"/>
                      <w14:textFill>
                        <w14:solidFill>
                          <w14:schemeClr w14:val="tx1"/>
                        </w14:solidFill>
                      </w14:textFill>
                    </w:rPr>
                    <w:t>6</w:t>
                  </w:r>
                  <w:r>
                    <w:rPr>
                      <w:rFonts w:ascii="Times New Roman" w:hAnsi="Times New Roman" w:eastAsia="宋体" w:cs="Times New Roman"/>
                      <w:color w:val="000000" w:themeColor="text1"/>
                      <w:kern w:val="2"/>
                      <w:sz w:val="21"/>
                      <w:szCs w:val="21"/>
                      <w14:textFill>
                        <w14:solidFill>
                          <w14:schemeClr w14:val="tx1"/>
                        </w14:solidFill>
                      </w14:textFill>
                    </w:rPr>
                    <w:t>-S</w:t>
                  </w:r>
                  <w:r>
                    <w:rPr>
                      <w:rFonts w:hint="eastAsia" w:ascii="Times New Roman" w:hAnsi="Times New Roman" w:eastAsia="宋体" w:cs="Times New Roman"/>
                      <w:color w:val="000000" w:themeColor="text1"/>
                      <w:kern w:val="2"/>
                      <w:sz w:val="21"/>
                      <w:szCs w:val="21"/>
                      <w14:textFill>
                        <w14:solidFill>
                          <w14:schemeClr w14:val="tx1"/>
                        </w14:solidFill>
                      </w14:textFill>
                    </w:rPr>
                    <w:t>17</w:t>
                  </w:r>
                </w:p>
              </w:tc>
              <w:tc>
                <w:tcPr>
                  <w:tcW w:w="844" w:type="dxa"/>
                  <w:vAlign w:val="center"/>
                </w:tcPr>
                <w:p w14:paraId="3A05417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0.5</w:t>
                  </w:r>
                </w:p>
              </w:tc>
              <w:tc>
                <w:tcPr>
                  <w:tcW w:w="827" w:type="dxa"/>
                  <w:vAlign w:val="center"/>
                </w:tcPr>
                <w:p w14:paraId="2802BF2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03B0983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1A2BD1FF">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05750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14FB9AE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7</w:t>
                  </w:r>
                </w:p>
              </w:tc>
              <w:tc>
                <w:tcPr>
                  <w:tcW w:w="1109" w:type="dxa"/>
                  <w:vAlign w:val="center"/>
                </w:tcPr>
                <w:p w14:paraId="4F31E10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生活</w:t>
                  </w:r>
                </w:p>
              </w:tc>
              <w:tc>
                <w:tcPr>
                  <w:tcW w:w="1108" w:type="dxa"/>
                  <w:vAlign w:val="center"/>
                </w:tcPr>
                <w:p w14:paraId="7303CDB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生活垃圾</w:t>
                  </w:r>
                </w:p>
              </w:tc>
              <w:tc>
                <w:tcPr>
                  <w:tcW w:w="827" w:type="dxa"/>
                  <w:vAlign w:val="center"/>
                </w:tcPr>
                <w:p w14:paraId="3B640AA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6BB12E9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900-099-S64</w:t>
                  </w:r>
                </w:p>
              </w:tc>
              <w:tc>
                <w:tcPr>
                  <w:tcW w:w="844" w:type="dxa"/>
                  <w:vAlign w:val="center"/>
                </w:tcPr>
                <w:p w14:paraId="6E18E84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3.12</w:t>
                  </w:r>
                </w:p>
              </w:tc>
              <w:tc>
                <w:tcPr>
                  <w:tcW w:w="827" w:type="dxa"/>
                  <w:vAlign w:val="center"/>
                </w:tcPr>
                <w:p w14:paraId="4065495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垃圾桶</w:t>
                  </w:r>
                </w:p>
              </w:tc>
              <w:tc>
                <w:tcPr>
                  <w:tcW w:w="691" w:type="dxa"/>
                  <w:vAlign w:val="center"/>
                </w:tcPr>
                <w:p w14:paraId="3A3360F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垃圾桶</w:t>
                  </w:r>
                </w:p>
              </w:tc>
              <w:tc>
                <w:tcPr>
                  <w:tcW w:w="1365" w:type="dxa"/>
                  <w:vAlign w:val="center"/>
                </w:tcPr>
                <w:p w14:paraId="29F3982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环卫部门处理</w:t>
                  </w:r>
                </w:p>
              </w:tc>
            </w:tr>
          </w:tbl>
          <w:p w14:paraId="1284B227">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4.2-20</w:t>
            </w:r>
            <w:r>
              <w:rPr>
                <w:rFonts w:ascii="Times New Roman" w:hAnsi="Times New Roman" w:eastAsia="宋体" w:cs="宋体"/>
                <w:b/>
                <w:color w:val="000000" w:themeColor="text1"/>
                <w:spacing w:val="6"/>
                <w:kern w:val="2"/>
                <w:szCs w:val="20"/>
                <w14:textFill>
                  <w14:solidFill>
                    <w14:schemeClr w14:val="tx1"/>
                  </w14:solidFill>
                </w14:textFill>
              </w:rPr>
              <w:t xml:space="preserve">  危险废物</w:t>
            </w:r>
            <w:r>
              <w:rPr>
                <w:rFonts w:hint="eastAsia" w:ascii="Times New Roman" w:hAnsi="Times New Roman" w:eastAsia="宋体" w:cs="宋体"/>
                <w:b/>
                <w:color w:val="000000" w:themeColor="text1"/>
                <w:spacing w:val="6"/>
                <w:kern w:val="2"/>
                <w:szCs w:val="20"/>
                <w14:textFill>
                  <w14:solidFill>
                    <w14:schemeClr w14:val="tx1"/>
                  </w14:solidFill>
                </w14:textFill>
              </w:rPr>
              <w:t>产生及处理处置情况汇总表</w:t>
            </w:r>
          </w:p>
          <w:tbl>
            <w:tblPr>
              <w:tblStyle w:val="37"/>
              <w:tblW w:w="88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1093"/>
              <w:gridCol w:w="967"/>
              <w:gridCol w:w="1300"/>
              <w:gridCol w:w="850"/>
              <w:gridCol w:w="850"/>
              <w:gridCol w:w="709"/>
              <w:gridCol w:w="797"/>
              <w:gridCol w:w="709"/>
              <w:gridCol w:w="709"/>
              <w:gridCol w:w="445"/>
            </w:tblGrid>
            <w:tr w14:paraId="3180D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109" w:hRule="atLeast"/>
                <w:jc w:val="center"/>
              </w:trPr>
              <w:tc>
                <w:tcPr>
                  <w:tcW w:w="242" w:type="pct"/>
                  <w:vAlign w:val="center"/>
                </w:tcPr>
                <w:p w14:paraId="0E80442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序号</w:t>
                  </w:r>
                </w:p>
              </w:tc>
              <w:tc>
                <w:tcPr>
                  <w:tcW w:w="617" w:type="pct"/>
                  <w:vAlign w:val="center"/>
                </w:tcPr>
                <w:p w14:paraId="4FEC63DD">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危险废物名称</w:t>
                  </w:r>
                </w:p>
              </w:tc>
              <w:tc>
                <w:tcPr>
                  <w:tcW w:w="546" w:type="pct"/>
                  <w:vAlign w:val="center"/>
                </w:tcPr>
                <w:p w14:paraId="778F68F7">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危险废物类别</w:t>
                  </w:r>
                </w:p>
              </w:tc>
              <w:tc>
                <w:tcPr>
                  <w:tcW w:w="734" w:type="pct"/>
                  <w:vAlign w:val="center"/>
                </w:tcPr>
                <w:p w14:paraId="05C899D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危险废物代码</w:t>
                  </w:r>
                </w:p>
              </w:tc>
              <w:tc>
                <w:tcPr>
                  <w:tcW w:w="480" w:type="pct"/>
                  <w:vAlign w:val="center"/>
                </w:tcPr>
                <w:p w14:paraId="699277F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产生量</w:t>
                  </w:r>
                  <w:r>
                    <w:rPr>
                      <w:rFonts w:hint="eastAsia" w:ascii="Times New Roman" w:hAnsi="Times New Roman" w:eastAsia="宋体" w:cs="Times New Roman"/>
                      <w:color w:val="000000" w:themeColor="text1"/>
                      <w:sz w:val="21"/>
                      <w:szCs w:val="24"/>
                      <w14:textFill>
                        <w14:solidFill>
                          <w14:schemeClr w14:val="tx1"/>
                        </w14:solidFill>
                      </w14:textFill>
                    </w:rPr>
                    <w:t>（</w:t>
                  </w:r>
                  <w:r>
                    <w:rPr>
                      <w:rFonts w:ascii="Times New Roman" w:hAnsi="Times New Roman" w:eastAsia="宋体" w:cs="Times New Roman"/>
                      <w:color w:val="000000" w:themeColor="text1"/>
                      <w:sz w:val="21"/>
                      <w:szCs w:val="24"/>
                      <w14:textFill>
                        <w14:solidFill>
                          <w14:schemeClr w14:val="tx1"/>
                        </w14:solidFill>
                      </w14:textFill>
                    </w:rPr>
                    <w:t>t/a</w:t>
                  </w:r>
                  <w:r>
                    <w:rPr>
                      <w:rFonts w:hint="eastAsia" w:ascii="Times New Roman" w:hAnsi="Times New Roman" w:eastAsia="宋体" w:cs="Times New Roman"/>
                      <w:color w:val="000000" w:themeColor="text1"/>
                      <w:sz w:val="21"/>
                      <w:szCs w:val="24"/>
                      <w14:textFill>
                        <w14:solidFill>
                          <w14:schemeClr w14:val="tx1"/>
                        </w14:solidFill>
                      </w14:textFill>
                    </w:rPr>
                    <w:t>）</w:t>
                  </w:r>
                </w:p>
              </w:tc>
              <w:tc>
                <w:tcPr>
                  <w:tcW w:w="480" w:type="pct"/>
                  <w:vAlign w:val="center"/>
                </w:tcPr>
                <w:p w14:paraId="377F5EE2">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产生工序及装置</w:t>
                  </w:r>
                </w:p>
              </w:tc>
              <w:tc>
                <w:tcPr>
                  <w:tcW w:w="400" w:type="pct"/>
                  <w:vAlign w:val="center"/>
                </w:tcPr>
                <w:p w14:paraId="6827591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形态</w:t>
                  </w:r>
                </w:p>
              </w:tc>
              <w:tc>
                <w:tcPr>
                  <w:tcW w:w="450" w:type="pct"/>
                  <w:vAlign w:val="center"/>
                </w:tcPr>
                <w:p w14:paraId="369E4BAA">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主要</w:t>
                  </w:r>
                </w:p>
                <w:p w14:paraId="78DA859E">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成分</w:t>
                  </w:r>
                </w:p>
              </w:tc>
              <w:tc>
                <w:tcPr>
                  <w:tcW w:w="400" w:type="pct"/>
                  <w:vAlign w:val="center"/>
                </w:tcPr>
                <w:p w14:paraId="374AE47D">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有害</w:t>
                  </w:r>
                </w:p>
                <w:p w14:paraId="5003682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成分</w:t>
                  </w:r>
                </w:p>
              </w:tc>
              <w:tc>
                <w:tcPr>
                  <w:tcW w:w="400" w:type="pct"/>
                  <w:vAlign w:val="center"/>
                </w:tcPr>
                <w:p w14:paraId="640BEE99">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产废周期</w:t>
                  </w:r>
                </w:p>
              </w:tc>
              <w:tc>
                <w:tcPr>
                  <w:tcW w:w="251" w:type="pct"/>
                  <w:vAlign w:val="center"/>
                </w:tcPr>
                <w:p w14:paraId="3F017B1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危险特性</w:t>
                  </w:r>
                </w:p>
              </w:tc>
            </w:tr>
            <w:tr w14:paraId="47395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6C1533A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w:t>
                  </w:r>
                </w:p>
              </w:tc>
              <w:tc>
                <w:tcPr>
                  <w:tcW w:w="617" w:type="pct"/>
                  <w:vAlign w:val="center"/>
                </w:tcPr>
                <w:p w14:paraId="4AC0D45D">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废润滑油</w:t>
                  </w:r>
                </w:p>
              </w:tc>
              <w:tc>
                <w:tcPr>
                  <w:tcW w:w="546" w:type="pct"/>
                  <w:vAlign w:val="center"/>
                </w:tcPr>
                <w:p w14:paraId="61F5A893">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HW08</w:t>
                  </w:r>
                </w:p>
              </w:tc>
              <w:tc>
                <w:tcPr>
                  <w:tcW w:w="734" w:type="pct"/>
                  <w:vAlign w:val="center"/>
                </w:tcPr>
                <w:p w14:paraId="2870EC53">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900-21</w:t>
                  </w:r>
                  <w:r>
                    <w:rPr>
                      <w:rFonts w:ascii="Times New Roman" w:hAnsi="Times New Roman" w:eastAsia="宋体" w:cs="Times New Roman"/>
                      <w:color w:val="000000" w:themeColor="text1"/>
                      <w:sz w:val="21"/>
                      <w:szCs w:val="24"/>
                      <w:lang w:bidi="zh-CN"/>
                      <w14:textFill>
                        <w14:solidFill>
                          <w14:schemeClr w14:val="tx1"/>
                        </w14:solidFill>
                      </w14:textFill>
                    </w:rPr>
                    <w:t>7</w:t>
                  </w:r>
                  <w:r>
                    <w:rPr>
                      <w:rFonts w:hint="eastAsia" w:ascii="Times New Roman" w:hAnsi="Times New Roman" w:eastAsia="宋体" w:cs="Times New Roman"/>
                      <w:color w:val="000000" w:themeColor="text1"/>
                      <w:sz w:val="21"/>
                      <w:szCs w:val="24"/>
                      <w:lang w:bidi="zh-CN"/>
                      <w14:textFill>
                        <w14:solidFill>
                          <w14:schemeClr w14:val="tx1"/>
                        </w14:solidFill>
                      </w14:textFill>
                    </w:rPr>
                    <w:t>-08</w:t>
                  </w:r>
                </w:p>
              </w:tc>
              <w:tc>
                <w:tcPr>
                  <w:tcW w:w="480" w:type="pct"/>
                  <w:vAlign w:val="center"/>
                </w:tcPr>
                <w:p w14:paraId="0FB6B7A8">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0.05</w:t>
                  </w:r>
                </w:p>
              </w:tc>
              <w:tc>
                <w:tcPr>
                  <w:tcW w:w="480" w:type="pct"/>
                  <w:vAlign w:val="center"/>
                </w:tcPr>
                <w:p w14:paraId="3034A42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机修</w:t>
                  </w:r>
                </w:p>
              </w:tc>
              <w:tc>
                <w:tcPr>
                  <w:tcW w:w="400" w:type="pct"/>
                  <w:vAlign w:val="center"/>
                </w:tcPr>
                <w:p w14:paraId="16D26D39">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液态</w:t>
                  </w:r>
                </w:p>
              </w:tc>
              <w:tc>
                <w:tcPr>
                  <w:tcW w:w="450" w:type="pct"/>
                  <w:vAlign w:val="center"/>
                </w:tcPr>
                <w:p w14:paraId="36F040E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6775584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0163752F">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1个月</w:t>
                  </w:r>
                </w:p>
              </w:tc>
              <w:tc>
                <w:tcPr>
                  <w:tcW w:w="251" w:type="pct"/>
                  <w:vAlign w:val="center"/>
                </w:tcPr>
                <w:p w14:paraId="393C46F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T,I</w:t>
                  </w:r>
                </w:p>
              </w:tc>
            </w:tr>
            <w:tr w14:paraId="536FE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714C7CEA">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2</w:t>
                  </w:r>
                </w:p>
              </w:tc>
              <w:tc>
                <w:tcPr>
                  <w:tcW w:w="617" w:type="pct"/>
                  <w:vAlign w:val="center"/>
                </w:tcPr>
                <w:p w14:paraId="5529374A">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废润滑</w:t>
                  </w:r>
                </w:p>
                <w:p w14:paraId="483FB1AA">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油桶</w:t>
                  </w:r>
                </w:p>
              </w:tc>
              <w:tc>
                <w:tcPr>
                  <w:tcW w:w="546" w:type="pct"/>
                  <w:vAlign w:val="center"/>
                </w:tcPr>
                <w:p w14:paraId="0046A92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HW08</w:t>
                  </w:r>
                </w:p>
              </w:tc>
              <w:tc>
                <w:tcPr>
                  <w:tcW w:w="734" w:type="pct"/>
                  <w:vAlign w:val="center"/>
                </w:tcPr>
                <w:p w14:paraId="29E9E02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900-249-08</w:t>
                  </w:r>
                </w:p>
              </w:tc>
              <w:tc>
                <w:tcPr>
                  <w:tcW w:w="480" w:type="pct"/>
                  <w:vAlign w:val="center"/>
                </w:tcPr>
                <w:p w14:paraId="4C426E18">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0.01</w:t>
                  </w:r>
                </w:p>
              </w:tc>
              <w:tc>
                <w:tcPr>
                  <w:tcW w:w="480" w:type="pct"/>
                  <w:vAlign w:val="center"/>
                </w:tcPr>
                <w:p w14:paraId="0D10794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机修</w:t>
                  </w:r>
                </w:p>
              </w:tc>
              <w:tc>
                <w:tcPr>
                  <w:tcW w:w="400" w:type="pct"/>
                  <w:vAlign w:val="center"/>
                </w:tcPr>
                <w:p w14:paraId="5BB3D2E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固态</w:t>
                  </w:r>
                </w:p>
              </w:tc>
              <w:tc>
                <w:tcPr>
                  <w:tcW w:w="450" w:type="pct"/>
                  <w:vAlign w:val="center"/>
                </w:tcPr>
                <w:p w14:paraId="6D4BDE3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铁桶</w:t>
                  </w:r>
                </w:p>
              </w:tc>
              <w:tc>
                <w:tcPr>
                  <w:tcW w:w="400" w:type="pct"/>
                  <w:vAlign w:val="center"/>
                </w:tcPr>
                <w:p w14:paraId="285D469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3970EA6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w:t>
                  </w:r>
                  <w:r>
                    <w:rPr>
                      <w:rFonts w:ascii="Times New Roman" w:hAnsi="Times New Roman" w:eastAsia="宋体" w:cs="Times New Roman"/>
                      <w:color w:val="000000" w:themeColor="text1"/>
                      <w:sz w:val="21"/>
                      <w:szCs w:val="24"/>
                      <w14:textFill>
                        <w14:solidFill>
                          <w14:schemeClr w14:val="tx1"/>
                        </w14:solidFill>
                      </w14:textFill>
                    </w:rPr>
                    <w:t>个月</w:t>
                  </w:r>
                </w:p>
              </w:tc>
              <w:tc>
                <w:tcPr>
                  <w:tcW w:w="251" w:type="pct"/>
                  <w:vAlign w:val="center"/>
                </w:tcPr>
                <w:p w14:paraId="1F6DA9F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T,I</w:t>
                  </w:r>
                </w:p>
              </w:tc>
            </w:tr>
            <w:tr w14:paraId="2EC0D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58185A8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3</w:t>
                  </w:r>
                </w:p>
              </w:tc>
              <w:tc>
                <w:tcPr>
                  <w:tcW w:w="617" w:type="pct"/>
                  <w:vAlign w:val="center"/>
                </w:tcPr>
                <w:p w14:paraId="5E891953">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废活性炭</w:t>
                  </w:r>
                </w:p>
              </w:tc>
              <w:tc>
                <w:tcPr>
                  <w:tcW w:w="546" w:type="pct"/>
                  <w:vAlign w:val="center"/>
                </w:tcPr>
                <w:p w14:paraId="7566DA2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HW49</w:t>
                  </w:r>
                </w:p>
              </w:tc>
              <w:tc>
                <w:tcPr>
                  <w:tcW w:w="734" w:type="pct"/>
                  <w:vAlign w:val="center"/>
                </w:tcPr>
                <w:p w14:paraId="4F250A7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900-039-49</w:t>
                  </w:r>
                </w:p>
              </w:tc>
              <w:tc>
                <w:tcPr>
                  <w:tcW w:w="480" w:type="pct"/>
                  <w:vAlign w:val="center"/>
                </w:tcPr>
                <w:p w14:paraId="71A0D6D2">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3.384</w:t>
                  </w:r>
                </w:p>
              </w:tc>
              <w:tc>
                <w:tcPr>
                  <w:tcW w:w="480" w:type="pct"/>
                  <w:vAlign w:val="center"/>
                </w:tcPr>
                <w:p w14:paraId="2AD04097">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废气处理</w:t>
                  </w:r>
                </w:p>
              </w:tc>
              <w:tc>
                <w:tcPr>
                  <w:tcW w:w="400" w:type="pct"/>
                  <w:vAlign w:val="center"/>
                </w:tcPr>
                <w:p w14:paraId="7B558F9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固态</w:t>
                  </w:r>
                </w:p>
              </w:tc>
              <w:tc>
                <w:tcPr>
                  <w:tcW w:w="450" w:type="pct"/>
                  <w:vAlign w:val="center"/>
                </w:tcPr>
                <w:p w14:paraId="1916157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活性炭</w:t>
                  </w:r>
                </w:p>
              </w:tc>
              <w:tc>
                <w:tcPr>
                  <w:tcW w:w="400" w:type="pct"/>
                  <w:vAlign w:val="center"/>
                </w:tcPr>
                <w:p w14:paraId="02A5E27D">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有机物</w:t>
                  </w:r>
                </w:p>
              </w:tc>
              <w:tc>
                <w:tcPr>
                  <w:tcW w:w="400" w:type="pct"/>
                  <w:vAlign w:val="center"/>
                </w:tcPr>
                <w:p w14:paraId="12BBBB3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4个月</w:t>
                  </w:r>
                </w:p>
              </w:tc>
              <w:tc>
                <w:tcPr>
                  <w:tcW w:w="251" w:type="pct"/>
                  <w:vAlign w:val="center"/>
                </w:tcPr>
                <w:p w14:paraId="37D5A29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T</w:t>
                  </w:r>
                </w:p>
              </w:tc>
            </w:tr>
            <w:bookmarkEnd w:id="18"/>
          </w:tbl>
          <w:p w14:paraId="3553B4CD">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表4.2-21  项目一般固废贮存场所（设施）基本情况一览表</w:t>
            </w:r>
          </w:p>
          <w:tbl>
            <w:tblPr>
              <w:tblStyle w:val="168"/>
              <w:tblW w:w="498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934"/>
              <w:gridCol w:w="1351"/>
              <w:gridCol w:w="1107"/>
              <w:gridCol w:w="1229"/>
              <w:gridCol w:w="1229"/>
              <w:gridCol w:w="1229"/>
            </w:tblGrid>
            <w:tr w14:paraId="6CF03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4" w:type="pct"/>
                  <w:vAlign w:val="center"/>
                </w:tcPr>
                <w:p w14:paraId="74711AB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124" w:type="pct"/>
                  <w:vAlign w:val="center"/>
                </w:tcPr>
                <w:p w14:paraId="332432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一般固废贮存场所</w:t>
                  </w:r>
                </w:p>
                <w:p w14:paraId="4E7BD1C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（设施）名称</w:t>
                  </w:r>
                </w:p>
              </w:tc>
              <w:tc>
                <w:tcPr>
                  <w:tcW w:w="785" w:type="pct"/>
                  <w:vAlign w:val="center"/>
                </w:tcPr>
                <w:p w14:paraId="675E7E2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位置</w:t>
                  </w:r>
                </w:p>
              </w:tc>
              <w:tc>
                <w:tcPr>
                  <w:tcW w:w="643" w:type="pct"/>
                  <w:vAlign w:val="center"/>
                </w:tcPr>
                <w:p w14:paraId="3B4A164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占地面积</w:t>
                  </w:r>
                </w:p>
              </w:tc>
              <w:tc>
                <w:tcPr>
                  <w:tcW w:w="714" w:type="pct"/>
                  <w:vAlign w:val="center"/>
                </w:tcPr>
                <w:p w14:paraId="57E6A2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贮存方式</w:t>
                  </w:r>
                </w:p>
              </w:tc>
              <w:tc>
                <w:tcPr>
                  <w:tcW w:w="714" w:type="pct"/>
                  <w:vAlign w:val="center"/>
                </w:tcPr>
                <w:p w14:paraId="169EC4E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贮存容积</w:t>
                  </w:r>
                </w:p>
              </w:tc>
              <w:tc>
                <w:tcPr>
                  <w:tcW w:w="714" w:type="pct"/>
                  <w:vAlign w:val="center"/>
                </w:tcPr>
                <w:p w14:paraId="74EDB2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贮存周期</w:t>
                  </w:r>
                </w:p>
              </w:tc>
            </w:tr>
            <w:tr w14:paraId="3F8EE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4" w:type="pct"/>
                  <w:vAlign w:val="center"/>
                </w:tcPr>
                <w:p w14:paraId="05583D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24" w:type="pct"/>
                  <w:vAlign w:val="center"/>
                </w:tcPr>
                <w:p w14:paraId="2F2D972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一般固废暂存区</w:t>
                  </w:r>
                </w:p>
              </w:tc>
              <w:tc>
                <w:tcPr>
                  <w:tcW w:w="785" w:type="pct"/>
                  <w:vAlign w:val="center"/>
                </w:tcPr>
                <w:p w14:paraId="215035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生产车间内</w:t>
                  </w:r>
                </w:p>
              </w:tc>
              <w:tc>
                <w:tcPr>
                  <w:tcW w:w="643" w:type="pct"/>
                  <w:vAlign w:val="center"/>
                </w:tcPr>
                <w:p w14:paraId="38CC02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20m</w:t>
                  </w:r>
                  <w:r>
                    <w:rPr>
                      <w:rFonts w:hint="eastAsia"/>
                      <w:color w:val="000000" w:themeColor="text1"/>
                      <w:vertAlign w:val="superscript"/>
                      <w14:textFill>
                        <w14:solidFill>
                          <w14:schemeClr w14:val="tx1"/>
                        </w14:solidFill>
                      </w14:textFill>
                    </w:rPr>
                    <w:t>2</w:t>
                  </w:r>
                </w:p>
              </w:tc>
              <w:tc>
                <w:tcPr>
                  <w:tcW w:w="714" w:type="pct"/>
                  <w:vAlign w:val="center"/>
                </w:tcPr>
                <w:p w14:paraId="7F2CC50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分类贮存</w:t>
                  </w:r>
                </w:p>
              </w:tc>
              <w:tc>
                <w:tcPr>
                  <w:tcW w:w="714" w:type="pct"/>
                  <w:vAlign w:val="center"/>
                </w:tcPr>
                <w:p w14:paraId="7FC5A6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10t</w:t>
                  </w:r>
                </w:p>
              </w:tc>
              <w:tc>
                <w:tcPr>
                  <w:tcW w:w="714" w:type="pct"/>
                  <w:vAlign w:val="center"/>
                </w:tcPr>
                <w:p w14:paraId="3700F2F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三月</w:t>
                  </w:r>
                </w:p>
              </w:tc>
            </w:tr>
          </w:tbl>
          <w:p w14:paraId="2B471FB7">
            <w:pPr>
              <w:widowControl w:val="0"/>
              <w:tabs>
                <w:tab w:val="left" w:pos="360"/>
              </w:tabs>
              <w:spacing w:before="120" w:beforeLines="50" w:after="0" w:line="240" w:lineRule="auto"/>
              <w:jc w:val="center"/>
              <w:rPr>
                <w:rFonts w:ascii="Times New Roman" w:hAnsi="Times New Roman" w:eastAsia="宋体" w:cs="Times New Roman"/>
                <w:b/>
                <w:bCs/>
                <w:color w:val="000000" w:themeColor="text1"/>
                <w:kern w:val="2"/>
                <w:szCs w:val="20"/>
                <w14:textFill>
                  <w14:solidFill>
                    <w14:schemeClr w14:val="tx1"/>
                  </w14:solidFill>
                </w14:textFill>
              </w:rPr>
            </w:pPr>
            <w:r>
              <w:rPr>
                <w:rFonts w:ascii="Times New Roman" w:hAnsi="Times New Roman" w:eastAsia="宋体" w:cs="Times New Roman"/>
                <w:b/>
                <w:bCs/>
                <w:color w:val="000000" w:themeColor="text1"/>
                <w:kern w:val="2"/>
                <w:szCs w:val="20"/>
                <w14:textFill>
                  <w14:solidFill>
                    <w14:schemeClr w14:val="tx1"/>
                  </w14:solidFill>
                </w14:textFill>
              </w:rPr>
              <w:t>表4.2-</w:t>
            </w:r>
            <w:r>
              <w:rPr>
                <w:rFonts w:hint="eastAsia" w:ascii="Times New Roman" w:hAnsi="Times New Roman" w:eastAsia="宋体" w:cs="Times New Roman"/>
                <w:b/>
                <w:bCs/>
                <w:color w:val="000000" w:themeColor="text1"/>
                <w:kern w:val="2"/>
                <w:szCs w:val="20"/>
                <w14:textFill>
                  <w14:solidFill>
                    <w14:schemeClr w14:val="tx1"/>
                  </w14:solidFill>
                </w14:textFill>
              </w:rPr>
              <w:t>22</w:t>
            </w:r>
            <w:r>
              <w:rPr>
                <w:rFonts w:ascii="Times New Roman" w:hAnsi="Times New Roman" w:eastAsia="宋体" w:cs="Times New Roman"/>
                <w:b/>
                <w:bCs/>
                <w:color w:val="000000" w:themeColor="text1"/>
                <w:kern w:val="2"/>
                <w:szCs w:val="20"/>
                <w14:textFill>
                  <w14:solidFill>
                    <w14:schemeClr w14:val="tx1"/>
                  </w14:solidFill>
                </w14:textFill>
              </w:rPr>
              <w:t xml:space="preserve">  项目危险废物贮存场所（设施）基本情况一览表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1821"/>
              <w:gridCol w:w="1331"/>
              <w:gridCol w:w="1199"/>
              <w:gridCol w:w="1464"/>
              <w:gridCol w:w="1066"/>
              <w:gridCol w:w="1064"/>
            </w:tblGrid>
            <w:tr w14:paraId="3BAE0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1A453D2C">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序号</w:t>
                  </w:r>
                </w:p>
              </w:tc>
              <w:tc>
                <w:tcPr>
                  <w:tcW w:w="1056" w:type="pct"/>
                  <w:vAlign w:val="center"/>
                </w:tcPr>
                <w:p w14:paraId="515A478A">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危险废物贮存场所（设施）名称</w:t>
                  </w:r>
                </w:p>
              </w:tc>
              <w:tc>
                <w:tcPr>
                  <w:tcW w:w="772" w:type="pct"/>
                  <w:vAlign w:val="center"/>
                </w:tcPr>
                <w:p w14:paraId="618FB867">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位置</w:t>
                  </w:r>
                </w:p>
              </w:tc>
              <w:tc>
                <w:tcPr>
                  <w:tcW w:w="695" w:type="pct"/>
                  <w:vAlign w:val="center"/>
                </w:tcPr>
                <w:p w14:paraId="5EB5C85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占地面积</w:t>
                  </w:r>
                </w:p>
              </w:tc>
              <w:tc>
                <w:tcPr>
                  <w:tcW w:w="849" w:type="pct"/>
                  <w:vAlign w:val="center"/>
                </w:tcPr>
                <w:p w14:paraId="1BB94314">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贮存方式</w:t>
                  </w:r>
                </w:p>
              </w:tc>
              <w:tc>
                <w:tcPr>
                  <w:tcW w:w="618" w:type="pct"/>
                  <w:vAlign w:val="center"/>
                </w:tcPr>
                <w:p w14:paraId="7BA7760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w:t>
                  </w:r>
                </w:p>
                <w:p w14:paraId="4A7BA99B">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容积</w:t>
                  </w:r>
                </w:p>
              </w:tc>
              <w:tc>
                <w:tcPr>
                  <w:tcW w:w="617" w:type="pct"/>
                  <w:vAlign w:val="center"/>
                </w:tcPr>
                <w:p w14:paraId="0FA452D7">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w:t>
                  </w:r>
                </w:p>
                <w:p w14:paraId="6C64F7DC">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周期</w:t>
                  </w:r>
                </w:p>
              </w:tc>
            </w:tr>
            <w:tr w14:paraId="09AD8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1B39AF7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1</w:t>
                  </w:r>
                </w:p>
              </w:tc>
              <w:tc>
                <w:tcPr>
                  <w:tcW w:w="1056" w:type="pct"/>
                  <w:vAlign w:val="center"/>
                </w:tcPr>
                <w:p w14:paraId="4104536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危险废物暂存间</w:t>
                  </w:r>
                </w:p>
              </w:tc>
              <w:tc>
                <w:tcPr>
                  <w:tcW w:w="772" w:type="pct"/>
                  <w:vAlign w:val="center"/>
                </w:tcPr>
                <w:p w14:paraId="4B0EEA4D">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生产车间内</w:t>
                  </w:r>
                </w:p>
              </w:tc>
              <w:tc>
                <w:tcPr>
                  <w:tcW w:w="695" w:type="pct"/>
                  <w:vAlign w:val="center"/>
                </w:tcPr>
                <w:p w14:paraId="3BE6D80B">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5</w:t>
                  </w:r>
                  <w:r>
                    <w:rPr>
                      <w:rFonts w:ascii="Times New Roman" w:hAnsi="Times New Roman" w:eastAsia="宋体" w:cs="Times New Roman"/>
                      <w:color w:val="000000" w:themeColor="text1"/>
                      <w:kern w:val="2"/>
                      <w:sz w:val="21"/>
                      <w:szCs w:val="24"/>
                      <w14:textFill>
                        <w14:solidFill>
                          <w14:schemeClr w14:val="tx1"/>
                        </w14:solidFill>
                      </w14:textFill>
                    </w:rPr>
                    <w:t>m</w:t>
                  </w:r>
                  <w:r>
                    <w:rPr>
                      <w:rFonts w:ascii="Times New Roman" w:hAnsi="Times New Roman" w:eastAsia="宋体" w:cs="Times New Roman"/>
                      <w:color w:val="000000" w:themeColor="text1"/>
                      <w:kern w:val="2"/>
                      <w:sz w:val="21"/>
                      <w:szCs w:val="24"/>
                      <w:vertAlign w:val="superscript"/>
                      <w14:textFill>
                        <w14:solidFill>
                          <w14:schemeClr w14:val="tx1"/>
                        </w14:solidFill>
                      </w14:textFill>
                    </w:rPr>
                    <w:t>2</w:t>
                  </w:r>
                </w:p>
              </w:tc>
              <w:tc>
                <w:tcPr>
                  <w:tcW w:w="849" w:type="pct"/>
                  <w:vAlign w:val="center"/>
                </w:tcPr>
                <w:p w14:paraId="2783BED8">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分类贮存</w:t>
                  </w:r>
                </w:p>
              </w:tc>
              <w:tc>
                <w:tcPr>
                  <w:tcW w:w="618" w:type="pct"/>
                  <w:vAlign w:val="center"/>
                </w:tcPr>
                <w:p w14:paraId="3F0D9A10">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5</w:t>
                  </w:r>
                  <w:r>
                    <w:rPr>
                      <w:rFonts w:ascii="Times New Roman" w:hAnsi="Times New Roman" w:eastAsia="宋体" w:cs="Times New Roman"/>
                      <w:color w:val="000000" w:themeColor="text1"/>
                      <w:kern w:val="2"/>
                      <w:sz w:val="21"/>
                      <w:szCs w:val="24"/>
                      <w14:textFill>
                        <w14:solidFill>
                          <w14:schemeClr w14:val="tx1"/>
                        </w14:solidFill>
                      </w14:textFill>
                    </w:rPr>
                    <w:t>t</w:t>
                  </w:r>
                </w:p>
              </w:tc>
              <w:tc>
                <w:tcPr>
                  <w:tcW w:w="617" w:type="pct"/>
                  <w:vAlign w:val="center"/>
                </w:tcPr>
                <w:p w14:paraId="166B2DA1">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半年</w:t>
                  </w:r>
                </w:p>
              </w:tc>
            </w:tr>
          </w:tbl>
          <w:p w14:paraId="7F34FEFE">
            <w:pPr>
              <w:widowControl w:val="0"/>
              <w:adjustRightInd w:val="0"/>
              <w:spacing w:before="120" w:beforeLines="50" w:after="0" w:line="360" w:lineRule="auto"/>
              <w:ind w:firstLine="480" w:firstLineChars="200"/>
              <w:rPr>
                <w:rFonts w:ascii="Times New Roman" w:hAnsi="Times New Roman" w:eastAsia="宋体" w:cs="Times New Roman"/>
                <w:b/>
                <w:bCs/>
                <w:color w:val="000000" w:themeColor="text1"/>
                <w:kern w:val="2"/>
                <w:szCs w:val="21"/>
                <w14:textFill>
                  <w14:solidFill>
                    <w14:schemeClr w14:val="tx1"/>
                  </w14:solidFill>
                </w14:textFill>
              </w:rPr>
            </w:pPr>
            <w:r>
              <w:rPr>
                <w:rFonts w:hint="eastAsia" w:ascii="Times New Roman" w:hAnsi="Times New Roman" w:eastAsia="宋体" w:cs="Times New Roman"/>
                <w:color w:val="000000" w:themeColor="text1"/>
                <w:kern w:val="2"/>
                <w:szCs w:val="21"/>
                <w14:textFill>
                  <w14:solidFill>
                    <w14:schemeClr w14:val="tx1"/>
                  </w14:solidFill>
                </w14:textFill>
              </w:rPr>
              <w:t>2、一般工业固体废物处理处置要求</w:t>
            </w:r>
          </w:p>
          <w:p w14:paraId="37CF0208">
            <w:pPr>
              <w:widowControl w:val="0"/>
              <w:spacing w:after="0" w:line="360" w:lineRule="auto"/>
              <w:ind w:firstLine="480" w:firstLineChars="200"/>
              <w:rPr>
                <w:rFonts w:ascii="Times New Roman" w:hAnsi="Times New Roman" w:eastAsia="宋体" w:cs="宋体"/>
                <w:color w:val="000000" w:themeColor="text1"/>
                <w:szCs w:val="24"/>
                <w:lang w:val="zh-CN"/>
                <w14:textFill>
                  <w14:solidFill>
                    <w14:schemeClr w14:val="tx1"/>
                  </w14:solidFill>
                </w14:textFill>
              </w:rPr>
            </w:pPr>
            <w:r>
              <w:rPr>
                <w:rFonts w:hint="eastAsia" w:ascii="Times New Roman" w:hAnsi="Times New Roman" w:eastAsia="宋体" w:cs="宋体"/>
                <w:color w:val="000000" w:themeColor="text1"/>
                <w:szCs w:val="24"/>
                <w:lang w:val="zh-CN"/>
                <w14:textFill>
                  <w14:solidFill>
                    <w14:schemeClr w14:val="tx1"/>
                  </w14:solidFill>
                </w14:textFill>
              </w:rPr>
              <w:t>（1）贮存要求</w:t>
            </w:r>
          </w:p>
          <w:p w14:paraId="003478F5">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宋体"/>
                <w:color w:val="000000" w:themeColor="text1"/>
                <w:szCs w:val="24"/>
                <w:lang w:val="zh-CN"/>
                <w14:textFill>
                  <w14:solidFill>
                    <w14:schemeClr w14:val="tx1"/>
                  </w14:solidFill>
                </w14:textFill>
              </w:rPr>
              <w:t>为了防止一般固废在贮存、处置过程中对环境产生影响，项目须设置一般固废暂存间（建筑面积</w:t>
            </w:r>
            <w:r>
              <w:rPr>
                <w:rFonts w:hint="eastAsia" w:ascii="Times New Roman" w:hAnsi="Times New Roman" w:eastAsia="宋体" w:cs="宋体"/>
                <w:color w:val="000000" w:themeColor="text1"/>
                <w:szCs w:val="24"/>
                <w14:textFill>
                  <w14:solidFill>
                    <w14:schemeClr w14:val="tx1"/>
                  </w14:solidFill>
                </w14:textFill>
              </w:rPr>
              <w:t>20</w:t>
            </w:r>
            <w:r>
              <w:rPr>
                <w:rFonts w:hint="eastAsia" w:ascii="Times New Roman" w:hAnsi="Times New Roman" w:eastAsia="宋体" w:cs="宋体"/>
                <w:color w:val="000000" w:themeColor="text1"/>
                <w:szCs w:val="24"/>
                <w:lang w:val="zh-CN"/>
                <w14:textFill>
                  <w14:solidFill>
                    <w14:schemeClr w14:val="tx1"/>
                  </w14:solidFill>
                </w14:textFill>
              </w:rPr>
              <w:t>m</w:t>
            </w:r>
            <w:r>
              <w:rPr>
                <w:rFonts w:hint="eastAsia" w:ascii="Times New Roman" w:hAnsi="Times New Roman" w:eastAsia="宋体" w:cs="宋体"/>
                <w:color w:val="000000" w:themeColor="text1"/>
                <w:szCs w:val="24"/>
                <w:vertAlign w:val="superscript"/>
                <w:lang w:val="zh-CN"/>
                <w14:textFill>
                  <w14:solidFill>
                    <w14:schemeClr w14:val="tx1"/>
                  </w14:solidFill>
                </w14:textFill>
              </w:rPr>
              <w:t>2</w:t>
            </w:r>
            <w:r>
              <w:rPr>
                <w:rFonts w:hint="eastAsia" w:ascii="Times New Roman" w:hAnsi="Times New Roman" w:eastAsia="宋体" w:cs="宋体"/>
                <w:color w:val="000000" w:themeColor="text1"/>
                <w:szCs w:val="24"/>
                <w:lang w:val="zh-CN"/>
                <w14:textFill>
                  <w14:solidFill>
                    <w14:schemeClr w14:val="tx1"/>
                  </w14:solidFill>
                </w14:textFill>
              </w:rPr>
              <w:t>），其建设需满足《一般工业固体废物贮存和填埋污染控制标准》（GB18599-2020）相关规定，具体规定如下：</w:t>
            </w:r>
          </w:p>
          <w:p w14:paraId="17DB0D77">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①</w:t>
            </w:r>
            <w:r>
              <w:rPr>
                <w:rFonts w:ascii="Times New Roman" w:hAnsi="Times New Roman" w:eastAsia="宋体" w:cs="Times New Roman"/>
                <w:color w:val="000000" w:themeColor="text1"/>
                <w:kern w:val="2"/>
                <w:szCs w:val="24"/>
                <w14:textFill>
                  <w14:solidFill>
                    <w14:schemeClr w14:val="tx1"/>
                  </w14:solidFill>
                </w14:textFill>
              </w:rPr>
              <w:t>应选在满足承载力要求的地基上，以避免地基下沉的影响，特别是不均匀或局部下沉的影响。</w:t>
            </w:r>
          </w:p>
          <w:p w14:paraId="375D580C">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②</w:t>
            </w:r>
            <w:r>
              <w:rPr>
                <w:rFonts w:ascii="Times New Roman" w:hAnsi="Times New Roman" w:eastAsia="宋体" w:cs="Times New Roman"/>
                <w:color w:val="000000" w:themeColor="text1"/>
                <w:kern w:val="2"/>
                <w:szCs w:val="24"/>
                <w14:textFill>
                  <w14:solidFill>
                    <w14:schemeClr w14:val="tx1"/>
                  </w14:solidFill>
                </w14:textFill>
              </w:rPr>
              <w:t>暂存场所应采取防雨措施，设置钢制防雨棚或混凝土防雨屋顶，并设置给排水系统。</w:t>
            </w:r>
          </w:p>
          <w:p w14:paraId="44F1B4B9">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③</w:t>
            </w:r>
            <w:r>
              <w:rPr>
                <w:rFonts w:ascii="Times New Roman" w:hAnsi="Times New Roman" w:eastAsia="宋体" w:cs="Times New Roman"/>
                <w:color w:val="000000" w:themeColor="text1"/>
                <w:kern w:val="2"/>
                <w:szCs w:val="24"/>
                <w14:textFill>
                  <w14:solidFill>
                    <w14:schemeClr w14:val="tx1"/>
                  </w14:solidFill>
                </w14:textFill>
              </w:rPr>
              <w:t>暂存场所应采取防雨、防渗措施，应在贮存场所地表建设建筑物，将贮存场所建成室内贮存区域，同时采用防渗、防腐蚀（耐碱）的材料作地面。</w:t>
            </w:r>
          </w:p>
          <w:p w14:paraId="4A96E92B">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（2）管理要求</w:t>
            </w:r>
          </w:p>
          <w:p w14:paraId="1F124448">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根据《中华人民共和国固体废物污染环境防治法》、《一般工业固体废物管理台账制定指南（试行）》，建设单位需采取措施，减少固体废物的产生量，促进固体废物的综合利用，降低固体废物的危害性。</w:t>
            </w:r>
          </w:p>
          <w:p w14:paraId="3CD36881">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①监督管理</w:t>
            </w:r>
          </w:p>
          <w:p w14:paraId="233E792A">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加强对相关设施、设备和场所的管理和维护，保证其正常运行和使用。采取防扬散、防流失、防渗漏或者其他防止污染环境的措施，不得擅自倾倒、堆放、丢弃、遗撒固体废物。禁止向江河、湖泊、运河、渠道、水库及其最高水位线以下的滩地和岸坡以及法律法规规定的其他地点倾倒、堆放、贮存固体废物。依法及时公开固体废物污染环境防治信息，主动接受社会监督。</w:t>
            </w:r>
          </w:p>
          <w:p w14:paraId="64E084BD">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②工业固体废物</w:t>
            </w:r>
          </w:p>
          <w:p w14:paraId="008A3326">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禁止向生活垃圾收集设施中投放工业固体废物。委托他人运输、利用、处置工业固体废物的，应当对受托方的主体资格和技术能力进行核实，依法签订书面合同，在合同中约定污染防治要求。</w:t>
            </w:r>
          </w:p>
          <w:p w14:paraId="2F85DCB1">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③生活垃圾</w:t>
            </w:r>
          </w:p>
          <w:p w14:paraId="123F45AB">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依法履行生活垃圾源头减量和分类投放义务，承担生活垃圾产生者责任。依法在指定的地点分类投放生活垃圾。禁止随意倾倒、抛撒、堆放或者焚烧生活垃圾。</w:t>
            </w:r>
          </w:p>
          <w:p w14:paraId="100F8912">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④环境管理要求</w:t>
            </w:r>
          </w:p>
          <w:p w14:paraId="07F2AB67">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对项目一般工业固体废物的收集、贮存、处置情况进行登记，并对其产生、收集、贮存和处置情况进行台账记录，台账保存期限不得少于5年。</w:t>
            </w:r>
          </w:p>
          <w:p w14:paraId="42EB9D5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3、危险废物处理处置要求</w:t>
            </w:r>
          </w:p>
          <w:p w14:paraId="6B9840B0">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（1）贮存设施选址要求</w:t>
            </w:r>
          </w:p>
          <w:p w14:paraId="12ADE15E">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项目设置危险废物暂存库（5m</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2</w:t>
            </w:r>
            <w:r>
              <w:rPr>
                <w:rFonts w:hint="eastAsia" w:ascii="Times New Roman" w:hAnsi="Times New Roman" w:eastAsia="宋体" w:cs="Times New Roman"/>
                <w:color w:val="000000" w:themeColor="text1"/>
                <w:kern w:val="2"/>
                <w:szCs w:val="24"/>
                <w14:textFill>
                  <w14:solidFill>
                    <w14:schemeClr w14:val="tx1"/>
                  </w14:solidFill>
                </w14:textFill>
              </w:rPr>
              <w:t>），根据《危险废物贮存污染控制标准》(GB18597-2023)的相关要求，危险废物暂存库采取如下措施：</w:t>
            </w:r>
          </w:p>
          <w:p w14:paraId="664D2840">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①贮存设施选址应满足生态环境保护法律法规、规划和“三线一单”生态环境分区管控的要求。</w:t>
            </w:r>
          </w:p>
          <w:p w14:paraId="73F3D975">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②集中贮存设施不应选在生态保护红线区域、永久基本农田和其他需要特别保护的区域内，不应建在溶洞区或易遭受洪水、滑坡、泥石流、潮汐等严重自然灾害影响的地区。</w:t>
            </w:r>
          </w:p>
          <w:p w14:paraId="30D9E9DB">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③贮存设施不应选在江河、湖泊、运河、渠道、水库及其最高水位线以下的滩地和岸坡，以及法律法规规定禁止贮存危险废物的其他地点。</w:t>
            </w:r>
          </w:p>
          <w:p w14:paraId="7F325A87">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（2）贮存设施污染控制要求</w:t>
            </w:r>
          </w:p>
          <w:p w14:paraId="70209DA8">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①贮存设施应根据危险废物的形态、物理化学性质、包装形式和污染物迁移途径，采取必要的防风、防晒、防雨、防漏、防渗、防腐以及其他环境污染防治措施，不应露天堆放危险废物。</w:t>
            </w:r>
          </w:p>
          <w:p w14:paraId="274F816E">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②贮存设施应根据危险废物的类别、数量、形态、物理化学性质和污染防治等要求设置必要的贮存分区，避免不相容的危险废物接触、混合。</w:t>
            </w:r>
          </w:p>
          <w:p w14:paraId="04FC5619">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③贮存设施或贮存分区内地面、墙面裙脚、堵截泄漏的围堰、接触危险废物的隔板和墙体等应采用坚固的材料建造，表面无裂缝。</w:t>
            </w:r>
          </w:p>
          <w:p w14:paraId="7005F226">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 m 厚黏土层（渗透系数不大于10</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-7</w:t>
            </w:r>
            <w:r>
              <w:rPr>
                <w:rFonts w:hint="eastAsia" w:ascii="Times New Roman" w:hAnsi="Times New Roman" w:eastAsia="宋体" w:cs="Times New Roman"/>
                <w:color w:val="000000" w:themeColor="text1"/>
                <w:kern w:val="2"/>
                <w:szCs w:val="24"/>
                <w14:textFill>
                  <w14:solidFill>
                    <w14:schemeClr w14:val="tx1"/>
                  </w14:solidFill>
                </w14:textFill>
              </w:rPr>
              <w:t xml:space="preserve"> cm/s），或至少2 mm 厚高密度聚乙烯膜等人工防渗材料（渗透系数不大于10</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-10</w:t>
            </w:r>
            <w:r>
              <w:rPr>
                <w:rFonts w:hint="eastAsia" w:ascii="Times New Roman" w:hAnsi="Times New Roman" w:eastAsia="宋体" w:cs="Times New Roman"/>
                <w:color w:val="000000" w:themeColor="text1"/>
                <w:kern w:val="2"/>
                <w:szCs w:val="24"/>
                <w14:textFill>
                  <w14:solidFill>
                    <w14:schemeClr w14:val="tx1"/>
                  </w14:solidFill>
                </w14:textFill>
              </w:rPr>
              <w:t xml:space="preserve"> cm/s），或其他防渗性能等效的材料。</w:t>
            </w:r>
          </w:p>
          <w:p w14:paraId="08C1CB8E">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⑤同一贮存设施宜采用相同的防渗、防腐工艺（包括防渗、防腐结构或材料），防渗、防腐材料应覆盖所有可能与废物及其渗滤液、渗漏液等接触的构筑物表面；采用不同防渗、防腐工艺应分别建设贮存分区。</w:t>
            </w:r>
          </w:p>
          <w:p w14:paraId="75850C53">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⑥贮存设施应采取技术和管理措施防止无关人员进入。</w:t>
            </w:r>
          </w:p>
          <w:p w14:paraId="3C3F3AAC">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⑦贮存库内不同贮存分区之间应采取隔离措施。隔离措施可根据危险废物特性采用过道、隔板或隔墙等方式。</w:t>
            </w:r>
          </w:p>
          <w:p w14:paraId="5D8746EA">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⑧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62278CE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（3）容器和包装物污染控制要求</w:t>
            </w:r>
          </w:p>
          <w:p w14:paraId="4E9E783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①容器和包装物材质、内衬应与盛装的危险废物相容。</w:t>
            </w:r>
          </w:p>
          <w:p w14:paraId="5C9E5E29">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②针对不同类别、形态、物理化学性质的危险废物，其容器和包装物应满足相应的防渗、防漏、防腐和强度等要求。</w:t>
            </w:r>
          </w:p>
          <w:p w14:paraId="038C84BE">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③硬质容器和包装物及其支护结构堆叠码放时不应有明显变形，无破损泄漏。</w:t>
            </w:r>
          </w:p>
          <w:p w14:paraId="0B7D2F43">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④柔性容器和包装物堆叠码放时应封口严密，无破损泄漏。</w:t>
            </w:r>
          </w:p>
          <w:p w14:paraId="3D19296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⑤使用容器盛装液态、半固态危险废物时，容器内部应留有适当的空间，以适应因温度变化等可能引发的收缩和膨胀，防止其导致容器渗漏或永久变形。</w:t>
            </w:r>
          </w:p>
          <w:p w14:paraId="45427D2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⑥容器和包装物外表面应保持清洁。</w:t>
            </w:r>
          </w:p>
          <w:p w14:paraId="0A3E126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（4）危险废物运输和转移</w:t>
            </w:r>
          </w:p>
          <w:p w14:paraId="72E80B6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企业应严格按照</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危</w:t>
            </w:r>
            <w:r>
              <w:rPr>
                <w:color w:val="000000" w:themeColor="text1"/>
                <w14:textFill>
                  <w14:solidFill>
                    <w14:schemeClr w14:val="tx1"/>
                  </w14:solidFill>
                </w14:textFill>
              </w:rPr>
              <w:t>险废物转移管理办法》相关要求</w:t>
            </w:r>
            <w:r>
              <w:rPr>
                <w:rFonts w:hint="eastAsia"/>
                <w:color w:val="000000" w:themeColor="text1"/>
                <w14:textFill>
                  <w14:solidFill>
                    <w14:schemeClr w14:val="tx1"/>
                  </w14:solidFill>
                </w14:textFill>
              </w:rPr>
              <w:t>加强对危险废物转移活动的管理，危险废物运输和转移过程需注意：</w:t>
            </w:r>
          </w:p>
          <w:p w14:paraId="1F26E75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①危险废物转移应当遵循就近原则；</w:t>
            </w:r>
          </w:p>
          <w:p w14:paraId="096062B3">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转移危险废物的，应当执行危险废物转移联单制度，应当通过国家危险废物信息管理系统（以下简称信息系统）填写、运行危险废物电子转移联单，并依照国家有关规定公开危险废物转移相关污染环境防治信息；</w:t>
            </w:r>
          </w:p>
          <w:p w14:paraId="078CCA09">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③危险废物移出人在危险废物转移过程中应当采取防扬散、防流失、防渗漏或者其他防止污染环境的措施，不得擅自倾倒、堆放、丢弃、遗撒危险废物。</w:t>
            </w:r>
          </w:p>
          <w:p w14:paraId="536679D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④移出人应当履行以下义务：</w:t>
            </w:r>
          </w:p>
          <w:p w14:paraId="3BFE852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a、对承运人或者接受人的主体资格和技术能力进行核实，依法签订书面合同，并在合同中约定运输、贮存、利用、处置危险废物的污染防治要求及相关责任；</w:t>
            </w:r>
          </w:p>
          <w:p w14:paraId="3760F60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b、制定危险废物管理计划，明确拟转移危险废物的种类、重量（数量）和流向等信息；</w:t>
            </w:r>
          </w:p>
          <w:p w14:paraId="205A97E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c、建立危险废物管理台账，对转移的危险废物进行计量称重，如实记录、妥善保管转移危险废物的种类、重量（数量）和接受人等相关信息；</w:t>
            </w:r>
          </w:p>
          <w:p w14:paraId="40BF525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d、填写、运行危险废物转移联单，在危险废物转移联单中如实填写移出人、承运人、接受人信息，转移危险废物的种类、重量（数量）、危险特性等信息，以及突发环境事件的防范措施等；</w:t>
            </w:r>
          </w:p>
          <w:p w14:paraId="0FF6DCF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e</w:t>
            </w:r>
            <w:r>
              <w:rPr>
                <w:rFonts w:hint="eastAsia"/>
                <w:color w:val="000000" w:themeColor="text1"/>
                <w:lang w:eastAsia="zh-CN"/>
                <w14:textFill>
                  <w14:solidFill>
                    <w14:schemeClr w14:val="tx1"/>
                  </w14:solidFill>
                </w14:textFill>
              </w:rPr>
              <w:t>及</w:t>
            </w:r>
            <w:r>
              <w:rPr>
                <w:rFonts w:hint="eastAsia"/>
                <w:color w:val="000000" w:themeColor="text1"/>
                <w14:textFill>
                  <w14:solidFill>
                    <w14:schemeClr w14:val="tx1"/>
                  </w14:solidFill>
                </w14:textFill>
              </w:rPr>
              <w:t>时核实接受人贮存、利用或者处置相关危险废物情况；</w:t>
            </w:r>
          </w:p>
          <w:p w14:paraId="52D3C63E">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f、法律法规规定的其他义务。</w:t>
            </w:r>
          </w:p>
          <w:p w14:paraId="67AAC7C3">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移出人应当按照国家有关要求开展危险废物鉴别。禁止将危险废物以副产品等名义提供或者委托给无危险废物经营许可证的单位或者其他生产经营者从事收集、贮存、利用、处置活动。</w:t>
            </w:r>
          </w:p>
          <w:p w14:paraId="31FEA2A7">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5</w:t>
            </w:r>
            <w:r>
              <w:rPr>
                <w:rFonts w:ascii="Times New Roman" w:hAnsi="Times New Roman" w:eastAsia="宋体" w:cs="Times New Roman"/>
                <w:b/>
                <w:bCs/>
                <w:color w:val="000000" w:themeColor="text1"/>
                <w14:textFill>
                  <w14:solidFill>
                    <w14:schemeClr w14:val="tx1"/>
                  </w14:solidFill>
                </w14:textFill>
              </w:rPr>
              <w:t xml:space="preserve"> 地下水、土壤环境影响分析</w:t>
            </w:r>
          </w:p>
          <w:p w14:paraId="3F390F66">
            <w:pPr>
              <w:widowControl w:val="0"/>
              <w:adjustRightInd w:val="0"/>
              <w:spacing w:after="0" w:line="360" w:lineRule="auto"/>
              <w:ind w:firstLine="482" w:firstLineChars="200"/>
              <w:rPr>
                <w:rFonts w:ascii="Times New Roman" w:hAnsi="Times New Roman" w:eastAsia="宋体" w:cs="Times New Roman"/>
                <w:b/>
                <w:bCs/>
                <w:color w:val="000000" w:themeColor="text1"/>
                <w:kern w:val="2"/>
                <w:szCs w:val="21"/>
                <w14:textFill>
                  <w14:solidFill>
                    <w14:schemeClr w14:val="tx1"/>
                  </w14:solidFill>
                </w14:textFill>
              </w:rPr>
            </w:pPr>
            <w:r>
              <w:rPr>
                <w:rFonts w:hint="eastAsia" w:ascii="Times New Roman" w:hAnsi="Times New Roman" w:eastAsia="宋体" w:cs="Times New Roman"/>
                <w:b/>
                <w:bCs/>
                <w:color w:val="000000" w:themeColor="text1"/>
                <w:kern w:val="2"/>
                <w:szCs w:val="21"/>
                <w14:textFill>
                  <w14:solidFill>
                    <w14:schemeClr w14:val="tx1"/>
                  </w14:solidFill>
                </w14:textFill>
              </w:rPr>
              <w:t>1、</w:t>
            </w:r>
            <w:r>
              <w:rPr>
                <w:rFonts w:ascii="Times New Roman" w:hAnsi="Times New Roman" w:eastAsia="宋体" w:cs="Times New Roman"/>
                <w:b/>
                <w:bCs/>
                <w:color w:val="000000" w:themeColor="text1"/>
                <w:kern w:val="2"/>
                <w:szCs w:val="21"/>
                <w14:textFill>
                  <w14:solidFill>
                    <w14:schemeClr w14:val="tx1"/>
                  </w14:solidFill>
                </w14:textFill>
              </w:rPr>
              <w:t>污染源、污染物类型和污染途径</w:t>
            </w:r>
          </w:p>
          <w:p w14:paraId="0FB905A2">
            <w:pPr>
              <w:pStyle w:val="171"/>
              <w:widowControl w:val="0"/>
              <w:topLinePunct/>
              <w:spacing w:after="0"/>
              <w:ind w:firstLine="480"/>
              <w:jc w:val="both"/>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Times New Roman"/>
                <w:bCs/>
                <w:color w:val="000000" w:themeColor="text1"/>
                <w:kern w:val="2"/>
                <w:szCs w:val="21"/>
                <w14:textFill>
                  <w14:solidFill>
                    <w14:schemeClr w14:val="tx1"/>
                  </w14:solidFill>
                </w14:textFill>
              </w:rPr>
              <w:t>项目大气污染物为颗粒物、非甲烷总烃，不排放有毒有害大气污染物，不会对土壤造成污染。可能的污染途径为</w:t>
            </w:r>
            <w:r>
              <w:rPr>
                <w:rFonts w:ascii="Times New Roman" w:hAnsi="Times New Roman" w:eastAsia="宋体" w:cs="Times New Roman"/>
                <w:bCs/>
                <w:color w:val="000000" w:themeColor="text1"/>
                <w:kern w:val="2"/>
                <w:szCs w:val="21"/>
                <w:lang w:val="en-GB"/>
                <w14:textFill>
                  <w14:solidFill>
                    <w14:schemeClr w14:val="tx1"/>
                  </w14:solidFill>
                </w14:textFill>
              </w:rPr>
              <w:t>化粪池</w:t>
            </w:r>
            <w:r>
              <w:rPr>
                <w:rFonts w:hint="eastAsia" w:ascii="Times New Roman" w:hAnsi="Times New Roman" w:eastAsia="宋体" w:cs="Times New Roman"/>
                <w:bCs/>
                <w:color w:val="000000" w:themeColor="text1"/>
                <w:kern w:val="2"/>
                <w:szCs w:val="21"/>
                <w:lang w:val="en-GB"/>
                <w14:textFill>
                  <w14:solidFill>
                    <w14:schemeClr w14:val="tx1"/>
                  </w14:solidFill>
                </w14:textFill>
              </w:rPr>
              <w:t>、沉淀池、橡胶油罐区等储存废水、物料的设施发生渗漏导致污染土壤和地下水</w:t>
            </w:r>
            <w:r>
              <w:rPr>
                <w:rFonts w:ascii="Times New Roman" w:hAnsi="Times New Roman" w:eastAsia="宋体" w:cs="Times New Roman"/>
                <w:bCs/>
                <w:color w:val="000000" w:themeColor="text1"/>
                <w:kern w:val="2"/>
                <w:szCs w:val="21"/>
                <w14:textFill>
                  <w14:solidFill>
                    <w14:schemeClr w14:val="tx1"/>
                  </w14:solidFill>
                </w14:textFill>
              </w:rPr>
              <w:t>，各类固废由于收集、贮放、运输、处置等环节的不严格或不妥善，造成地下水污染。本项目主要的地下水污染源和污染途径见下表。</w:t>
            </w:r>
          </w:p>
          <w:p w14:paraId="77CF463F">
            <w:pPr>
              <w:widowControl w:val="0"/>
              <w:tabs>
                <w:tab w:val="left" w:pos="360"/>
              </w:tabs>
              <w:spacing w:before="120" w:beforeLines="50" w:after="0" w:line="240" w:lineRule="auto"/>
              <w:jc w:val="center"/>
              <w:rPr>
                <w:rFonts w:ascii="Times New Roman" w:hAnsi="Times New Roman" w:eastAsia="宋体" w:cs="Times New Roman"/>
                <w:b/>
                <w:bCs/>
                <w:color w:val="000000" w:themeColor="text1"/>
                <w:kern w:val="2"/>
                <w:szCs w:val="20"/>
                <w14:textFill>
                  <w14:solidFill>
                    <w14:schemeClr w14:val="tx1"/>
                  </w14:solidFill>
                </w14:textFill>
              </w:rPr>
            </w:pPr>
            <w:r>
              <w:rPr>
                <w:rFonts w:ascii="Times New Roman" w:hAnsi="Times New Roman" w:eastAsia="宋体" w:cs="Times New Roman"/>
                <w:b/>
                <w:bCs/>
                <w:color w:val="000000" w:themeColor="text1"/>
                <w:kern w:val="2"/>
                <w:szCs w:val="20"/>
                <w14:textFill>
                  <w14:solidFill>
                    <w14:schemeClr w14:val="tx1"/>
                  </w14:solidFill>
                </w14:textFill>
              </w:rPr>
              <w:t>表4.2-</w:t>
            </w:r>
            <w:r>
              <w:rPr>
                <w:rFonts w:hint="eastAsia" w:ascii="Times New Roman" w:hAnsi="Times New Roman" w:eastAsia="宋体" w:cs="Times New Roman"/>
                <w:b/>
                <w:bCs/>
                <w:color w:val="000000" w:themeColor="text1"/>
                <w:kern w:val="2"/>
                <w:szCs w:val="20"/>
                <w14:textFill>
                  <w14:solidFill>
                    <w14:schemeClr w14:val="tx1"/>
                  </w14:solidFill>
                </w14:textFill>
              </w:rPr>
              <w:t>23</w:t>
            </w:r>
            <w:r>
              <w:rPr>
                <w:rFonts w:ascii="Times New Roman" w:hAnsi="Times New Roman" w:eastAsia="宋体" w:cs="Times New Roman"/>
                <w:b/>
                <w:bCs/>
                <w:color w:val="000000" w:themeColor="text1"/>
                <w:kern w:val="2"/>
                <w:szCs w:val="20"/>
                <w14:textFill>
                  <w14:solidFill>
                    <w14:schemeClr w14:val="tx1"/>
                  </w14:solidFill>
                </w14:textFill>
              </w:rPr>
              <w:t xml:space="preserve">  项目主要的地下水污染源及污染途径一览表</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830"/>
              <w:gridCol w:w="5658"/>
            </w:tblGrid>
            <w:tr w14:paraId="580EF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8" w:type="pct"/>
                  <w:vAlign w:val="center"/>
                </w:tcPr>
                <w:p w14:paraId="52F299C4">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序号</w:t>
                  </w:r>
                </w:p>
              </w:tc>
              <w:tc>
                <w:tcPr>
                  <w:tcW w:w="1061" w:type="pct"/>
                  <w:vAlign w:val="center"/>
                </w:tcPr>
                <w:p w14:paraId="2603CC27">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污染源</w:t>
                  </w:r>
                </w:p>
              </w:tc>
              <w:tc>
                <w:tcPr>
                  <w:tcW w:w="3281" w:type="pct"/>
                  <w:vAlign w:val="center"/>
                </w:tcPr>
                <w:p w14:paraId="648EDFD6">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污染途径</w:t>
                  </w:r>
                </w:p>
              </w:tc>
            </w:tr>
            <w:tr w14:paraId="766BF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8" w:type="pct"/>
                  <w:vAlign w:val="center"/>
                </w:tcPr>
                <w:p w14:paraId="1CA331A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1</w:t>
                  </w:r>
                </w:p>
              </w:tc>
              <w:tc>
                <w:tcPr>
                  <w:tcW w:w="1061" w:type="pct"/>
                  <w:vAlign w:val="center"/>
                </w:tcPr>
                <w:p w14:paraId="5E62208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化粪池</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、沉淀池、橡胶油罐</w:t>
                  </w:r>
                </w:p>
              </w:tc>
              <w:tc>
                <w:tcPr>
                  <w:tcW w:w="3281" w:type="pct"/>
                  <w:vAlign w:val="center"/>
                </w:tcPr>
                <w:p w14:paraId="5DFBEB3F">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池底或池壁破裂、渗漏，污染</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土壤和</w:t>
                  </w:r>
                  <w:r>
                    <w:rPr>
                      <w:rFonts w:ascii="Times New Roman" w:hAnsi="Times New Roman" w:eastAsia="宋体" w:cs="Times New Roman"/>
                      <w:color w:val="000000" w:themeColor="text1"/>
                      <w:kern w:val="2"/>
                      <w:sz w:val="21"/>
                      <w:szCs w:val="20"/>
                      <w:lang w:val="en-GB"/>
                      <w14:textFill>
                        <w14:solidFill>
                          <w14:schemeClr w14:val="tx1"/>
                        </w14:solidFill>
                      </w14:textFill>
                    </w:rPr>
                    <w:t>地下水</w:t>
                  </w:r>
                </w:p>
              </w:tc>
            </w:tr>
            <w:tr w14:paraId="71339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8" w:type="pct"/>
                  <w:vAlign w:val="center"/>
                </w:tcPr>
                <w:p w14:paraId="544F6AA8">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2</w:t>
                  </w:r>
                </w:p>
              </w:tc>
              <w:tc>
                <w:tcPr>
                  <w:tcW w:w="1061" w:type="pct"/>
                  <w:vAlign w:val="center"/>
                </w:tcPr>
                <w:p w14:paraId="0EB9A7BF">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危废贮存库</w:t>
                  </w:r>
                </w:p>
              </w:tc>
              <w:tc>
                <w:tcPr>
                  <w:tcW w:w="3281" w:type="pct"/>
                  <w:vAlign w:val="center"/>
                </w:tcPr>
                <w:p w14:paraId="1863CEC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地面破裂、渗漏，污染土壤和地下水</w:t>
                  </w:r>
                </w:p>
              </w:tc>
            </w:tr>
          </w:tbl>
          <w:p w14:paraId="34BB9578">
            <w:pPr>
              <w:widowControl w:val="0"/>
              <w:spacing w:before="120" w:beforeLines="50" w:after="0" w:line="360" w:lineRule="auto"/>
              <w:ind w:firstLine="482" w:firstLineChars="200"/>
              <w:jc w:val="both"/>
              <w:rPr>
                <w:rFonts w:ascii="Times New Roman" w:hAnsi="Times New Roman" w:eastAsia="宋体" w:cs="Times New Roman"/>
                <w:b/>
                <w:bCs/>
                <w:color w:val="000000" w:themeColor="text1"/>
                <w:kern w:val="2"/>
                <w:szCs w:val="20"/>
                <w14:textFill>
                  <w14:solidFill>
                    <w14:schemeClr w14:val="tx1"/>
                  </w14:solidFill>
                </w14:textFill>
              </w:rPr>
            </w:pPr>
            <w:r>
              <w:rPr>
                <w:rFonts w:hint="eastAsia" w:ascii="Times New Roman" w:hAnsi="Times New Roman" w:eastAsia="宋体" w:cs="Times New Roman"/>
                <w:b/>
                <w:bCs/>
                <w:color w:val="000000" w:themeColor="text1"/>
                <w:kern w:val="2"/>
                <w:szCs w:val="20"/>
                <w14:textFill>
                  <w14:solidFill>
                    <w14:schemeClr w14:val="tx1"/>
                  </w14:solidFill>
                </w14:textFill>
              </w:rPr>
              <w:t>2、</w:t>
            </w:r>
            <w:r>
              <w:rPr>
                <w:rFonts w:ascii="Times New Roman" w:hAnsi="Times New Roman" w:eastAsia="宋体" w:cs="Times New Roman"/>
                <w:b/>
                <w:bCs/>
                <w:color w:val="000000" w:themeColor="text1"/>
                <w:kern w:val="2"/>
                <w:szCs w:val="20"/>
                <w14:textFill>
                  <w14:solidFill>
                    <w14:schemeClr w14:val="tx1"/>
                  </w14:solidFill>
                </w14:textFill>
              </w:rPr>
              <w:t>污染防治措施</w:t>
            </w:r>
          </w:p>
          <w:p w14:paraId="1F4FF25C">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地下水环境》（HJ610-2016），本环评将厂区</w:t>
            </w:r>
            <w:r>
              <w:rPr>
                <w:rFonts w:hint="eastAsia"/>
                <w:color w:val="000000" w:themeColor="text1"/>
                <w14:textFill>
                  <w14:solidFill>
                    <w14:schemeClr w14:val="tx1"/>
                  </w14:solidFill>
                </w14:textFill>
              </w:rPr>
              <w:t>进行分区防渗设置</w:t>
            </w:r>
            <w:r>
              <w:rPr>
                <w:color w:val="000000" w:themeColor="text1"/>
                <w14:textFill>
                  <w14:solidFill>
                    <w14:schemeClr w14:val="tx1"/>
                  </w14:solidFill>
                </w14:textFill>
              </w:rPr>
              <w:t>，针对不同的区域提出相应的防渗要求。</w:t>
            </w:r>
          </w:p>
          <w:p w14:paraId="4FC1647D">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（1）重点防渗区</w:t>
            </w:r>
          </w:p>
          <w:p w14:paraId="1F718211">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指污染地下水环境的物料泄漏后，不容易及时被发现和处理的区域。本项目重点防渗区为危废贮存库。对于重点防渗区，按照《危险废物贮存污染控制标准》（GB18597-2023）等相应要求进行防渗设计，防渗性能不应低于1m厚、渗透系数为1.0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cm/s的黏土层防渗性能，或至少2mm厚的其他人工材料，渗透系数≤10</w:t>
            </w:r>
            <w:r>
              <w:rPr>
                <w:color w:val="000000" w:themeColor="text1"/>
                <w:vertAlign w:val="superscript"/>
                <w14:textFill>
                  <w14:solidFill>
                    <w14:schemeClr w14:val="tx1"/>
                  </w14:solidFill>
                </w14:textFill>
              </w:rPr>
              <w:t>-10</w:t>
            </w:r>
            <w:r>
              <w:rPr>
                <w:color w:val="000000" w:themeColor="text1"/>
                <w14:textFill>
                  <w14:solidFill>
                    <w14:schemeClr w14:val="tx1"/>
                  </w14:solidFill>
                </w14:textFill>
              </w:rPr>
              <w:t>cm/s。</w:t>
            </w:r>
          </w:p>
          <w:p w14:paraId="7025CEB4">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（2）一般防渗区</w:t>
            </w:r>
          </w:p>
          <w:p w14:paraId="018B62EA">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指裸露于地面的生产功能单元，污染地下水环境的物料泄漏后，容易被及时发现和处理的区域。本项目一般防渗区为化粪池</w:t>
            </w:r>
            <w:r>
              <w:rPr>
                <w:rFonts w:hint="eastAsia"/>
                <w:color w:val="000000" w:themeColor="text1"/>
                <w14:textFill>
                  <w14:solidFill>
                    <w14:schemeClr w14:val="tx1"/>
                  </w14:solidFill>
                </w14:textFill>
              </w:rPr>
              <w:t>、沉淀池</w:t>
            </w:r>
            <w:r>
              <w:rPr>
                <w:color w:val="000000" w:themeColor="text1"/>
                <w14:textFill>
                  <w14:solidFill>
                    <w14:schemeClr w14:val="tx1"/>
                  </w14:solidFill>
                </w14:textFill>
              </w:rPr>
              <w:t>。对于一般防渗区，参照《一般工业固体废物贮存和填埋污染控制标准》（GB18599-2020）等相应进行防渗设计，防渗层的防渗性能至少相当于渗透系数为1.0×10</w:t>
            </w:r>
            <w:r>
              <w:rPr>
                <w:color w:val="000000" w:themeColor="text1"/>
                <w:vertAlign w:val="superscript"/>
                <w14:textFill>
                  <w14:solidFill>
                    <w14:schemeClr w14:val="tx1"/>
                  </w14:solidFill>
                </w14:textFill>
              </w:rPr>
              <w:t>-5</w:t>
            </w:r>
            <w:r>
              <w:rPr>
                <w:color w:val="000000" w:themeColor="text1"/>
                <w14:textFill>
                  <w14:solidFill>
                    <w14:schemeClr w14:val="tx1"/>
                  </w14:solidFill>
                </w14:textFill>
              </w:rPr>
              <w:t>cm/s且厚度为0.75 m的天然基础层。</w:t>
            </w:r>
          </w:p>
          <w:p w14:paraId="17A7ED56">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（3）简单防渗区</w:t>
            </w:r>
          </w:p>
          <w:p w14:paraId="4F7281D7">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ascii="Times New Roman" w:hAnsi="Times New Roman" w:eastAsia="宋体" w:cs="Times New Roman"/>
                <w:bCs/>
                <w:color w:val="000000" w:themeColor="text1"/>
                <w:kern w:val="2"/>
                <w:szCs w:val="21"/>
                <w14:textFill>
                  <w14:solidFill>
                    <w14:schemeClr w14:val="tx1"/>
                  </w14:solidFill>
                </w14:textFill>
              </w:rPr>
              <w:t>本项目简单防渗区为厂房内除重点防渗区、一般防渗区以外区域。对于基本上不产生污染物的简单防渗区，采用一般地面硬化。</w:t>
            </w:r>
          </w:p>
          <w:p w14:paraId="5E19F891">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ascii="Times New Roman" w:hAnsi="Times New Roman" w:eastAsia="宋体" w:cs="Times New Roman"/>
                <w:bCs/>
                <w:color w:val="000000" w:themeColor="text1"/>
                <w:kern w:val="2"/>
                <w:szCs w:val="21"/>
                <w14:textFill>
                  <w14:solidFill>
                    <w14:schemeClr w14:val="tx1"/>
                  </w14:solidFill>
                </w14:textFill>
              </w:rPr>
              <w:t>本项目地下水防渗分区及防渗技术要求见下表。</w:t>
            </w:r>
          </w:p>
          <w:p w14:paraId="77F0A914">
            <w:pPr>
              <w:widowControl w:val="0"/>
              <w:tabs>
                <w:tab w:val="left" w:pos="360"/>
              </w:tabs>
              <w:spacing w:before="120" w:beforeLines="50" w:after="0" w:line="240" w:lineRule="auto"/>
              <w:ind w:firstLine="480"/>
              <w:jc w:val="center"/>
              <w:rPr>
                <w:rFonts w:ascii="Times New Roman" w:hAnsi="Times New Roman" w:eastAsia="宋体" w:cs="Times New Roman"/>
                <w:b/>
                <w:color w:val="000000" w:themeColor="text1"/>
                <w:kern w:val="2"/>
                <w:szCs w:val="20"/>
                <w14:textFill>
                  <w14:solidFill>
                    <w14:schemeClr w14:val="tx1"/>
                  </w14:solidFill>
                </w14:textFill>
              </w:rPr>
            </w:pPr>
            <w:r>
              <w:rPr>
                <w:rFonts w:ascii="Times New Roman" w:hAnsi="Times New Roman" w:eastAsia="宋体" w:cs="Times New Roman"/>
                <w:b/>
                <w:color w:val="000000" w:themeColor="text1"/>
                <w:kern w:val="2"/>
                <w:szCs w:val="20"/>
                <w14:textFill>
                  <w14:solidFill>
                    <w14:schemeClr w14:val="tx1"/>
                  </w14:solidFill>
                </w14:textFill>
              </w:rPr>
              <w:t>表4.2-</w:t>
            </w:r>
            <w:r>
              <w:rPr>
                <w:rFonts w:hint="eastAsia" w:ascii="Times New Roman" w:hAnsi="Times New Roman" w:eastAsia="宋体" w:cs="Times New Roman"/>
                <w:b/>
                <w:color w:val="000000" w:themeColor="text1"/>
                <w:kern w:val="2"/>
                <w:szCs w:val="20"/>
                <w14:textFill>
                  <w14:solidFill>
                    <w14:schemeClr w14:val="tx1"/>
                  </w14:solidFill>
                </w14:textFill>
              </w:rPr>
              <w:t>24</w:t>
            </w:r>
            <w:r>
              <w:rPr>
                <w:rFonts w:ascii="Times New Roman" w:hAnsi="Times New Roman" w:eastAsia="宋体" w:cs="Times New Roman"/>
                <w:b/>
                <w:color w:val="000000" w:themeColor="text1"/>
                <w:kern w:val="2"/>
                <w:szCs w:val="20"/>
                <w14:textFill>
                  <w14:solidFill>
                    <w14:schemeClr w14:val="tx1"/>
                  </w14:solidFill>
                </w14:textFill>
              </w:rPr>
              <w:t xml:space="preserve">  地下水防渗分区及防渗要求一览表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1375"/>
              <w:gridCol w:w="2258"/>
              <w:gridCol w:w="1400"/>
              <w:gridCol w:w="2759"/>
            </w:tblGrid>
            <w:tr w14:paraId="043EF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65DE931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序号</w:t>
                  </w:r>
                </w:p>
              </w:tc>
              <w:tc>
                <w:tcPr>
                  <w:tcW w:w="797" w:type="pct"/>
                  <w:vAlign w:val="center"/>
                </w:tcPr>
                <w:p w14:paraId="22DDD62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防渗分区</w:t>
                  </w:r>
                </w:p>
              </w:tc>
              <w:tc>
                <w:tcPr>
                  <w:tcW w:w="1309" w:type="pct"/>
                  <w:vAlign w:val="center"/>
                </w:tcPr>
                <w:p w14:paraId="115308D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装置或构筑物名称</w:t>
                  </w:r>
                </w:p>
              </w:tc>
              <w:tc>
                <w:tcPr>
                  <w:tcW w:w="812" w:type="pct"/>
                  <w:vAlign w:val="center"/>
                </w:tcPr>
                <w:p w14:paraId="0FA44F7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防渗区域</w:t>
                  </w:r>
                </w:p>
              </w:tc>
              <w:tc>
                <w:tcPr>
                  <w:tcW w:w="1600" w:type="pct"/>
                  <w:vAlign w:val="center"/>
                </w:tcPr>
                <w:p w14:paraId="6B0D5C3E">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防渗技术要求</w:t>
                  </w:r>
                </w:p>
              </w:tc>
            </w:tr>
            <w:tr w14:paraId="1DB2C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740D28F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1</w:t>
                  </w:r>
                </w:p>
              </w:tc>
              <w:tc>
                <w:tcPr>
                  <w:tcW w:w="797" w:type="pct"/>
                  <w:vAlign w:val="center"/>
                </w:tcPr>
                <w:p w14:paraId="6FE5DF65">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重点防渗区</w:t>
                  </w:r>
                </w:p>
              </w:tc>
              <w:tc>
                <w:tcPr>
                  <w:tcW w:w="1309" w:type="pct"/>
                  <w:vAlign w:val="center"/>
                </w:tcPr>
                <w:p w14:paraId="1C07A25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危废贮存库</w:t>
                  </w:r>
                </w:p>
              </w:tc>
              <w:tc>
                <w:tcPr>
                  <w:tcW w:w="812" w:type="pct"/>
                  <w:vAlign w:val="center"/>
                </w:tcPr>
                <w:p w14:paraId="2AFFF269">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地面、裙脚</w:t>
                  </w:r>
                </w:p>
              </w:tc>
              <w:tc>
                <w:tcPr>
                  <w:tcW w:w="1600" w:type="pct"/>
                  <w:vAlign w:val="center"/>
                </w:tcPr>
                <w:p w14:paraId="5DF447C3">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等效黏土防渗层Mb≥6.0m，K≤1.0×10</w:t>
                  </w:r>
                  <w:r>
                    <w:rPr>
                      <w:rFonts w:ascii="Times New Roman" w:hAnsi="Times New Roman" w:eastAsia="宋体" w:cs="Times New Roman"/>
                      <w:color w:val="000000" w:themeColor="text1"/>
                      <w:kern w:val="2"/>
                      <w:sz w:val="21"/>
                      <w:szCs w:val="20"/>
                      <w:vertAlign w:val="superscript"/>
                      <w:lang w:val="en-GB"/>
                      <w14:textFill>
                        <w14:solidFill>
                          <w14:schemeClr w14:val="tx1"/>
                        </w14:solidFill>
                      </w14:textFill>
                    </w:rPr>
                    <w:t>-7</w:t>
                  </w:r>
                  <w:r>
                    <w:rPr>
                      <w:rFonts w:ascii="Times New Roman" w:hAnsi="Times New Roman" w:eastAsia="宋体" w:cs="Times New Roman"/>
                      <w:color w:val="000000" w:themeColor="text1"/>
                      <w:kern w:val="2"/>
                      <w:sz w:val="21"/>
                      <w:szCs w:val="20"/>
                      <w:lang w:val="en-GB"/>
                      <w14:textFill>
                        <w14:solidFill>
                          <w14:schemeClr w14:val="tx1"/>
                        </w14:solidFill>
                      </w14:textFill>
                    </w:rPr>
                    <w:t>cm/s；或参照GB</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18598</w:t>
                  </w:r>
                  <w:r>
                    <w:rPr>
                      <w:rFonts w:ascii="Times New Roman" w:hAnsi="Times New Roman" w:eastAsia="宋体" w:cs="Times New Roman"/>
                      <w:color w:val="000000" w:themeColor="text1"/>
                      <w:kern w:val="2"/>
                      <w:sz w:val="21"/>
                      <w:szCs w:val="20"/>
                      <w:lang w:val="en-GB"/>
                      <w14:textFill>
                        <w14:solidFill>
                          <w14:schemeClr w14:val="tx1"/>
                        </w14:solidFill>
                      </w14:textFill>
                    </w:rPr>
                    <w:t>执行</w:t>
                  </w:r>
                </w:p>
              </w:tc>
            </w:tr>
            <w:tr w14:paraId="3C236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Merge w:val="restart"/>
                  <w:vAlign w:val="center"/>
                </w:tcPr>
                <w:p w14:paraId="25902295">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2</w:t>
                  </w:r>
                </w:p>
              </w:tc>
              <w:tc>
                <w:tcPr>
                  <w:tcW w:w="797" w:type="pct"/>
                  <w:vMerge w:val="restart"/>
                  <w:vAlign w:val="center"/>
                </w:tcPr>
                <w:p w14:paraId="604546E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一般防渗区</w:t>
                  </w:r>
                </w:p>
              </w:tc>
              <w:tc>
                <w:tcPr>
                  <w:tcW w:w="1309" w:type="pct"/>
                  <w:vAlign w:val="center"/>
                </w:tcPr>
                <w:p w14:paraId="7080B059">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hint="eastAsia" w:ascii="Times New Roman" w:hAnsi="Times New Roman" w:eastAsia="宋体" w:cs="Times New Roman"/>
                      <w:color w:val="000000" w:themeColor="text1"/>
                      <w:kern w:val="2"/>
                      <w:sz w:val="21"/>
                      <w:szCs w:val="20"/>
                      <w:lang w:val="en-GB"/>
                      <w14:textFill>
                        <w14:solidFill>
                          <w14:schemeClr w14:val="tx1"/>
                        </w14:solidFill>
                      </w14:textFill>
                    </w:rPr>
                    <w:t>橡胶油储罐区</w:t>
                  </w:r>
                </w:p>
              </w:tc>
              <w:tc>
                <w:tcPr>
                  <w:tcW w:w="812" w:type="pct"/>
                  <w:vAlign w:val="center"/>
                </w:tcPr>
                <w:p w14:paraId="058C09CF">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hint="eastAsia" w:ascii="Times New Roman" w:hAnsi="Times New Roman" w:eastAsia="宋体" w:cs="Times New Roman"/>
                      <w:color w:val="000000" w:themeColor="text1"/>
                      <w:kern w:val="2"/>
                      <w:sz w:val="21"/>
                      <w:szCs w:val="20"/>
                      <w:lang w:val="en-GB"/>
                      <w14:textFill>
                        <w14:solidFill>
                          <w14:schemeClr w14:val="tx1"/>
                        </w14:solidFill>
                      </w14:textFill>
                    </w:rPr>
                    <w:t>地面、围堰</w:t>
                  </w:r>
                </w:p>
              </w:tc>
              <w:tc>
                <w:tcPr>
                  <w:tcW w:w="1600" w:type="pct"/>
                  <w:vMerge w:val="restart"/>
                  <w:vAlign w:val="center"/>
                </w:tcPr>
                <w:p w14:paraId="2F3E66E8">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等效黏土防渗层Mb≥1.5≤1.0×10</w:t>
                  </w:r>
                  <w:r>
                    <w:rPr>
                      <w:rFonts w:ascii="Times New Roman" w:hAnsi="Times New Roman" w:eastAsia="宋体" w:cs="Times New Roman"/>
                      <w:color w:val="000000" w:themeColor="text1"/>
                      <w:kern w:val="2"/>
                      <w:sz w:val="21"/>
                      <w:szCs w:val="20"/>
                      <w:vertAlign w:val="superscript"/>
                      <w:lang w:val="en-GB"/>
                      <w14:textFill>
                        <w14:solidFill>
                          <w14:schemeClr w14:val="tx1"/>
                        </w14:solidFill>
                      </w14:textFill>
                    </w:rPr>
                    <w:t>-7</w:t>
                  </w:r>
                  <w:r>
                    <w:rPr>
                      <w:rFonts w:ascii="Times New Roman" w:hAnsi="Times New Roman" w:eastAsia="宋体" w:cs="Times New Roman"/>
                      <w:color w:val="000000" w:themeColor="text1"/>
                      <w:kern w:val="2"/>
                      <w:sz w:val="21"/>
                      <w:szCs w:val="20"/>
                      <w:lang w:val="en-GB"/>
                      <w14:textFill>
                        <w14:solidFill>
                          <w14:schemeClr w14:val="tx1"/>
                        </w14:solidFill>
                      </w14:textFill>
                    </w:rPr>
                    <w:t>cm/s；或参照GB16889执行</w:t>
                  </w:r>
                </w:p>
              </w:tc>
            </w:tr>
            <w:tr w14:paraId="70C2E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Merge w:val="continue"/>
                  <w:vAlign w:val="center"/>
                </w:tcPr>
                <w:p w14:paraId="408DF49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c>
                <w:tcPr>
                  <w:tcW w:w="797" w:type="pct"/>
                  <w:vMerge w:val="continue"/>
                  <w:vAlign w:val="center"/>
                </w:tcPr>
                <w:p w14:paraId="5030FAC5">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c>
                <w:tcPr>
                  <w:tcW w:w="1309" w:type="pct"/>
                  <w:vAlign w:val="center"/>
                </w:tcPr>
                <w:p w14:paraId="79F0138C">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化粪池</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、沉淀池</w:t>
                  </w:r>
                </w:p>
              </w:tc>
              <w:tc>
                <w:tcPr>
                  <w:tcW w:w="812" w:type="pct"/>
                  <w:vAlign w:val="center"/>
                </w:tcPr>
                <w:p w14:paraId="5642D1C7">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池底、池壁</w:t>
                  </w:r>
                </w:p>
              </w:tc>
              <w:tc>
                <w:tcPr>
                  <w:tcW w:w="1600" w:type="pct"/>
                  <w:vMerge w:val="continue"/>
                  <w:vAlign w:val="center"/>
                </w:tcPr>
                <w:p w14:paraId="2D6BF60E">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r>
            <w:tr w14:paraId="0F43B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31A56B45">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3</w:t>
                  </w:r>
                </w:p>
              </w:tc>
              <w:tc>
                <w:tcPr>
                  <w:tcW w:w="797" w:type="pct"/>
                  <w:vAlign w:val="center"/>
                </w:tcPr>
                <w:p w14:paraId="7B02A005">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简单防渗区</w:t>
                  </w:r>
                </w:p>
              </w:tc>
              <w:tc>
                <w:tcPr>
                  <w:tcW w:w="1309" w:type="pct"/>
                  <w:vAlign w:val="center"/>
                </w:tcPr>
                <w:p w14:paraId="301FE1FE">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其他区域</w:t>
                  </w:r>
                </w:p>
              </w:tc>
              <w:tc>
                <w:tcPr>
                  <w:tcW w:w="812" w:type="pct"/>
                  <w:vAlign w:val="center"/>
                </w:tcPr>
                <w:p w14:paraId="4D3D7E77">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w:t>
                  </w:r>
                </w:p>
              </w:tc>
              <w:tc>
                <w:tcPr>
                  <w:tcW w:w="1600" w:type="pct"/>
                  <w:vAlign w:val="center"/>
                </w:tcPr>
                <w:p w14:paraId="6C184B13">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简单硬化</w:t>
                  </w:r>
                </w:p>
              </w:tc>
            </w:tr>
          </w:tbl>
          <w:p w14:paraId="081961BB">
            <w:pPr>
              <w:pStyle w:val="4"/>
              <w:keepNext w:val="0"/>
              <w:keepLines w:val="0"/>
              <w:widowControl w:val="0"/>
              <w:topLinePunct/>
              <w:spacing w:before="120" w:beforeLines="5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6</w:t>
            </w:r>
            <w:r>
              <w:rPr>
                <w:rFonts w:ascii="Times New Roman" w:hAnsi="Times New Roman" w:eastAsia="宋体" w:cs="Times New Roman"/>
                <w:b/>
                <w:bCs/>
                <w:color w:val="000000" w:themeColor="text1"/>
                <w14:textFill>
                  <w14:solidFill>
                    <w14:schemeClr w14:val="tx1"/>
                  </w14:solidFill>
                </w14:textFill>
              </w:rPr>
              <w:t xml:space="preserve"> 运营期环境风险影响分析和防范措施</w:t>
            </w:r>
          </w:p>
          <w:p w14:paraId="66B6832F">
            <w:pPr>
              <w:spacing w:after="0" w:line="360" w:lineRule="auto"/>
              <w:ind w:firstLine="482" w:firstLineChars="200"/>
              <w:jc w:val="both"/>
              <w:rPr>
                <w:rFonts w:ascii="Times New Roman" w:hAnsi="Times New Roman" w:eastAsia="宋体" w:cs="Times New Roman"/>
                <w:b/>
                <w:bCs/>
                <w:color w:val="000000" w:themeColor="text1"/>
                <w:szCs w:val="24"/>
                <w:lang w:val="zh-CN" w:bidi="zh-CN"/>
                <w14:textFill>
                  <w14:solidFill>
                    <w14:schemeClr w14:val="tx1"/>
                  </w14:solidFill>
                </w14:textFill>
              </w:rPr>
            </w:pPr>
            <w:r>
              <w:rPr>
                <w:rFonts w:hint="eastAsia" w:ascii="Times New Roman" w:hAnsi="Times New Roman" w:eastAsia="宋体" w:cs="Times New Roman"/>
                <w:b/>
                <w:bCs/>
                <w:color w:val="000000" w:themeColor="text1"/>
                <w:szCs w:val="24"/>
                <w:lang w:val="zh-CN" w:bidi="zh-CN"/>
                <w14:textFill>
                  <w14:solidFill>
                    <w14:schemeClr w14:val="tx1"/>
                  </w14:solidFill>
                </w14:textFill>
              </w:rPr>
              <w:t>1、风险物质</w:t>
            </w:r>
          </w:p>
          <w:p w14:paraId="4D900DB8">
            <w:pPr>
              <w:spacing w:after="0" w:line="360" w:lineRule="auto"/>
              <w:ind w:firstLine="480" w:firstLineChars="200"/>
              <w:jc w:val="both"/>
              <w:rPr>
                <w:rFonts w:ascii="Times New Roman" w:hAnsi="Times New Roman" w:eastAsia="宋体" w:cs="Times New Roman"/>
                <w:color w:val="000000" w:themeColor="text1"/>
                <w:szCs w:val="24"/>
                <w:lang w:val="zh-CN" w:bidi="zh-CN"/>
                <w14:textFill>
                  <w14:solidFill>
                    <w14:schemeClr w14:val="tx1"/>
                  </w14:solidFill>
                </w14:textFill>
              </w:rPr>
            </w:pPr>
            <w:r>
              <w:rPr>
                <w:rFonts w:hint="eastAsia" w:ascii="Times New Roman" w:hAnsi="Times New Roman" w:eastAsia="宋体" w:cs="Times New Roman"/>
                <w:color w:val="000000" w:themeColor="text1"/>
                <w:szCs w:val="24"/>
                <w:lang w:val="zh-CN" w:bidi="zh-CN"/>
                <w14:textFill>
                  <w14:solidFill>
                    <w14:schemeClr w14:val="tx1"/>
                  </w14:solidFill>
                </w14:textFill>
              </w:rPr>
              <w:t>根据《建设项目环境风险评价技术导则》（HJ169-2018）附录B，识别项目使用的风险物质如下表4.2-25。</w:t>
            </w:r>
          </w:p>
          <w:p w14:paraId="71C4319C">
            <w:pPr>
              <w:widowControl w:val="0"/>
              <w:spacing w:before="120" w:beforeLines="50" w:after="0" w:line="240" w:lineRule="auto"/>
              <w:jc w:val="center"/>
              <w:outlineLvl w:val="4"/>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b/>
                <w:color w:val="000000" w:themeColor="text1"/>
                <w:kern w:val="2"/>
                <w:szCs w:val="24"/>
                <w14:textFill>
                  <w14:solidFill>
                    <w14:schemeClr w14:val="tx1"/>
                  </w14:solidFill>
                </w14:textFill>
              </w:rPr>
              <w:t>表</w:t>
            </w:r>
            <w:r>
              <w:rPr>
                <w:rFonts w:hint="eastAsia" w:ascii="Times New Roman" w:hAnsi="Times New Roman" w:eastAsia="宋体" w:cs="Times New Roman"/>
                <w:b/>
                <w:color w:val="000000" w:themeColor="text1"/>
                <w:kern w:val="2"/>
                <w:szCs w:val="24"/>
                <w14:textFill>
                  <w14:solidFill>
                    <w14:schemeClr w14:val="tx1"/>
                  </w14:solidFill>
                </w14:textFill>
              </w:rPr>
              <w:t>4</w:t>
            </w:r>
            <w:r>
              <w:rPr>
                <w:rFonts w:ascii="Times New Roman" w:hAnsi="Times New Roman" w:eastAsia="宋体" w:cs="Times New Roman"/>
                <w:b/>
                <w:color w:val="000000" w:themeColor="text1"/>
                <w:kern w:val="2"/>
                <w:szCs w:val="24"/>
                <w14:textFill>
                  <w14:solidFill>
                    <w14:schemeClr w14:val="tx1"/>
                  </w14:solidFill>
                </w14:textFill>
              </w:rPr>
              <w:t>.2</w:t>
            </w:r>
            <w:r>
              <w:rPr>
                <w:rFonts w:hint="eastAsia" w:ascii="Times New Roman" w:hAnsi="Times New Roman" w:eastAsia="宋体" w:cs="Times New Roman"/>
                <w:b/>
                <w:color w:val="000000" w:themeColor="text1"/>
                <w:kern w:val="2"/>
                <w:szCs w:val="24"/>
                <w14:textFill>
                  <w14:solidFill>
                    <w14:schemeClr w14:val="tx1"/>
                  </w14:solidFill>
                </w14:textFill>
              </w:rPr>
              <w:t>-25</w:t>
            </w:r>
            <w:r>
              <w:rPr>
                <w:rFonts w:ascii="Times New Roman" w:hAnsi="Times New Roman" w:eastAsia="宋体" w:cs="Times New Roman"/>
                <w:b/>
                <w:color w:val="000000" w:themeColor="text1"/>
                <w:kern w:val="2"/>
                <w:szCs w:val="24"/>
                <w14:textFill>
                  <w14:solidFill>
                    <w14:schemeClr w14:val="tx1"/>
                  </w14:solidFill>
                </w14:textFill>
              </w:rPr>
              <w:t xml:space="preserve">  风险物质及最大存在量</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621"/>
              <w:gridCol w:w="1773"/>
              <w:gridCol w:w="1773"/>
              <w:gridCol w:w="1769"/>
            </w:tblGrid>
            <w:tr w14:paraId="38E14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0E029523">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危险物质名称</w:t>
                  </w:r>
                </w:p>
              </w:tc>
              <w:tc>
                <w:tcPr>
                  <w:tcW w:w="940" w:type="pct"/>
                  <w:vAlign w:val="center"/>
                </w:tcPr>
                <w:p w14:paraId="7A28BB14">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储存</w:t>
                  </w:r>
                  <w:r>
                    <w:rPr>
                      <w:rFonts w:hint="eastAsia" w:ascii="Times New Roman" w:hAnsi="Times New Roman" w:eastAsia="宋体" w:cs="Times New Roman"/>
                      <w:color w:val="000000" w:themeColor="text1"/>
                      <w:sz w:val="21"/>
                      <w:szCs w:val="24"/>
                      <w:lang w:val="en-GB"/>
                      <w14:textFill>
                        <w14:solidFill>
                          <w14:schemeClr w14:val="tx1"/>
                        </w14:solidFill>
                      </w14:textFill>
                    </w:rPr>
                    <w:t>位置</w:t>
                  </w:r>
                </w:p>
              </w:tc>
              <w:tc>
                <w:tcPr>
                  <w:tcW w:w="1028" w:type="pct"/>
                  <w:vAlign w:val="center"/>
                </w:tcPr>
                <w:p w14:paraId="016644EB">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全厂最大存储量/t</w:t>
                  </w:r>
                </w:p>
              </w:tc>
              <w:tc>
                <w:tcPr>
                  <w:tcW w:w="1028" w:type="pct"/>
                  <w:vAlign w:val="center"/>
                </w:tcPr>
                <w:p w14:paraId="3B1BA7F2">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临界量/t</w:t>
                  </w:r>
                </w:p>
              </w:tc>
              <w:tc>
                <w:tcPr>
                  <w:tcW w:w="1026" w:type="pct"/>
                  <w:vAlign w:val="center"/>
                </w:tcPr>
                <w:p w14:paraId="7EBA71FC">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临界量Qn/t</w:t>
                  </w:r>
                </w:p>
              </w:tc>
            </w:tr>
            <w:tr w14:paraId="0AF0B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4A98FDF5">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废润滑油</w:t>
                  </w:r>
                </w:p>
              </w:tc>
              <w:tc>
                <w:tcPr>
                  <w:tcW w:w="940" w:type="pct"/>
                  <w:vAlign w:val="center"/>
                </w:tcPr>
                <w:p w14:paraId="33560DF7">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危废贮存库</w:t>
                  </w:r>
                </w:p>
              </w:tc>
              <w:tc>
                <w:tcPr>
                  <w:tcW w:w="1028" w:type="pct"/>
                  <w:vAlign w:val="center"/>
                </w:tcPr>
                <w:p w14:paraId="09DD9BB4">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0.05</w:t>
                  </w:r>
                </w:p>
              </w:tc>
              <w:tc>
                <w:tcPr>
                  <w:tcW w:w="1028" w:type="pct"/>
                  <w:vMerge w:val="restart"/>
                  <w:vAlign w:val="center"/>
                </w:tcPr>
                <w:p w14:paraId="65DDF6EA">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2500</w:t>
                  </w:r>
                  <w:r>
                    <w:rPr>
                      <w:rFonts w:hint="eastAsia" w:ascii="Times New Roman" w:hAnsi="Times New Roman" w:eastAsia="宋体" w:cs="Times New Roman"/>
                      <w:color w:val="000000" w:themeColor="text1"/>
                      <w:sz w:val="21"/>
                      <w:szCs w:val="24"/>
                      <w:lang w:val="en-GB"/>
                      <w14:textFill>
                        <w14:solidFill>
                          <w14:schemeClr w14:val="tx1"/>
                        </w14:solidFill>
                      </w14:textFill>
                    </w:rPr>
                    <w:t>（矿物油）</w:t>
                  </w:r>
                </w:p>
              </w:tc>
              <w:tc>
                <w:tcPr>
                  <w:tcW w:w="1026" w:type="pct"/>
                  <w:vMerge w:val="restart"/>
                  <w:vAlign w:val="center"/>
                </w:tcPr>
                <w:p w14:paraId="6EB4A3E1">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0.028</w:t>
                  </w:r>
                </w:p>
              </w:tc>
            </w:tr>
            <w:tr w14:paraId="6A399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09BB0E1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橡胶油</w:t>
                  </w:r>
                </w:p>
              </w:tc>
              <w:tc>
                <w:tcPr>
                  <w:tcW w:w="940" w:type="pct"/>
                  <w:vAlign w:val="center"/>
                </w:tcPr>
                <w:p w14:paraId="1C5FCBCE">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橡胶油储罐</w:t>
                  </w:r>
                </w:p>
              </w:tc>
              <w:tc>
                <w:tcPr>
                  <w:tcW w:w="1028" w:type="pct"/>
                  <w:vAlign w:val="center"/>
                </w:tcPr>
                <w:p w14:paraId="6AB4A04A">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70</w:t>
                  </w:r>
                </w:p>
              </w:tc>
              <w:tc>
                <w:tcPr>
                  <w:tcW w:w="1028" w:type="pct"/>
                  <w:vMerge w:val="continue"/>
                  <w:vAlign w:val="center"/>
                </w:tcPr>
                <w:p w14:paraId="633E852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p>
              </w:tc>
              <w:tc>
                <w:tcPr>
                  <w:tcW w:w="1026" w:type="pct"/>
                  <w:vMerge w:val="continue"/>
                  <w:vAlign w:val="center"/>
                </w:tcPr>
                <w:p w14:paraId="5D2356A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p>
              </w:tc>
            </w:tr>
            <w:tr w14:paraId="413EE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796CBB36">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废活性炭</w:t>
                  </w:r>
                </w:p>
              </w:tc>
              <w:tc>
                <w:tcPr>
                  <w:tcW w:w="940" w:type="pct"/>
                  <w:vAlign w:val="center"/>
                </w:tcPr>
                <w:p w14:paraId="459C35F3">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危废贮存库</w:t>
                  </w:r>
                </w:p>
              </w:tc>
              <w:tc>
                <w:tcPr>
                  <w:tcW w:w="1028" w:type="pct"/>
                  <w:vAlign w:val="center"/>
                </w:tcPr>
                <w:p w14:paraId="70354150">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1.128</w:t>
                  </w:r>
                </w:p>
              </w:tc>
              <w:tc>
                <w:tcPr>
                  <w:tcW w:w="1028" w:type="pct"/>
                  <w:vAlign w:val="center"/>
                </w:tcPr>
                <w:p w14:paraId="4E413D03">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50</w:t>
                  </w:r>
                </w:p>
              </w:tc>
              <w:tc>
                <w:tcPr>
                  <w:tcW w:w="1026" w:type="pct"/>
                  <w:vAlign w:val="center"/>
                </w:tcPr>
                <w:p w14:paraId="762306A0">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0.0226</w:t>
                  </w:r>
                </w:p>
              </w:tc>
            </w:tr>
          </w:tbl>
          <w:p w14:paraId="099D8A93">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项目危险物质存在量及其临界量比值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0.05，根据《建设项目环境风险评价技术导则》</w:t>
            </w:r>
            <w:r>
              <w:rPr>
                <w:color w:val="000000" w:themeColor="text1"/>
                <w14:textFill>
                  <w14:solidFill>
                    <w14:schemeClr w14:val="tx1"/>
                  </w14:solidFill>
                </w14:textFill>
              </w:rPr>
              <w:t>(HJ169-2018)</w:t>
            </w:r>
            <w:r>
              <w:rPr>
                <w:rFonts w:hint="eastAsia"/>
                <w:color w:val="000000" w:themeColor="text1"/>
                <w14:textFill>
                  <w14:solidFill>
                    <w14:schemeClr w14:val="tx1"/>
                  </w14:solidFill>
                </w14:textFill>
              </w:rPr>
              <w:t>附录</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，当</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时，该项目环境风险潜势为Ⅰ，评价工作级别简单分析，因此，本评价主要在描述危险物质、环境影响途径、环境危害后果、风险防范措施等方面给出定性说明。</w:t>
            </w:r>
          </w:p>
          <w:p w14:paraId="43D948E2">
            <w:pPr>
              <w:widowControl w:val="0"/>
              <w:adjustRightInd w:val="0"/>
              <w:spacing w:after="0" w:line="360" w:lineRule="auto"/>
              <w:ind w:firstLine="482"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
                <w:bCs/>
                <w:color w:val="000000" w:themeColor="text1"/>
                <w:kern w:val="2"/>
                <w:szCs w:val="21"/>
                <w14:textFill>
                  <w14:solidFill>
                    <w14:schemeClr w14:val="tx1"/>
                  </w14:solidFill>
                </w14:textFill>
              </w:rPr>
              <w:t>2、环境风险分析</w:t>
            </w:r>
          </w:p>
          <w:p w14:paraId="7E1E5DBB">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本项目的废润滑油采用25kg塑料桶包装，暂存于危废贮存库中。橡胶油储存于橡胶油储罐中，一般情况下，发生泄漏的概率较小。但若管理不善，可能由于包装物、容器破损或受外因诱导时，会引发物质泄漏，甚至引发火灾。</w:t>
            </w:r>
          </w:p>
          <w:p w14:paraId="3DB62162">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①危险废物泄漏影响分析</w:t>
            </w:r>
          </w:p>
          <w:p w14:paraId="24AC6FA9">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本项目危险废物均采用专用容器存储，项目在危险废物暂存区地面采用防渗混凝土硬化，并设置围堰，若发生泄漏均可将其控制在范围内，不会发生漫流现象。废润滑油、废机油为毒性较低物质，挥发性较低，泄漏时其挥发废气不会对周边环境造成太大影响。</w:t>
            </w:r>
          </w:p>
          <w:p w14:paraId="6B6ECA27">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②橡胶油储罐泄漏影响分析</w:t>
            </w:r>
          </w:p>
          <w:p w14:paraId="379B293A">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项目设置有3个橡胶油储罐，均为钢制储罐，安全性及密封性较好，可能出现的泄漏情况为阀门损坏发生橡胶油泄漏。储罐区地面采用防渗混凝土硬化，并设置围堰，若发生泄漏均可将其控制在范围内，不会发生漫流现象。橡胶油挥发性较低，泄漏时其挥发废气不会对周边环境造成太大影响。</w:t>
            </w:r>
          </w:p>
          <w:p w14:paraId="17C83891">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③火灾影响分析</w:t>
            </w:r>
          </w:p>
          <w:p w14:paraId="7A1DE060">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项目易燃物质为废润滑油、橡胶油，企业在生产过程中加强管理，严禁在车间及仓库内吸烟或使用明火；派专人进行管理，严禁闲杂人进入，并配备了足量的与贮存物质相对应的灭火装置，可有效地控制火情。一旦发生火灾，首先使用与着火材料相对应的灭火器材来控制火情，同时迅速将着火点附近的其他物料进行转移，并采取隔离措施，防止火情进一步扩大，不会对周围环境产生太大影响。</w:t>
            </w:r>
          </w:p>
          <w:p w14:paraId="2F0FF28C">
            <w:pPr>
              <w:widowControl w:val="0"/>
              <w:adjustRightInd w:val="0"/>
              <w:spacing w:after="0" w:line="360" w:lineRule="auto"/>
              <w:ind w:firstLine="482" w:firstLineChars="200"/>
              <w:rPr>
                <w:rFonts w:ascii="Times New Roman" w:hAnsi="Times New Roman" w:eastAsia="宋体" w:cs="宋体"/>
                <w:b/>
                <w:bCs/>
                <w:color w:val="000000" w:themeColor="text1"/>
                <w:kern w:val="2"/>
                <w:szCs w:val="21"/>
                <w14:textFill>
                  <w14:solidFill>
                    <w14:schemeClr w14:val="tx1"/>
                  </w14:solidFill>
                </w14:textFill>
              </w:rPr>
            </w:pPr>
            <w:r>
              <w:rPr>
                <w:rFonts w:hint="eastAsia" w:ascii="Times New Roman" w:hAnsi="Times New Roman" w:eastAsia="宋体" w:cs="宋体"/>
                <w:b/>
                <w:bCs/>
                <w:color w:val="000000" w:themeColor="text1"/>
                <w:kern w:val="2"/>
                <w:szCs w:val="21"/>
                <w14:textFill>
                  <w14:solidFill>
                    <w14:schemeClr w14:val="tx1"/>
                  </w14:solidFill>
                </w14:textFill>
              </w:rPr>
              <w:t>3、</w:t>
            </w:r>
            <w:r>
              <w:rPr>
                <w:rFonts w:ascii="Times New Roman" w:hAnsi="Times New Roman" w:eastAsia="宋体" w:cs="宋体"/>
                <w:b/>
                <w:bCs/>
                <w:color w:val="000000" w:themeColor="text1"/>
                <w:kern w:val="2"/>
                <w:szCs w:val="21"/>
                <w14:textFill>
                  <w14:solidFill>
                    <w14:schemeClr w14:val="tx1"/>
                  </w14:solidFill>
                </w14:textFill>
              </w:rPr>
              <w:t>环境风险防范措施</w:t>
            </w:r>
          </w:p>
          <w:p w14:paraId="6DDEDDFC">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项目总平面布置应严格执行《建筑设计防火规范》（GB50016-201</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）中有关防火、防爆的规定，厂房和建筑物按规定划分等级，保证各建筑物之间留有足够的安全距离；且主要设备采用露天或半露天布置，有利于气体扩散，防火防爆区域内所有承重钢结构都应涂覆防火涂层；</w:t>
            </w:r>
          </w:p>
          <w:p w14:paraId="27152F12">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厂区内电气设施、装置应严格执行《爆炸和火灾危险环境电力装置设计规范》（GB50058-2014）规定要求；采用混凝土路面，主干道宽度应满足物料运输、设备检修、消防行车的要求，并与厂区外道路相连；</w:t>
            </w:r>
          </w:p>
          <w:p w14:paraId="60DCC1B3">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厂区内应严格进行防渗处理，避免事故状况造成对土壤及地下水环境的污染；且应设置备用电源，确保在事故状态下能迅速切换到备用电源，消防设计应经消防部门审查同意，建成后应进行消防验收；</w:t>
            </w:r>
          </w:p>
          <w:p w14:paraId="4CE48A2E">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④</w:t>
            </w:r>
            <w:r>
              <w:rPr>
                <w:color w:val="000000" w:themeColor="text1"/>
                <w14:textFill>
                  <w14:solidFill>
                    <w14:schemeClr w14:val="tx1"/>
                  </w14:solidFill>
                </w14:textFill>
              </w:rPr>
              <w:t>厂区选购的设备必须具有完备的检验手续（生产许可证、产品合格证、产品检验证等），并应符合国家现行的技术标准的要求；</w:t>
            </w:r>
          </w:p>
          <w:p w14:paraId="6D2A489E">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⑤</w:t>
            </w:r>
            <w:r>
              <w:rPr>
                <w:color w:val="000000" w:themeColor="text1"/>
                <w14:textFill>
                  <w14:solidFill>
                    <w14:schemeClr w14:val="tx1"/>
                  </w14:solidFill>
                </w14:textFill>
              </w:rPr>
              <w:t>建立健全全厂消防系统，并按规定设置室内室外消防栓；贮存区和生产区应按《建筑灭火器配置设计规范》（GB 50140-2005）配置灭火器；</w:t>
            </w:r>
          </w:p>
          <w:p w14:paraId="46353403">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⑥</w:t>
            </w:r>
            <w:r>
              <w:rPr>
                <w:color w:val="000000" w:themeColor="text1"/>
                <w14:textFill>
                  <w14:solidFill>
                    <w14:schemeClr w14:val="tx1"/>
                  </w14:solidFill>
                </w14:textFill>
              </w:rPr>
              <w:t>项目应保证设备安装质量，经常检查各类设施运行情况，保证各类设施的正常运行</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对于工作不正常的设备，应该及时检修；采取技术、工艺、设备、管理等综合预防措施，避免危废废物泄漏事故发生；</w:t>
            </w:r>
          </w:p>
          <w:p w14:paraId="39584C0B">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lang w:bidi="zh-CN"/>
                <w14:textFill>
                  <w14:solidFill>
                    <w14:schemeClr w14:val="tx1"/>
                  </w14:solidFill>
                </w14:textFill>
              </w:rPr>
            </w:pPr>
            <w:r>
              <w:rPr>
                <w:rFonts w:hint="eastAsia" w:ascii="宋体" w:hAnsi="宋体" w:eastAsia="宋体" w:cs="宋体"/>
                <w:bCs/>
                <w:color w:val="000000" w:themeColor="text1"/>
                <w:kern w:val="2"/>
                <w:szCs w:val="21"/>
                <w:lang w:bidi="zh-CN"/>
                <w14:textFill>
                  <w14:solidFill>
                    <w14:schemeClr w14:val="tx1"/>
                  </w14:solidFill>
                </w14:textFill>
              </w:rPr>
              <w:t>⑦</w:t>
            </w:r>
            <w:r>
              <w:rPr>
                <w:rFonts w:ascii="Times New Roman" w:hAnsi="Times New Roman" w:eastAsia="宋体" w:cs="Times New Roman"/>
                <w:bCs/>
                <w:color w:val="000000" w:themeColor="text1"/>
                <w:kern w:val="2"/>
                <w:szCs w:val="21"/>
                <w:lang w:bidi="zh-CN"/>
                <w14:textFill>
                  <w14:solidFill>
                    <w14:schemeClr w14:val="tx1"/>
                  </w14:solidFill>
                </w14:textFill>
              </w:rPr>
              <w:t>厂区应做好职工个人防护，如上岗按规定着装，戴好防护用具；严格按照工艺设计参数要求认真操作。</w:t>
            </w:r>
          </w:p>
          <w:p w14:paraId="289AD8C6">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Times New Roman"/>
                <w:bCs/>
                <w:color w:val="000000" w:themeColor="text1"/>
                <w:kern w:val="2"/>
                <w:szCs w:val="21"/>
                <w:lang w:bidi="zh-CN"/>
                <w14:textFill>
                  <w14:solidFill>
                    <w14:schemeClr w14:val="tx1"/>
                  </w14:solidFill>
                </w14:textFill>
              </w:rPr>
              <w:t>⑧</w:t>
            </w:r>
            <w:r>
              <w:rPr>
                <w:rFonts w:hint="eastAsia" w:ascii="Times New Roman" w:hAnsi="Times New Roman" w:eastAsia="宋体" w:cs="宋体"/>
                <w:bCs/>
                <w:color w:val="000000" w:themeColor="text1"/>
                <w:kern w:val="2"/>
                <w:szCs w:val="21"/>
                <w14:textFill>
                  <w14:solidFill>
                    <w14:schemeClr w14:val="tx1"/>
                  </w14:solidFill>
                </w14:textFill>
              </w:rPr>
              <w:t>企业应定期对储罐及阀门进行检修维护，并在储罐区周边建设围堰，围堰内有效容积不小于最大一个储罐容积，即不小于30m</w:t>
            </w:r>
            <w:r>
              <w:rPr>
                <w:rFonts w:hint="eastAsia" w:ascii="Times New Roman" w:hAnsi="Times New Roman" w:eastAsia="宋体" w:cs="宋体"/>
                <w:bCs/>
                <w:color w:val="000000" w:themeColor="text1"/>
                <w:kern w:val="2"/>
                <w:szCs w:val="21"/>
                <w:vertAlign w:val="superscript"/>
                <w14:textFill>
                  <w14:solidFill>
                    <w14:schemeClr w14:val="tx1"/>
                  </w14:solidFill>
                </w14:textFill>
              </w:rPr>
              <w:t>3</w:t>
            </w:r>
            <w:r>
              <w:rPr>
                <w:rFonts w:hint="eastAsia" w:ascii="Times New Roman" w:hAnsi="Times New Roman" w:eastAsia="宋体" w:cs="宋体"/>
                <w:bCs/>
                <w:color w:val="000000" w:themeColor="text1"/>
                <w:kern w:val="2"/>
                <w:szCs w:val="21"/>
                <w14:textFill>
                  <w14:solidFill>
                    <w14:schemeClr w14:val="tx1"/>
                  </w14:solidFill>
                </w14:textFill>
              </w:rPr>
              <w:t>。</w:t>
            </w:r>
          </w:p>
          <w:p w14:paraId="4C937BD6">
            <w:pPr>
              <w:keepNext/>
              <w:widowControl w:val="0"/>
              <w:tabs>
                <w:tab w:val="left" w:pos="1010"/>
              </w:tabs>
              <w:snapToGrid w:val="0"/>
              <w:spacing w:after="0" w:line="360" w:lineRule="auto"/>
              <w:rPr>
                <w:rFonts w:ascii="Times New Roman" w:hAnsi="Times New Roman" w:eastAsia="宋体" w:cs="Times New Roman"/>
                <w:b/>
                <w:color w:val="000000" w:themeColor="text1"/>
                <w:szCs w:val="24"/>
                <w14:textFill>
                  <w14:solidFill>
                    <w14:schemeClr w14:val="tx1"/>
                  </w14:solidFill>
                </w14:textFill>
              </w:rPr>
            </w:pPr>
            <w:r>
              <w:rPr>
                <w:rFonts w:ascii="Times New Roman" w:hAnsi="Times New Roman" w:eastAsia="宋体" w:cs="Times New Roman"/>
                <w:b/>
                <w:color w:val="000000" w:themeColor="text1"/>
                <w:szCs w:val="24"/>
                <w14:textFill>
                  <w14:solidFill>
                    <w14:schemeClr w14:val="tx1"/>
                  </w14:solidFill>
                </w14:textFill>
              </w:rPr>
              <w:t>4.2.</w:t>
            </w:r>
            <w:r>
              <w:rPr>
                <w:rFonts w:hint="eastAsia" w:ascii="Times New Roman" w:hAnsi="Times New Roman" w:eastAsia="宋体" w:cs="Times New Roman"/>
                <w:b/>
                <w:color w:val="000000" w:themeColor="text1"/>
                <w:szCs w:val="24"/>
                <w14:textFill>
                  <w14:solidFill>
                    <w14:schemeClr w14:val="tx1"/>
                  </w14:solidFill>
                </w14:textFill>
              </w:rPr>
              <w:t>7</w:t>
            </w:r>
            <w:r>
              <w:rPr>
                <w:rFonts w:ascii="Times New Roman" w:hAnsi="Times New Roman" w:eastAsia="宋体" w:cs="Times New Roman"/>
                <w:b/>
                <w:color w:val="000000" w:themeColor="text1"/>
                <w:szCs w:val="24"/>
                <w14:textFill>
                  <w14:solidFill>
                    <w14:schemeClr w14:val="tx1"/>
                  </w14:solidFill>
                </w14:textFill>
              </w:rPr>
              <w:t>排污口规范化</w:t>
            </w:r>
          </w:p>
          <w:p w14:paraId="00FCC750">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各污染源排放口应设置专项图标，建设单位按照《关于开展排放口规范化整治工作的通知》（环发〔1999〕24 号）和《排污口规范化整治技术要求（试行）》（环监〔1996〕470号）等文件要求，进行排污口规范化设置工作，详见表4.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。标志牌应设在与之功能相应的醒目处，并保持清晰、完整。</w:t>
            </w:r>
          </w:p>
          <w:p w14:paraId="4EABD70E">
            <w:pPr>
              <w:pStyle w:val="225"/>
              <w:ind w:firstLine="480"/>
              <w:rPr>
                <w:color w:val="000000" w:themeColor="text1"/>
                <w14:textFill>
                  <w14:solidFill>
                    <w14:schemeClr w14:val="tx1"/>
                  </w14:solidFill>
                </w14:textFill>
              </w:rPr>
            </w:pPr>
          </w:p>
          <w:p w14:paraId="13A7E8A7">
            <w:pPr>
              <w:pStyle w:val="225"/>
              <w:ind w:firstLine="480"/>
              <w:rPr>
                <w:color w:val="000000" w:themeColor="text1"/>
                <w14:textFill>
                  <w14:solidFill>
                    <w14:schemeClr w14:val="tx1"/>
                  </w14:solidFill>
                </w14:textFill>
              </w:rPr>
            </w:pPr>
          </w:p>
          <w:p w14:paraId="4C327AB1">
            <w:pPr>
              <w:pStyle w:val="225"/>
              <w:ind w:firstLine="480"/>
              <w:rPr>
                <w:color w:val="000000" w:themeColor="text1"/>
                <w14:textFill>
                  <w14:solidFill>
                    <w14:schemeClr w14:val="tx1"/>
                  </w14:solidFill>
                </w14:textFill>
              </w:rPr>
            </w:pPr>
          </w:p>
          <w:p w14:paraId="3D9E6B9E">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 xml:space="preserve"> 各排污口（源）标志牌设置示意图</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28"/>
              <w:gridCol w:w="1781"/>
              <w:gridCol w:w="2398"/>
              <w:gridCol w:w="1067"/>
              <w:gridCol w:w="2949"/>
            </w:tblGrid>
            <w:tr w14:paraId="6884B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5B59CB9B">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序号</w:t>
                  </w:r>
                </w:p>
              </w:tc>
              <w:tc>
                <w:tcPr>
                  <w:tcW w:w="1533" w:type="pct"/>
                  <w:noWrap/>
                  <w:vAlign w:val="center"/>
                </w:tcPr>
                <w:p w14:paraId="0C391BEF">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提示图形符号</w:t>
                  </w:r>
                </w:p>
              </w:tc>
              <w:tc>
                <w:tcPr>
                  <w:tcW w:w="1705" w:type="pct"/>
                  <w:noWrap/>
                  <w:vAlign w:val="center"/>
                </w:tcPr>
                <w:p w14:paraId="368CB1D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警告图形符号</w:t>
                  </w:r>
                </w:p>
              </w:tc>
              <w:tc>
                <w:tcPr>
                  <w:tcW w:w="617" w:type="pct"/>
                  <w:noWrap/>
                  <w:vAlign w:val="center"/>
                </w:tcPr>
                <w:p w14:paraId="7130DA6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名称</w:t>
                  </w:r>
                </w:p>
              </w:tc>
              <w:tc>
                <w:tcPr>
                  <w:tcW w:w="764" w:type="pct"/>
                  <w:noWrap/>
                  <w:vAlign w:val="center"/>
                </w:tcPr>
                <w:p w14:paraId="00FD54F0">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功能</w:t>
                  </w:r>
                </w:p>
              </w:tc>
            </w:tr>
            <w:tr w14:paraId="0266A8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24B43F8F">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1533" w:type="pct"/>
                  <w:noWrap/>
                  <w:vAlign w:val="center"/>
                </w:tcPr>
                <w:p w14:paraId="107AF1D7">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95350" cy="895350"/>
                        <wp:effectExtent l="0" t="0" r="0" b="0"/>
                        <wp:docPr id="16" name="图片 21" descr="废气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descr="废气排放口1"/>
                                <pic:cNvPicPr>
                                  <a:picLocks noChangeAspect="1"/>
                                </pic:cNvPicPr>
                              </pic:nvPicPr>
                              <pic:blipFill>
                                <a:blip r:embed="rId31"/>
                                <a:stretch>
                                  <a:fillRect/>
                                </a:stretch>
                              </pic:blipFill>
                              <pic:spPr>
                                <a:xfrm>
                                  <a:off x="0" y="0"/>
                                  <a:ext cx="895350" cy="895350"/>
                                </a:xfrm>
                                <a:prstGeom prst="rect">
                                  <a:avLst/>
                                </a:prstGeom>
                                <a:noFill/>
                                <a:ln>
                                  <a:noFill/>
                                </a:ln>
                              </pic:spPr>
                            </pic:pic>
                          </a:graphicData>
                        </a:graphic>
                      </wp:inline>
                    </w:drawing>
                  </w:r>
                </w:p>
              </w:tc>
              <w:tc>
                <w:tcPr>
                  <w:tcW w:w="1705" w:type="pct"/>
                  <w:noWrap/>
                  <w:vAlign w:val="center"/>
                </w:tcPr>
                <w:p w14:paraId="169BB0AB">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000125" cy="960120"/>
                        <wp:effectExtent l="0" t="0" r="0" b="0"/>
                        <wp:docPr id="17" name="图片 22" descr="废气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descr="废气排放口2"/>
                                <pic:cNvPicPr>
                                  <a:picLocks noChangeAspect="1"/>
                                </pic:cNvPicPr>
                              </pic:nvPicPr>
                              <pic:blipFill>
                                <a:blip r:embed="rId32"/>
                                <a:srcRect l="4080" t="4826"/>
                                <a:stretch>
                                  <a:fillRect/>
                                </a:stretch>
                              </pic:blipFill>
                              <pic:spPr>
                                <a:xfrm>
                                  <a:off x="0" y="0"/>
                                  <a:ext cx="1004479" cy="964300"/>
                                </a:xfrm>
                                <a:prstGeom prst="rect">
                                  <a:avLst/>
                                </a:prstGeom>
                                <a:noFill/>
                                <a:ln>
                                  <a:noFill/>
                                </a:ln>
                              </pic:spPr>
                            </pic:pic>
                          </a:graphicData>
                        </a:graphic>
                      </wp:inline>
                    </w:drawing>
                  </w:r>
                </w:p>
              </w:tc>
              <w:tc>
                <w:tcPr>
                  <w:tcW w:w="617" w:type="pct"/>
                  <w:noWrap/>
                  <w:vAlign w:val="center"/>
                </w:tcPr>
                <w:p w14:paraId="0BD264B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废气排放口</w:t>
                  </w:r>
                </w:p>
              </w:tc>
              <w:tc>
                <w:tcPr>
                  <w:tcW w:w="764" w:type="pct"/>
                  <w:noWrap/>
                  <w:vAlign w:val="center"/>
                </w:tcPr>
                <w:p w14:paraId="1F706F9B">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表示废气向</w:t>
                  </w:r>
                </w:p>
                <w:p w14:paraId="1276D1EC">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大气环境排放</w:t>
                  </w:r>
                </w:p>
              </w:tc>
            </w:tr>
            <w:tr w14:paraId="4FB9F7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2BD1F5F9">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w:t>
                  </w:r>
                </w:p>
              </w:tc>
              <w:tc>
                <w:tcPr>
                  <w:tcW w:w="1533" w:type="pct"/>
                  <w:noWrap/>
                  <w:vAlign w:val="center"/>
                </w:tcPr>
                <w:p w14:paraId="627FDAE7">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04875" cy="904875"/>
                        <wp:effectExtent l="0" t="0" r="0" b="0"/>
                        <wp:docPr id="18" name="图片 23" descr="噪声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噪声排放口1"/>
                                <pic:cNvPicPr>
                                  <a:picLocks noChangeAspect="1"/>
                                </pic:cNvPicPr>
                              </pic:nvPicPr>
                              <pic:blipFill>
                                <a:blip r:embed="rId33"/>
                                <a:stretch>
                                  <a:fillRect/>
                                </a:stretch>
                              </pic:blipFill>
                              <pic:spPr>
                                <a:xfrm>
                                  <a:off x="0" y="0"/>
                                  <a:ext cx="904875" cy="904875"/>
                                </a:xfrm>
                                <a:prstGeom prst="rect">
                                  <a:avLst/>
                                </a:prstGeom>
                                <a:noFill/>
                                <a:ln>
                                  <a:noFill/>
                                </a:ln>
                              </pic:spPr>
                            </pic:pic>
                          </a:graphicData>
                        </a:graphic>
                      </wp:inline>
                    </w:drawing>
                  </w:r>
                </w:p>
              </w:tc>
              <w:tc>
                <w:tcPr>
                  <w:tcW w:w="1705" w:type="pct"/>
                  <w:noWrap/>
                  <w:vAlign w:val="center"/>
                </w:tcPr>
                <w:p w14:paraId="74333D30">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81100" cy="997585"/>
                        <wp:effectExtent l="0" t="0" r="0" b="0"/>
                        <wp:docPr id="19" name="图片 24" descr="噪声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噪声排放口2"/>
                                <pic:cNvPicPr>
                                  <a:picLocks noChangeAspect="1"/>
                                </pic:cNvPicPr>
                              </pic:nvPicPr>
                              <pic:blipFill>
                                <a:blip r:embed="rId34"/>
                                <a:srcRect t="4669"/>
                                <a:stretch>
                                  <a:fillRect/>
                                </a:stretch>
                              </pic:blipFill>
                              <pic:spPr>
                                <a:xfrm>
                                  <a:off x="0" y="0"/>
                                  <a:ext cx="1186465" cy="1002265"/>
                                </a:xfrm>
                                <a:prstGeom prst="rect">
                                  <a:avLst/>
                                </a:prstGeom>
                                <a:noFill/>
                                <a:ln>
                                  <a:noFill/>
                                </a:ln>
                              </pic:spPr>
                            </pic:pic>
                          </a:graphicData>
                        </a:graphic>
                      </wp:inline>
                    </w:drawing>
                  </w:r>
                </w:p>
              </w:tc>
              <w:tc>
                <w:tcPr>
                  <w:tcW w:w="617" w:type="pct"/>
                  <w:noWrap/>
                  <w:vAlign w:val="center"/>
                </w:tcPr>
                <w:p w14:paraId="3743063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噪声排放源</w:t>
                  </w:r>
                </w:p>
              </w:tc>
              <w:tc>
                <w:tcPr>
                  <w:tcW w:w="764" w:type="pct"/>
                  <w:noWrap/>
                  <w:vAlign w:val="center"/>
                </w:tcPr>
                <w:p w14:paraId="38BE98D5">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表示噪声向</w:t>
                  </w:r>
                </w:p>
                <w:p w14:paraId="2AA418E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外环境排放</w:t>
                  </w:r>
                </w:p>
              </w:tc>
            </w:tr>
            <w:tr w14:paraId="201652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23AD6F82">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3</w:t>
                  </w:r>
                </w:p>
              </w:tc>
              <w:tc>
                <w:tcPr>
                  <w:tcW w:w="1533" w:type="pct"/>
                  <w:noWrap/>
                  <w:vAlign w:val="center"/>
                </w:tcPr>
                <w:p w14:paraId="3878E2F2">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71550" cy="866775"/>
                        <wp:effectExtent l="0" t="0" r="0" b="0"/>
                        <wp:docPr id="20" name="图片 25" descr="固废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5" descr="固废排放口1"/>
                                <pic:cNvPicPr>
                                  <a:picLocks noChangeAspect="1"/>
                                </pic:cNvPicPr>
                              </pic:nvPicPr>
                              <pic:blipFill>
                                <a:blip r:embed="rId35"/>
                                <a:stretch>
                                  <a:fillRect/>
                                </a:stretch>
                              </pic:blipFill>
                              <pic:spPr>
                                <a:xfrm>
                                  <a:off x="0" y="0"/>
                                  <a:ext cx="975456" cy="870568"/>
                                </a:xfrm>
                                <a:prstGeom prst="rect">
                                  <a:avLst/>
                                </a:prstGeom>
                                <a:noFill/>
                                <a:ln>
                                  <a:noFill/>
                                </a:ln>
                              </pic:spPr>
                            </pic:pic>
                          </a:graphicData>
                        </a:graphic>
                      </wp:inline>
                    </w:drawing>
                  </w:r>
                </w:p>
              </w:tc>
              <w:tc>
                <w:tcPr>
                  <w:tcW w:w="1705" w:type="pct"/>
                  <w:noWrap/>
                  <w:vAlign w:val="center"/>
                </w:tcPr>
                <w:p w14:paraId="3F3F5180">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007745" cy="895350"/>
                        <wp:effectExtent l="0" t="0" r="0" b="0"/>
                        <wp:docPr id="21" name="图片 26" descr="固废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descr="固废排放口2"/>
                                <pic:cNvPicPr>
                                  <a:picLocks noChangeAspect="1"/>
                                </pic:cNvPicPr>
                              </pic:nvPicPr>
                              <pic:blipFill>
                                <a:blip r:embed="rId36"/>
                                <a:stretch>
                                  <a:fillRect/>
                                </a:stretch>
                              </pic:blipFill>
                              <pic:spPr>
                                <a:xfrm>
                                  <a:off x="0" y="0"/>
                                  <a:ext cx="1010241" cy="897423"/>
                                </a:xfrm>
                                <a:prstGeom prst="rect">
                                  <a:avLst/>
                                </a:prstGeom>
                                <a:noFill/>
                                <a:ln>
                                  <a:noFill/>
                                </a:ln>
                              </pic:spPr>
                            </pic:pic>
                          </a:graphicData>
                        </a:graphic>
                      </wp:inline>
                    </w:drawing>
                  </w:r>
                </w:p>
              </w:tc>
              <w:tc>
                <w:tcPr>
                  <w:tcW w:w="617" w:type="pct"/>
                  <w:noWrap/>
                  <w:vAlign w:val="center"/>
                </w:tcPr>
                <w:p w14:paraId="6C179D51">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一般固体</w:t>
                  </w:r>
                </w:p>
                <w:p w14:paraId="42CC6CD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废物</w:t>
                  </w:r>
                </w:p>
              </w:tc>
              <w:tc>
                <w:tcPr>
                  <w:tcW w:w="764" w:type="pct"/>
                  <w:noWrap/>
                  <w:vAlign w:val="center"/>
                </w:tcPr>
                <w:p w14:paraId="679A5C2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表示一般固体废物贮存、处置场</w:t>
                  </w:r>
                </w:p>
              </w:tc>
            </w:tr>
            <w:tr w14:paraId="432B73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438FCB0E">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4</w:t>
                  </w:r>
                </w:p>
              </w:tc>
              <w:tc>
                <w:tcPr>
                  <w:tcW w:w="1533" w:type="pct"/>
                  <w:noWrap/>
                  <w:vAlign w:val="center"/>
                </w:tcPr>
                <w:p w14:paraId="7E01AE43">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6AC3509D">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209675" cy="970280"/>
                        <wp:effectExtent l="0" t="0" r="0" b="0"/>
                        <wp:docPr id="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pic:cNvPicPr>
                                  <a:picLocks noChangeAspect="1"/>
                                </pic:cNvPicPr>
                              </pic:nvPicPr>
                              <pic:blipFill>
                                <a:blip r:embed="rId37"/>
                                <a:srcRect t="4413"/>
                                <a:stretch>
                                  <a:fillRect/>
                                </a:stretch>
                              </pic:blipFill>
                              <pic:spPr>
                                <a:xfrm>
                                  <a:off x="0" y="0"/>
                                  <a:ext cx="1220938" cy="979894"/>
                                </a:xfrm>
                                <a:prstGeom prst="rect">
                                  <a:avLst/>
                                </a:prstGeom>
                                <a:noFill/>
                                <a:ln>
                                  <a:noFill/>
                                </a:ln>
                              </pic:spPr>
                            </pic:pic>
                          </a:graphicData>
                        </a:graphic>
                      </wp:inline>
                    </w:drawing>
                  </w:r>
                </w:p>
              </w:tc>
              <w:tc>
                <w:tcPr>
                  <w:tcW w:w="617" w:type="pct"/>
                  <w:vMerge w:val="restart"/>
                  <w:noWrap/>
                  <w:vAlign w:val="center"/>
                </w:tcPr>
                <w:p w14:paraId="4039E4AC">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危险废物</w:t>
                  </w:r>
                </w:p>
              </w:tc>
              <w:tc>
                <w:tcPr>
                  <w:tcW w:w="764" w:type="pct"/>
                  <w:noWrap/>
                  <w:vAlign w:val="center"/>
                </w:tcPr>
                <w:p w14:paraId="390EEAD9">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表示危险废物贮存、处置场</w:t>
                  </w:r>
                </w:p>
              </w:tc>
            </w:tr>
            <w:tr w14:paraId="108C49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50AB730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w:t>
                  </w:r>
                </w:p>
              </w:tc>
              <w:tc>
                <w:tcPr>
                  <w:tcW w:w="1533" w:type="pct"/>
                  <w:noWrap/>
                  <w:vAlign w:val="center"/>
                </w:tcPr>
                <w:p w14:paraId="02FBBDA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6B70711E">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352550" cy="857885"/>
                        <wp:effectExtent l="0" t="0" r="0" b="0"/>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pic:cNvPicPr>
                                  <a:picLocks noChangeAspect="1"/>
                                </pic:cNvPicPr>
                              </pic:nvPicPr>
                              <pic:blipFill>
                                <a:blip r:embed="rId38"/>
                                <a:stretch>
                                  <a:fillRect/>
                                </a:stretch>
                              </pic:blipFill>
                              <pic:spPr>
                                <a:xfrm>
                                  <a:off x="0" y="0"/>
                                  <a:ext cx="1353942" cy="858888"/>
                                </a:xfrm>
                                <a:prstGeom prst="rect">
                                  <a:avLst/>
                                </a:prstGeom>
                                <a:noFill/>
                                <a:ln>
                                  <a:noFill/>
                                </a:ln>
                              </pic:spPr>
                            </pic:pic>
                          </a:graphicData>
                        </a:graphic>
                      </wp:inline>
                    </w:drawing>
                  </w:r>
                </w:p>
              </w:tc>
              <w:tc>
                <w:tcPr>
                  <w:tcW w:w="617" w:type="pct"/>
                  <w:vMerge w:val="continue"/>
                  <w:noWrap/>
                  <w:vAlign w:val="center"/>
                </w:tcPr>
                <w:p w14:paraId="0A8E58BA">
                  <w:pPr>
                    <w:pStyle w:val="221"/>
                    <w:rPr>
                      <w:snapToGrid w:val="0"/>
                      <w:color w:val="000000" w:themeColor="text1"/>
                      <w14:textFill>
                        <w14:solidFill>
                          <w14:schemeClr w14:val="tx1"/>
                        </w14:solidFill>
                      </w14:textFill>
                    </w:rPr>
                  </w:pPr>
                </w:p>
              </w:tc>
              <w:tc>
                <w:tcPr>
                  <w:tcW w:w="764" w:type="pct"/>
                  <w:noWrap/>
                  <w:vAlign w:val="center"/>
                </w:tcPr>
                <w:p w14:paraId="5B5DC382">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表示危险废物贮存设施标志</w:t>
                  </w:r>
                </w:p>
              </w:tc>
            </w:tr>
            <w:tr w14:paraId="36F06B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1C88E15E">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6</w:t>
                  </w:r>
                </w:p>
              </w:tc>
              <w:tc>
                <w:tcPr>
                  <w:tcW w:w="1533" w:type="pct"/>
                  <w:noWrap/>
                  <w:vAlign w:val="center"/>
                </w:tcPr>
                <w:p w14:paraId="0062389B">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5457254D">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23950" cy="936625"/>
                        <wp:effectExtent l="0" t="0" r="0" b="0"/>
                        <wp:docPr id="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pic:cNvPicPr>
                                  <a:picLocks noChangeAspect="1"/>
                                </pic:cNvPicPr>
                              </pic:nvPicPr>
                              <pic:blipFill>
                                <a:blip r:embed="rId39"/>
                                <a:stretch>
                                  <a:fillRect/>
                                </a:stretch>
                              </pic:blipFill>
                              <pic:spPr>
                                <a:xfrm>
                                  <a:off x="0" y="0"/>
                                  <a:ext cx="1125772" cy="938143"/>
                                </a:xfrm>
                                <a:prstGeom prst="rect">
                                  <a:avLst/>
                                </a:prstGeom>
                                <a:noFill/>
                                <a:ln>
                                  <a:noFill/>
                                </a:ln>
                              </pic:spPr>
                            </pic:pic>
                          </a:graphicData>
                        </a:graphic>
                      </wp:inline>
                    </w:drawing>
                  </w:r>
                </w:p>
              </w:tc>
              <w:tc>
                <w:tcPr>
                  <w:tcW w:w="617" w:type="pct"/>
                  <w:vMerge w:val="continue"/>
                  <w:noWrap/>
                  <w:vAlign w:val="center"/>
                </w:tcPr>
                <w:p w14:paraId="0F3FE48D">
                  <w:pPr>
                    <w:pStyle w:val="221"/>
                    <w:rPr>
                      <w:snapToGrid w:val="0"/>
                      <w:color w:val="000000" w:themeColor="text1"/>
                      <w14:textFill>
                        <w14:solidFill>
                          <w14:schemeClr w14:val="tx1"/>
                        </w14:solidFill>
                      </w14:textFill>
                    </w:rPr>
                  </w:pPr>
                </w:p>
              </w:tc>
              <w:tc>
                <w:tcPr>
                  <w:tcW w:w="764" w:type="pct"/>
                  <w:noWrap/>
                  <w:vAlign w:val="center"/>
                </w:tcPr>
                <w:p w14:paraId="76D63E03">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表示危险废物贮存分区标志</w:t>
                  </w:r>
                </w:p>
              </w:tc>
            </w:tr>
            <w:tr w14:paraId="4CF577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3B259CBD">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7</w:t>
                  </w:r>
                </w:p>
              </w:tc>
              <w:tc>
                <w:tcPr>
                  <w:tcW w:w="1533" w:type="pct"/>
                  <w:noWrap/>
                  <w:vAlign w:val="center"/>
                </w:tcPr>
                <w:p w14:paraId="54AA5F33">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6E1C9370">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23950" cy="1113790"/>
                        <wp:effectExtent l="0" t="0" r="0" b="0"/>
                        <wp:docPr id="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pic:cNvPicPr>
                                  <a:picLocks noChangeAspect="1"/>
                                </pic:cNvPicPr>
                              </pic:nvPicPr>
                              <pic:blipFill>
                                <a:blip r:embed="rId40"/>
                                <a:stretch>
                                  <a:fillRect/>
                                </a:stretch>
                              </pic:blipFill>
                              <pic:spPr>
                                <a:xfrm>
                                  <a:off x="0" y="0"/>
                                  <a:ext cx="1128631" cy="1118463"/>
                                </a:xfrm>
                                <a:prstGeom prst="rect">
                                  <a:avLst/>
                                </a:prstGeom>
                                <a:noFill/>
                                <a:ln>
                                  <a:noFill/>
                                </a:ln>
                              </pic:spPr>
                            </pic:pic>
                          </a:graphicData>
                        </a:graphic>
                      </wp:inline>
                    </w:drawing>
                  </w:r>
                </w:p>
              </w:tc>
              <w:tc>
                <w:tcPr>
                  <w:tcW w:w="617" w:type="pct"/>
                  <w:vMerge w:val="continue"/>
                  <w:noWrap/>
                  <w:vAlign w:val="center"/>
                </w:tcPr>
                <w:p w14:paraId="10F293EC">
                  <w:pPr>
                    <w:pStyle w:val="221"/>
                    <w:rPr>
                      <w:snapToGrid w:val="0"/>
                      <w:color w:val="000000" w:themeColor="text1"/>
                      <w14:textFill>
                        <w14:solidFill>
                          <w14:schemeClr w14:val="tx1"/>
                        </w14:solidFill>
                      </w14:textFill>
                    </w:rPr>
                  </w:pPr>
                </w:p>
              </w:tc>
              <w:tc>
                <w:tcPr>
                  <w:tcW w:w="764" w:type="pct"/>
                  <w:noWrap/>
                  <w:vAlign w:val="center"/>
                </w:tcPr>
                <w:p w14:paraId="39BBE7EB">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表示危险废物标签</w:t>
                  </w:r>
                </w:p>
              </w:tc>
            </w:tr>
          </w:tbl>
          <w:p w14:paraId="106063B1">
            <w:pPr>
              <w:pStyle w:val="222"/>
              <w:spacing w:before="120"/>
              <w:rPr>
                <w:color w:val="000000" w:themeColor="text1"/>
                <w14:textFill>
                  <w14:solidFill>
                    <w14:schemeClr w14:val="tx1"/>
                  </w14:solidFill>
                </w14:textFill>
              </w:rPr>
            </w:pPr>
          </w:p>
          <w:p w14:paraId="4E3C655C">
            <w:pPr>
              <w:keepNext/>
              <w:widowControl w:val="0"/>
              <w:snapToGrid w:val="0"/>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w:t>
            </w:r>
            <w:r>
              <w:rPr>
                <w:rFonts w:hint="eastAsia" w:ascii="Times New Roman" w:hAnsi="Times New Roman" w:eastAsia="宋体" w:cs="Times New Roman"/>
                <w:b/>
                <w:bCs/>
                <w:color w:val="000000" w:themeColor="text1"/>
                <w:szCs w:val="24"/>
                <w14:textFill>
                  <w14:solidFill>
                    <w14:schemeClr w14:val="tx1"/>
                  </w14:solidFill>
                </w14:textFill>
              </w:rPr>
              <w:t>8</w:t>
            </w:r>
            <w:r>
              <w:rPr>
                <w:rFonts w:ascii="Times New Roman" w:hAnsi="Times New Roman" w:eastAsia="宋体" w:cs="Times New Roman"/>
                <w:b/>
                <w:bCs/>
                <w:color w:val="000000" w:themeColor="text1"/>
                <w:szCs w:val="24"/>
                <w14:textFill>
                  <w14:solidFill>
                    <w14:schemeClr w14:val="tx1"/>
                  </w14:solidFill>
                </w14:textFill>
              </w:rPr>
              <w:t>竣工环保验收</w:t>
            </w:r>
          </w:p>
          <w:p w14:paraId="39E38591">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1ED6A0CC">
            <w:pPr>
              <w:keepNext/>
              <w:widowControl w:val="0"/>
              <w:snapToGrid w:val="0"/>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w:t>
            </w:r>
            <w:r>
              <w:rPr>
                <w:rFonts w:hint="eastAsia" w:ascii="Times New Roman" w:hAnsi="Times New Roman" w:eastAsia="宋体" w:cs="Times New Roman"/>
                <w:b/>
                <w:bCs/>
                <w:color w:val="000000" w:themeColor="text1"/>
                <w:szCs w:val="24"/>
                <w14:textFill>
                  <w14:solidFill>
                    <w14:schemeClr w14:val="tx1"/>
                  </w14:solidFill>
                </w14:textFill>
              </w:rPr>
              <w:t>9</w:t>
            </w:r>
            <w:r>
              <w:rPr>
                <w:rFonts w:ascii="Times New Roman" w:hAnsi="Times New Roman" w:eastAsia="宋体" w:cs="Times New Roman"/>
                <w:b/>
                <w:bCs/>
                <w:color w:val="000000" w:themeColor="text1"/>
                <w:szCs w:val="24"/>
                <w14:textFill>
                  <w14:solidFill>
                    <w14:schemeClr w14:val="tx1"/>
                  </w14:solidFill>
                </w14:textFill>
              </w:rPr>
              <w:t>环保投资估算</w:t>
            </w:r>
          </w:p>
          <w:p w14:paraId="33AF47BE">
            <w:pPr>
              <w:pStyle w:val="19"/>
              <w:keepNext/>
              <w:widowControl w:val="0"/>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本项目环保投资</w:t>
            </w:r>
            <w:r>
              <w:rPr>
                <w:rFonts w:hint="eastAsia" w:ascii="Times New Roman" w:hAnsi="Times New Roman" w:cs="Times New Roman"/>
                <w:color w:val="000000" w:themeColor="text1"/>
                <w:sz w:val="24"/>
                <w:szCs w:val="24"/>
                <w14:textFill>
                  <w14:solidFill>
                    <w14:schemeClr w14:val="tx1"/>
                  </w14:solidFill>
                </w14:textFill>
              </w:rPr>
              <w:t>10</w:t>
            </w:r>
            <w:r>
              <w:rPr>
                <w:rFonts w:ascii="Times New Roman" w:hAnsi="Times New Roman" w:eastAsia="宋体" w:cs="Times New Roman"/>
                <w:color w:val="000000" w:themeColor="text1"/>
                <w:sz w:val="24"/>
                <w:szCs w:val="24"/>
                <w14:textFill>
                  <w14:solidFill>
                    <w14:schemeClr w14:val="tx1"/>
                  </w14:solidFill>
                </w14:textFill>
              </w:rPr>
              <w:t>万元，占项目总投资</w:t>
            </w:r>
            <w:r>
              <w:rPr>
                <w:rFonts w:hint="eastAsia" w:ascii="Times New Roman" w:hAnsi="Times New Roman" w:cs="Times New Roman"/>
                <w:color w:val="000000" w:themeColor="text1"/>
                <w:sz w:val="24"/>
                <w:szCs w:val="24"/>
                <w14:textFill>
                  <w14:solidFill>
                    <w14:schemeClr w14:val="tx1"/>
                  </w14:solidFill>
                </w14:textFill>
              </w:rPr>
              <w:t>500</w:t>
            </w:r>
            <w:r>
              <w:rPr>
                <w:rFonts w:ascii="Times New Roman" w:hAnsi="Times New Roman" w:eastAsia="宋体" w:cs="Times New Roman"/>
                <w:color w:val="000000" w:themeColor="text1"/>
                <w:sz w:val="24"/>
                <w:szCs w:val="24"/>
                <w14:textFill>
                  <w14:solidFill>
                    <w14:schemeClr w14:val="tx1"/>
                  </w14:solidFill>
                </w14:textFill>
              </w:rPr>
              <w:t>万元的</w:t>
            </w:r>
            <w:r>
              <w:rPr>
                <w:rFonts w:hint="eastAsia" w:ascii="Times New Roman" w:hAnsi="Times New Roman" w:cs="Times New Roman"/>
                <w:color w:val="000000" w:themeColor="text1"/>
                <w:sz w:val="24"/>
                <w:szCs w:val="24"/>
                <w14:textFill>
                  <w14:solidFill>
                    <w14:schemeClr w14:val="tx1"/>
                  </w14:solidFill>
                </w14:textFill>
              </w:rPr>
              <w:t>2.0</w:t>
            </w:r>
            <w:r>
              <w:rPr>
                <w:rFonts w:ascii="Times New Roman" w:hAnsi="Times New Roman" w:eastAsia="宋体" w:cs="Times New Roman"/>
                <w:color w:val="000000" w:themeColor="text1"/>
                <w:sz w:val="24"/>
                <w:szCs w:val="24"/>
                <w14:textFill>
                  <w14:solidFill>
                    <w14:schemeClr w14:val="tx1"/>
                  </w14:solidFill>
                </w14:textFill>
              </w:rPr>
              <w:t>%。项目的环保投资主要用于处理废气和噪声等，建设单位在环保方面进行投资后可将环境污染降至最低，以促进环境资源的可持续发展。项目环保投资详情见下表。</w:t>
            </w:r>
          </w:p>
          <w:p w14:paraId="60DF8937">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4.2-27</w:t>
            </w:r>
            <w:r>
              <w:rPr>
                <w:color w:val="000000" w:themeColor="text1"/>
                <w14:textFill>
                  <w14:solidFill>
                    <w14:schemeClr w14:val="tx1"/>
                  </w14:solidFill>
                </w14:textFill>
              </w:rPr>
              <w:t xml:space="preserve"> 环保投资一览表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2544"/>
              <w:gridCol w:w="3425"/>
              <w:gridCol w:w="1647"/>
            </w:tblGrid>
            <w:tr w14:paraId="47175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40B08724">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855" w:type="dxa"/>
                  <w:vAlign w:val="center"/>
                </w:tcPr>
                <w:p w14:paraId="49221A38">
                  <w:pPr>
                    <w:pStyle w:val="221"/>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2497" w:type="dxa"/>
                  <w:vAlign w:val="center"/>
                </w:tcPr>
                <w:p w14:paraId="402DCCDB">
                  <w:pPr>
                    <w:pStyle w:val="221"/>
                    <w:rPr>
                      <w:color w:val="000000" w:themeColor="text1"/>
                      <w14:textFill>
                        <w14:solidFill>
                          <w14:schemeClr w14:val="tx1"/>
                        </w14:solidFill>
                      </w14:textFill>
                    </w:rPr>
                  </w:pPr>
                  <w:r>
                    <w:rPr>
                      <w:color w:val="000000" w:themeColor="text1"/>
                      <w14:textFill>
                        <w14:solidFill>
                          <w14:schemeClr w14:val="tx1"/>
                        </w14:solidFill>
                      </w14:textFill>
                    </w:rPr>
                    <w:t>功能</w:t>
                  </w:r>
                </w:p>
              </w:tc>
              <w:tc>
                <w:tcPr>
                  <w:tcW w:w="1201" w:type="dxa"/>
                  <w:vAlign w:val="center"/>
                </w:tcPr>
                <w:p w14:paraId="06BF5E5D">
                  <w:pPr>
                    <w:pStyle w:val="221"/>
                    <w:rPr>
                      <w:color w:val="000000" w:themeColor="text1"/>
                      <w14:textFill>
                        <w14:solidFill>
                          <w14:schemeClr w14:val="tx1"/>
                        </w14:solidFill>
                      </w14:textFill>
                    </w:rPr>
                  </w:pPr>
                  <w:r>
                    <w:rPr>
                      <w:color w:val="000000" w:themeColor="text1"/>
                      <w14:textFill>
                        <w14:solidFill>
                          <w14:schemeClr w14:val="tx1"/>
                        </w14:solidFill>
                      </w14:textFill>
                    </w:rPr>
                    <w:t>总价</w:t>
                  </w:r>
                </w:p>
                <w:p w14:paraId="010D7952">
                  <w:pPr>
                    <w:pStyle w:val="221"/>
                    <w:rPr>
                      <w:color w:val="000000" w:themeColor="text1"/>
                      <w14:textFill>
                        <w14:solidFill>
                          <w14:schemeClr w14:val="tx1"/>
                        </w14:solidFill>
                      </w14:textFill>
                    </w:rPr>
                  </w:pPr>
                  <w:r>
                    <w:rPr>
                      <w:color w:val="000000" w:themeColor="text1"/>
                      <w14:textFill>
                        <w14:solidFill>
                          <w14:schemeClr w14:val="tx1"/>
                        </w14:solidFill>
                      </w14:textFill>
                    </w:rPr>
                    <w:t>（万元）</w:t>
                  </w:r>
                </w:p>
              </w:tc>
            </w:tr>
            <w:tr w14:paraId="586AE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5810E7CC">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55" w:type="dxa"/>
                  <w:vAlign w:val="center"/>
                </w:tcPr>
                <w:p w14:paraId="5EA0473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w:t>
                  </w:r>
                </w:p>
              </w:tc>
              <w:tc>
                <w:tcPr>
                  <w:tcW w:w="2497" w:type="dxa"/>
                  <w:vAlign w:val="center"/>
                </w:tcPr>
                <w:p w14:paraId="576DE43C">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处理</w:t>
                  </w:r>
                </w:p>
              </w:tc>
              <w:tc>
                <w:tcPr>
                  <w:tcW w:w="1201" w:type="dxa"/>
                  <w:vAlign w:val="center"/>
                </w:tcPr>
                <w:p w14:paraId="4EF532E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11308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1C12545A">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55" w:type="dxa"/>
                  <w:vAlign w:val="center"/>
                </w:tcPr>
                <w:p w14:paraId="39EB13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二级活性炭吸附装置</w:t>
                  </w:r>
                </w:p>
              </w:tc>
              <w:tc>
                <w:tcPr>
                  <w:tcW w:w="2497" w:type="dxa"/>
                  <w:vAlign w:val="center"/>
                </w:tcPr>
                <w:p w14:paraId="5BE01F5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废气处理</w:t>
                  </w:r>
                </w:p>
              </w:tc>
              <w:tc>
                <w:tcPr>
                  <w:tcW w:w="1201" w:type="dxa"/>
                  <w:vAlign w:val="center"/>
                </w:tcPr>
                <w:p w14:paraId="70720A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r w14:paraId="51548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27E1E4B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855" w:type="dxa"/>
                  <w:vAlign w:val="center"/>
                </w:tcPr>
                <w:p w14:paraId="1A1749F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一般固废间和危废库</w:t>
                  </w:r>
                </w:p>
              </w:tc>
              <w:tc>
                <w:tcPr>
                  <w:tcW w:w="2497" w:type="dxa"/>
                  <w:vAlign w:val="center"/>
                </w:tcPr>
                <w:p w14:paraId="1AEA2E7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固废暂存</w:t>
                  </w:r>
                </w:p>
              </w:tc>
              <w:tc>
                <w:tcPr>
                  <w:tcW w:w="1201" w:type="dxa"/>
                  <w:vAlign w:val="center"/>
                </w:tcPr>
                <w:p w14:paraId="132D781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r w14:paraId="3481C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57CC092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855" w:type="dxa"/>
                  <w:vAlign w:val="center"/>
                </w:tcPr>
                <w:p w14:paraId="34AE704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减振、降噪装置</w:t>
                  </w:r>
                </w:p>
              </w:tc>
              <w:tc>
                <w:tcPr>
                  <w:tcW w:w="2497" w:type="dxa"/>
                  <w:vAlign w:val="center"/>
                </w:tcPr>
                <w:p w14:paraId="2B0F197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降噪</w:t>
                  </w:r>
                </w:p>
              </w:tc>
              <w:tc>
                <w:tcPr>
                  <w:tcW w:w="1201" w:type="dxa"/>
                  <w:vAlign w:val="center"/>
                </w:tcPr>
                <w:p w14:paraId="7C71C4F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2F7A5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2CD5ABD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855" w:type="dxa"/>
                  <w:vAlign w:val="center"/>
                </w:tcPr>
                <w:p w14:paraId="2FC6C3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w:t>
                  </w:r>
                </w:p>
              </w:tc>
              <w:tc>
                <w:tcPr>
                  <w:tcW w:w="2497" w:type="dxa"/>
                  <w:vAlign w:val="center"/>
                </w:tcPr>
                <w:p w14:paraId="7010FA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地下水、土壤污染防治</w:t>
                  </w:r>
                </w:p>
              </w:tc>
              <w:tc>
                <w:tcPr>
                  <w:tcW w:w="1201" w:type="dxa"/>
                  <w:vAlign w:val="center"/>
                </w:tcPr>
                <w:p w14:paraId="26E808D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6420F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3293A9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855" w:type="dxa"/>
                  <w:vAlign w:val="center"/>
                </w:tcPr>
                <w:p w14:paraId="026604A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储罐区围堰</w:t>
                  </w:r>
                </w:p>
              </w:tc>
              <w:tc>
                <w:tcPr>
                  <w:tcW w:w="2497" w:type="dxa"/>
                  <w:vAlign w:val="center"/>
                </w:tcPr>
                <w:p w14:paraId="42E019E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环境风险防范</w:t>
                  </w:r>
                </w:p>
              </w:tc>
              <w:tc>
                <w:tcPr>
                  <w:tcW w:w="1201" w:type="dxa"/>
                  <w:vAlign w:val="center"/>
                </w:tcPr>
                <w:p w14:paraId="292E18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6F61A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5970E0B8">
                  <w:pPr>
                    <w:pStyle w:val="221"/>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1855" w:type="dxa"/>
                  <w:vAlign w:val="center"/>
                </w:tcPr>
                <w:p w14:paraId="7242CE0D">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497" w:type="dxa"/>
                  <w:vAlign w:val="center"/>
                </w:tcPr>
                <w:p w14:paraId="561E08BD">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201" w:type="dxa"/>
                  <w:vAlign w:val="center"/>
                </w:tcPr>
                <w:p w14:paraId="7B06F56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bl>
          <w:p w14:paraId="73F20BB3">
            <w:pPr>
              <w:pStyle w:val="171"/>
              <w:widowControl w:val="0"/>
              <w:topLinePunct/>
              <w:spacing w:after="0"/>
              <w:ind w:left="480" w:leftChars="200" w:firstLine="0" w:firstLineChars="0"/>
              <w:rPr>
                <w:color w:val="000000" w:themeColor="text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cr/>
            </w:r>
          </w:p>
          <w:p w14:paraId="4B73EDAE">
            <w:pPr>
              <w:rPr>
                <w:color w:val="000000" w:themeColor="text1"/>
                <w14:textFill>
                  <w14:solidFill>
                    <w14:schemeClr w14:val="tx1"/>
                  </w14:solidFill>
                </w14:textFill>
              </w:rPr>
            </w:pPr>
          </w:p>
        </w:tc>
      </w:tr>
    </w:tbl>
    <w:p w14:paraId="401C02C3">
      <w:pPr>
        <w:widowControl w:val="0"/>
        <w:topLinePunct/>
        <w:rPr>
          <w:rFonts w:ascii="Times New Roman" w:hAnsi="Times New Roman" w:eastAsia="宋体" w:cs="Times New Roman"/>
          <w:color w:val="000000" w:themeColor="text1"/>
          <w14:textFill>
            <w14:solidFill>
              <w14:schemeClr w14:val="tx1"/>
            </w14:solidFill>
          </w14:textFill>
        </w:rPr>
        <w:sectPr>
          <w:pgSz w:w="11907" w:h="16840"/>
          <w:pgMar w:top="1417" w:right="1417" w:bottom="1417" w:left="1417" w:header="992" w:footer="992" w:gutter="0"/>
          <w:cols w:space="720" w:num="1"/>
          <w:docGrid w:linePitch="312" w:charSpace="0"/>
        </w:sectPr>
      </w:pPr>
    </w:p>
    <w:p w14:paraId="26E5B442">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19" w:name="_Toc4977"/>
      <w:bookmarkStart w:id="20" w:name="_Toc1441"/>
      <w:r>
        <w:rPr>
          <w:rFonts w:ascii="Times New Roman" w:hAnsi="Times New Roman" w:eastAsia="宋体" w:cs="Times New Roman"/>
          <w:b/>
          <w:bCs/>
          <w:snapToGrid w:val="0"/>
          <w:color w:val="000000" w:themeColor="text1"/>
          <w:sz w:val="32"/>
          <w:szCs w:val="32"/>
          <w14:textFill>
            <w14:solidFill>
              <w14:schemeClr w14:val="tx1"/>
            </w14:solidFill>
          </w14:textFill>
        </w:rPr>
        <w:t>五、</w:t>
      </w:r>
      <w:bookmarkStart w:id="21" w:name="_Hlk54167917"/>
      <w:r>
        <w:rPr>
          <w:rFonts w:ascii="Times New Roman" w:hAnsi="Times New Roman" w:eastAsia="宋体" w:cs="Times New Roman"/>
          <w:b/>
          <w:bCs/>
          <w:snapToGrid w:val="0"/>
          <w:color w:val="000000" w:themeColor="text1"/>
          <w:sz w:val="32"/>
          <w:szCs w:val="32"/>
          <w14:textFill>
            <w14:solidFill>
              <w14:schemeClr w14:val="tx1"/>
            </w14:solidFill>
          </w14:textFill>
        </w:rPr>
        <w:t>环境保护措施监督检查清单</w:t>
      </w:r>
      <w:bookmarkEnd w:id="19"/>
      <w:bookmarkEnd w:id="20"/>
      <w:bookmarkEnd w:id="21"/>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2"/>
        <w:gridCol w:w="612"/>
        <w:gridCol w:w="774"/>
        <w:gridCol w:w="1193"/>
        <w:gridCol w:w="1559"/>
        <w:gridCol w:w="2545"/>
        <w:gridCol w:w="1664"/>
      </w:tblGrid>
      <w:tr w14:paraId="6F516D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tcBorders>
              <w:tl2br w:val="single" w:color="auto" w:sz="4" w:space="0"/>
            </w:tcBorders>
            <w:vAlign w:val="center"/>
          </w:tcPr>
          <w:p w14:paraId="4C173CA6">
            <w:pPr>
              <w:widowControl w:val="0"/>
              <w:topLinePunct/>
              <w:adjustRightInd w:val="0"/>
              <w:snapToGrid w:val="0"/>
              <w:spacing w:after="0" w:line="240" w:lineRule="auto"/>
              <w:jc w:val="right"/>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内容</w:t>
            </w:r>
          </w:p>
          <w:p w14:paraId="017B6435">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p>
          <w:p w14:paraId="21E8322A">
            <w:pPr>
              <w:widowControl w:val="0"/>
              <w:topLinePunct/>
              <w:adjustRightInd w:val="0"/>
              <w:snapToGrid w:val="0"/>
              <w:spacing w:after="0" w:line="240" w:lineRule="auto"/>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要素</w:t>
            </w:r>
          </w:p>
        </w:tc>
        <w:tc>
          <w:tcPr>
            <w:tcW w:w="1350" w:type="dxa"/>
            <w:gridSpan w:val="2"/>
            <w:vAlign w:val="center"/>
          </w:tcPr>
          <w:p w14:paraId="59D370F4">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排放口（编号、名称）/污染源</w:t>
            </w:r>
          </w:p>
        </w:tc>
        <w:tc>
          <w:tcPr>
            <w:tcW w:w="1163" w:type="dxa"/>
            <w:vAlign w:val="center"/>
          </w:tcPr>
          <w:p w14:paraId="105AC3A8">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污染物</w:t>
            </w:r>
          </w:p>
          <w:p w14:paraId="5854D68A">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项目</w:t>
            </w:r>
          </w:p>
        </w:tc>
        <w:tc>
          <w:tcPr>
            <w:tcW w:w="1519" w:type="dxa"/>
            <w:vAlign w:val="center"/>
          </w:tcPr>
          <w:p w14:paraId="7E3AEADE">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环境保护措施</w:t>
            </w:r>
          </w:p>
        </w:tc>
        <w:tc>
          <w:tcPr>
            <w:tcW w:w="2480" w:type="dxa"/>
            <w:vAlign w:val="center"/>
          </w:tcPr>
          <w:p w14:paraId="3B7C7A5B">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执行</w:t>
            </w:r>
            <w:r>
              <w:rPr>
                <w:rFonts w:ascii="Times New Roman" w:hAnsi="Times New Roman" w:eastAsia="宋体" w:cs="Times New Roman"/>
                <w:b/>
                <w:color w:val="000000" w:themeColor="text1"/>
                <w:sz w:val="21"/>
                <w:szCs w:val="21"/>
                <w14:textFill>
                  <w14:solidFill>
                    <w14:schemeClr w14:val="tx1"/>
                  </w14:solidFill>
                </w14:textFill>
              </w:rPr>
              <w:t>标准</w:t>
            </w:r>
          </w:p>
        </w:tc>
        <w:tc>
          <w:tcPr>
            <w:tcW w:w="1622" w:type="dxa"/>
            <w:vAlign w:val="center"/>
          </w:tcPr>
          <w:p w14:paraId="4C18C931">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排放限值（</w:t>
            </w:r>
            <w:r>
              <w:rPr>
                <w:rFonts w:ascii="Times New Roman" w:hAnsi="Times New Roman" w:eastAsia="宋体" w:cs="Times New Roman"/>
                <w:b/>
                <w:bCs/>
                <w:color w:val="000000" w:themeColor="text1"/>
                <w:sz w:val="21"/>
                <w14:textFill>
                  <w14:solidFill>
                    <w14:schemeClr w14:val="tx1"/>
                  </w14:solidFill>
                </w14:textFill>
              </w:rPr>
              <w:t>mg/m</w:t>
            </w:r>
            <w:r>
              <w:rPr>
                <w:rFonts w:ascii="Times New Roman" w:hAnsi="Times New Roman" w:eastAsia="宋体" w:cs="Times New Roman"/>
                <w:b/>
                <w:bCs/>
                <w:color w:val="000000" w:themeColor="text1"/>
                <w:sz w:val="21"/>
                <w:vertAlign w:val="superscript"/>
                <w14:textFill>
                  <w14:solidFill>
                    <w14:schemeClr w14:val="tx1"/>
                  </w14:solidFill>
                </w14:textFill>
              </w:rPr>
              <w:t>3</w:t>
            </w:r>
            <w:r>
              <w:rPr>
                <w:rFonts w:ascii="Times New Roman" w:hAnsi="Times New Roman" w:eastAsia="宋体" w:cs="Times New Roman"/>
                <w:b/>
                <w:color w:val="000000" w:themeColor="text1"/>
                <w:sz w:val="21"/>
                <w:szCs w:val="21"/>
                <w14:textFill>
                  <w14:solidFill>
                    <w14:schemeClr w14:val="tx1"/>
                  </w14:solidFill>
                </w14:textFill>
              </w:rPr>
              <w:t>）</w:t>
            </w:r>
          </w:p>
        </w:tc>
      </w:tr>
      <w:tr w14:paraId="68F2B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918" w:type="dxa"/>
            <w:vMerge w:val="restart"/>
            <w:vAlign w:val="center"/>
          </w:tcPr>
          <w:p w14:paraId="7B708E9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大气</w:t>
            </w:r>
          </w:p>
          <w:p w14:paraId="1D00E14A">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w:t>
            </w:r>
          </w:p>
        </w:tc>
        <w:tc>
          <w:tcPr>
            <w:tcW w:w="596" w:type="dxa"/>
            <w:vAlign w:val="center"/>
          </w:tcPr>
          <w:p w14:paraId="13E1143D">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DA00</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754" w:type="dxa"/>
            <w:vAlign w:val="center"/>
          </w:tcPr>
          <w:p w14:paraId="2091A5BC">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投料粉尘</w:t>
            </w:r>
          </w:p>
        </w:tc>
        <w:tc>
          <w:tcPr>
            <w:tcW w:w="1163" w:type="dxa"/>
            <w:vAlign w:val="center"/>
          </w:tcPr>
          <w:p w14:paraId="32DF85B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519" w:type="dxa"/>
            <w:vAlign w:val="center"/>
          </w:tcPr>
          <w:p w14:paraId="35356F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集气罩+布袋除尘器+15米高排气筒排放</w:t>
            </w:r>
          </w:p>
        </w:tc>
        <w:tc>
          <w:tcPr>
            <w:tcW w:w="2480" w:type="dxa"/>
            <w:vAlign w:val="center"/>
          </w:tcPr>
          <w:p w14:paraId="0E70B9E8">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《橡胶制品工业污染物排放标准》（GB27632-2011）表5</w:t>
            </w:r>
          </w:p>
        </w:tc>
        <w:tc>
          <w:tcPr>
            <w:tcW w:w="1622" w:type="dxa"/>
            <w:vAlign w:val="center"/>
          </w:tcPr>
          <w:p w14:paraId="6093C01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12</w:t>
            </w:r>
          </w:p>
        </w:tc>
      </w:tr>
      <w:tr w14:paraId="745AE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918" w:type="dxa"/>
            <w:vMerge w:val="continue"/>
            <w:vAlign w:val="center"/>
          </w:tcPr>
          <w:p w14:paraId="58D130F2">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596" w:type="dxa"/>
            <w:vAlign w:val="center"/>
          </w:tcPr>
          <w:p w14:paraId="7CA117F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DA002</w:t>
            </w:r>
          </w:p>
        </w:tc>
        <w:tc>
          <w:tcPr>
            <w:tcW w:w="754" w:type="dxa"/>
            <w:vAlign w:val="center"/>
          </w:tcPr>
          <w:p w14:paraId="5A3D8AB0">
            <w:pPr>
              <w:widowControl w:val="0"/>
              <w:topLinePunct/>
              <w:adjustRightInd w:val="0"/>
              <w:snapToGrid w:val="0"/>
              <w:spacing w:after="0" w:line="240" w:lineRule="auto"/>
              <w:jc w:val="center"/>
              <w:rPr>
                <w:rFonts w:ascii="Times New Roman" w:hAnsi="Times New Roman" w:eastAsia="宋体" w:cs="Times New Roman"/>
                <w:bCs/>
                <w:color w:val="000000" w:themeColor="text1"/>
                <w:sz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炼胶有机废气</w:t>
            </w:r>
          </w:p>
        </w:tc>
        <w:tc>
          <w:tcPr>
            <w:tcW w:w="1163" w:type="dxa"/>
            <w:vAlign w:val="center"/>
          </w:tcPr>
          <w:p w14:paraId="2F0740C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非甲烷总烃、臭气浓度</w:t>
            </w:r>
          </w:p>
        </w:tc>
        <w:tc>
          <w:tcPr>
            <w:tcW w:w="1519" w:type="dxa"/>
            <w:vAlign w:val="center"/>
          </w:tcPr>
          <w:p w14:paraId="65D36B6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集气罩+二级活性炭吸附+15米高排气筒排放</w:t>
            </w:r>
          </w:p>
        </w:tc>
        <w:tc>
          <w:tcPr>
            <w:tcW w:w="2480" w:type="dxa"/>
            <w:vAlign w:val="center"/>
          </w:tcPr>
          <w:p w14:paraId="589FF4DF">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《橡胶制品工业污染物排放标准》（GB27632-2011）表5；《恶臭污染物排放标准》（GB14554-93）中表2</w:t>
            </w:r>
          </w:p>
        </w:tc>
        <w:tc>
          <w:tcPr>
            <w:tcW w:w="1622" w:type="dxa"/>
            <w:vAlign w:val="center"/>
          </w:tcPr>
          <w:p w14:paraId="420AE32D">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非甲烷总烃：</w:t>
            </w:r>
            <w:r>
              <w:rPr>
                <w:rFonts w:ascii="Times New Roman" w:hAnsi="Times New Roman" w:eastAsia="宋体" w:cs="Times New Roman"/>
                <w:bCs/>
                <w:color w:val="000000" w:themeColor="text1"/>
                <w:sz w:val="21"/>
                <w:szCs w:val="21"/>
                <w14:textFill>
                  <w14:solidFill>
                    <w14:schemeClr w14:val="tx1"/>
                  </w14:solidFill>
                </w14:textFill>
              </w:rPr>
              <w:t>10</w:t>
            </w:r>
          </w:p>
          <w:p w14:paraId="68481DCE">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臭气浓度：2000（无量纲）</w:t>
            </w:r>
          </w:p>
        </w:tc>
      </w:tr>
      <w:tr w14:paraId="77F73E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5EB92D67">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3E0D709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p>
        </w:tc>
        <w:tc>
          <w:tcPr>
            <w:tcW w:w="1163" w:type="dxa"/>
            <w:vAlign w:val="center"/>
          </w:tcPr>
          <w:p w14:paraId="38322A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颗粒物、非甲烷总烃、臭气浓度</w:t>
            </w:r>
          </w:p>
        </w:tc>
        <w:tc>
          <w:tcPr>
            <w:tcW w:w="1519" w:type="dxa"/>
            <w:vAlign w:val="center"/>
          </w:tcPr>
          <w:p w14:paraId="7E8AD528">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厂房阻隔</w:t>
            </w:r>
          </w:p>
        </w:tc>
        <w:tc>
          <w:tcPr>
            <w:tcW w:w="2480" w:type="dxa"/>
            <w:shd w:val="clear" w:color="auto" w:fill="auto"/>
            <w:vAlign w:val="center"/>
          </w:tcPr>
          <w:p w14:paraId="095BA2AE">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《橡胶制品工业污染物排放标准》（GB27632-2011）表6；《恶臭污染物排放标准》（GB14554-93）</w:t>
            </w:r>
          </w:p>
          <w:p w14:paraId="1BF439CB">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表1</w:t>
            </w:r>
          </w:p>
        </w:tc>
        <w:tc>
          <w:tcPr>
            <w:tcW w:w="1622" w:type="dxa"/>
            <w:vAlign w:val="center"/>
          </w:tcPr>
          <w:p w14:paraId="0690683D">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颗粒物：1.0、非甲烷总烃：4.0、臭气浓度：20（无量纲）</w:t>
            </w:r>
          </w:p>
        </w:tc>
      </w:tr>
      <w:tr w14:paraId="77378F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33405E2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47E1954C">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厂区内</w:t>
            </w:r>
          </w:p>
        </w:tc>
        <w:tc>
          <w:tcPr>
            <w:tcW w:w="1163" w:type="dxa"/>
            <w:vAlign w:val="center"/>
          </w:tcPr>
          <w:p w14:paraId="2C6076B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519" w:type="dxa"/>
            <w:vAlign w:val="center"/>
          </w:tcPr>
          <w:p w14:paraId="037BF0EE">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2480" w:type="dxa"/>
            <w:shd w:val="clear" w:color="auto" w:fill="auto"/>
            <w:vAlign w:val="center"/>
          </w:tcPr>
          <w:p w14:paraId="4D408FB8">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《挥发性有机物无组织排放控制标准》（GB37822-2019）附录A</w:t>
            </w:r>
          </w:p>
        </w:tc>
        <w:tc>
          <w:tcPr>
            <w:tcW w:w="1622" w:type="dxa"/>
            <w:vAlign w:val="center"/>
          </w:tcPr>
          <w:p w14:paraId="36DC3F84">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10（厂区内监控点处1h平均浓度值）；30（厂区内监控点处任意一次浓度值）</w:t>
            </w:r>
          </w:p>
        </w:tc>
      </w:tr>
      <w:tr w14:paraId="432827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restart"/>
            <w:vAlign w:val="center"/>
          </w:tcPr>
          <w:p w14:paraId="147BB79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废水</w:t>
            </w:r>
          </w:p>
        </w:tc>
        <w:tc>
          <w:tcPr>
            <w:tcW w:w="1350" w:type="dxa"/>
            <w:gridSpan w:val="2"/>
            <w:vAlign w:val="center"/>
          </w:tcPr>
          <w:p w14:paraId="11C74E27">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生活污水</w:t>
            </w:r>
          </w:p>
        </w:tc>
        <w:tc>
          <w:tcPr>
            <w:tcW w:w="1163" w:type="dxa"/>
            <w:vAlign w:val="center"/>
          </w:tcPr>
          <w:p w14:paraId="5FD5749A">
            <w:pPr>
              <w:pStyle w:val="221"/>
              <w:rPr>
                <w:color w:val="000000" w:themeColor="text1"/>
                <w14:textFill>
                  <w14:solidFill>
                    <w14:schemeClr w14:val="tx1"/>
                  </w14:solidFill>
                </w14:textFill>
              </w:rPr>
            </w:pPr>
            <w:r>
              <w:rPr>
                <w:rFonts w:hint="eastAsia"/>
                <w:color w:val="000000" w:themeColor="text1"/>
                <w:lang w:val="en-GB"/>
                <w14:textFill>
                  <w14:solidFill>
                    <w14:schemeClr w14:val="tx1"/>
                  </w14:solidFill>
                </w14:textFill>
              </w:rPr>
              <w:t>pH、SS、COD</w:t>
            </w:r>
            <w:r>
              <w:rPr>
                <w:color w:val="000000" w:themeColor="text1"/>
                <w:lang w:val="en-GB"/>
                <w14:textFill>
                  <w14:solidFill>
                    <w14:schemeClr w14:val="tx1"/>
                  </w14:solidFill>
                </w14:textFill>
              </w:rPr>
              <w:t>、BOD</w:t>
            </w:r>
            <w:r>
              <w:rPr>
                <w:color w:val="000000" w:themeColor="text1"/>
                <w:vertAlign w:val="subscript"/>
                <w:lang w:val="en-GB"/>
                <w14:textFill>
                  <w14:solidFill>
                    <w14:schemeClr w14:val="tx1"/>
                  </w14:solidFill>
                </w14:textFill>
              </w:rPr>
              <w:t>5</w:t>
            </w:r>
            <w:r>
              <w:rPr>
                <w:color w:val="000000" w:themeColor="text1"/>
                <w:lang w:val="en-GB"/>
                <w14:textFill>
                  <w14:solidFill>
                    <w14:schemeClr w14:val="tx1"/>
                  </w14:solidFill>
                </w14:textFill>
              </w:rPr>
              <w:t>、氨氮</w:t>
            </w:r>
          </w:p>
        </w:tc>
        <w:tc>
          <w:tcPr>
            <w:tcW w:w="1519" w:type="dxa"/>
            <w:vAlign w:val="center"/>
          </w:tcPr>
          <w:p w14:paraId="667FD42F">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化粪池处理后排入市政污水管网</w:t>
            </w:r>
          </w:p>
        </w:tc>
        <w:tc>
          <w:tcPr>
            <w:tcW w:w="2480" w:type="dxa"/>
            <w:shd w:val="clear" w:color="auto" w:fill="auto"/>
            <w:vAlign w:val="center"/>
          </w:tcPr>
          <w:p w14:paraId="43FC97D9">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《污水综合排放标准》（GB8978-1996）表4三级标准，氨氮执行《污水排入城镇下水道水质标准》（GB/T31962-2015）表1B级标准，</w:t>
            </w:r>
          </w:p>
        </w:tc>
        <w:tc>
          <w:tcPr>
            <w:tcW w:w="1622" w:type="dxa"/>
            <w:vAlign w:val="center"/>
          </w:tcPr>
          <w:p w14:paraId="53F815EB">
            <w:pPr>
              <w:pStyle w:val="221"/>
              <w:rPr>
                <w:bCs/>
                <w:color w:val="000000" w:themeColor="text1"/>
                <w14:textFill>
                  <w14:solidFill>
                    <w14:schemeClr w14:val="tx1"/>
                  </w14:solidFill>
                </w14:textFill>
              </w:rPr>
            </w:pPr>
            <w:r>
              <w:rPr>
                <w:bCs/>
                <w:color w:val="000000" w:themeColor="text1"/>
                <w14:textFill>
                  <w14:solidFill>
                    <w14:schemeClr w14:val="tx1"/>
                  </w14:solidFill>
                </w14:textFill>
              </w:rPr>
              <w:t>COD≤</w:t>
            </w:r>
            <w:r>
              <w:rPr>
                <w:rFonts w:hint="eastAsia"/>
                <w:bCs/>
                <w:color w:val="000000" w:themeColor="text1"/>
                <w14:textFill>
                  <w14:solidFill>
                    <w14:schemeClr w14:val="tx1"/>
                  </w14:solidFill>
                </w14:textFill>
              </w:rPr>
              <w:t>500mg/L</w:t>
            </w:r>
            <w:r>
              <w:rPr>
                <w:bCs/>
                <w:color w:val="000000" w:themeColor="text1"/>
                <w14:textFill>
                  <w14:solidFill>
                    <w14:schemeClr w14:val="tx1"/>
                  </w14:solidFill>
                </w14:textFill>
              </w:rPr>
              <w:t>、BOD</w:t>
            </w:r>
            <w:r>
              <w:rPr>
                <w:bCs/>
                <w:color w:val="000000" w:themeColor="text1"/>
                <w:vertAlign w:val="subscript"/>
                <w14:textFill>
                  <w14:solidFill>
                    <w14:schemeClr w14:val="tx1"/>
                  </w14:solidFill>
                </w14:textFill>
              </w:rPr>
              <w:t>5</w:t>
            </w:r>
            <w:r>
              <w:rPr>
                <w:rFonts w:hint="eastAsia"/>
                <w:bCs/>
                <w:color w:val="000000" w:themeColor="text1"/>
                <w14:textFill>
                  <w14:solidFill>
                    <w14:schemeClr w14:val="tx1"/>
                  </w14:solidFill>
                </w14:textFill>
              </w:rPr>
              <w:t xml:space="preserve"> </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300mg/L</w:t>
            </w:r>
            <w:r>
              <w:rPr>
                <w:bCs/>
                <w:color w:val="000000" w:themeColor="text1"/>
                <w14:textFill>
                  <w14:solidFill>
                    <w14:schemeClr w14:val="tx1"/>
                  </w14:solidFill>
                </w14:textFill>
              </w:rPr>
              <w:t>、SS≤</w:t>
            </w:r>
            <w:r>
              <w:rPr>
                <w:rFonts w:hint="eastAsia"/>
                <w:bCs/>
                <w:color w:val="000000" w:themeColor="text1"/>
                <w14:textFill>
                  <w14:solidFill>
                    <w14:schemeClr w14:val="tx1"/>
                  </w14:solidFill>
                </w14:textFill>
              </w:rPr>
              <w:t>400mg/L、</w:t>
            </w:r>
            <w:r>
              <w:rPr>
                <w:bCs/>
                <w:color w:val="000000" w:themeColor="text1"/>
                <w14:textFill>
                  <w14:solidFill>
                    <w14:schemeClr w14:val="tx1"/>
                  </w14:solidFill>
                </w14:textFill>
              </w:rPr>
              <w:t>氨氮≤</w:t>
            </w:r>
            <w:r>
              <w:rPr>
                <w:rFonts w:hint="eastAsia"/>
                <w:bCs/>
                <w:color w:val="000000" w:themeColor="text1"/>
                <w14:textFill>
                  <w14:solidFill>
                    <w14:schemeClr w14:val="tx1"/>
                  </w14:solidFill>
                </w14:textFill>
              </w:rPr>
              <w:t>45mg/L、pH：6~9</w:t>
            </w:r>
          </w:p>
        </w:tc>
      </w:tr>
      <w:tr w14:paraId="3719D8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791EEC9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05F6288A">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循环冷却水</w:t>
            </w:r>
          </w:p>
        </w:tc>
        <w:tc>
          <w:tcPr>
            <w:tcW w:w="1163" w:type="dxa"/>
            <w:vAlign w:val="center"/>
          </w:tcPr>
          <w:p w14:paraId="2F5321EA">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SS</w:t>
            </w:r>
          </w:p>
        </w:tc>
        <w:tc>
          <w:tcPr>
            <w:tcW w:w="1519" w:type="dxa"/>
            <w:vAlign w:val="center"/>
          </w:tcPr>
          <w:p w14:paraId="604A04CF">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经过滤器处理后循环回用，不外排</w:t>
            </w:r>
          </w:p>
        </w:tc>
        <w:tc>
          <w:tcPr>
            <w:tcW w:w="2480" w:type="dxa"/>
            <w:shd w:val="clear" w:color="auto" w:fill="auto"/>
            <w:vAlign w:val="center"/>
          </w:tcPr>
          <w:p w14:paraId="43F880E6">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1622" w:type="dxa"/>
            <w:vAlign w:val="center"/>
          </w:tcPr>
          <w:p w14:paraId="74B1D772">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r>
      <w:tr w14:paraId="621A8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001A828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声环境</w:t>
            </w:r>
          </w:p>
        </w:tc>
        <w:tc>
          <w:tcPr>
            <w:tcW w:w="1350" w:type="dxa"/>
            <w:gridSpan w:val="2"/>
            <w:vAlign w:val="center"/>
          </w:tcPr>
          <w:p w14:paraId="1BECDAA8">
            <w:pPr>
              <w:pStyle w:val="221"/>
              <w:rPr>
                <w:color w:val="000000" w:themeColor="text1"/>
                <w14:textFill>
                  <w14:solidFill>
                    <w14:schemeClr w14:val="tx1"/>
                  </w14:solidFill>
                </w14:textFill>
              </w:rPr>
            </w:pPr>
            <w:r>
              <w:rPr>
                <w:color w:val="000000" w:themeColor="text1"/>
                <w14:textFill>
                  <w14:solidFill>
                    <w14:schemeClr w14:val="tx1"/>
                  </w14:solidFill>
                </w14:textFill>
              </w:rPr>
              <w:t>车间设备</w:t>
            </w:r>
          </w:p>
        </w:tc>
        <w:tc>
          <w:tcPr>
            <w:tcW w:w="1163" w:type="dxa"/>
            <w:vAlign w:val="center"/>
          </w:tcPr>
          <w:p w14:paraId="14054C6F">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519" w:type="dxa"/>
            <w:vAlign w:val="center"/>
          </w:tcPr>
          <w:p w14:paraId="44108272">
            <w:pPr>
              <w:pStyle w:val="221"/>
              <w:rPr>
                <w:color w:val="000000" w:themeColor="text1"/>
                <w14:textFill>
                  <w14:solidFill>
                    <w14:schemeClr w14:val="tx1"/>
                  </w14:solidFill>
                </w14:textFill>
              </w:rPr>
            </w:pPr>
            <w:r>
              <w:rPr>
                <w:color w:val="000000" w:themeColor="text1"/>
                <w14:textFill>
                  <w14:solidFill>
                    <w14:schemeClr w14:val="tx1"/>
                  </w14:solidFill>
                </w14:textFill>
              </w:rPr>
              <w:t>基础减振、厂房隔声</w:t>
            </w:r>
          </w:p>
        </w:tc>
        <w:tc>
          <w:tcPr>
            <w:tcW w:w="2480" w:type="dxa"/>
            <w:vAlign w:val="center"/>
          </w:tcPr>
          <w:p w14:paraId="61B5CAEB">
            <w:pPr>
              <w:pStyle w:val="221"/>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《工业企业厂界环境噪声排放标准》（GB 12348-2008）3类标准</w:t>
            </w:r>
          </w:p>
        </w:tc>
        <w:tc>
          <w:tcPr>
            <w:tcW w:w="1622" w:type="dxa"/>
            <w:vAlign w:val="center"/>
          </w:tcPr>
          <w:p w14:paraId="5B45F821">
            <w:pPr>
              <w:pStyle w:val="221"/>
              <w:rPr>
                <w:color w:val="000000" w:themeColor="text1"/>
                <w14:textFill>
                  <w14:solidFill>
                    <w14:schemeClr w14:val="tx1"/>
                  </w14:solidFill>
                </w14:textFill>
              </w:rPr>
            </w:pPr>
            <w:r>
              <w:rPr>
                <w:color w:val="000000" w:themeColor="text1"/>
                <w14:textFill>
                  <w14:solidFill>
                    <w14:schemeClr w14:val="tx1"/>
                  </w14:solidFill>
                </w14:textFill>
              </w:rPr>
              <w:t>昼间≤65dB（A）</w:t>
            </w:r>
          </w:p>
        </w:tc>
      </w:tr>
      <w:tr w14:paraId="49835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Align w:val="center"/>
          </w:tcPr>
          <w:p w14:paraId="11D5DBAF">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固体</w:t>
            </w:r>
          </w:p>
          <w:p w14:paraId="650DEB3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废物</w:t>
            </w:r>
          </w:p>
        </w:tc>
        <w:tc>
          <w:tcPr>
            <w:tcW w:w="8134" w:type="dxa"/>
            <w:gridSpan w:val="6"/>
            <w:vAlign w:val="center"/>
          </w:tcPr>
          <w:p w14:paraId="1712C3A3">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建设一般固废间一座（20m</w:t>
            </w:r>
            <w:r>
              <w:rPr>
                <w:rFonts w:hint="eastAsia" w:ascii="Times New Roman" w:hAnsi="Times New Roman" w:eastAsia="宋体" w:cs="Times New Roman"/>
                <w:color w:val="000000" w:themeColor="text1"/>
                <w:sz w:val="21"/>
                <w:vertAlign w:val="superscript"/>
                <w14:textFill>
                  <w14:solidFill>
                    <w14:schemeClr w14:val="tx1"/>
                  </w14:solidFill>
                </w14:textFill>
              </w:rPr>
              <w:t>2</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w:t>
            </w:r>
            <w:r>
              <w:rPr>
                <w:rFonts w:hint="eastAsia" w:ascii="Times New Roman" w:hAnsi="Times New Roman" w:eastAsia="宋体" w:cs="Times New Roman"/>
                <w:color w:val="000000" w:themeColor="text1"/>
                <w:sz w:val="21"/>
                <w14:textFill>
                  <w14:solidFill>
                    <w14:schemeClr w14:val="tx1"/>
                  </w14:solidFill>
                </w14:textFill>
              </w:rPr>
              <w:t>危险废物暂存库一座（5m</w:t>
            </w:r>
            <w:r>
              <w:rPr>
                <w:rFonts w:hint="eastAsia" w:ascii="Times New Roman" w:hAnsi="Times New Roman" w:eastAsia="宋体" w:cs="Times New Roman"/>
                <w:color w:val="000000" w:themeColor="text1"/>
                <w:sz w:val="21"/>
                <w:vertAlign w:val="superscript"/>
                <w14:textFill>
                  <w14:solidFill>
                    <w14:schemeClr w14:val="tx1"/>
                  </w14:solidFill>
                </w14:textFill>
              </w:rPr>
              <w:t>2</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一般固废间应满足《一般工业固体废物贮存和填埋污染控制标准》（GB18599-2020）的相关要求</w:t>
            </w:r>
            <w:r>
              <w:rPr>
                <w:rFonts w:hint="eastAsia" w:ascii="Times New Roman" w:hAnsi="Times New Roman" w:eastAsia="宋体" w:cs="Times New Roman"/>
                <w:color w:val="000000" w:themeColor="text1"/>
                <w:sz w:val="21"/>
                <w14:textFill>
                  <w14:solidFill>
                    <w14:schemeClr w14:val="tx1"/>
                  </w14:solidFill>
                </w14:textFill>
              </w:rPr>
              <w:t>，危险废物暂存库满足《危险废物贮存污染控制标准》（GB18597-2023）的相关要求。</w:t>
            </w:r>
          </w:p>
          <w:p w14:paraId="61D94C90">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废包装材料、废橡胶、废除尘布袋、冷却水过滤器橡胶粒外售物质回收单位，布袋除尘器收集的粉尘回用于生产，沉淀池污泥、生活垃圾委托环卫部门处理。</w:t>
            </w:r>
          </w:p>
          <w:p w14:paraId="747044F6">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废润滑油、废润滑油桶、废活性炭暂存危废库，委托资质单位处置。</w:t>
            </w:r>
          </w:p>
        </w:tc>
      </w:tr>
      <w:tr w14:paraId="1B1359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39CB2BF4">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土壤及地下水污染防治措施</w:t>
            </w:r>
          </w:p>
        </w:tc>
        <w:tc>
          <w:tcPr>
            <w:tcW w:w="8134" w:type="dxa"/>
            <w:gridSpan w:val="6"/>
            <w:vAlign w:val="center"/>
          </w:tcPr>
          <w:p w14:paraId="6603581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合理进行防渗区域划分，危废贮存库按重点污染区防渗要求进行建设；化粪池、沉淀池、油罐区等按一般污染区防渗要求进行建设；其余地区等按简单防渗进行建设。</w:t>
            </w:r>
          </w:p>
        </w:tc>
      </w:tr>
      <w:tr w14:paraId="0550A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6707C844">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环境风险防范措施</w:t>
            </w:r>
          </w:p>
        </w:tc>
        <w:tc>
          <w:tcPr>
            <w:tcW w:w="8134" w:type="dxa"/>
            <w:gridSpan w:val="6"/>
            <w:vAlign w:val="center"/>
          </w:tcPr>
          <w:p w14:paraId="4E073AEB">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1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建立健全车间的各项安全管理制度，明确生产车间各岗位人员的责任制和奖惩制度。</w:t>
            </w:r>
          </w:p>
          <w:p w14:paraId="3E1FC7E9">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2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②</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在生产车间配备灭火器等火灾消防器材，配备电气防护用品和防火、防毒的劳保用品，并有专人管理和维护。</w:t>
            </w:r>
          </w:p>
          <w:p w14:paraId="3189C695">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③在橡胶油罐区建设有效容积不少于30m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3</w:t>
            </w:r>
            <w:r>
              <w:rPr>
                <w:rFonts w:hint="eastAsia" w:ascii="Times New Roman" w:hAnsi="Times New Roman" w:eastAsia="宋体" w:cs="Times New Roman"/>
                <w:color w:val="000000" w:themeColor="text1"/>
                <w:sz w:val="21"/>
                <w:szCs w:val="21"/>
                <w14:textFill>
                  <w14:solidFill>
                    <w14:schemeClr w14:val="tx1"/>
                  </w14:solidFill>
                </w14:textFill>
              </w:rPr>
              <w:t>的围堰。</w:t>
            </w:r>
          </w:p>
        </w:tc>
      </w:tr>
      <w:tr w14:paraId="1D8A77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5E8D697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其他环境管理要求</w:t>
            </w:r>
          </w:p>
        </w:tc>
        <w:tc>
          <w:tcPr>
            <w:tcW w:w="8134" w:type="dxa"/>
            <w:gridSpan w:val="6"/>
            <w:vAlign w:val="center"/>
          </w:tcPr>
          <w:p w14:paraId="2C636624">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（1）制定环保设施的管理制度，加强日常环保管理和环保处理设施的维护和保养</w:t>
            </w:r>
            <w:r>
              <w:rPr>
                <w:rFonts w:hint="eastAsia" w:ascii="Times New Roman" w:hAnsi="Times New Roman" w:cs="Times New Roman"/>
                <w:bCs/>
                <w:color w:val="000000" w:themeColor="text1"/>
                <w:sz w:val="21"/>
                <w:szCs w:val="21"/>
                <w14:textFill>
                  <w14:solidFill>
                    <w14:schemeClr w14:val="tx1"/>
                  </w14:solidFill>
                </w14:textFill>
              </w:rPr>
              <w:t>。</w:t>
            </w:r>
          </w:p>
          <w:p w14:paraId="1BE15C16">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（2）应规范化排污口建设，并设置排污口标识牌。</w:t>
            </w:r>
          </w:p>
          <w:p w14:paraId="1DC2F5F9">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bCs/>
                <w:color w:val="000000" w:themeColor="text1"/>
                <w:sz w:val="21"/>
                <w:szCs w:val="21"/>
                <w14:textFill>
                  <w14:solidFill>
                    <w14:schemeClr w14:val="tx1"/>
                  </w14:solidFill>
                </w14:textFill>
              </w:rPr>
              <w:t>3</w:t>
            </w: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bCs/>
                <w:color w:val="000000" w:themeColor="text1"/>
                <w:sz w:val="21"/>
                <w:szCs w:val="21"/>
                <w14:textFill>
                  <w14:solidFill>
                    <w14:schemeClr w14:val="tx1"/>
                  </w14:solidFill>
                </w14:textFill>
              </w:rPr>
              <w:t>根据《固定污染源排污许可分类管理名录》，项目属于橡胶制品业291，年耗胶量2000 吨及以上，</w:t>
            </w:r>
            <w:r>
              <w:rPr>
                <w:rFonts w:hint="eastAsia" w:ascii="Times New Roman" w:hAnsi="Times New Roman" w:cs="Times New Roman"/>
                <w:b/>
                <w:color w:val="000000" w:themeColor="text1"/>
                <w:sz w:val="21"/>
                <w:szCs w:val="21"/>
                <w14:textFill>
                  <w14:solidFill>
                    <w14:schemeClr w14:val="tx1"/>
                  </w14:solidFill>
                </w14:textFill>
              </w:rPr>
              <w:t>实行简化管理</w:t>
            </w:r>
            <w:r>
              <w:rPr>
                <w:rFonts w:hint="eastAsia" w:ascii="Times New Roman" w:hAnsi="Times New Roman" w:cs="Times New Roman"/>
                <w:bCs/>
                <w:color w:val="000000" w:themeColor="text1"/>
                <w:sz w:val="21"/>
                <w:szCs w:val="21"/>
                <w14:textFill>
                  <w14:solidFill>
                    <w14:schemeClr w14:val="tx1"/>
                  </w14:solidFill>
                </w14:textFill>
              </w:rPr>
              <w:t>。建设项目应根据《排污许可管理办法》，当在启动生产设施或者发生实际排污之前申请取得排污许可证：</w:t>
            </w:r>
          </w:p>
          <w:p w14:paraId="068C40BA">
            <w:pPr>
              <w:widowControl w:val="0"/>
              <w:spacing w:before="120" w:beforeLines="50" w:after="0" w:line="240" w:lineRule="auto"/>
              <w:jc w:val="center"/>
              <w:rPr>
                <w:rFonts w:ascii="Times New Roman" w:hAnsi="Times New Roman" w:eastAsia="宋体" w:cs="Times New Roman"/>
                <w:b/>
                <w:color w:val="000000" w:themeColor="text1"/>
                <w:spacing w:val="6"/>
                <w:kern w:val="2"/>
                <w:sz w:val="21"/>
                <w:szCs w:val="21"/>
                <w:lang w:bidi="zh-TW"/>
                <w14:textFill>
                  <w14:solidFill>
                    <w14:schemeClr w14:val="tx1"/>
                  </w14:solidFill>
                </w14:textFill>
              </w:rPr>
            </w:pPr>
            <w:r>
              <w:rPr>
                <w:rFonts w:ascii="Times New Roman" w:hAnsi="Times New Roman" w:eastAsia="宋体" w:cs="Times New Roman"/>
                <w:b/>
                <w:color w:val="000000" w:themeColor="text1"/>
                <w:spacing w:val="6"/>
                <w:kern w:val="2"/>
                <w:sz w:val="21"/>
                <w:szCs w:val="21"/>
                <w:lang w:bidi="zh-TW"/>
                <w14:textFill>
                  <w14:solidFill>
                    <w14:schemeClr w14:val="tx1"/>
                  </w14:solidFill>
                </w14:textFill>
              </w:rPr>
              <w:t>表5-1  固定污染源排污许可分类管理名录</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9"/>
              <w:gridCol w:w="1435"/>
              <w:gridCol w:w="1519"/>
              <w:gridCol w:w="3178"/>
              <w:gridCol w:w="1251"/>
            </w:tblGrid>
            <w:tr w14:paraId="6A20DE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675" w:type="dxa"/>
                  <w:vAlign w:val="center"/>
                </w:tcPr>
                <w:p w14:paraId="49260A50">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序号</w:t>
                  </w:r>
                </w:p>
              </w:tc>
              <w:tc>
                <w:tcPr>
                  <w:tcW w:w="1296" w:type="dxa"/>
                  <w:vAlign w:val="center"/>
                </w:tcPr>
                <w:p w14:paraId="70D8BCA4">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行业类别</w:t>
                  </w:r>
                </w:p>
              </w:tc>
              <w:tc>
                <w:tcPr>
                  <w:tcW w:w="1372" w:type="dxa"/>
                  <w:vAlign w:val="center"/>
                </w:tcPr>
                <w:p w14:paraId="18B27B03">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重点管理</w:t>
                  </w:r>
                </w:p>
              </w:tc>
              <w:tc>
                <w:tcPr>
                  <w:tcW w:w="2870" w:type="dxa"/>
                  <w:vAlign w:val="center"/>
                </w:tcPr>
                <w:p w14:paraId="64150A2A">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简化管理</w:t>
                  </w:r>
                </w:p>
              </w:tc>
              <w:tc>
                <w:tcPr>
                  <w:tcW w:w="1130" w:type="dxa"/>
                  <w:vAlign w:val="center"/>
                </w:tcPr>
                <w:p w14:paraId="3B039570">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登记管理</w:t>
                  </w:r>
                </w:p>
              </w:tc>
            </w:tr>
            <w:tr w14:paraId="4D54E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7343" w:type="dxa"/>
                  <w:gridSpan w:val="5"/>
                  <w:vAlign w:val="center"/>
                </w:tcPr>
                <w:p w14:paraId="2692669C">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二十五、非金属矿物制品业 30</w:t>
                  </w:r>
                </w:p>
              </w:tc>
            </w:tr>
            <w:tr w14:paraId="69468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675" w:type="dxa"/>
                  <w:vAlign w:val="center"/>
                </w:tcPr>
                <w:p w14:paraId="38DEC306">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6</w:t>
                  </w:r>
                  <w:r>
                    <w:rPr>
                      <w:rFonts w:hint="eastAsia" w:ascii="Times New Roman" w:hAnsi="Times New Roman" w:eastAsia="宋体" w:cs="Times New Roman"/>
                      <w:iCs/>
                      <w:color w:val="000000" w:themeColor="text1"/>
                      <w:kern w:val="2"/>
                      <w:sz w:val="21"/>
                      <w:szCs w:val="21"/>
                      <w14:textFill>
                        <w14:solidFill>
                          <w14:schemeClr w14:val="tx1"/>
                        </w14:solidFill>
                      </w14:textFill>
                    </w:rPr>
                    <w:t>1</w:t>
                  </w:r>
                </w:p>
              </w:tc>
              <w:tc>
                <w:tcPr>
                  <w:tcW w:w="1296" w:type="dxa"/>
                  <w:vAlign w:val="center"/>
                </w:tcPr>
                <w:p w14:paraId="358D573F">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橡胶制品业</w:t>
                  </w:r>
                  <w:r>
                    <w:rPr>
                      <w:rFonts w:ascii="Times New Roman" w:hAnsi="Times New Roman" w:eastAsia="宋体" w:cs="Times New Roman"/>
                      <w:iCs/>
                      <w:color w:val="000000" w:themeColor="text1"/>
                      <w:kern w:val="2"/>
                      <w:sz w:val="21"/>
                      <w:szCs w:val="21"/>
                      <w14:textFill>
                        <w14:solidFill>
                          <w14:schemeClr w14:val="tx1"/>
                        </w14:solidFill>
                      </w14:textFill>
                    </w:rPr>
                    <w:t>291</w:t>
                  </w:r>
                </w:p>
              </w:tc>
              <w:tc>
                <w:tcPr>
                  <w:tcW w:w="1372" w:type="dxa"/>
                  <w:vAlign w:val="center"/>
                </w:tcPr>
                <w:p w14:paraId="258DD3A8">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纳入重点排污单位名录的</w:t>
                  </w:r>
                </w:p>
              </w:tc>
              <w:tc>
                <w:tcPr>
                  <w:tcW w:w="2870" w:type="dxa"/>
                  <w:vAlign w:val="center"/>
                </w:tcPr>
                <w:p w14:paraId="208EEB94">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除重点管理以外的轮胎制造</w:t>
                  </w:r>
                  <w:r>
                    <w:rPr>
                      <w:rFonts w:ascii="Times New Roman" w:hAnsi="Times New Roman" w:eastAsia="宋体" w:cs="Times New Roman"/>
                      <w:iCs/>
                      <w:color w:val="000000" w:themeColor="text1"/>
                      <w:kern w:val="2"/>
                      <w:sz w:val="21"/>
                      <w:szCs w:val="21"/>
                      <w14:textFill>
                        <w14:solidFill>
                          <w14:schemeClr w14:val="tx1"/>
                        </w14:solidFill>
                      </w14:textFill>
                    </w:rPr>
                    <w:t>2911</w:t>
                  </w:r>
                  <w:r>
                    <w:rPr>
                      <w:rFonts w:hint="eastAsia" w:ascii="Times New Roman" w:hAnsi="Times New Roman" w:eastAsia="宋体" w:cs="Times New Roman"/>
                      <w:iCs/>
                      <w:color w:val="000000" w:themeColor="text1"/>
                      <w:kern w:val="2"/>
                      <w:sz w:val="21"/>
                      <w:szCs w:val="21"/>
                      <w14:textFill>
                        <w14:solidFill>
                          <w14:schemeClr w14:val="tx1"/>
                        </w14:solidFill>
                      </w14:textFill>
                    </w:rPr>
                    <w:t>、年耗胶量</w:t>
                  </w:r>
                  <w:r>
                    <w:rPr>
                      <w:rFonts w:ascii="Times New Roman" w:hAnsi="Times New Roman" w:eastAsia="宋体" w:cs="Times New Roman"/>
                      <w:iCs/>
                      <w:color w:val="000000" w:themeColor="text1"/>
                      <w:kern w:val="2"/>
                      <w:sz w:val="21"/>
                      <w:szCs w:val="21"/>
                      <w14:textFill>
                        <w14:solidFill>
                          <w14:schemeClr w14:val="tx1"/>
                        </w14:solidFill>
                      </w14:textFill>
                    </w:rPr>
                    <w:t xml:space="preserve">2000 </w:t>
                  </w:r>
                  <w:r>
                    <w:rPr>
                      <w:rFonts w:hint="eastAsia" w:ascii="Times New Roman" w:hAnsi="Times New Roman" w:eastAsia="宋体" w:cs="Times New Roman"/>
                      <w:iCs/>
                      <w:color w:val="000000" w:themeColor="text1"/>
                      <w:kern w:val="2"/>
                      <w:sz w:val="21"/>
                      <w:szCs w:val="21"/>
                      <w14:textFill>
                        <w14:solidFill>
                          <w14:schemeClr w14:val="tx1"/>
                        </w14:solidFill>
                      </w14:textFill>
                    </w:rPr>
                    <w:t>吨及以上的橡胶板、管、带制造</w:t>
                  </w:r>
                  <w:r>
                    <w:rPr>
                      <w:rFonts w:ascii="Times New Roman" w:hAnsi="Times New Roman" w:eastAsia="宋体" w:cs="Times New Roman"/>
                      <w:iCs/>
                      <w:color w:val="000000" w:themeColor="text1"/>
                      <w:kern w:val="2"/>
                      <w:sz w:val="21"/>
                      <w:szCs w:val="21"/>
                      <w14:textFill>
                        <w14:solidFill>
                          <w14:schemeClr w14:val="tx1"/>
                        </w14:solidFill>
                      </w14:textFill>
                    </w:rPr>
                    <w:t>2912</w:t>
                  </w:r>
                  <w:r>
                    <w:rPr>
                      <w:rFonts w:hint="eastAsia" w:ascii="Times New Roman" w:hAnsi="Times New Roman" w:eastAsia="宋体" w:cs="Times New Roman"/>
                      <w:iCs/>
                      <w:color w:val="000000" w:themeColor="text1"/>
                      <w:kern w:val="2"/>
                      <w:sz w:val="21"/>
                      <w:szCs w:val="21"/>
                      <w14:textFill>
                        <w14:solidFill>
                          <w14:schemeClr w14:val="tx1"/>
                        </w14:solidFill>
                      </w14:textFill>
                    </w:rPr>
                    <w:t>、橡胶零件制造</w:t>
                  </w:r>
                  <w:r>
                    <w:rPr>
                      <w:rFonts w:ascii="Times New Roman" w:hAnsi="Times New Roman" w:eastAsia="宋体" w:cs="Times New Roman"/>
                      <w:iCs/>
                      <w:color w:val="000000" w:themeColor="text1"/>
                      <w:kern w:val="2"/>
                      <w:sz w:val="21"/>
                      <w:szCs w:val="21"/>
                      <w14:textFill>
                        <w14:solidFill>
                          <w14:schemeClr w14:val="tx1"/>
                        </w14:solidFill>
                      </w14:textFill>
                    </w:rPr>
                    <w:t>2913</w:t>
                  </w:r>
                  <w:r>
                    <w:rPr>
                      <w:rFonts w:hint="eastAsia" w:ascii="Times New Roman" w:hAnsi="Times New Roman" w:eastAsia="宋体" w:cs="Times New Roman"/>
                      <w:iCs/>
                      <w:color w:val="000000" w:themeColor="text1"/>
                      <w:kern w:val="2"/>
                      <w:sz w:val="21"/>
                      <w:szCs w:val="21"/>
                      <w14:textFill>
                        <w14:solidFill>
                          <w14:schemeClr w14:val="tx1"/>
                        </w14:solidFill>
                      </w14:textFill>
                    </w:rPr>
                    <w:t>、再生橡胶制造</w:t>
                  </w:r>
                  <w:r>
                    <w:rPr>
                      <w:rFonts w:ascii="Times New Roman" w:hAnsi="Times New Roman" w:eastAsia="宋体" w:cs="Times New Roman"/>
                      <w:iCs/>
                      <w:color w:val="000000" w:themeColor="text1"/>
                      <w:kern w:val="2"/>
                      <w:sz w:val="21"/>
                      <w:szCs w:val="21"/>
                      <w14:textFill>
                        <w14:solidFill>
                          <w14:schemeClr w14:val="tx1"/>
                        </w14:solidFill>
                      </w14:textFill>
                    </w:rPr>
                    <w:t>2914</w:t>
                  </w:r>
                  <w:r>
                    <w:rPr>
                      <w:rFonts w:hint="eastAsia" w:ascii="Times New Roman" w:hAnsi="Times New Roman" w:eastAsia="宋体" w:cs="Times New Roman"/>
                      <w:iCs/>
                      <w:color w:val="000000" w:themeColor="text1"/>
                      <w:kern w:val="2"/>
                      <w:sz w:val="21"/>
                      <w:szCs w:val="21"/>
                      <w14:textFill>
                        <w14:solidFill>
                          <w14:schemeClr w14:val="tx1"/>
                        </w14:solidFill>
                      </w14:textFill>
                    </w:rPr>
                    <w:t>、日用及医用橡胶制品制造</w:t>
                  </w:r>
                  <w:r>
                    <w:rPr>
                      <w:rFonts w:ascii="Times New Roman" w:hAnsi="Times New Roman" w:eastAsia="宋体" w:cs="Times New Roman"/>
                      <w:iCs/>
                      <w:color w:val="000000" w:themeColor="text1"/>
                      <w:kern w:val="2"/>
                      <w:sz w:val="21"/>
                      <w:szCs w:val="21"/>
                      <w14:textFill>
                        <w14:solidFill>
                          <w14:schemeClr w14:val="tx1"/>
                        </w14:solidFill>
                      </w14:textFill>
                    </w:rPr>
                    <w:t>2915</w:t>
                  </w:r>
                  <w:r>
                    <w:rPr>
                      <w:rFonts w:hint="eastAsia" w:ascii="Times New Roman" w:hAnsi="Times New Roman" w:eastAsia="宋体" w:cs="Times New Roman"/>
                      <w:iCs/>
                      <w:color w:val="000000" w:themeColor="text1"/>
                      <w:kern w:val="2"/>
                      <w:sz w:val="21"/>
                      <w:szCs w:val="21"/>
                      <w14:textFill>
                        <w14:solidFill>
                          <w14:schemeClr w14:val="tx1"/>
                        </w14:solidFill>
                      </w14:textFill>
                    </w:rPr>
                    <w:t>、运动场地用塑胶制造</w:t>
                  </w:r>
                  <w:r>
                    <w:rPr>
                      <w:rFonts w:ascii="Times New Roman" w:hAnsi="Times New Roman" w:eastAsia="宋体" w:cs="Times New Roman"/>
                      <w:iCs/>
                      <w:color w:val="000000" w:themeColor="text1"/>
                      <w:kern w:val="2"/>
                      <w:sz w:val="21"/>
                      <w:szCs w:val="21"/>
                      <w14:textFill>
                        <w14:solidFill>
                          <w14:schemeClr w14:val="tx1"/>
                        </w14:solidFill>
                      </w14:textFill>
                    </w:rPr>
                    <w:t>2916</w:t>
                  </w:r>
                  <w:r>
                    <w:rPr>
                      <w:rFonts w:hint="eastAsia" w:ascii="Times New Roman" w:hAnsi="Times New Roman" w:eastAsia="宋体" w:cs="Times New Roman"/>
                      <w:iCs/>
                      <w:color w:val="000000" w:themeColor="text1"/>
                      <w:kern w:val="2"/>
                      <w:sz w:val="21"/>
                      <w:szCs w:val="21"/>
                      <w14:textFill>
                        <w14:solidFill>
                          <w14:schemeClr w14:val="tx1"/>
                        </w14:solidFill>
                      </w14:textFill>
                    </w:rPr>
                    <w:t>、其他橡胶制品制造</w:t>
                  </w:r>
                  <w:r>
                    <w:rPr>
                      <w:rFonts w:ascii="Times New Roman" w:hAnsi="Times New Roman" w:eastAsia="宋体" w:cs="Times New Roman"/>
                      <w:iCs/>
                      <w:color w:val="000000" w:themeColor="text1"/>
                      <w:kern w:val="2"/>
                      <w:sz w:val="21"/>
                      <w:szCs w:val="21"/>
                      <w14:textFill>
                        <w14:solidFill>
                          <w14:schemeClr w14:val="tx1"/>
                        </w14:solidFill>
                      </w14:textFill>
                    </w:rPr>
                    <w:t>2919</w:t>
                  </w:r>
                </w:p>
              </w:tc>
              <w:tc>
                <w:tcPr>
                  <w:tcW w:w="1130" w:type="dxa"/>
                  <w:vAlign w:val="center"/>
                </w:tcPr>
                <w:p w14:paraId="11AAFBB8">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仅切割加工的</w:t>
                  </w:r>
                </w:p>
              </w:tc>
            </w:tr>
          </w:tbl>
          <w:p w14:paraId="6CA88097">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p>
          <w:p w14:paraId="17A7E9D1">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p>
        </w:tc>
      </w:tr>
    </w:tbl>
    <w:p w14:paraId="0534FD70">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pPr>
    </w:p>
    <w:p w14:paraId="0558D6A2">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sectPr>
          <w:pgSz w:w="11906" w:h="16838"/>
          <w:pgMar w:top="1417" w:right="1417" w:bottom="1417" w:left="1417" w:header="992" w:footer="992" w:gutter="0"/>
          <w:cols w:space="720" w:num="1"/>
          <w:docGrid w:linePitch="312" w:charSpace="0"/>
        </w:sectPr>
      </w:pPr>
    </w:p>
    <w:p w14:paraId="754E87E0">
      <w:pPr>
        <w:widowControl w:val="0"/>
        <w:spacing w:after="0" w:line="360" w:lineRule="auto"/>
        <w:jc w:val="center"/>
        <w:outlineLvl w:val="0"/>
        <w:rPr>
          <w:rFonts w:ascii="Times New Roman" w:hAnsi="Times New Roman" w:eastAsia="宋体" w:cs="Times New Roman"/>
          <w:color w:val="000000" w:themeColor="text1"/>
          <w:kern w:val="2"/>
          <w:szCs w:val="24"/>
          <w14:textFill>
            <w14:solidFill>
              <w14:schemeClr w14:val="tx1"/>
            </w14:solidFill>
          </w14:textFill>
        </w:rPr>
      </w:pPr>
      <w:bookmarkStart w:id="22" w:name="_Toc7353"/>
      <w:r>
        <w:drawing>
          <wp:anchor distT="0" distB="0" distL="114300" distR="114300" simplePos="0" relativeHeight="251661312" behindDoc="0" locked="0" layoutInCell="1" allowOverlap="1">
            <wp:simplePos x="0" y="0"/>
            <wp:positionH relativeFrom="page">
              <wp:align>right</wp:align>
            </wp:positionH>
            <wp:positionV relativeFrom="paragraph">
              <wp:posOffset>-899795</wp:posOffset>
            </wp:positionV>
            <wp:extent cx="7549515" cy="10677525"/>
            <wp:effectExtent l="0" t="0" r="0" b="0"/>
            <wp:wrapNone/>
            <wp:docPr id="19537696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9634" name="图片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549412" cy="10677525"/>
                    </a:xfrm>
                    <a:prstGeom prst="rect">
                      <a:avLst/>
                    </a:prstGeom>
                    <a:noFill/>
                    <a:ln>
                      <a:noFill/>
                    </a:ln>
                  </pic:spPr>
                </pic:pic>
              </a:graphicData>
            </a:graphic>
          </wp:anchor>
        </w:drawing>
      </w:r>
      <w:r>
        <w:rPr>
          <w:rFonts w:ascii="Times New Roman" w:hAnsi="Times New Roman" w:eastAsia="宋体" w:cs="Times New Roman"/>
          <w:b/>
          <w:color w:val="000000" w:themeColor="text1"/>
          <w:kern w:val="44"/>
          <w:sz w:val="32"/>
          <w:szCs w:val="36"/>
          <w14:textFill>
            <w14:solidFill>
              <w14:schemeClr w14:val="tx1"/>
            </w14:solidFill>
          </w14:textFill>
        </w:rPr>
        <w:t>六、结论</w:t>
      </w:r>
      <w:bookmarkEnd w:id="22"/>
    </w:p>
    <w:tbl>
      <w:tblPr>
        <w:tblStyle w:val="232"/>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9061"/>
      </w:tblGrid>
      <w:tr w14:paraId="50386DA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Ex>
        <w:tc>
          <w:tcPr>
            <w:tcW w:w="9061" w:type="dxa"/>
          </w:tcPr>
          <w:p w14:paraId="33D4BB8E">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年加工橡胶片4000吨、橡胶条5000吨位于闽台（福州）蓝色经济产业园（福建省蓝谷海工装备产业综合体A32厂房（二期）整座），项目符合国家产业政策及国家相关法律法规要求，符合《闽台(福州)蓝色经济产业园总体规划修编(2017-2035)》及其规划环评要求，其选址合理，总平面布置基本合理。项目所在区域环境质量现状均满足相关标准，本项目符合生态环境分区管控要求。在认真落实各项环境污染治理和环境管理措施的前提下，各项污染物经处理后可实现稳定达标排放且满足区域总量控制要求，污染物防治措施可行，项目对周围环境的影响在可接受范围内。在严格落实各项生态环境保护和污染防治措施后，从环境影响角度分析，项目建设是可行的。</w:t>
            </w:r>
          </w:p>
          <w:p w14:paraId="1327AC4F">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649789E2">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66E6B701">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49E315FC">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78427F6F">
            <w:pPr>
              <w:widowControl w:val="0"/>
              <w:spacing w:after="120" w:line="360" w:lineRule="auto"/>
              <w:ind w:firstLine="480" w:firstLineChars="200"/>
              <w:jc w:val="right"/>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福建明达工程技术服务有限公司</w:t>
            </w:r>
          </w:p>
          <w:p w14:paraId="05575BB5">
            <w:pPr>
              <w:widowControl w:val="0"/>
              <w:spacing w:after="120" w:line="360" w:lineRule="auto"/>
              <w:ind w:firstLine="480" w:firstLineChars="200"/>
              <w:jc w:val="right"/>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2026年1月</w:t>
            </w:r>
          </w:p>
          <w:p w14:paraId="0E6F6C61">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23A100E2">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5DD5E8FF">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3D1335ED">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708EC18E">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0A260596">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2BEFAAF6">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5BEFA5C9">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5B10CF82">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tc>
      </w:tr>
    </w:tbl>
    <w:p w14:paraId="77E595B7">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sectPr>
          <w:pgSz w:w="11906" w:h="16838"/>
          <w:pgMar w:top="1417" w:right="1417" w:bottom="1417" w:left="1417" w:header="992" w:footer="992" w:gutter="0"/>
          <w:cols w:space="720" w:num="1"/>
          <w:docGrid w:linePitch="312" w:charSpace="0"/>
        </w:sectPr>
      </w:pPr>
    </w:p>
    <w:p w14:paraId="032F6689">
      <w:pPr>
        <w:pStyle w:val="2"/>
        <w:keepNext w:val="0"/>
        <w:keepLines w:val="0"/>
        <w:widowControl w:val="0"/>
        <w:topLinePunct/>
        <w:spacing w:before="0" w:line="360" w:lineRule="auto"/>
        <w:rPr>
          <w:rFonts w:ascii="Times New Roman" w:hAnsi="Times New Roman" w:eastAsia="宋体" w:cs="Times New Roman"/>
          <w:b/>
          <w:bCs/>
          <w:color w:val="000000" w:themeColor="text1"/>
          <w:szCs w:val="36"/>
          <w14:textFill>
            <w14:solidFill>
              <w14:schemeClr w14:val="tx1"/>
            </w14:solidFill>
          </w14:textFill>
        </w:rPr>
      </w:pPr>
      <w:bookmarkStart w:id="23" w:name="_Toc15322"/>
      <w:bookmarkStart w:id="24" w:name="_Toc30056"/>
      <w:r>
        <w:rPr>
          <w:rFonts w:ascii="Times New Roman" w:hAnsi="Times New Roman" w:eastAsia="宋体" w:cs="Times New Roman"/>
          <w:b/>
          <w:bCs/>
          <w:color w:val="000000" w:themeColor="text1"/>
          <w:szCs w:val="36"/>
          <w14:textFill>
            <w14:solidFill>
              <w14:schemeClr w14:val="tx1"/>
            </w14:solidFill>
          </w14:textFill>
        </w:rPr>
        <w:t>附表</w:t>
      </w:r>
      <w:bookmarkEnd w:id="23"/>
      <w:bookmarkEnd w:id="24"/>
    </w:p>
    <w:p w14:paraId="5B7EBD9D">
      <w:pPr>
        <w:pStyle w:val="222"/>
        <w:spacing w:before="120"/>
        <w:rPr>
          <w:color w:val="000000" w:themeColor="text1"/>
          <w14:textFill>
            <w14:solidFill>
              <w14:schemeClr w14:val="tx1"/>
            </w14:solidFill>
          </w14:textFill>
        </w:rPr>
      </w:pPr>
      <w:bookmarkStart w:id="25" w:name="_Toc2025"/>
      <w:r>
        <w:rPr>
          <w:color w:val="000000" w:themeColor="text1"/>
          <w:sz w:val="28"/>
          <w:szCs w:val="28"/>
          <w14:textFill>
            <w14:solidFill>
              <w14:schemeClr w14:val="tx1"/>
            </w14:solidFill>
          </w14:textFill>
        </w:rPr>
        <w:t>建设项目污染物排放量汇总表</w:t>
      </w:r>
      <w:bookmarkEnd w:id="25"/>
    </w:p>
    <w:tbl>
      <w:tblPr>
        <w:tblStyle w:val="173"/>
        <w:tblW w:w="1392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2126"/>
        <w:gridCol w:w="1701"/>
        <w:gridCol w:w="1276"/>
        <w:gridCol w:w="1702"/>
        <w:gridCol w:w="1416"/>
        <w:gridCol w:w="1843"/>
        <w:gridCol w:w="1697"/>
        <w:gridCol w:w="1308"/>
      </w:tblGrid>
      <w:tr w14:paraId="4CF485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tcBorders>
              <w:top w:val="single" w:color="000000" w:sz="6" w:space="0"/>
              <w:left w:val="single" w:color="000000" w:sz="6" w:space="0"/>
              <w:tl2br w:val="single" w:color="000000" w:sz="2" w:space="0"/>
            </w:tcBorders>
            <w:vAlign w:val="center"/>
          </w:tcPr>
          <w:p w14:paraId="169195E9">
            <w:pPr>
              <w:pStyle w:val="221"/>
              <w:jc w:val="right"/>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p w14:paraId="6F8B59A2">
            <w:pPr>
              <w:pStyle w:val="22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2126" w:type="dxa"/>
            <w:tcBorders>
              <w:top w:val="single" w:color="000000" w:sz="6" w:space="0"/>
            </w:tcBorders>
            <w:vAlign w:val="center"/>
          </w:tcPr>
          <w:p w14:paraId="34F0E5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701" w:type="dxa"/>
            <w:tcBorders>
              <w:top w:val="single" w:color="000000" w:sz="6" w:space="0"/>
            </w:tcBorders>
            <w:vAlign w:val="center"/>
          </w:tcPr>
          <w:p w14:paraId="740202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现有工程排放量（固体废物产生量）t/a①</w:t>
            </w:r>
          </w:p>
        </w:tc>
        <w:tc>
          <w:tcPr>
            <w:tcW w:w="1276" w:type="dxa"/>
            <w:tcBorders>
              <w:top w:val="single" w:color="000000" w:sz="6" w:space="0"/>
            </w:tcBorders>
            <w:vAlign w:val="center"/>
          </w:tcPr>
          <w:p w14:paraId="1050321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现有工程许可排放量 t/a②</w:t>
            </w:r>
          </w:p>
        </w:tc>
        <w:tc>
          <w:tcPr>
            <w:tcW w:w="1702" w:type="dxa"/>
            <w:tcBorders>
              <w:top w:val="single" w:color="000000" w:sz="6" w:space="0"/>
            </w:tcBorders>
            <w:vAlign w:val="center"/>
          </w:tcPr>
          <w:p w14:paraId="0377AC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在建工程排放量（固体废物产生量）t/a③</w:t>
            </w:r>
          </w:p>
        </w:tc>
        <w:tc>
          <w:tcPr>
            <w:tcW w:w="1416" w:type="dxa"/>
            <w:tcBorders>
              <w:top w:val="single" w:color="000000" w:sz="6" w:space="0"/>
            </w:tcBorders>
            <w:vAlign w:val="center"/>
          </w:tcPr>
          <w:p w14:paraId="51A4262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本项目排放量 （固体废物产 生量）t/a④</w:t>
            </w:r>
          </w:p>
        </w:tc>
        <w:tc>
          <w:tcPr>
            <w:tcW w:w="1843" w:type="dxa"/>
            <w:tcBorders>
              <w:top w:val="single" w:color="000000" w:sz="6" w:space="0"/>
            </w:tcBorders>
            <w:vAlign w:val="center"/>
          </w:tcPr>
          <w:p w14:paraId="4FF95D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以新带老削减量（t/a⑤</w:t>
            </w:r>
          </w:p>
        </w:tc>
        <w:tc>
          <w:tcPr>
            <w:tcW w:w="1697" w:type="dxa"/>
            <w:tcBorders>
              <w:top w:val="single" w:color="000000" w:sz="6" w:space="0"/>
            </w:tcBorders>
            <w:vAlign w:val="center"/>
          </w:tcPr>
          <w:p w14:paraId="1ABAE6F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w:t>
            </w:r>
          </w:p>
          <w:p w14:paraId="32DB6FB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全厂排放量（固体废物产生量）t/a⑥</w:t>
            </w:r>
          </w:p>
        </w:tc>
        <w:tc>
          <w:tcPr>
            <w:tcW w:w="1308" w:type="dxa"/>
            <w:tcBorders>
              <w:top w:val="single" w:color="000000" w:sz="6" w:space="0"/>
              <w:right w:val="single" w:color="000000" w:sz="6" w:space="0"/>
            </w:tcBorders>
            <w:vAlign w:val="center"/>
          </w:tcPr>
          <w:p w14:paraId="624E6B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变化量t/a⑦</w:t>
            </w:r>
          </w:p>
        </w:tc>
      </w:tr>
      <w:tr w14:paraId="47E10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left w:val="single" w:color="000000" w:sz="6" w:space="0"/>
            </w:tcBorders>
            <w:vAlign w:val="center"/>
          </w:tcPr>
          <w:p w14:paraId="62CE8C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2126" w:type="dxa"/>
            <w:vAlign w:val="center"/>
          </w:tcPr>
          <w:p w14:paraId="7D2764F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701" w:type="dxa"/>
            <w:vAlign w:val="center"/>
          </w:tcPr>
          <w:p w14:paraId="3FB2193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47F74BE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3700F62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0D80A2F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0.398</w:t>
            </w:r>
          </w:p>
        </w:tc>
        <w:tc>
          <w:tcPr>
            <w:tcW w:w="1843" w:type="dxa"/>
            <w:vAlign w:val="center"/>
          </w:tcPr>
          <w:p w14:paraId="6DEA616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8642D54">
            <w:pPr>
              <w:pStyle w:val="221"/>
              <w:rPr>
                <w:color w:val="000000" w:themeColor="text1"/>
                <w14:textFill>
                  <w14:solidFill>
                    <w14:schemeClr w14:val="tx1"/>
                  </w14:solidFill>
                </w14:textFill>
              </w:rPr>
            </w:pPr>
            <w:r>
              <w:rPr>
                <w:color w:val="000000" w:themeColor="text1"/>
                <w14:textFill>
                  <w14:solidFill>
                    <w14:schemeClr w14:val="tx1"/>
                  </w14:solidFill>
                </w14:textFill>
              </w:rPr>
              <w:t>0.398</w:t>
            </w:r>
          </w:p>
        </w:tc>
        <w:tc>
          <w:tcPr>
            <w:tcW w:w="1308" w:type="dxa"/>
            <w:tcBorders>
              <w:right w:val="single" w:color="000000" w:sz="6" w:space="0"/>
            </w:tcBorders>
            <w:vAlign w:val="center"/>
          </w:tcPr>
          <w:p w14:paraId="2174E16A">
            <w:pPr>
              <w:pStyle w:val="221"/>
              <w:rPr>
                <w:color w:val="000000" w:themeColor="text1"/>
                <w14:textFill>
                  <w14:solidFill>
                    <w14:schemeClr w14:val="tx1"/>
                  </w14:solidFill>
                </w14:textFill>
              </w:rPr>
            </w:pPr>
            <w:r>
              <w:rPr>
                <w:color w:val="000000" w:themeColor="text1"/>
                <w14:textFill>
                  <w14:solidFill>
                    <w14:schemeClr w14:val="tx1"/>
                  </w14:solidFill>
                </w14:textFill>
              </w:rPr>
              <w:t>0.398</w:t>
            </w:r>
          </w:p>
        </w:tc>
      </w:tr>
      <w:tr w14:paraId="26F2D1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000000" w:sz="6" w:space="0"/>
            </w:tcBorders>
            <w:vAlign w:val="center"/>
          </w:tcPr>
          <w:p w14:paraId="0C31CE59">
            <w:pPr>
              <w:pStyle w:val="221"/>
              <w:rPr>
                <w:color w:val="000000" w:themeColor="text1"/>
                <w14:textFill>
                  <w14:solidFill>
                    <w14:schemeClr w14:val="tx1"/>
                  </w14:solidFill>
                </w14:textFill>
              </w:rPr>
            </w:pPr>
          </w:p>
        </w:tc>
        <w:tc>
          <w:tcPr>
            <w:tcW w:w="2126" w:type="dxa"/>
            <w:vAlign w:val="center"/>
          </w:tcPr>
          <w:p w14:paraId="1767AE38">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VOCs</w:t>
            </w:r>
          </w:p>
        </w:tc>
        <w:tc>
          <w:tcPr>
            <w:tcW w:w="1701" w:type="dxa"/>
            <w:vAlign w:val="center"/>
          </w:tcPr>
          <w:p w14:paraId="7FA061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41CC1FB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49F65DE5">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49F78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c>
          <w:tcPr>
            <w:tcW w:w="1843" w:type="dxa"/>
            <w:vAlign w:val="center"/>
          </w:tcPr>
          <w:p w14:paraId="742E1E2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103738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c>
          <w:tcPr>
            <w:tcW w:w="1308" w:type="dxa"/>
            <w:tcBorders>
              <w:right w:val="single" w:color="000000" w:sz="6" w:space="0"/>
            </w:tcBorders>
            <w:vAlign w:val="center"/>
          </w:tcPr>
          <w:p w14:paraId="277452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r>
      <w:tr w14:paraId="7D3364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top w:val="single" w:color="auto" w:sz="4" w:space="0"/>
              <w:left w:val="single" w:color="auto" w:sz="4" w:space="0"/>
              <w:right w:val="single" w:color="auto" w:sz="4" w:space="0"/>
            </w:tcBorders>
            <w:vAlign w:val="center"/>
          </w:tcPr>
          <w:p w14:paraId="226B652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2126" w:type="dxa"/>
            <w:tcBorders>
              <w:top w:val="single" w:color="auto" w:sz="4" w:space="0"/>
              <w:left w:val="single" w:color="auto" w:sz="4" w:space="0"/>
            </w:tcBorders>
            <w:vAlign w:val="center"/>
          </w:tcPr>
          <w:p w14:paraId="636EA2B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废水量</w:t>
            </w:r>
          </w:p>
        </w:tc>
        <w:tc>
          <w:tcPr>
            <w:tcW w:w="1701" w:type="dxa"/>
            <w:vAlign w:val="center"/>
          </w:tcPr>
          <w:p w14:paraId="38054A3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70E4FB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05F16CC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5E1F77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c>
          <w:tcPr>
            <w:tcW w:w="1843" w:type="dxa"/>
            <w:vAlign w:val="center"/>
          </w:tcPr>
          <w:p w14:paraId="58CB65E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33A201D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c>
          <w:tcPr>
            <w:tcW w:w="1308" w:type="dxa"/>
            <w:tcBorders>
              <w:right w:val="single" w:color="000000" w:sz="6" w:space="0"/>
            </w:tcBorders>
            <w:vAlign w:val="center"/>
          </w:tcPr>
          <w:p w14:paraId="0B7091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r>
      <w:tr w14:paraId="788DEF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5F77DCC6">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6B9FBD7F">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701" w:type="dxa"/>
            <w:vAlign w:val="center"/>
          </w:tcPr>
          <w:p w14:paraId="46E3545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0B2AC49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3573FEF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5CAEC0E8">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843" w:type="dxa"/>
            <w:vAlign w:val="center"/>
          </w:tcPr>
          <w:p w14:paraId="6ADD30D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1C68AB32">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308" w:type="dxa"/>
            <w:tcBorders>
              <w:right w:val="single" w:color="000000" w:sz="6" w:space="0"/>
            </w:tcBorders>
            <w:vAlign w:val="center"/>
          </w:tcPr>
          <w:p w14:paraId="530025D3">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r>
      <w:tr w14:paraId="0F0933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775C5952">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5667BAEB">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701" w:type="dxa"/>
            <w:vAlign w:val="center"/>
          </w:tcPr>
          <w:p w14:paraId="4F3EFA6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716FA6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186EAD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8D3A231">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2543EDF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527F8835">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4AF64921">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4C22CC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34DC3873">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4E39515F">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701" w:type="dxa"/>
            <w:vAlign w:val="center"/>
          </w:tcPr>
          <w:p w14:paraId="4BF2B65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0EA6FAF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33F12F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1FFBC195">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269330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6AFEFBCD">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2A26F275">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6F0A53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5A46F053">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53C42664">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701" w:type="dxa"/>
            <w:vAlign w:val="center"/>
          </w:tcPr>
          <w:p w14:paraId="45F6BE5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143A16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385EA80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EC56E9B">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843" w:type="dxa"/>
            <w:vAlign w:val="center"/>
          </w:tcPr>
          <w:p w14:paraId="49ADE9E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41C3A138">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308" w:type="dxa"/>
            <w:tcBorders>
              <w:right w:val="single" w:color="000000" w:sz="6" w:space="0"/>
            </w:tcBorders>
            <w:vAlign w:val="center"/>
          </w:tcPr>
          <w:p w14:paraId="46368C7A">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r>
      <w:tr w14:paraId="643B29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4EDCA8A1">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0D6E2DE1">
            <w:pPr>
              <w:pStyle w:val="221"/>
              <w:rPr>
                <w:color w:val="000000" w:themeColor="text1"/>
                <w14:textFill>
                  <w14:solidFill>
                    <w14:schemeClr w14:val="tx1"/>
                  </w14:solidFill>
                </w14:textFill>
              </w:rPr>
            </w:pPr>
            <w:r>
              <w:rPr>
                <w:color w:val="000000" w:themeColor="text1"/>
                <w14:textFill>
                  <w14:solidFill>
                    <w14:schemeClr w14:val="tx1"/>
                  </w14:solidFill>
                </w14:textFill>
              </w:rPr>
              <w:t>TP</w:t>
            </w:r>
          </w:p>
        </w:tc>
        <w:tc>
          <w:tcPr>
            <w:tcW w:w="1701" w:type="dxa"/>
            <w:vAlign w:val="center"/>
          </w:tcPr>
          <w:p w14:paraId="5E7A4FC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06BBA9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1E2C6E1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2B365B00">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c>
          <w:tcPr>
            <w:tcW w:w="1843" w:type="dxa"/>
            <w:vAlign w:val="center"/>
          </w:tcPr>
          <w:p w14:paraId="2CA6E92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AE6D51B">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c>
          <w:tcPr>
            <w:tcW w:w="1308" w:type="dxa"/>
            <w:tcBorders>
              <w:right w:val="single" w:color="000000" w:sz="6" w:space="0"/>
            </w:tcBorders>
            <w:vAlign w:val="center"/>
          </w:tcPr>
          <w:p w14:paraId="45A4F034">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r>
      <w:tr w14:paraId="5298CB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bottom w:val="single" w:color="auto" w:sz="4" w:space="0"/>
              <w:right w:val="single" w:color="auto" w:sz="4" w:space="0"/>
            </w:tcBorders>
            <w:vAlign w:val="center"/>
          </w:tcPr>
          <w:p w14:paraId="39413B47">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1EEEEED2">
            <w:pPr>
              <w:pStyle w:val="221"/>
              <w:rPr>
                <w:color w:val="000000" w:themeColor="text1"/>
                <w14:textFill>
                  <w14:solidFill>
                    <w14:schemeClr w14:val="tx1"/>
                  </w14:solidFill>
                </w14:textFill>
              </w:rPr>
            </w:pPr>
            <w:r>
              <w:rPr>
                <w:color w:val="000000" w:themeColor="text1"/>
                <w14:textFill>
                  <w14:solidFill>
                    <w14:schemeClr w14:val="tx1"/>
                  </w14:solidFill>
                </w14:textFill>
              </w:rPr>
              <w:t>TN</w:t>
            </w:r>
          </w:p>
        </w:tc>
        <w:tc>
          <w:tcPr>
            <w:tcW w:w="1701" w:type="dxa"/>
            <w:vAlign w:val="center"/>
          </w:tcPr>
          <w:p w14:paraId="768B5B9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7331637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0772406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0330C5CF">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5016E0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07426F8B">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6B560EC2">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3A5859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top w:val="single" w:color="auto" w:sz="4" w:space="0"/>
              <w:left w:val="single" w:color="auto" w:sz="4" w:space="0"/>
              <w:right w:val="single" w:color="auto" w:sz="4" w:space="0"/>
            </w:tcBorders>
            <w:vAlign w:val="center"/>
          </w:tcPr>
          <w:p w14:paraId="082D5BA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126" w:type="dxa"/>
            <w:tcBorders>
              <w:left w:val="single" w:color="auto" w:sz="4" w:space="0"/>
            </w:tcBorders>
            <w:vAlign w:val="center"/>
          </w:tcPr>
          <w:p w14:paraId="6B659AC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w:t>
            </w:r>
          </w:p>
        </w:tc>
        <w:tc>
          <w:tcPr>
            <w:tcW w:w="1701" w:type="dxa"/>
            <w:vAlign w:val="center"/>
          </w:tcPr>
          <w:p w14:paraId="632D7CD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2AE1713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24B7915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4AB11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c>
          <w:tcPr>
            <w:tcW w:w="1843" w:type="dxa"/>
            <w:vAlign w:val="center"/>
          </w:tcPr>
          <w:p w14:paraId="3E6A4C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5E29089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c>
          <w:tcPr>
            <w:tcW w:w="1308" w:type="dxa"/>
            <w:tcBorders>
              <w:right w:val="single" w:color="000000" w:sz="6" w:space="0"/>
            </w:tcBorders>
            <w:vAlign w:val="center"/>
          </w:tcPr>
          <w:p w14:paraId="00BA25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r>
      <w:tr w14:paraId="4840BE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4515F294">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5E2D07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701" w:type="dxa"/>
            <w:vAlign w:val="center"/>
          </w:tcPr>
          <w:p w14:paraId="791634C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1880B41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0620B6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53BD6F2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c>
          <w:tcPr>
            <w:tcW w:w="1843" w:type="dxa"/>
            <w:vAlign w:val="center"/>
          </w:tcPr>
          <w:p w14:paraId="3A6AEB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020029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c>
          <w:tcPr>
            <w:tcW w:w="1308" w:type="dxa"/>
            <w:tcBorders>
              <w:right w:val="single" w:color="000000" w:sz="6" w:space="0"/>
            </w:tcBorders>
            <w:vAlign w:val="center"/>
          </w:tcPr>
          <w:p w14:paraId="772FC5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r>
      <w:tr w14:paraId="186C8C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365E4CB4">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03C0EAD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701" w:type="dxa"/>
            <w:vAlign w:val="center"/>
          </w:tcPr>
          <w:p w14:paraId="15ABAAF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254D0A7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126D37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300AE7C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c>
          <w:tcPr>
            <w:tcW w:w="1843" w:type="dxa"/>
            <w:vAlign w:val="center"/>
          </w:tcPr>
          <w:p w14:paraId="7E761FA8">
            <w:pPr>
              <w:pStyle w:val="221"/>
              <w:rPr>
                <w:color w:val="000000" w:themeColor="text1"/>
                <w14:textFill>
                  <w14:solidFill>
                    <w14:schemeClr w14:val="tx1"/>
                  </w14:solidFill>
                </w14:textFill>
              </w:rPr>
            </w:pPr>
          </w:p>
        </w:tc>
        <w:tc>
          <w:tcPr>
            <w:tcW w:w="1697" w:type="dxa"/>
            <w:vAlign w:val="center"/>
          </w:tcPr>
          <w:p w14:paraId="0C2FE0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c>
          <w:tcPr>
            <w:tcW w:w="1308" w:type="dxa"/>
            <w:tcBorders>
              <w:right w:val="single" w:color="000000" w:sz="6" w:space="0"/>
            </w:tcBorders>
            <w:vAlign w:val="center"/>
          </w:tcPr>
          <w:p w14:paraId="5D90720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r>
    </w:tbl>
    <w:p w14:paraId="4E572C20">
      <w:pPr>
        <w:pStyle w:val="68"/>
        <w:widowControl w:val="0"/>
        <w:topLinePunct/>
        <w:spacing w:beforeLines="0" w:afterLines="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snapToGrid w:val="0"/>
          <w:color w:val="000000" w:themeColor="text1"/>
          <w:kern w:val="21"/>
          <w:sz w:val="21"/>
          <w:szCs w:val="21"/>
          <w14:textFill>
            <w14:solidFill>
              <w14:schemeClr w14:val="tx1"/>
            </w14:solidFill>
          </w14:textFill>
        </w:rPr>
        <w:t>注：</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3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③</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4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④</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5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⑤</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7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⑦</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本表填写的排放量均为纳管排放量。</w:t>
      </w:r>
    </w:p>
    <w:p w14:paraId="098DB3D7">
      <w:pPr>
        <w:rPr>
          <w:rFonts w:ascii="Times New Roman" w:hAnsi="Times New Roman" w:eastAsia="宋体" w:cs="Times New Roman"/>
          <w:color w:val="000000" w:themeColor="text1"/>
          <w:sz w:val="21"/>
          <w:szCs w:val="21"/>
          <w14:textFill>
            <w14:solidFill>
              <w14:schemeClr w14:val="tx1"/>
            </w14:solidFill>
          </w14:textFill>
        </w:rPr>
        <w:sectPr>
          <w:pgSz w:w="16838" w:h="11906" w:orient="landscape"/>
          <w:pgMar w:top="1417" w:right="1417" w:bottom="1417" w:left="1417" w:header="992" w:footer="992" w:gutter="0"/>
          <w:cols w:space="720" w:num="1"/>
          <w:docGrid w:linePitch="312" w:charSpace="0"/>
        </w:sectPr>
      </w:pPr>
    </w:p>
    <w:p w14:paraId="106C433E">
      <w:pPr>
        <w:spacing w:before="48" w:line="219" w:lineRule="auto"/>
        <w:ind w:left="28"/>
        <w:outlineLvl w:val="0"/>
        <w:rPr>
          <w:color w:val="000000" w:themeColor="text1"/>
          <w14:textFill>
            <w14:solidFill>
              <w14:schemeClr w14:val="tx1"/>
            </w14:solidFill>
          </w14:textFill>
        </w:rPr>
      </w:pPr>
      <w:r>
        <w:rPr>
          <w:rFonts w:ascii="宋体" w:hAnsi="宋体" w:eastAsia="宋体" w:cs="宋体"/>
          <w:b/>
          <w:bCs/>
          <w:color w:val="000000" w:themeColor="text1"/>
          <w:spacing w:val="-9"/>
          <w:szCs w:val="24"/>
          <w14:textFill>
            <w14:solidFill>
              <w14:schemeClr w14:val="tx1"/>
            </w14:solidFill>
          </w14:textFill>
        </w:rPr>
        <w:t>附图</w:t>
      </w:r>
      <w:r>
        <w:rPr>
          <w:rFonts w:ascii="Times New Roman" w:hAnsi="Times New Roman" w:eastAsia="Times New Roman" w:cs="Times New Roman"/>
          <w:b/>
          <w:bCs/>
          <w:color w:val="000000" w:themeColor="text1"/>
          <w:spacing w:val="-9"/>
          <w:szCs w:val="24"/>
          <w14:textFill>
            <w14:solidFill>
              <w14:schemeClr w14:val="tx1"/>
            </w14:solidFill>
          </w14:textFill>
        </w:rPr>
        <w:t>1</w:t>
      </w:r>
      <w:r>
        <w:rPr>
          <w:rFonts w:ascii="Times New Roman" w:hAnsi="Times New Roman" w:eastAsia="Times New Roman" w:cs="Times New Roman"/>
          <w:b/>
          <w:bCs/>
          <w:color w:val="000000" w:themeColor="text1"/>
          <w:spacing w:val="-30"/>
          <w:szCs w:val="24"/>
          <w14:textFill>
            <w14:solidFill>
              <w14:schemeClr w14:val="tx1"/>
            </w14:solidFill>
          </w14:textFill>
        </w:rPr>
        <w:t xml:space="preserve"> </w:t>
      </w:r>
      <w:r>
        <w:rPr>
          <w:rFonts w:ascii="宋体" w:hAnsi="宋体" w:eastAsia="宋体" w:cs="宋体"/>
          <w:b/>
          <w:bCs/>
          <w:color w:val="000000" w:themeColor="text1"/>
          <w:spacing w:val="-9"/>
          <w:szCs w:val="24"/>
          <w14:textFill>
            <w14:solidFill>
              <w14:schemeClr w14:val="tx1"/>
            </w14:solidFill>
          </w14:textFill>
        </w:rPr>
        <w:t>：项目地理位置图</w:t>
      </w:r>
    </w:p>
    <w:p w14:paraId="3167DCEB">
      <w:pPr>
        <w:pStyle w:val="29"/>
        <w:widowControl w:val="0"/>
        <w:spacing w:before="0" w:beforeAutospacing="0" w:after="0" w:afterAutospacing="0"/>
        <w:jc w:val="center"/>
        <w:rPr>
          <w:rFonts w:ascii="Times New Roman" w:hAnsi="Times New Roman" w:cs="Times New Roman"/>
          <w:color w:val="000000" w:themeColor="text1"/>
          <w:sz w:val="21"/>
          <w:szCs w:val="2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3241675</wp:posOffset>
                </wp:positionH>
                <wp:positionV relativeFrom="paragraph">
                  <wp:posOffset>4634230</wp:posOffset>
                </wp:positionV>
                <wp:extent cx="1485265" cy="570865"/>
                <wp:effectExtent l="266700" t="400050" r="19685" b="19685"/>
                <wp:wrapNone/>
                <wp:docPr id="84" name="矩形标注 84"/>
                <wp:cNvGraphicFramePr/>
                <a:graphic xmlns:a="http://schemas.openxmlformats.org/drawingml/2006/main">
                  <a:graphicData uri="http://schemas.microsoft.com/office/word/2010/wordprocessingShape">
                    <wps:wsp>
                      <wps:cNvSpPr/>
                      <wps:spPr>
                        <a:xfrm>
                          <a:off x="0" y="0"/>
                          <a:ext cx="1485265" cy="570865"/>
                        </a:xfrm>
                        <a:prstGeom prst="wedgeRectCallout">
                          <a:avLst>
                            <a:gd name="adj1" fmla="val -67235"/>
                            <a:gd name="adj2" fmla="val -119261"/>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86AFC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14:paraId="5F3840AB">
                            <w:pPr>
                              <w:spacing w:after="0" w:line="240" w:lineRule="auto"/>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东经119°23'40.239″，</w:t>
                            </w:r>
                          </w:p>
                          <w:p w14:paraId="153FCAE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北纬25°31'39.784″</w:t>
                            </w:r>
                          </w:p>
                          <w:p w14:paraId="4E441FED">
                            <w:pPr>
                              <w:jc w:val="center"/>
                              <w:rPr>
                                <w:rFonts w:ascii="Times New Roman" w:hAnsi="Times New Roman" w:cs="Times New Roman"/>
                                <w:color w:val="000000" w:themeColor="text1"/>
                                <w:sz w:val="18"/>
                                <w:szCs w:val="18"/>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5.25pt;margin-top:364.9pt;height:44.95pt;width:116.95pt;z-index:251660288;v-text-anchor:middle;mso-width-relative:page;mso-height-relative:page;" fillcolor="#FFFFFF [3212]" filled="t" stroked="t" coordsize="21600,21600" o:gfxdata="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kRjn2dkAAAALAQAADwAAAAAAAAABACAAAAAiAAAAZHJzL2Rvd25yZXYu&#10;eG1sUEsBAhQAFAAAAAgAh07iQJbxPX6lAgAATwUAAA4AAAAAAAAAAQAgAAAAKAEAAGRycy9lMm9E&#10;b2MueG1sUEsFBgAAAAAGAAYAWQEAAD8GAAAAAA==&#10;" adj="-3723,-14960">
                <v:fill on="t" focussize="0,0"/>
                <v:stroke weight="0.5pt" color="#000000 [3213]" joinstyle="round"/>
                <v:imagedata o:title=""/>
                <o:lock v:ext="edit" aspectratio="f"/>
                <v:textbox>
                  <w:txbxContent>
                    <w:p w14:paraId="7E86AFC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14:paraId="5F3840AB">
                      <w:pPr>
                        <w:spacing w:after="0" w:line="240" w:lineRule="auto"/>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东经119°23'40.239″，</w:t>
                      </w:r>
                    </w:p>
                    <w:p w14:paraId="153FCAE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北纬25°31'39.784″</w:t>
                      </w:r>
                    </w:p>
                    <w:p w14:paraId="4E441FED">
                      <w:pPr>
                        <w:jc w:val="center"/>
                        <w:rPr>
                          <w:rFonts w:ascii="Times New Roman" w:hAnsi="Times New Roman" w:cs="Times New Roman"/>
                          <w:color w:val="000000" w:themeColor="text1"/>
                          <w:sz w:val="18"/>
                          <w:szCs w:val="18"/>
                          <w14:textFill>
                            <w14:solidFill>
                              <w14:schemeClr w14:val="tx1"/>
                            </w14:solidFill>
                          </w14:textFill>
                        </w:rPr>
                      </w:pP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2954020</wp:posOffset>
                </wp:positionH>
                <wp:positionV relativeFrom="paragraph">
                  <wp:posOffset>4220210</wp:posOffset>
                </wp:positionV>
                <wp:extent cx="45720" cy="45720"/>
                <wp:effectExtent l="38100" t="38100" r="50165" b="50165"/>
                <wp:wrapNone/>
                <wp:docPr id="68" name="十字星 68"/>
                <wp:cNvGraphicFramePr/>
                <a:graphic xmlns:a="http://schemas.openxmlformats.org/drawingml/2006/main">
                  <a:graphicData uri="http://schemas.microsoft.com/office/word/2010/wordprocessingShape">
                    <wps:wsp>
                      <wps:cNvSpPr/>
                      <wps:spPr>
                        <a:xfrm flipH="1">
                          <a:off x="0" y="0"/>
                          <a:ext cx="45720" cy="4572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flip:x;margin-left:232.6pt;margin-top:332.3pt;height:3.6pt;width:3.6pt;z-index:251659264;v-text-anchor:middle;mso-width-relative:page;mso-height-relative:page;" fillcolor="#FF0000" filled="t" stroked="t" coordsize="21600,21600" o:gfxdata="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njxi9sAAAALAQAADwAAAAAAAAABACAAAAAiAAAAZHJzL2Rvd25yZXYueG1sUEsB&#10;AhQAFAAAAAgAh07iQC95MnRkAgAA6gQAAA4AAAAAAAAAAQAgAAAAKgEAAGRycy9lMm9Eb2MueG1s&#10;UEsFBgAAAAAGAAYAWQEAAAAGAAAAAA==&#10;" adj="8100">
                <v:fill on="t" focussize="0,0"/>
                <v:stroke weight="2pt" color="#FF0000 [2404]" joinstyle="round"/>
                <v:imagedata o:title=""/>
                <o:lock v:ext="edit" aspectratio="f"/>
              </v:shape>
            </w:pict>
          </mc:Fallback>
        </mc:AlternateContent>
      </w:r>
      <w:r>
        <w:rPr>
          <w:rFonts w:ascii="Times New Roman" w:hAnsi="Times New Roman" w:cs="Times New Roman"/>
          <w:color w:val="000000" w:themeColor="text1"/>
          <w:sz w:val="21"/>
          <w:szCs w:val="21"/>
          <w14:textFill>
            <w14:solidFill>
              <w14:schemeClr w14:val="tx1"/>
            </w14:solidFill>
          </w14:textFill>
        </w:rPr>
        <w:drawing>
          <wp:inline distT="0" distB="0" distL="114300" distR="114300">
            <wp:extent cx="5761990" cy="7732395"/>
            <wp:effectExtent l="0" t="0" r="0" b="1905"/>
            <wp:docPr id="6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56"/>
                    <pic:cNvPicPr>
                      <a:picLocks noChangeAspect="1"/>
                    </pic:cNvPicPr>
                  </pic:nvPicPr>
                  <pic:blipFill>
                    <a:blip r:embed="rId42"/>
                    <a:stretch>
                      <a:fillRect/>
                    </a:stretch>
                  </pic:blipFill>
                  <pic:spPr>
                    <a:xfrm>
                      <a:off x="0" y="0"/>
                      <a:ext cx="5764012" cy="7734586"/>
                    </a:xfrm>
                    <a:prstGeom prst="rect">
                      <a:avLst/>
                    </a:prstGeom>
                    <a:noFill/>
                    <a:ln w="9525">
                      <a:noFill/>
                    </a:ln>
                  </pic:spPr>
                </pic:pic>
              </a:graphicData>
            </a:graphic>
          </wp:inline>
        </w:drawing>
      </w:r>
    </w:p>
    <w:p w14:paraId="505C476F">
      <w:pPr>
        <w:jc w:val="center"/>
        <w:rPr>
          <w:rFonts w:ascii="Times New Roman" w:hAnsi="Times New Roman" w:cs="Times New Roman"/>
          <w:color w:val="000000" w:themeColor="text1"/>
          <w:sz w:val="21"/>
          <w:szCs w:val="21"/>
          <w14:textFill>
            <w14:solidFill>
              <w14:schemeClr w14:val="tx1"/>
            </w14:solidFill>
          </w14:textFill>
        </w:rPr>
      </w:pPr>
    </w:p>
    <w:p w14:paraId="5733D90D">
      <w:pPr>
        <w:rPr>
          <w:rFonts w:ascii="Times New Roman" w:hAnsi="Times New Roman" w:cs="Times New Roman"/>
          <w:color w:val="000000" w:themeColor="text1"/>
          <w:sz w:val="21"/>
          <w:szCs w:val="21"/>
          <w14:textFill>
            <w14:solidFill>
              <w14:schemeClr w14:val="tx1"/>
            </w14:solidFill>
          </w14:textFill>
        </w:rPr>
      </w:pPr>
    </w:p>
    <w:p w14:paraId="3C4E2164">
      <w:pPr>
        <w:rPr>
          <w:color w:val="000000" w:themeColor="text1"/>
          <w14:textFill>
            <w14:solidFill>
              <w14:schemeClr w14:val="tx1"/>
            </w14:solidFill>
          </w14:textFill>
        </w:rPr>
        <w:sectPr>
          <w:pgSz w:w="11906" w:h="16839"/>
          <w:pgMar w:top="1405" w:right="1417" w:bottom="1257" w:left="1416" w:header="0" w:footer="680" w:gutter="0"/>
          <w:cols w:space="720" w:num="1"/>
          <w:docGrid w:linePitch="326" w:charSpace="0"/>
        </w:sectPr>
      </w:pPr>
    </w:p>
    <w:p w14:paraId="5AB9BC4B">
      <w:pPr>
        <w:spacing w:before="48" w:line="219" w:lineRule="auto"/>
        <w:ind w:left="28"/>
        <w:outlineLvl w:val="0"/>
        <w:rPr>
          <w:b/>
          <w:bCs/>
          <w:color w:val="000000" w:themeColor="text1"/>
          <w14:textFill>
            <w14:solidFill>
              <w14:schemeClr w14:val="tx1"/>
            </w14:solidFill>
          </w14:textFill>
        </w:rPr>
      </w:pPr>
      <w:r>
        <w:rPr>
          <w:rFonts w:hint="eastAsia" w:ascii="宋体" w:hAnsi="宋体" w:eastAsia="宋体" w:cs="宋体"/>
          <w:b/>
          <w:bCs/>
          <w:color w:val="000000" w:themeColor="text1"/>
          <w:spacing w:val="-9"/>
          <w:szCs w:val="24"/>
          <w14:textFill>
            <w14:solidFill>
              <w14:schemeClr w14:val="tx1"/>
            </w14:solidFill>
          </w14:textFill>
        </w:rPr>
        <w:t>附件2 ：备案表</w:t>
      </w:r>
    </w:p>
    <w:p w14:paraId="4AFDF6C4">
      <w:pPr>
        <w:jc w:val="center"/>
        <w:rPr>
          <w:color w:val="000000" w:themeColor="text1"/>
          <w14:textFill>
            <w14:solidFill>
              <w14:schemeClr w14:val="tx1"/>
            </w14:solidFill>
          </w14:textFill>
        </w:rPr>
      </w:pPr>
    </w:p>
    <w:p w14:paraId="264C02C0">
      <w:pPr>
        <w:spacing w:after="0" w:line="240" w:lineRule="auto"/>
        <w:rPr>
          <w:color w:val="000000" w:themeColor="text1"/>
          <w14:textFill>
            <w14:solidFill>
              <w14:schemeClr w14:val="tx1"/>
            </w14:solidFill>
          </w14:textFill>
        </w:rPr>
        <w:sectPr>
          <w:footerReference r:id="rId12" w:type="default"/>
          <w:pgSz w:w="16838" w:h="11905" w:orient="landscape"/>
          <w:pgMar w:top="1417" w:right="1417" w:bottom="1417" w:left="1417" w:header="850" w:footer="850" w:gutter="0"/>
          <w:cols w:space="720" w:num="1"/>
          <w:docGrid w:linePitch="326" w:charSpace="0"/>
        </w:sectPr>
      </w:pPr>
      <w:r>
        <w:rPr>
          <w:color w:val="000000" w:themeColor="text1"/>
          <w14:textFill>
            <w14:solidFill>
              <w14:schemeClr w14:val="tx1"/>
            </w14:solidFill>
          </w14:textFill>
        </w:rPr>
        <w:br w:type="page"/>
      </w:r>
    </w:p>
    <w:p w14:paraId="4F2476EC">
      <w:pPr>
        <w:spacing w:after="0" w:line="240" w:lineRule="auto"/>
        <w:rPr>
          <w:color w:val="000000" w:themeColor="text1"/>
          <w14:textFill>
            <w14:solidFill>
              <w14:schemeClr w14:val="tx1"/>
            </w14:solidFill>
          </w14:textFill>
        </w:rPr>
      </w:pPr>
    </w:p>
    <w:p w14:paraId="6E8AA773">
      <w:pPr>
        <w:spacing w:before="53"/>
        <w:ind w:left="42"/>
        <w:outlineLvl w:val="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附件9 ：关于公开建设项目环评文件等信息情况的说明</w:t>
      </w:r>
    </w:p>
    <w:p w14:paraId="50DEF722">
      <w:pPr>
        <w:pStyle w:val="224"/>
        <w:rPr>
          <w:color w:val="000000" w:themeColor="text1"/>
          <w14:textFill>
            <w14:solidFill>
              <w14:schemeClr w14:val="tx1"/>
            </w14:solidFill>
          </w14:textFill>
        </w:rPr>
      </w:pPr>
    </w:p>
    <w:p w14:paraId="646DAF1F">
      <w:pPr>
        <w:pStyle w:val="224"/>
        <w:rPr>
          <w:color w:val="000000" w:themeColor="text1"/>
          <w14:textFill>
            <w14:solidFill>
              <w14:schemeClr w14:val="tx1"/>
            </w14:solidFill>
          </w14:textFill>
        </w:rPr>
        <w:sectPr>
          <w:pgSz w:w="11905" w:h="16838"/>
          <w:pgMar w:top="1417" w:right="1417" w:bottom="1417" w:left="1417" w:header="850" w:footer="850" w:gutter="0"/>
          <w:cols w:space="720" w:num="1"/>
          <w:docGrid w:linePitch="312" w:charSpace="0"/>
        </w:sectPr>
      </w:pPr>
    </w:p>
    <w:p w14:paraId="143F8BBE">
      <w:pPr>
        <w:spacing w:before="53"/>
        <w:ind w:left="42"/>
        <w:outlineLvl w:val="0"/>
        <w:rPr>
          <w:rFonts w:hint="eastAsia" w:ascii="宋体" w:hAnsi="宋体" w:eastAsia="宋体" w:cs="宋体"/>
          <w:b/>
          <w:bCs/>
          <w:color w:val="000000" w:themeColor="text1"/>
          <w:szCs w:val="24"/>
          <w:lang w:bidi="ar"/>
          <w14:textFill>
            <w14:solidFill>
              <w14:schemeClr w14:val="tx1"/>
            </w14:solidFill>
          </w14:textFill>
        </w:rPr>
      </w:pPr>
      <w:r>
        <w:rPr>
          <w:rFonts w:hint="eastAsia"/>
          <w:b/>
          <w:bCs/>
          <w:color w:val="000000" w:themeColor="text1"/>
          <w14:textFill>
            <w14:solidFill>
              <w14:schemeClr w14:val="tx1"/>
            </w14:solidFill>
          </w14:textFill>
        </w:rPr>
        <w:t>附件10 ：</w:t>
      </w:r>
      <w:r>
        <w:rPr>
          <w:rFonts w:hint="eastAsia" w:ascii="宋体" w:hAnsi="宋体" w:eastAsia="宋体" w:cs="宋体"/>
          <w:b/>
          <w:bCs/>
          <w:color w:val="000000" w:themeColor="text1"/>
          <w:szCs w:val="24"/>
          <w:lang w:bidi="ar"/>
          <w14:textFill>
            <w14:solidFill>
              <w14:schemeClr w14:val="tx1"/>
            </w14:solidFill>
          </w14:textFill>
        </w:rPr>
        <w:t>关于环评文件公开文本删除的涉及国家秘密、商业秘密等内容的删除依据和理由说明</w:t>
      </w:r>
    </w:p>
    <w:p w14:paraId="23926AFC">
      <w:pPr>
        <w:pStyle w:val="224"/>
        <w:rPr>
          <w:color w:val="000000" w:themeColor="text1"/>
          <w14:textFill>
            <w14:solidFill>
              <w14:schemeClr w14:val="tx1"/>
            </w14:solidFill>
          </w14:textFill>
        </w:rPr>
      </w:pPr>
    </w:p>
    <w:p w14:paraId="2E3E001C">
      <w:pPr>
        <w:pStyle w:val="224"/>
        <w:rPr>
          <w:color w:val="000000" w:themeColor="text1"/>
          <w14:textFill>
            <w14:solidFill>
              <w14:schemeClr w14:val="tx1"/>
            </w14:solidFill>
          </w14:textFill>
        </w:rPr>
      </w:pPr>
      <w:r>
        <w:rPr>
          <w:rFonts w:hint="eastAsia" w:ascii="宋体" w:hAnsi="宋体" w:cs="宋体"/>
          <w:bCs/>
          <w:color w:val="000000" w:themeColor="text1"/>
          <w:lang w:bidi="ar"/>
          <w14:textFill>
            <w14:solidFill>
              <w14:schemeClr w14:val="tx1"/>
            </w14:solidFill>
          </w14:textFill>
        </w:rPr>
        <w:drawing>
          <wp:inline distT="0" distB="0" distL="114300" distR="114300">
            <wp:extent cx="5652770" cy="7997190"/>
            <wp:effectExtent l="0" t="0" r="5080" b="3810"/>
            <wp:docPr id="23" name="图片 23" descr="富赫需要盖章文件(12.2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富赫需要盖章文件(12.29)_05"/>
                    <pic:cNvPicPr>
                      <a:picLocks noChangeAspect="1"/>
                    </pic:cNvPicPr>
                  </pic:nvPicPr>
                  <pic:blipFill>
                    <a:blip r:embed="rId43"/>
                    <a:stretch>
                      <a:fillRect/>
                    </a:stretch>
                  </pic:blipFill>
                  <pic:spPr>
                    <a:xfrm>
                      <a:off x="0" y="0"/>
                      <a:ext cx="5652770" cy="7997190"/>
                    </a:xfrm>
                    <a:prstGeom prst="rect">
                      <a:avLst/>
                    </a:prstGeom>
                  </pic:spPr>
                </pic:pic>
              </a:graphicData>
            </a:graphic>
          </wp:inline>
        </w:drawing>
      </w:r>
    </w:p>
    <w:p w14:paraId="6579F8FF">
      <w:pPr>
        <w:rPr>
          <w:rFonts w:hint="eastAsia" w:ascii="宋体" w:hAnsi="宋体" w:eastAsia="宋体" w:cs="宋体"/>
          <w:b/>
          <w:bCs/>
          <w:color w:val="000000" w:themeColor="text1"/>
          <w:szCs w:val="24"/>
          <w:lang w:bidi="ar"/>
          <w14:textFill>
            <w14:solidFill>
              <w14:schemeClr w14:val="tx1"/>
            </w14:solidFill>
          </w14:textFill>
        </w:rPr>
        <w:sectPr>
          <w:pgSz w:w="11905" w:h="16838"/>
          <w:pgMar w:top="1417" w:right="1417" w:bottom="1417" w:left="1417" w:header="850" w:footer="850" w:gutter="0"/>
          <w:cols w:space="720" w:num="1"/>
          <w:docGrid w:linePitch="312" w:charSpace="0"/>
        </w:sectPr>
      </w:pPr>
    </w:p>
    <w:p w14:paraId="02008F28">
      <w:pPr>
        <w:pStyle w:val="224"/>
        <w:rPr>
          <w:color w:val="000000" w:themeColor="text1"/>
          <w14:textFill>
            <w14:solidFill>
              <w14:schemeClr w14:val="tx1"/>
            </w14:solidFill>
          </w14:textFill>
        </w:rPr>
        <w:sectPr>
          <w:pgSz w:w="11905" w:h="16838"/>
          <w:pgMar w:top="1417" w:right="1417" w:bottom="1417" w:left="1417" w:header="850" w:footer="850" w:gutter="0"/>
          <w:cols w:space="720" w:num="1"/>
          <w:docGrid w:linePitch="312" w:charSpace="0"/>
        </w:sectPr>
      </w:pPr>
      <w:r>
        <w:rPr>
          <w:rFonts w:hint="eastAsia"/>
        </w:rPr>
        <w:drawing>
          <wp:anchor distT="0" distB="0" distL="114300" distR="114300" simplePos="0" relativeHeight="251663360" behindDoc="1" locked="0" layoutInCell="1" allowOverlap="1">
            <wp:simplePos x="0" y="0"/>
            <wp:positionH relativeFrom="column">
              <wp:posOffset>8890</wp:posOffset>
            </wp:positionH>
            <wp:positionV relativeFrom="paragraph">
              <wp:posOffset>287655</wp:posOffset>
            </wp:positionV>
            <wp:extent cx="5759450" cy="8147685"/>
            <wp:effectExtent l="0" t="0" r="12700" b="5715"/>
            <wp:wrapNone/>
            <wp:docPr id="14" name="图片 14" descr="富赫需要盖章文件(12.2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富赫需要盖章文件(12.29)_06"/>
                    <pic:cNvPicPr>
                      <a:picLocks noChangeAspect="1"/>
                    </pic:cNvPicPr>
                  </pic:nvPicPr>
                  <pic:blipFill>
                    <a:blip r:embed="rId44"/>
                    <a:stretch>
                      <a:fillRect/>
                    </a:stretch>
                  </pic:blipFill>
                  <pic:spPr>
                    <a:xfrm>
                      <a:off x="0" y="0"/>
                      <a:ext cx="5759450" cy="8147685"/>
                    </a:xfrm>
                    <a:prstGeom prst="rect">
                      <a:avLst/>
                    </a:prstGeom>
                  </pic:spPr>
                </pic:pic>
              </a:graphicData>
            </a:graphic>
          </wp:anchor>
        </w:drawing>
      </w:r>
    </w:p>
    <w:p w14:paraId="1AE9554A">
      <w:pPr>
        <w:pStyle w:val="224"/>
        <w:rPr>
          <w:color w:val="000000" w:themeColor="text1"/>
          <w14:textFill>
            <w14:solidFill>
              <w14:schemeClr w14:val="tx1"/>
            </w14:solidFill>
          </w14:textFill>
        </w:rPr>
      </w:pPr>
    </w:p>
    <w:sectPr>
      <w:pgSz w:w="11905" w:h="16838"/>
      <w:pgMar w:top="1417" w:right="1417" w:bottom="1417" w:left="1417" w:header="850" w:footer="850"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BDB8C49C-A134-4810-9401-597DFB4CF68F}"/>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E2911266-C7AB-4319-AD79-00A8E1A91BF3}"/>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gbsnu54">
    <w:altName w:val="Times New Roman"/>
    <w:panose1 w:val="00000000000000000000"/>
    <w:charset w:val="00"/>
    <w:family w:val="auto"/>
    <w:pitch w:val="default"/>
    <w:sig w:usb0="00000000" w:usb1="00000000" w:usb2="00000000" w:usb3="00000000" w:csb0="00000001" w:csb1="00000000"/>
  </w:font>
  <w:font w:name="TimesNewRoman">
    <w:altName w:val="Times New Roman"/>
    <w:panose1 w:val="00000000000000000000"/>
    <w:charset w:val="00"/>
    <w:family w:val="roman"/>
    <w:pitch w:val="default"/>
    <w:sig w:usb0="00000000" w:usb1="00000000" w:usb2="00000000" w:usb3="00000000" w:csb0="00000000" w:csb1="00000000"/>
  </w:font>
  <w:font w:name="方正楷体简体">
    <w:altName w:val="宋体"/>
    <w:panose1 w:val="00000000000000000000"/>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embedRegular r:id="rId3" w:fontKey="{68FC1777-C2CB-4E64-81FF-0FCE03EEE52C}"/>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AFED1">
    <w:pPr>
      <w:pStyle w:val="2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8FB77E">
    <w:pPr>
      <w:pStyle w:val="28"/>
      <w:framePr w:wrap="around" w:vAnchor="text" w:hAnchor="margin" w:xAlign="center" w:y="1"/>
      <w:rPr>
        <w:rStyle w:val="41"/>
      </w:rPr>
    </w:pPr>
    <w:r>
      <w:fldChar w:fldCharType="begin"/>
    </w:r>
    <w:r>
      <w:rPr>
        <w:rStyle w:val="41"/>
      </w:rPr>
      <w:instrText xml:space="preserve">PAGE  </w:instrText>
    </w:r>
    <w:r>
      <w:fldChar w:fldCharType="end"/>
    </w:r>
  </w:p>
  <w:p w14:paraId="6F83DB28">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C7C6B">
    <w:pPr>
      <w:pStyle w:val="2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9064184"/>
      <w:docPartObj>
        <w:docPartGallery w:val="autotext"/>
      </w:docPartObj>
    </w:sdtPr>
    <w:sdtEndPr>
      <w:rPr>
        <w:sz w:val="21"/>
        <w:szCs w:val="21"/>
      </w:rPr>
    </w:sdtEndPr>
    <w:sdtContent>
      <w:p w14:paraId="4FD9BF31">
        <w:pPr>
          <w:pStyle w:val="28"/>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C5BAD">
    <w:pPr>
      <w:pStyle w:val="28"/>
      <w:ind w:right="360"/>
    </w:pPr>
    <w:r>
      <mc:AlternateContent>
        <mc:Choice Requires="wps">
          <w:drawing>
            <wp:anchor distT="0" distB="0" distL="114300" distR="114300" simplePos="0" relativeHeight="251664384" behindDoc="0" locked="0" layoutInCell="1" allowOverlap="1">
              <wp:simplePos x="0" y="0"/>
              <wp:positionH relativeFrom="margin">
                <wp:posOffset>2757805</wp:posOffset>
              </wp:positionH>
              <wp:positionV relativeFrom="paragraph">
                <wp:posOffset>151765</wp:posOffset>
              </wp:positionV>
              <wp:extent cx="333375" cy="247650"/>
              <wp:effectExtent l="0" t="0" r="9525" b="0"/>
              <wp:wrapNone/>
              <wp:docPr id="72" name="文本框 72"/>
              <wp:cNvGraphicFramePr/>
              <a:graphic xmlns:a="http://schemas.openxmlformats.org/drawingml/2006/main">
                <a:graphicData uri="http://schemas.microsoft.com/office/word/2010/wordprocessingShape">
                  <wps:wsp>
                    <wps:cNvSpPr txBox="1"/>
                    <wps:spPr>
                      <a:xfrm>
                        <a:off x="0" y="0"/>
                        <a:ext cx="33337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EC75DA">
                          <w:pPr>
                            <w:pStyle w:val="28"/>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15pt;margin-top:11.95pt;height:19.5pt;width:26.25pt;mso-position-horizontal-relative:margin;z-index:251664384;mso-width-relative:page;mso-height-relative:page;" filled="f" stroked="f" coordsize="21600,21600" o:gfxdata="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E8pYODYAAAACQEAAA8AAAAAAAAAAQAgAAAAIgAAAGRycy9kb3ducmV2Lnht&#10;bFBLAQIUABQAAAAIAIdO4kC8z111MgIAAFcEAAAOAAAAAAAAAAEAIAAAACcBAABkcnMvZTJvRG9j&#10;LnhtbFBLBQYAAAAABgAGAFkBAADLBQAAAAA=&#10;">
              <v:fill on="f" focussize="0,0"/>
              <v:stroke on="f" weight="0.5pt"/>
              <v:imagedata o:title=""/>
              <o:lock v:ext="edit" aspectratio="f"/>
              <v:textbox inset="0mm,0mm,0mm,0mm">
                <w:txbxContent>
                  <w:p w14:paraId="2FEC75DA">
                    <w:pPr>
                      <w:pStyle w:val="28"/>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7420795"/>
      <w:docPartObj>
        <w:docPartGallery w:val="autotext"/>
      </w:docPartObj>
    </w:sdtPr>
    <w:sdtContent>
      <w:p w14:paraId="0F45ACC1">
        <w:pPr>
          <w:pStyle w:val="28"/>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6F16F">
    <w:pPr>
      <w:pStyle w:val="3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3CE88D">
    <w:pPr>
      <w:pStyle w:val="3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12C2EAF"/>
    <w:multiLevelType w:val="multilevel"/>
    <w:tmpl w:val="612C2EAF"/>
    <w:lvl w:ilvl="0" w:tentative="0">
      <w:start w:val="1"/>
      <w:numFmt w:val="chineseCountingThousand"/>
      <w:suff w:val="nothing"/>
      <w:lvlText w:val="%1、"/>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pStyle w:val="136"/>
      <w:isLgl/>
      <w:suff w:val="space"/>
      <w:lvlText w:val="%1.%2.%3"/>
      <w:lvlJc w:val="left"/>
      <w:pPr>
        <w:ind w:left="0" w:firstLine="0"/>
      </w:pPr>
      <w:rPr>
        <w:rFonts w:hint="eastAsia"/>
      </w:rPr>
    </w:lvl>
    <w:lvl w:ilvl="3" w:tentative="0">
      <w:start w:val="1"/>
      <w:numFmt w:val="decimal"/>
      <w:lvlRestart w:val="2"/>
      <w:isLgl/>
      <w:suff w:val="space"/>
      <w:lvlText w:val="表%1.%2-%4"/>
      <w:lvlJc w:val="left"/>
      <w:pPr>
        <w:ind w:left="0" w:firstLine="0"/>
      </w:pPr>
      <w:rPr>
        <w:rFonts w:hint="eastAsia"/>
      </w:rPr>
    </w:lvl>
    <w:lvl w:ilvl="4" w:tentative="0">
      <w:start w:val="1"/>
      <w:numFmt w:val="decimal"/>
      <w:lvlRestart w:val="2"/>
      <w:isLgl/>
      <w:suff w:val="space"/>
      <w:lvlText w:val="图%1.%2-%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JkNThmZjUxOTU1N2YzNDYxZGEyYTVlOTE5ODBlNjMifQ=="/>
  </w:docVars>
  <w:rsids>
    <w:rsidRoot w:val="00172A27"/>
    <w:rsid w:val="00003C7F"/>
    <w:rsid w:val="000060B3"/>
    <w:rsid w:val="000077C8"/>
    <w:rsid w:val="00016825"/>
    <w:rsid w:val="00017A8E"/>
    <w:rsid w:val="00017FBD"/>
    <w:rsid w:val="00024FA3"/>
    <w:rsid w:val="00025985"/>
    <w:rsid w:val="0003206B"/>
    <w:rsid w:val="0003631E"/>
    <w:rsid w:val="00037F22"/>
    <w:rsid w:val="00041AEF"/>
    <w:rsid w:val="00041DE4"/>
    <w:rsid w:val="0004364B"/>
    <w:rsid w:val="00046FCF"/>
    <w:rsid w:val="000474C8"/>
    <w:rsid w:val="00047E7D"/>
    <w:rsid w:val="0005390F"/>
    <w:rsid w:val="000544A8"/>
    <w:rsid w:val="00054A3E"/>
    <w:rsid w:val="00054EAA"/>
    <w:rsid w:val="000572C2"/>
    <w:rsid w:val="00061056"/>
    <w:rsid w:val="00061B1F"/>
    <w:rsid w:val="000648E1"/>
    <w:rsid w:val="0006500C"/>
    <w:rsid w:val="00065237"/>
    <w:rsid w:val="0006632F"/>
    <w:rsid w:val="0007010A"/>
    <w:rsid w:val="00071C95"/>
    <w:rsid w:val="00071D46"/>
    <w:rsid w:val="000733C4"/>
    <w:rsid w:val="00074783"/>
    <w:rsid w:val="00076298"/>
    <w:rsid w:val="0008070B"/>
    <w:rsid w:val="00080B96"/>
    <w:rsid w:val="000810AC"/>
    <w:rsid w:val="00081A02"/>
    <w:rsid w:val="00082231"/>
    <w:rsid w:val="00084615"/>
    <w:rsid w:val="00084723"/>
    <w:rsid w:val="00084EDC"/>
    <w:rsid w:val="00091CB9"/>
    <w:rsid w:val="00091FEC"/>
    <w:rsid w:val="00092043"/>
    <w:rsid w:val="00092D38"/>
    <w:rsid w:val="0009377B"/>
    <w:rsid w:val="000947FC"/>
    <w:rsid w:val="00095BCB"/>
    <w:rsid w:val="0009686B"/>
    <w:rsid w:val="00096D97"/>
    <w:rsid w:val="000A20C9"/>
    <w:rsid w:val="000A270F"/>
    <w:rsid w:val="000A3EEB"/>
    <w:rsid w:val="000A6B6A"/>
    <w:rsid w:val="000B058F"/>
    <w:rsid w:val="000B0F0A"/>
    <w:rsid w:val="000B4361"/>
    <w:rsid w:val="000B4467"/>
    <w:rsid w:val="000B4DB9"/>
    <w:rsid w:val="000B7728"/>
    <w:rsid w:val="000C0582"/>
    <w:rsid w:val="000C09AC"/>
    <w:rsid w:val="000C3B43"/>
    <w:rsid w:val="000C5A39"/>
    <w:rsid w:val="000C767F"/>
    <w:rsid w:val="000D32EF"/>
    <w:rsid w:val="000D3EA2"/>
    <w:rsid w:val="000D5A44"/>
    <w:rsid w:val="000D6594"/>
    <w:rsid w:val="000E0AAF"/>
    <w:rsid w:val="000E0FDA"/>
    <w:rsid w:val="000E2E1E"/>
    <w:rsid w:val="000E3ED2"/>
    <w:rsid w:val="000E46A5"/>
    <w:rsid w:val="000E5BE4"/>
    <w:rsid w:val="000E6FB0"/>
    <w:rsid w:val="000E78C4"/>
    <w:rsid w:val="000F4AE6"/>
    <w:rsid w:val="000F4C17"/>
    <w:rsid w:val="000F5AB9"/>
    <w:rsid w:val="00101FB2"/>
    <w:rsid w:val="00107796"/>
    <w:rsid w:val="001115D8"/>
    <w:rsid w:val="001140E2"/>
    <w:rsid w:val="001151F1"/>
    <w:rsid w:val="00115910"/>
    <w:rsid w:val="001204BE"/>
    <w:rsid w:val="00130BCB"/>
    <w:rsid w:val="00131F42"/>
    <w:rsid w:val="001320C6"/>
    <w:rsid w:val="00134D94"/>
    <w:rsid w:val="001357F1"/>
    <w:rsid w:val="0013662E"/>
    <w:rsid w:val="00136E7C"/>
    <w:rsid w:val="00140C8B"/>
    <w:rsid w:val="00140FA8"/>
    <w:rsid w:val="00140FF1"/>
    <w:rsid w:val="00141A77"/>
    <w:rsid w:val="00142506"/>
    <w:rsid w:val="00142FEB"/>
    <w:rsid w:val="00143A2D"/>
    <w:rsid w:val="00145A28"/>
    <w:rsid w:val="00145A41"/>
    <w:rsid w:val="00145EEF"/>
    <w:rsid w:val="00147BF6"/>
    <w:rsid w:val="0015064F"/>
    <w:rsid w:val="00151675"/>
    <w:rsid w:val="00151B2F"/>
    <w:rsid w:val="0015228D"/>
    <w:rsid w:val="00153725"/>
    <w:rsid w:val="001546A7"/>
    <w:rsid w:val="0015565D"/>
    <w:rsid w:val="00157435"/>
    <w:rsid w:val="00161330"/>
    <w:rsid w:val="00161568"/>
    <w:rsid w:val="001656FF"/>
    <w:rsid w:val="001657AA"/>
    <w:rsid w:val="00166618"/>
    <w:rsid w:val="00166EC3"/>
    <w:rsid w:val="001703D2"/>
    <w:rsid w:val="001717B7"/>
    <w:rsid w:val="001718A5"/>
    <w:rsid w:val="00171909"/>
    <w:rsid w:val="00172A27"/>
    <w:rsid w:val="001745D4"/>
    <w:rsid w:val="0017504D"/>
    <w:rsid w:val="0017517E"/>
    <w:rsid w:val="0017671A"/>
    <w:rsid w:val="00177422"/>
    <w:rsid w:val="0018166F"/>
    <w:rsid w:val="00183CED"/>
    <w:rsid w:val="001840C7"/>
    <w:rsid w:val="00184590"/>
    <w:rsid w:val="00186BF0"/>
    <w:rsid w:val="001870D1"/>
    <w:rsid w:val="0018781E"/>
    <w:rsid w:val="001903BD"/>
    <w:rsid w:val="00190E89"/>
    <w:rsid w:val="0019262D"/>
    <w:rsid w:val="00193A33"/>
    <w:rsid w:val="0019427E"/>
    <w:rsid w:val="001954D3"/>
    <w:rsid w:val="00195608"/>
    <w:rsid w:val="00196114"/>
    <w:rsid w:val="00197188"/>
    <w:rsid w:val="001A174D"/>
    <w:rsid w:val="001A1AA5"/>
    <w:rsid w:val="001A1B35"/>
    <w:rsid w:val="001A48A2"/>
    <w:rsid w:val="001A4A55"/>
    <w:rsid w:val="001A6F61"/>
    <w:rsid w:val="001B0B76"/>
    <w:rsid w:val="001B0CAD"/>
    <w:rsid w:val="001B1A39"/>
    <w:rsid w:val="001B4ACA"/>
    <w:rsid w:val="001B72B8"/>
    <w:rsid w:val="001C05AE"/>
    <w:rsid w:val="001C0BCC"/>
    <w:rsid w:val="001C118B"/>
    <w:rsid w:val="001C186E"/>
    <w:rsid w:val="001C1B89"/>
    <w:rsid w:val="001C1FC9"/>
    <w:rsid w:val="001C2B13"/>
    <w:rsid w:val="001C36EF"/>
    <w:rsid w:val="001C5E1B"/>
    <w:rsid w:val="001C69B3"/>
    <w:rsid w:val="001C771D"/>
    <w:rsid w:val="001D237C"/>
    <w:rsid w:val="001D23AF"/>
    <w:rsid w:val="001D364F"/>
    <w:rsid w:val="001D375A"/>
    <w:rsid w:val="001D44F8"/>
    <w:rsid w:val="001D5595"/>
    <w:rsid w:val="001D5D36"/>
    <w:rsid w:val="001D7464"/>
    <w:rsid w:val="001D7874"/>
    <w:rsid w:val="001D796B"/>
    <w:rsid w:val="001D7F22"/>
    <w:rsid w:val="001E4EE7"/>
    <w:rsid w:val="001E4F1F"/>
    <w:rsid w:val="001E60E1"/>
    <w:rsid w:val="001E6B7C"/>
    <w:rsid w:val="001E765F"/>
    <w:rsid w:val="001E7A6E"/>
    <w:rsid w:val="001F00A0"/>
    <w:rsid w:val="001F0F17"/>
    <w:rsid w:val="001F1B6C"/>
    <w:rsid w:val="001F3347"/>
    <w:rsid w:val="001F571E"/>
    <w:rsid w:val="001F651C"/>
    <w:rsid w:val="001F69E4"/>
    <w:rsid w:val="00200722"/>
    <w:rsid w:val="00202CBA"/>
    <w:rsid w:val="00204429"/>
    <w:rsid w:val="00204843"/>
    <w:rsid w:val="00207BC9"/>
    <w:rsid w:val="00210D6B"/>
    <w:rsid w:val="002125B4"/>
    <w:rsid w:val="002138AA"/>
    <w:rsid w:val="002150C5"/>
    <w:rsid w:val="002155B8"/>
    <w:rsid w:val="00215D2D"/>
    <w:rsid w:val="002179AC"/>
    <w:rsid w:val="00217F0D"/>
    <w:rsid w:val="002221FA"/>
    <w:rsid w:val="00224839"/>
    <w:rsid w:val="002249B2"/>
    <w:rsid w:val="0022640A"/>
    <w:rsid w:val="00226574"/>
    <w:rsid w:val="002278EC"/>
    <w:rsid w:val="0023253F"/>
    <w:rsid w:val="0023280E"/>
    <w:rsid w:val="0023456D"/>
    <w:rsid w:val="00234F43"/>
    <w:rsid w:val="00235EA3"/>
    <w:rsid w:val="0023614A"/>
    <w:rsid w:val="00236E3D"/>
    <w:rsid w:val="002377D1"/>
    <w:rsid w:val="00240BF9"/>
    <w:rsid w:val="00243AA1"/>
    <w:rsid w:val="00244DB9"/>
    <w:rsid w:val="002506BC"/>
    <w:rsid w:val="0025148B"/>
    <w:rsid w:val="0025312E"/>
    <w:rsid w:val="00254345"/>
    <w:rsid w:val="0025574F"/>
    <w:rsid w:val="002619DD"/>
    <w:rsid w:val="00262DA0"/>
    <w:rsid w:val="00264557"/>
    <w:rsid w:val="00264C8E"/>
    <w:rsid w:val="002650F6"/>
    <w:rsid w:val="002662A8"/>
    <w:rsid w:val="0027387F"/>
    <w:rsid w:val="00276BF2"/>
    <w:rsid w:val="00277EAD"/>
    <w:rsid w:val="002805AB"/>
    <w:rsid w:val="00283D89"/>
    <w:rsid w:val="00284204"/>
    <w:rsid w:val="00290252"/>
    <w:rsid w:val="00291773"/>
    <w:rsid w:val="002917B1"/>
    <w:rsid w:val="00292CF2"/>
    <w:rsid w:val="0029498E"/>
    <w:rsid w:val="002950A5"/>
    <w:rsid w:val="002A168C"/>
    <w:rsid w:val="002A31D4"/>
    <w:rsid w:val="002A36EF"/>
    <w:rsid w:val="002A3A01"/>
    <w:rsid w:val="002A3DC7"/>
    <w:rsid w:val="002A5E21"/>
    <w:rsid w:val="002A6175"/>
    <w:rsid w:val="002A6873"/>
    <w:rsid w:val="002B49E2"/>
    <w:rsid w:val="002B5BBE"/>
    <w:rsid w:val="002B7A75"/>
    <w:rsid w:val="002B7B00"/>
    <w:rsid w:val="002B7C44"/>
    <w:rsid w:val="002C262B"/>
    <w:rsid w:val="002C2B17"/>
    <w:rsid w:val="002C63D4"/>
    <w:rsid w:val="002C650A"/>
    <w:rsid w:val="002C6951"/>
    <w:rsid w:val="002C72D2"/>
    <w:rsid w:val="002D03D2"/>
    <w:rsid w:val="002D14B1"/>
    <w:rsid w:val="002D2AEE"/>
    <w:rsid w:val="002D3DD0"/>
    <w:rsid w:val="002D5AB2"/>
    <w:rsid w:val="002D7395"/>
    <w:rsid w:val="002D7A42"/>
    <w:rsid w:val="002E1F3A"/>
    <w:rsid w:val="002E298A"/>
    <w:rsid w:val="002E2D18"/>
    <w:rsid w:val="002E795F"/>
    <w:rsid w:val="002F2265"/>
    <w:rsid w:val="002F5422"/>
    <w:rsid w:val="002F560A"/>
    <w:rsid w:val="002F5B1B"/>
    <w:rsid w:val="002F67F2"/>
    <w:rsid w:val="00301978"/>
    <w:rsid w:val="0030332C"/>
    <w:rsid w:val="00304DB6"/>
    <w:rsid w:val="003051C2"/>
    <w:rsid w:val="0030677F"/>
    <w:rsid w:val="0030768B"/>
    <w:rsid w:val="00312296"/>
    <w:rsid w:val="003123A3"/>
    <w:rsid w:val="00313140"/>
    <w:rsid w:val="003136B8"/>
    <w:rsid w:val="0031380D"/>
    <w:rsid w:val="00314F0E"/>
    <w:rsid w:val="00316D85"/>
    <w:rsid w:val="0031711D"/>
    <w:rsid w:val="00321D8E"/>
    <w:rsid w:val="0032323E"/>
    <w:rsid w:val="00325928"/>
    <w:rsid w:val="00325CD5"/>
    <w:rsid w:val="00326395"/>
    <w:rsid w:val="00332863"/>
    <w:rsid w:val="00333E03"/>
    <w:rsid w:val="0033684D"/>
    <w:rsid w:val="00337B42"/>
    <w:rsid w:val="003415BF"/>
    <w:rsid w:val="00341938"/>
    <w:rsid w:val="00341B42"/>
    <w:rsid w:val="0034348F"/>
    <w:rsid w:val="003449B2"/>
    <w:rsid w:val="00345106"/>
    <w:rsid w:val="00345F1F"/>
    <w:rsid w:val="00354587"/>
    <w:rsid w:val="00356046"/>
    <w:rsid w:val="00356653"/>
    <w:rsid w:val="00357245"/>
    <w:rsid w:val="0035743F"/>
    <w:rsid w:val="00357BE2"/>
    <w:rsid w:val="00360109"/>
    <w:rsid w:val="0036061A"/>
    <w:rsid w:val="00360759"/>
    <w:rsid w:val="0036170C"/>
    <w:rsid w:val="0036319B"/>
    <w:rsid w:val="00366500"/>
    <w:rsid w:val="00366E0F"/>
    <w:rsid w:val="003705B8"/>
    <w:rsid w:val="00372883"/>
    <w:rsid w:val="00372996"/>
    <w:rsid w:val="003778EF"/>
    <w:rsid w:val="00381A72"/>
    <w:rsid w:val="00382C78"/>
    <w:rsid w:val="00382F5A"/>
    <w:rsid w:val="00383E0E"/>
    <w:rsid w:val="003840D0"/>
    <w:rsid w:val="00384676"/>
    <w:rsid w:val="00384E1A"/>
    <w:rsid w:val="00390857"/>
    <w:rsid w:val="003909D5"/>
    <w:rsid w:val="00392318"/>
    <w:rsid w:val="0039246F"/>
    <w:rsid w:val="003958BA"/>
    <w:rsid w:val="00396FA9"/>
    <w:rsid w:val="003A0E2A"/>
    <w:rsid w:val="003A2B0F"/>
    <w:rsid w:val="003A4BF3"/>
    <w:rsid w:val="003A4F2E"/>
    <w:rsid w:val="003B420D"/>
    <w:rsid w:val="003B60F7"/>
    <w:rsid w:val="003B6770"/>
    <w:rsid w:val="003C023B"/>
    <w:rsid w:val="003C14D4"/>
    <w:rsid w:val="003C236F"/>
    <w:rsid w:val="003C2A38"/>
    <w:rsid w:val="003C2D7E"/>
    <w:rsid w:val="003C4498"/>
    <w:rsid w:val="003C6C16"/>
    <w:rsid w:val="003C7466"/>
    <w:rsid w:val="003C785E"/>
    <w:rsid w:val="003D0B6E"/>
    <w:rsid w:val="003D260F"/>
    <w:rsid w:val="003D3520"/>
    <w:rsid w:val="003D39AF"/>
    <w:rsid w:val="003D4720"/>
    <w:rsid w:val="003D4722"/>
    <w:rsid w:val="003D794D"/>
    <w:rsid w:val="003E2FAC"/>
    <w:rsid w:val="003E3058"/>
    <w:rsid w:val="003E58ED"/>
    <w:rsid w:val="003E5E96"/>
    <w:rsid w:val="003E76A9"/>
    <w:rsid w:val="003F019C"/>
    <w:rsid w:val="003F0809"/>
    <w:rsid w:val="003F15A0"/>
    <w:rsid w:val="003F59A9"/>
    <w:rsid w:val="003F6A8C"/>
    <w:rsid w:val="003F755C"/>
    <w:rsid w:val="00403814"/>
    <w:rsid w:val="00403C1F"/>
    <w:rsid w:val="00406F01"/>
    <w:rsid w:val="00410374"/>
    <w:rsid w:val="00411CA3"/>
    <w:rsid w:val="0041381D"/>
    <w:rsid w:val="0041493E"/>
    <w:rsid w:val="00414BDF"/>
    <w:rsid w:val="00416D50"/>
    <w:rsid w:val="00416FD5"/>
    <w:rsid w:val="0041769C"/>
    <w:rsid w:val="00417772"/>
    <w:rsid w:val="00420E6A"/>
    <w:rsid w:val="00421ADB"/>
    <w:rsid w:val="00425A9E"/>
    <w:rsid w:val="00426B5A"/>
    <w:rsid w:val="00426D6B"/>
    <w:rsid w:val="004277C9"/>
    <w:rsid w:val="004302EC"/>
    <w:rsid w:val="00431E6C"/>
    <w:rsid w:val="00433CE7"/>
    <w:rsid w:val="00434113"/>
    <w:rsid w:val="004346EF"/>
    <w:rsid w:val="00434766"/>
    <w:rsid w:val="00434D72"/>
    <w:rsid w:val="0044131A"/>
    <w:rsid w:val="0044503D"/>
    <w:rsid w:val="004476DA"/>
    <w:rsid w:val="00447867"/>
    <w:rsid w:val="00452738"/>
    <w:rsid w:val="00454B86"/>
    <w:rsid w:val="00454CEA"/>
    <w:rsid w:val="00456091"/>
    <w:rsid w:val="004635DE"/>
    <w:rsid w:val="004643FA"/>
    <w:rsid w:val="00464A5F"/>
    <w:rsid w:val="00466321"/>
    <w:rsid w:val="00466569"/>
    <w:rsid w:val="004679EC"/>
    <w:rsid w:val="004717C6"/>
    <w:rsid w:val="00472252"/>
    <w:rsid w:val="00472554"/>
    <w:rsid w:val="0047772D"/>
    <w:rsid w:val="00477E75"/>
    <w:rsid w:val="00480EF6"/>
    <w:rsid w:val="004835F2"/>
    <w:rsid w:val="00484B9B"/>
    <w:rsid w:val="004853BF"/>
    <w:rsid w:val="004855F6"/>
    <w:rsid w:val="0048661E"/>
    <w:rsid w:val="00486693"/>
    <w:rsid w:val="0048782C"/>
    <w:rsid w:val="004905AD"/>
    <w:rsid w:val="004930D2"/>
    <w:rsid w:val="004938FB"/>
    <w:rsid w:val="004939D3"/>
    <w:rsid w:val="0049419D"/>
    <w:rsid w:val="00494670"/>
    <w:rsid w:val="004959E6"/>
    <w:rsid w:val="00496DE5"/>
    <w:rsid w:val="004977B9"/>
    <w:rsid w:val="004A11BC"/>
    <w:rsid w:val="004A26C2"/>
    <w:rsid w:val="004A33DB"/>
    <w:rsid w:val="004A36B5"/>
    <w:rsid w:val="004A3823"/>
    <w:rsid w:val="004A5230"/>
    <w:rsid w:val="004A5442"/>
    <w:rsid w:val="004A6375"/>
    <w:rsid w:val="004B39F3"/>
    <w:rsid w:val="004B3F2E"/>
    <w:rsid w:val="004B47B4"/>
    <w:rsid w:val="004B580A"/>
    <w:rsid w:val="004B7700"/>
    <w:rsid w:val="004C5368"/>
    <w:rsid w:val="004C6112"/>
    <w:rsid w:val="004C62CB"/>
    <w:rsid w:val="004C79FF"/>
    <w:rsid w:val="004D0815"/>
    <w:rsid w:val="004D1A18"/>
    <w:rsid w:val="004D1AEC"/>
    <w:rsid w:val="004D4A8C"/>
    <w:rsid w:val="004D5238"/>
    <w:rsid w:val="004D54DF"/>
    <w:rsid w:val="004D5CBE"/>
    <w:rsid w:val="004D71A1"/>
    <w:rsid w:val="004E044E"/>
    <w:rsid w:val="004E1058"/>
    <w:rsid w:val="004E158E"/>
    <w:rsid w:val="004E1AC3"/>
    <w:rsid w:val="004E1CDE"/>
    <w:rsid w:val="004E43BF"/>
    <w:rsid w:val="004E6946"/>
    <w:rsid w:val="004F06AC"/>
    <w:rsid w:val="004F1AD8"/>
    <w:rsid w:val="004F2FB5"/>
    <w:rsid w:val="004F41F2"/>
    <w:rsid w:val="004F6959"/>
    <w:rsid w:val="005037A7"/>
    <w:rsid w:val="005039CB"/>
    <w:rsid w:val="00504226"/>
    <w:rsid w:val="00504B1D"/>
    <w:rsid w:val="0050558F"/>
    <w:rsid w:val="00506286"/>
    <w:rsid w:val="005068A1"/>
    <w:rsid w:val="00507364"/>
    <w:rsid w:val="00507838"/>
    <w:rsid w:val="00507B98"/>
    <w:rsid w:val="0051071D"/>
    <w:rsid w:val="00510813"/>
    <w:rsid w:val="00511990"/>
    <w:rsid w:val="00511DE0"/>
    <w:rsid w:val="00514009"/>
    <w:rsid w:val="005140F5"/>
    <w:rsid w:val="00514870"/>
    <w:rsid w:val="00514B9B"/>
    <w:rsid w:val="00515EAA"/>
    <w:rsid w:val="005168D3"/>
    <w:rsid w:val="0051741D"/>
    <w:rsid w:val="00517F02"/>
    <w:rsid w:val="00521EF0"/>
    <w:rsid w:val="00524303"/>
    <w:rsid w:val="005258A2"/>
    <w:rsid w:val="005262BB"/>
    <w:rsid w:val="005266B0"/>
    <w:rsid w:val="005307F1"/>
    <w:rsid w:val="00530E63"/>
    <w:rsid w:val="0053132D"/>
    <w:rsid w:val="00531BB7"/>
    <w:rsid w:val="00531CFA"/>
    <w:rsid w:val="00533390"/>
    <w:rsid w:val="005340A1"/>
    <w:rsid w:val="005355D4"/>
    <w:rsid w:val="00536200"/>
    <w:rsid w:val="005401AE"/>
    <w:rsid w:val="00540F67"/>
    <w:rsid w:val="00541B16"/>
    <w:rsid w:val="00542E07"/>
    <w:rsid w:val="005431C4"/>
    <w:rsid w:val="005448BF"/>
    <w:rsid w:val="00545424"/>
    <w:rsid w:val="00545744"/>
    <w:rsid w:val="00552907"/>
    <w:rsid w:val="00554A7B"/>
    <w:rsid w:val="00554AE3"/>
    <w:rsid w:val="0055572C"/>
    <w:rsid w:val="005558F4"/>
    <w:rsid w:val="0055673A"/>
    <w:rsid w:val="005568CF"/>
    <w:rsid w:val="0056106A"/>
    <w:rsid w:val="005619BF"/>
    <w:rsid w:val="0056215A"/>
    <w:rsid w:val="00562E30"/>
    <w:rsid w:val="00571D4C"/>
    <w:rsid w:val="005720AE"/>
    <w:rsid w:val="00574304"/>
    <w:rsid w:val="00577094"/>
    <w:rsid w:val="00584188"/>
    <w:rsid w:val="005842B5"/>
    <w:rsid w:val="00586D2A"/>
    <w:rsid w:val="00587F1B"/>
    <w:rsid w:val="00590F4B"/>
    <w:rsid w:val="00594D77"/>
    <w:rsid w:val="005961FE"/>
    <w:rsid w:val="005969E4"/>
    <w:rsid w:val="005A06B7"/>
    <w:rsid w:val="005A0B1D"/>
    <w:rsid w:val="005A1759"/>
    <w:rsid w:val="005A19AA"/>
    <w:rsid w:val="005A3BF6"/>
    <w:rsid w:val="005A4749"/>
    <w:rsid w:val="005A68A7"/>
    <w:rsid w:val="005A6922"/>
    <w:rsid w:val="005A75BB"/>
    <w:rsid w:val="005B2526"/>
    <w:rsid w:val="005B3069"/>
    <w:rsid w:val="005B316F"/>
    <w:rsid w:val="005B6E8A"/>
    <w:rsid w:val="005B7974"/>
    <w:rsid w:val="005C03C8"/>
    <w:rsid w:val="005C0F99"/>
    <w:rsid w:val="005C5328"/>
    <w:rsid w:val="005C6A9B"/>
    <w:rsid w:val="005C7D2F"/>
    <w:rsid w:val="005D0990"/>
    <w:rsid w:val="005D0F47"/>
    <w:rsid w:val="005D36AB"/>
    <w:rsid w:val="005D7776"/>
    <w:rsid w:val="005E1DBE"/>
    <w:rsid w:val="005E3AC0"/>
    <w:rsid w:val="005E3AFE"/>
    <w:rsid w:val="005E58CC"/>
    <w:rsid w:val="005E6722"/>
    <w:rsid w:val="005E7307"/>
    <w:rsid w:val="005F0EC6"/>
    <w:rsid w:val="005F17F3"/>
    <w:rsid w:val="005F39F8"/>
    <w:rsid w:val="005F441C"/>
    <w:rsid w:val="005F4DA2"/>
    <w:rsid w:val="005F6D58"/>
    <w:rsid w:val="00601455"/>
    <w:rsid w:val="006017C4"/>
    <w:rsid w:val="006018EF"/>
    <w:rsid w:val="00603F9F"/>
    <w:rsid w:val="006041D1"/>
    <w:rsid w:val="00604611"/>
    <w:rsid w:val="00606871"/>
    <w:rsid w:val="00607919"/>
    <w:rsid w:val="0061040B"/>
    <w:rsid w:val="00613623"/>
    <w:rsid w:val="00615B82"/>
    <w:rsid w:val="00615B8B"/>
    <w:rsid w:val="00617CC3"/>
    <w:rsid w:val="00624B8B"/>
    <w:rsid w:val="006250A2"/>
    <w:rsid w:val="00627BDD"/>
    <w:rsid w:val="00630FBD"/>
    <w:rsid w:val="00631526"/>
    <w:rsid w:val="00633547"/>
    <w:rsid w:val="006342DE"/>
    <w:rsid w:val="006377A6"/>
    <w:rsid w:val="00637A3D"/>
    <w:rsid w:val="006411EF"/>
    <w:rsid w:val="00645991"/>
    <w:rsid w:val="00645D42"/>
    <w:rsid w:val="006474A9"/>
    <w:rsid w:val="00651496"/>
    <w:rsid w:val="00651B4C"/>
    <w:rsid w:val="0065270E"/>
    <w:rsid w:val="00654474"/>
    <w:rsid w:val="00656FE8"/>
    <w:rsid w:val="006570D3"/>
    <w:rsid w:val="006617FE"/>
    <w:rsid w:val="006637BE"/>
    <w:rsid w:val="006653F3"/>
    <w:rsid w:val="006703C2"/>
    <w:rsid w:val="00670790"/>
    <w:rsid w:val="00673713"/>
    <w:rsid w:val="00673991"/>
    <w:rsid w:val="006748B8"/>
    <w:rsid w:val="00674C22"/>
    <w:rsid w:val="006756BD"/>
    <w:rsid w:val="006775C3"/>
    <w:rsid w:val="00680EC4"/>
    <w:rsid w:val="00680F96"/>
    <w:rsid w:val="0068208B"/>
    <w:rsid w:val="006905E0"/>
    <w:rsid w:val="00690972"/>
    <w:rsid w:val="0069290A"/>
    <w:rsid w:val="0069436C"/>
    <w:rsid w:val="0069775A"/>
    <w:rsid w:val="00697813"/>
    <w:rsid w:val="006A07C6"/>
    <w:rsid w:val="006A08EA"/>
    <w:rsid w:val="006A15B2"/>
    <w:rsid w:val="006A1C84"/>
    <w:rsid w:val="006A3EE8"/>
    <w:rsid w:val="006A4970"/>
    <w:rsid w:val="006A503B"/>
    <w:rsid w:val="006A72BF"/>
    <w:rsid w:val="006B03F2"/>
    <w:rsid w:val="006B37DC"/>
    <w:rsid w:val="006B3FFD"/>
    <w:rsid w:val="006B4F68"/>
    <w:rsid w:val="006B7DD2"/>
    <w:rsid w:val="006C0592"/>
    <w:rsid w:val="006C272E"/>
    <w:rsid w:val="006C5479"/>
    <w:rsid w:val="006C5A72"/>
    <w:rsid w:val="006C7C06"/>
    <w:rsid w:val="006D13B5"/>
    <w:rsid w:val="006D2CDB"/>
    <w:rsid w:val="006D45CF"/>
    <w:rsid w:val="006D661D"/>
    <w:rsid w:val="006E12FF"/>
    <w:rsid w:val="006E3C87"/>
    <w:rsid w:val="006E607E"/>
    <w:rsid w:val="006E7E90"/>
    <w:rsid w:val="006F65DC"/>
    <w:rsid w:val="006F7283"/>
    <w:rsid w:val="0070305D"/>
    <w:rsid w:val="00706C5D"/>
    <w:rsid w:val="0071169E"/>
    <w:rsid w:val="00712040"/>
    <w:rsid w:val="00712FE0"/>
    <w:rsid w:val="00716E72"/>
    <w:rsid w:val="007173EA"/>
    <w:rsid w:val="00717C94"/>
    <w:rsid w:val="00720D5A"/>
    <w:rsid w:val="00721E10"/>
    <w:rsid w:val="00723423"/>
    <w:rsid w:val="00723849"/>
    <w:rsid w:val="0072555B"/>
    <w:rsid w:val="00730F6B"/>
    <w:rsid w:val="00732922"/>
    <w:rsid w:val="00732BE7"/>
    <w:rsid w:val="007353B9"/>
    <w:rsid w:val="0073546A"/>
    <w:rsid w:val="00737B79"/>
    <w:rsid w:val="00737EAA"/>
    <w:rsid w:val="007402CA"/>
    <w:rsid w:val="0075162E"/>
    <w:rsid w:val="0075199D"/>
    <w:rsid w:val="00751F35"/>
    <w:rsid w:val="00754034"/>
    <w:rsid w:val="00755847"/>
    <w:rsid w:val="00755860"/>
    <w:rsid w:val="00756074"/>
    <w:rsid w:val="00756556"/>
    <w:rsid w:val="007618C4"/>
    <w:rsid w:val="00765663"/>
    <w:rsid w:val="00766E1C"/>
    <w:rsid w:val="00767980"/>
    <w:rsid w:val="00770B19"/>
    <w:rsid w:val="00770E92"/>
    <w:rsid w:val="00771428"/>
    <w:rsid w:val="00772666"/>
    <w:rsid w:val="00773361"/>
    <w:rsid w:val="0077463F"/>
    <w:rsid w:val="007756C4"/>
    <w:rsid w:val="00775B17"/>
    <w:rsid w:val="00776079"/>
    <w:rsid w:val="00782439"/>
    <w:rsid w:val="007836EA"/>
    <w:rsid w:val="00784CDA"/>
    <w:rsid w:val="007870DD"/>
    <w:rsid w:val="007906C4"/>
    <w:rsid w:val="00793AEA"/>
    <w:rsid w:val="00793EF5"/>
    <w:rsid w:val="007940EA"/>
    <w:rsid w:val="00794C3E"/>
    <w:rsid w:val="007967E8"/>
    <w:rsid w:val="007A2170"/>
    <w:rsid w:val="007A22BF"/>
    <w:rsid w:val="007A3033"/>
    <w:rsid w:val="007A3323"/>
    <w:rsid w:val="007A5771"/>
    <w:rsid w:val="007A583F"/>
    <w:rsid w:val="007A5AB3"/>
    <w:rsid w:val="007A756F"/>
    <w:rsid w:val="007B1D88"/>
    <w:rsid w:val="007B2C4E"/>
    <w:rsid w:val="007B436C"/>
    <w:rsid w:val="007B72B8"/>
    <w:rsid w:val="007B7A58"/>
    <w:rsid w:val="007C1175"/>
    <w:rsid w:val="007C209D"/>
    <w:rsid w:val="007C21B2"/>
    <w:rsid w:val="007C21B5"/>
    <w:rsid w:val="007C4C61"/>
    <w:rsid w:val="007C60A0"/>
    <w:rsid w:val="007C698C"/>
    <w:rsid w:val="007C703F"/>
    <w:rsid w:val="007D1209"/>
    <w:rsid w:val="007D4995"/>
    <w:rsid w:val="007D4F51"/>
    <w:rsid w:val="007D65E7"/>
    <w:rsid w:val="007E33F7"/>
    <w:rsid w:val="007E4004"/>
    <w:rsid w:val="007E4BD2"/>
    <w:rsid w:val="007E6AA4"/>
    <w:rsid w:val="007F0699"/>
    <w:rsid w:val="007F1FBA"/>
    <w:rsid w:val="007F387C"/>
    <w:rsid w:val="007F4F12"/>
    <w:rsid w:val="007F5D34"/>
    <w:rsid w:val="007F6CD8"/>
    <w:rsid w:val="00801393"/>
    <w:rsid w:val="00802F88"/>
    <w:rsid w:val="00803CF0"/>
    <w:rsid w:val="00807C9F"/>
    <w:rsid w:val="0081293E"/>
    <w:rsid w:val="00815465"/>
    <w:rsid w:val="00816BB0"/>
    <w:rsid w:val="00817E9A"/>
    <w:rsid w:val="008201DE"/>
    <w:rsid w:val="0082157A"/>
    <w:rsid w:val="008247AA"/>
    <w:rsid w:val="00824DE9"/>
    <w:rsid w:val="00827EA0"/>
    <w:rsid w:val="008306BD"/>
    <w:rsid w:val="0083157D"/>
    <w:rsid w:val="00831A80"/>
    <w:rsid w:val="00833743"/>
    <w:rsid w:val="008340A4"/>
    <w:rsid w:val="00835FD1"/>
    <w:rsid w:val="0084029C"/>
    <w:rsid w:val="00840921"/>
    <w:rsid w:val="008409C0"/>
    <w:rsid w:val="00843E1B"/>
    <w:rsid w:val="00846678"/>
    <w:rsid w:val="008574D7"/>
    <w:rsid w:val="00863817"/>
    <w:rsid w:val="008651D6"/>
    <w:rsid w:val="00866B5E"/>
    <w:rsid w:val="00870366"/>
    <w:rsid w:val="00870D9E"/>
    <w:rsid w:val="0087118A"/>
    <w:rsid w:val="0087135F"/>
    <w:rsid w:val="008718EB"/>
    <w:rsid w:val="00872D94"/>
    <w:rsid w:val="00876631"/>
    <w:rsid w:val="00876A9F"/>
    <w:rsid w:val="00880364"/>
    <w:rsid w:val="00880D6A"/>
    <w:rsid w:val="0088106B"/>
    <w:rsid w:val="00884753"/>
    <w:rsid w:val="00884D55"/>
    <w:rsid w:val="00885085"/>
    <w:rsid w:val="00885DAD"/>
    <w:rsid w:val="00891592"/>
    <w:rsid w:val="0089189B"/>
    <w:rsid w:val="00891E9E"/>
    <w:rsid w:val="00892253"/>
    <w:rsid w:val="0089294B"/>
    <w:rsid w:val="00892D3C"/>
    <w:rsid w:val="00895C03"/>
    <w:rsid w:val="008970DD"/>
    <w:rsid w:val="008A2F68"/>
    <w:rsid w:val="008A3562"/>
    <w:rsid w:val="008A395B"/>
    <w:rsid w:val="008A3DF2"/>
    <w:rsid w:val="008A4267"/>
    <w:rsid w:val="008A46D6"/>
    <w:rsid w:val="008A6805"/>
    <w:rsid w:val="008A7462"/>
    <w:rsid w:val="008B4FA6"/>
    <w:rsid w:val="008B5282"/>
    <w:rsid w:val="008B57F9"/>
    <w:rsid w:val="008B7518"/>
    <w:rsid w:val="008B7C17"/>
    <w:rsid w:val="008C145D"/>
    <w:rsid w:val="008C183A"/>
    <w:rsid w:val="008C2D01"/>
    <w:rsid w:val="008C40E6"/>
    <w:rsid w:val="008D0371"/>
    <w:rsid w:val="008D03BA"/>
    <w:rsid w:val="008D097C"/>
    <w:rsid w:val="008D0F7A"/>
    <w:rsid w:val="008D120A"/>
    <w:rsid w:val="008D68E4"/>
    <w:rsid w:val="008E0506"/>
    <w:rsid w:val="008E0CFF"/>
    <w:rsid w:val="008E294F"/>
    <w:rsid w:val="008E5D6B"/>
    <w:rsid w:val="008E75BD"/>
    <w:rsid w:val="008E76F0"/>
    <w:rsid w:val="008E7A2B"/>
    <w:rsid w:val="008F15FE"/>
    <w:rsid w:val="008F2D29"/>
    <w:rsid w:val="008F5187"/>
    <w:rsid w:val="008F56E2"/>
    <w:rsid w:val="008F60D8"/>
    <w:rsid w:val="00902727"/>
    <w:rsid w:val="00902F36"/>
    <w:rsid w:val="0090312B"/>
    <w:rsid w:val="009063DA"/>
    <w:rsid w:val="0091043F"/>
    <w:rsid w:val="009107AD"/>
    <w:rsid w:val="00911219"/>
    <w:rsid w:val="00913260"/>
    <w:rsid w:val="00913EE8"/>
    <w:rsid w:val="0091736D"/>
    <w:rsid w:val="00924332"/>
    <w:rsid w:val="009249B9"/>
    <w:rsid w:val="00926BD2"/>
    <w:rsid w:val="00930107"/>
    <w:rsid w:val="0093037A"/>
    <w:rsid w:val="00935FE5"/>
    <w:rsid w:val="009374E4"/>
    <w:rsid w:val="009403DD"/>
    <w:rsid w:val="0094154D"/>
    <w:rsid w:val="00941A6D"/>
    <w:rsid w:val="009468B8"/>
    <w:rsid w:val="00946CC4"/>
    <w:rsid w:val="009502C9"/>
    <w:rsid w:val="00950510"/>
    <w:rsid w:val="0095155F"/>
    <w:rsid w:val="00952038"/>
    <w:rsid w:val="00954429"/>
    <w:rsid w:val="00954B2D"/>
    <w:rsid w:val="009563CE"/>
    <w:rsid w:val="009566D1"/>
    <w:rsid w:val="0096062B"/>
    <w:rsid w:val="009616A3"/>
    <w:rsid w:val="0096208F"/>
    <w:rsid w:val="00964F59"/>
    <w:rsid w:val="0096676D"/>
    <w:rsid w:val="009744A6"/>
    <w:rsid w:val="00976328"/>
    <w:rsid w:val="0097680D"/>
    <w:rsid w:val="009775ED"/>
    <w:rsid w:val="00982438"/>
    <w:rsid w:val="0098404C"/>
    <w:rsid w:val="00985283"/>
    <w:rsid w:val="00985A5D"/>
    <w:rsid w:val="0099072A"/>
    <w:rsid w:val="00990CE0"/>
    <w:rsid w:val="00991683"/>
    <w:rsid w:val="0099272E"/>
    <w:rsid w:val="009937D9"/>
    <w:rsid w:val="00994AF3"/>
    <w:rsid w:val="00994BB9"/>
    <w:rsid w:val="0099591A"/>
    <w:rsid w:val="00995992"/>
    <w:rsid w:val="00996561"/>
    <w:rsid w:val="00996E39"/>
    <w:rsid w:val="009A0114"/>
    <w:rsid w:val="009A03E5"/>
    <w:rsid w:val="009A0F3B"/>
    <w:rsid w:val="009A1BB4"/>
    <w:rsid w:val="009A253E"/>
    <w:rsid w:val="009A2628"/>
    <w:rsid w:val="009A27CA"/>
    <w:rsid w:val="009A3200"/>
    <w:rsid w:val="009A3B83"/>
    <w:rsid w:val="009B0897"/>
    <w:rsid w:val="009B3143"/>
    <w:rsid w:val="009B5DD0"/>
    <w:rsid w:val="009B7BD9"/>
    <w:rsid w:val="009C1808"/>
    <w:rsid w:val="009C4C31"/>
    <w:rsid w:val="009C568B"/>
    <w:rsid w:val="009C63AA"/>
    <w:rsid w:val="009C6499"/>
    <w:rsid w:val="009C71B0"/>
    <w:rsid w:val="009C7DD5"/>
    <w:rsid w:val="009C7E78"/>
    <w:rsid w:val="009D010B"/>
    <w:rsid w:val="009D2B38"/>
    <w:rsid w:val="009D52DC"/>
    <w:rsid w:val="009D7DFA"/>
    <w:rsid w:val="009E227D"/>
    <w:rsid w:val="009E2CB0"/>
    <w:rsid w:val="009E2E13"/>
    <w:rsid w:val="009E4D8F"/>
    <w:rsid w:val="009E5019"/>
    <w:rsid w:val="009E5C22"/>
    <w:rsid w:val="009F20FF"/>
    <w:rsid w:val="009F2E13"/>
    <w:rsid w:val="009F3312"/>
    <w:rsid w:val="009F4FAD"/>
    <w:rsid w:val="009F6047"/>
    <w:rsid w:val="009F79FF"/>
    <w:rsid w:val="009F7ECA"/>
    <w:rsid w:val="00A0125D"/>
    <w:rsid w:val="00A02D2A"/>
    <w:rsid w:val="00A04284"/>
    <w:rsid w:val="00A04F1B"/>
    <w:rsid w:val="00A0501B"/>
    <w:rsid w:val="00A05404"/>
    <w:rsid w:val="00A06450"/>
    <w:rsid w:val="00A102F3"/>
    <w:rsid w:val="00A130F0"/>
    <w:rsid w:val="00A14947"/>
    <w:rsid w:val="00A2364E"/>
    <w:rsid w:val="00A238C9"/>
    <w:rsid w:val="00A23CEC"/>
    <w:rsid w:val="00A23E7B"/>
    <w:rsid w:val="00A267E2"/>
    <w:rsid w:val="00A31725"/>
    <w:rsid w:val="00A32A83"/>
    <w:rsid w:val="00A341F4"/>
    <w:rsid w:val="00A359B0"/>
    <w:rsid w:val="00A35B89"/>
    <w:rsid w:val="00A35E6D"/>
    <w:rsid w:val="00A368DB"/>
    <w:rsid w:val="00A423AA"/>
    <w:rsid w:val="00A42A7E"/>
    <w:rsid w:val="00A512FF"/>
    <w:rsid w:val="00A53256"/>
    <w:rsid w:val="00A5335F"/>
    <w:rsid w:val="00A53EC6"/>
    <w:rsid w:val="00A54FC4"/>
    <w:rsid w:val="00A558A6"/>
    <w:rsid w:val="00A55C0F"/>
    <w:rsid w:val="00A62E6F"/>
    <w:rsid w:val="00A649F5"/>
    <w:rsid w:val="00A64DBE"/>
    <w:rsid w:val="00A65013"/>
    <w:rsid w:val="00A7249B"/>
    <w:rsid w:val="00A75489"/>
    <w:rsid w:val="00A758EA"/>
    <w:rsid w:val="00A77698"/>
    <w:rsid w:val="00A808B6"/>
    <w:rsid w:val="00A80AFA"/>
    <w:rsid w:val="00A81372"/>
    <w:rsid w:val="00A81C71"/>
    <w:rsid w:val="00A82677"/>
    <w:rsid w:val="00A82F1E"/>
    <w:rsid w:val="00A837B5"/>
    <w:rsid w:val="00A856A6"/>
    <w:rsid w:val="00A8713F"/>
    <w:rsid w:val="00A8735E"/>
    <w:rsid w:val="00A90953"/>
    <w:rsid w:val="00A90BA1"/>
    <w:rsid w:val="00A9166A"/>
    <w:rsid w:val="00A9570C"/>
    <w:rsid w:val="00A96228"/>
    <w:rsid w:val="00A97A9A"/>
    <w:rsid w:val="00A97B39"/>
    <w:rsid w:val="00AA0671"/>
    <w:rsid w:val="00AA0FC8"/>
    <w:rsid w:val="00AA2261"/>
    <w:rsid w:val="00AA2531"/>
    <w:rsid w:val="00AA3631"/>
    <w:rsid w:val="00AA3F9C"/>
    <w:rsid w:val="00AA4AF1"/>
    <w:rsid w:val="00AA4CB9"/>
    <w:rsid w:val="00AA76A8"/>
    <w:rsid w:val="00AA7D46"/>
    <w:rsid w:val="00AA7DB3"/>
    <w:rsid w:val="00AB186B"/>
    <w:rsid w:val="00AB1E09"/>
    <w:rsid w:val="00AB2E25"/>
    <w:rsid w:val="00AB3000"/>
    <w:rsid w:val="00AB5330"/>
    <w:rsid w:val="00AB6030"/>
    <w:rsid w:val="00AB65F4"/>
    <w:rsid w:val="00AB68C2"/>
    <w:rsid w:val="00AB7747"/>
    <w:rsid w:val="00AC14CE"/>
    <w:rsid w:val="00AC2A56"/>
    <w:rsid w:val="00AC6A52"/>
    <w:rsid w:val="00AC7F14"/>
    <w:rsid w:val="00AD055E"/>
    <w:rsid w:val="00AD22E5"/>
    <w:rsid w:val="00AD3720"/>
    <w:rsid w:val="00AD3D43"/>
    <w:rsid w:val="00AD47A7"/>
    <w:rsid w:val="00AD4EA5"/>
    <w:rsid w:val="00AD7B54"/>
    <w:rsid w:val="00AE22B4"/>
    <w:rsid w:val="00AE26E2"/>
    <w:rsid w:val="00AE4D24"/>
    <w:rsid w:val="00AF0CBF"/>
    <w:rsid w:val="00AF1478"/>
    <w:rsid w:val="00AF1529"/>
    <w:rsid w:val="00AF257F"/>
    <w:rsid w:val="00AF33CF"/>
    <w:rsid w:val="00AF4D50"/>
    <w:rsid w:val="00AF6179"/>
    <w:rsid w:val="00AF6B78"/>
    <w:rsid w:val="00B01D09"/>
    <w:rsid w:val="00B0212C"/>
    <w:rsid w:val="00B04FF2"/>
    <w:rsid w:val="00B0603A"/>
    <w:rsid w:val="00B118FD"/>
    <w:rsid w:val="00B1295A"/>
    <w:rsid w:val="00B178DA"/>
    <w:rsid w:val="00B20A45"/>
    <w:rsid w:val="00B215FC"/>
    <w:rsid w:val="00B21AD0"/>
    <w:rsid w:val="00B21D56"/>
    <w:rsid w:val="00B22BF3"/>
    <w:rsid w:val="00B22C5C"/>
    <w:rsid w:val="00B235DC"/>
    <w:rsid w:val="00B24F30"/>
    <w:rsid w:val="00B255E9"/>
    <w:rsid w:val="00B26436"/>
    <w:rsid w:val="00B30915"/>
    <w:rsid w:val="00B31ABF"/>
    <w:rsid w:val="00B32F59"/>
    <w:rsid w:val="00B338EE"/>
    <w:rsid w:val="00B33BE3"/>
    <w:rsid w:val="00B34043"/>
    <w:rsid w:val="00B34633"/>
    <w:rsid w:val="00B3506E"/>
    <w:rsid w:val="00B352C1"/>
    <w:rsid w:val="00B36307"/>
    <w:rsid w:val="00B3651D"/>
    <w:rsid w:val="00B37E13"/>
    <w:rsid w:val="00B41481"/>
    <w:rsid w:val="00B4497D"/>
    <w:rsid w:val="00B450DF"/>
    <w:rsid w:val="00B47B41"/>
    <w:rsid w:val="00B522F3"/>
    <w:rsid w:val="00B525A3"/>
    <w:rsid w:val="00B53B5D"/>
    <w:rsid w:val="00B5595F"/>
    <w:rsid w:val="00B55BA1"/>
    <w:rsid w:val="00B57428"/>
    <w:rsid w:val="00B57B3E"/>
    <w:rsid w:val="00B6055E"/>
    <w:rsid w:val="00B62AF2"/>
    <w:rsid w:val="00B6317D"/>
    <w:rsid w:val="00B66682"/>
    <w:rsid w:val="00B701B7"/>
    <w:rsid w:val="00B70F08"/>
    <w:rsid w:val="00B70F1F"/>
    <w:rsid w:val="00B7160B"/>
    <w:rsid w:val="00B71D40"/>
    <w:rsid w:val="00B72C56"/>
    <w:rsid w:val="00B72E7F"/>
    <w:rsid w:val="00B7325D"/>
    <w:rsid w:val="00B7698F"/>
    <w:rsid w:val="00B76A44"/>
    <w:rsid w:val="00B7723F"/>
    <w:rsid w:val="00B77B73"/>
    <w:rsid w:val="00B80534"/>
    <w:rsid w:val="00B819A1"/>
    <w:rsid w:val="00B835D4"/>
    <w:rsid w:val="00B839E6"/>
    <w:rsid w:val="00B8433C"/>
    <w:rsid w:val="00B8614E"/>
    <w:rsid w:val="00B86AEE"/>
    <w:rsid w:val="00B8712D"/>
    <w:rsid w:val="00B87491"/>
    <w:rsid w:val="00B91903"/>
    <w:rsid w:val="00B91DBF"/>
    <w:rsid w:val="00B9230A"/>
    <w:rsid w:val="00B92518"/>
    <w:rsid w:val="00B92C19"/>
    <w:rsid w:val="00B966E6"/>
    <w:rsid w:val="00BA0A0F"/>
    <w:rsid w:val="00BA1E8F"/>
    <w:rsid w:val="00BA21DF"/>
    <w:rsid w:val="00BA29E9"/>
    <w:rsid w:val="00BA2EAB"/>
    <w:rsid w:val="00BA3078"/>
    <w:rsid w:val="00BA4874"/>
    <w:rsid w:val="00BA50C6"/>
    <w:rsid w:val="00BA543B"/>
    <w:rsid w:val="00BA7142"/>
    <w:rsid w:val="00BB0839"/>
    <w:rsid w:val="00BB1B57"/>
    <w:rsid w:val="00BB237C"/>
    <w:rsid w:val="00BB2462"/>
    <w:rsid w:val="00BB25AD"/>
    <w:rsid w:val="00BB41A3"/>
    <w:rsid w:val="00BB674B"/>
    <w:rsid w:val="00BC074A"/>
    <w:rsid w:val="00BC32DC"/>
    <w:rsid w:val="00BC35B6"/>
    <w:rsid w:val="00BC7CB1"/>
    <w:rsid w:val="00BD1B51"/>
    <w:rsid w:val="00BD1D4B"/>
    <w:rsid w:val="00BD1EFA"/>
    <w:rsid w:val="00BD379B"/>
    <w:rsid w:val="00BD4596"/>
    <w:rsid w:val="00BD599F"/>
    <w:rsid w:val="00BD6840"/>
    <w:rsid w:val="00BE1405"/>
    <w:rsid w:val="00BE1B01"/>
    <w:rsid w:val="00BE312D"/>
    <w:rsid w:val="00BE658D"/>
    <w:rsid w:val="00BE7E2F"/>
    <w:rsid w:val="00BF0E19"/>
    <w:rsid w:val="00BF1C20"/>
    <w:rsid w:val="00BF29D6"/>
    <w:rsid w:val="00BF5C09"/>
    <w:rsid w:val="00BF7BA6"/>
    <w:rsid w:val="00C03DE2"/>
    <w:rsid w:val="00C05479"/>
    <w:rsid w:val="00C06600"/>
    <w:rsid w:val="00C069BD"/>
    <w:rsid w:val="00C06D46"/>
    <w:rsid w:val="00C07C4E"/>
    <w:rsid w:val="00C10578"/>
    <w:rsid w:val="00C11768"/>
    <w:rsid w:val="00C11A3C"/>
    <w:rsid w:val="00C128E8"/>
    <w:rsid w:val="00C12C61"/>
    <w:rsid w:val="00C135BC"/>
    <w:rsid w:val="00C13A32"/>
    <w:rsid w:val="00C15C95"/>
    <w:rsid w:val="00C168F3"/>
    <w:rsid w:val="00C16BAE"/>
    <w:rsid w:val="00C21CD8"/>
    <w:rsid w:val="00C22BFD"/>
    <w:rsid w:val="00C24571"/>
    <w:rsid w:val="00C251B4"/>
    <w:rsid w:val="00C2596A"/>
    <w:rsid w:val="00C25D97"/>
    <w:rsid w:val="00C27537"/>
    <w:rsid w:val="00C31B9E"/>
    <w:rsid w:val="00C328FE"/>
    <w:rsid w:val="00C32A26"/>
    <w:rsid w:val="00C33507"/>
    <w:rsid w:val="00C33A12"/>
    <w:rsid w:val="00C352AC"/>
    <w:rsid w:val="00C37390"/>
    <w:rsid w:val="00C43960"/>
    <w:rsid w:val="00C4409D"/>
    <w:rsid w:val="00C44E72"/>
    <w:rsid w:val="00C45A06"/>
    <w:rsid w:val="00C46189"/>
    <w:rsid w:val="00C47A50"/>
    <w:rsid w:val="00C47CED"/>
    <w:rsid w:val="00C47E5B"/>
    <w:rsid w:val="00C50C41"/>
    <w:rsid w:val="00C50F0B"/>
    <w:rsid w:val="00C53309"/>
    <w:rsid w:val="00C5424A"/>
    <w:rsid w:val="00C544EE"/>
    <w:rsid w:val="00C557E7"/>
    <w:rsid w:val="00C608C1"/>
    <w:rsid w:val="00C61E4B"/>
    <w:rsid w:val="00C6380F"/>
    <w:rsid w:val="00C642E9"/>
    <w:rsid w:val="00C64BFF"/>
    <w:rsid w:val="00C65599"/>
    <w:rsid w:val="00C658EB"/>
    <w:rsid w:val="00C667F6"/>
    <w:rsid w:val="00C704E9"/>
    <w:rsid w:val="00C70FF5"/>
    <w:rsid w:val="00C750AA"/>
    <w:rsid w:val="00C75D2B"/>
    <w:rsid w:val="00C761A0"/>
    <w:rsid w:val="00C763C9"/>
    <w:rsid w:val="00C80057"/>
    <w:rsid w:val="00C82232"/>
    <w:rsid w:val="00C82913"/>
    <w:rsid w:val="00C84CF0"/>
    <w:rsid w:val="00C871DC"/>
    <w:rsid w:val="00C87E5B"/>
    <w:rsid w:val="00C913F4"/>
    <w:rsid w:val="00C96E8D"/>
    <w:rsid w:val="00C972B1"/>
    <w:rsid w:val="00C97640"/>
    <w:rsid w:val="00C97F4B"/>
    <w:rsid w:val="00CA004A"/>
    <w:rsid w:val="00CA26CB"/>
    <w:rsid w:val="00CA2CCE"/>
    <w:rsid w:val="00CA3885"/>
    <w:rsid w:val="00CA43FD"/>
    <w:rsid w:val="00CA5CC6"/>
    <w:rsid w:val="00CA62DA"/>
    <w:rsid w:val="00CA7EF8"/>
    <w:rsid w:val="00CB1088"/>
    <w:rsid w:val="00CB385B"/>
    <w:rsid w:val="00CB5660"/>
    <w:rsid w:val="00CB5EDF"/>
    <w:rsid w:val="00CC489B"/>
    <w:rsid w:val="00CC4974"/>
    <w:rsid w:val="00CC51EE"/>
    <w:rsid w:val="00CD0756"/>
    <w:rsid w:val="00CD1179"/>
    <w:rsid w:val="00CD2BCD"/>
    <w:rsid w:val="00CD390A"/>
    <w:rsid w:val="00CD3A4C"/>
    <w:rsid w:val="00CD448B"/>
    <w:rsid w:val="00CD4D94"/>
    <w:rsid w:val="00CD4EF0"/>
    <w:rsid w:val="00CE0C07"/>
    <w:rsid w:val="00CE10E9"/>
    <w:rsid w:val="00CE2910"/>
    <w:rsid w:val="00CE4719"/>
    <w:rsid w:val="00CE5393"/>
    <w:rsid w:val="00CE69B8"/>
    <w:rsid w:val="00CE6FD8"/>
    <w:rsid w:val="00CE7284"/>
    <w:rsid w:val="00CF368A"/>
    <w:rsid w:val="00CF36BE"/>
    <w:rsid w:val="00CF37DC"/>
    <w:rsid w:val="00CF6000"/>
    <w:rsid w:val="00CF6FF0"/>
    <w:rsid w:val="00CF74F2"/>
    <w:rsid w:val="00D003F3"/>
    <w:rsid w:val="00D01569"/>
    <w:rsid w:val="00D0364F"/>
    <w:rsid w:val="00D0402C"/>
    <w:rsid w:val="00D04708"/>
    <w:rsid w:val="00D04DD0"/>
    <w:rsid w:val="00D05B3C"/>
    <w:rsid w:val="00D0605D"/>
    <w:rsid w:val="00D06834"/>
    <w:rsid w:val="00D070C4"/>
    <w:rsid w:val="00D1257C"/>
    <w:rsid w:val="00D20E5A"/>
    <w:rsid w:val="00D22CF8"/>
    <w:rsid w:val="00D2467D"/>
    <w:rsid w:val="00D2615A"/>
    <w:rsid w:val="00D27F0E"/>
    <w:rsid w:val="00D308ED"/>
    <w:rsid w:val="00D310F3"/>
    <w:rsid w:val="00D32137"/>
    <w:rsid w:val="00D32BAB"/>
    <w:rsid w:val="00D36D86"/>
    <w:rsid w:val="00D428AA"/>
    <w:rsid w:val="00D45627"/>
    <w:rsid w:val="00D5041D"/>
    <w:rsid w:val="00D50539"/>
    <w:rsid w:val="00D50A34"/>
    <w:rsid w:val="00D51110"/>
    <w:rsid w:val="00D5164A"/>
    <w:rsid w:val="00D535CA"/>
    <w:rsid w:val="00D53EFA"/>
    <w:rsid w:val="00D554B5"/>
    <w:rsid w:val="00D5688F"/>
    <w:rsid w:val="00D57444"/>
    <w:rsid w:val="00D57559"/>
    <w:rsid w:val="00D620D5"/>
    <w:rsid w:val="00D62B1A"/>
    <w:rsid w:val="00D633E7"/>
    <w:rsid w:val="00D64AE1"/>
    <w:rsid w:val="00D678FB"/>
    <w:rsid w:val="00D709DB"/>
    <w:rsid w:val="00D70D00"/>
    <w:rsid w:val="00D714C4"/>
    <w:rsid w:val="00D743B5"/>
    <w:rsid w:val="00D752AD"/>
    <w:rsid w:val="00D75C11"/>
    <w:rsid w:val="00D81342"/>
    <w:rsid w:val="00D82634"/>
    <w:rsid w:val="00D83E7B"/>
    <w:rsid w:val="00D85270"/>
    <w:rsid w:val="00D87615"/>
    <w:rsid w:val="00D9310B"/>
    <w:rsid w:val="00D94A7C"/>
    <w:rsid w:val="00D95600"/>
    <w:rsid w:val="00D95896"/>
    <w:rsid w:val="00D9640E"/>
    <w:rsid w:val="00D964E7"/>
    <w:rsid w:val="00D96A3B"/>
    <w:rsid w:val="00DA09C7"/>
    <w:rsid w:val="00DA65A4"/>
    <w:rsid w:val="00DA748F"/>
    <w:rsid w:val="00DB1BC1"/>
    <w:rsid w:val="00DB2106"/>
    <w:rsid w:val="00DB2983"/>
    <w:rsid w:val="00DB4EE1"/>
    <w:rsid w:val="00DB4F39"/>
    <w:rsid w:val="00DB5B1A"/>
    <w:rsid w:val="00DB5C71"/>
    <w:rsid w:val="00DB702B"/>
    <w:rsid w:val="00DB7F48"/>
    <w:rsid w:val="00DC1257"/>
    <w:rsid w:val="00DC3DC0"/>
    <w:rsid w:val="00DC3E8A"/>
    <w:rsid w:val="00DC4034"/>
    <w:rsid w:val="00DC5B2B"/>
    <w:rsid w:val="00DC7C1D"/>
    <w:rsid w:val="00DD22C6"/>
    <w:rsid w:val="00DD2FF9"/>
    <w:rsid w:val="00DD318D"/>
    <w:rsid w:val="00DE0CFA"/>
    <w:rsid w:val="00DE2B3D"/>
    <w:rsid w:val="00DE3D85"/>
    <w:rsid w:val="00DE5743"/>
    <w:rsid w:val="00DE746F"/>
    <w:rsid w:val="00DE7F8A"/>
    <w:rsid w:val="00DF06B4"/>
    <w:rsid w:val="00DF13DF"/>
    <w:rsid w:val="00DF2E12"/>
    <w:rsid w:val="00DF365E"/>
    <w:rsid w:val="00DF514A"/>
    <w:rsid w:val="00DF6690"/>
    <w:rsid w:val="00DF6804"/>
    <w:rsid w:val="00E01134"/>
    <w:rsid w:val="00E020F4"/>
    <w:rsid w:val="00E02F60"/>
    <w:rsid w:val="00E0358D"/>
    <w:rsid w:val="00E04323"/>
    <w:rsid w:val="00E04DEF"/>
    <w:rsid w:val="00E05988"/>
    <w:rsid w:val="00E05AE7"/>
    <w:rsid w:val="00E05E55"/>
    <w:rsid w:val="00E070A2"/>
    <w:rsid w:val="00E120EE"/>
    <w:rsid w:val="00E14BBA"/>
    <w:rsid w:val="00E15CAF"/>
    <w:rsid w:val="00E22C80"/>
    <w:rsid w:val="00E24062"/>
    <w:rsid w:val="00E255EE"/>
    <w:rsid w:val="00E2656A"/>
    <w:rsid w:val="00E317C6"/>
    <w:rsid w:val="00E32443"/>
    <w:rsid w:val="00E326B0"/>
    <w:rsid w:val="00E3275E"/>
    <w:rsid w:val="00E345B2"/>
    <w:rsid w:val="00E36191"/>
    <w:rsid w:val="00E40E8B"/>
    <w:rsid w:val="00E412D0"/>
    <w:rsid w:val="00E42F57"/>
    <w:rsid w:val="00E44D4A"/>
    <w:rsid w:val="00E52D06"/>
    <w:rsid w:val="00E545A7"/>
    <w:rsid w:val="00E55481"/>
    <w:rsid w:val="00E56322"/>
    <w:rsid w:val="00E56F73"/>
    <w:rsid w:val="00E57094"/>
    <w:rsid w:val="00E57775"/>
    <w:rsid w:val="00E60316"/>
    <w:rsid w:val="00E60982"/>
    <w:rsid w:val="00E61EAD"/>
    <w:rsid w:val="00E62C62"/>
    <w:rsid w:val="00E62FA6"/>
    <w:rsid w:val="00E64A1F"/>
    <w:rsid w:val="00E6528F"/>
    <w:rsid w:val="00E654C1"/>
    <w:rsid w:val="00E65D97"/>
    <w:rsid w:val="00E66B00"/>
    <w:rsid w:val="00E66E27"/>
    <w:rsid w:val="00E67DF9"/>
    <w:rsid w:val="00E71ED0"/>
    <w:rsid w:val="00E723D9"/>
    <w:rsid w:val="00E72A5A"/>
    <w:rsid w:val="00E73354"/>
    <w:rsid w:val="00E7493D"/>
    <w:rsid w:val="00E7765D"/>
    <w:rsid w:val="00E80213"/>
    <w:rsid w:val="00E82E39"/>
    <w:rsid w:val="00E83B7D"/>
    <w:rsid w:val="00E84564"/>
    <w:rsid w:val="00E85330"/>
    <w:rsid w:val="00E90914"/>
    <w:rsid w:val="00E90CA8"/>
    <w:rsid w:val="00E9242D"/>
    <w:rsid w:val="00E94647"/>
    <w:rsid w:val="00EA0951"/>
    <w:rsid w:val="00EA31CA"/>
    <w:rsid w:val="00EA55F3"/>
    <w:rsid w:val="00EA6541"/>
    <w:rsid w:val="00EA7D04"/>
    <w:rsid w:val="00EB1521"/>
    <w:rsid w:val="00EB5255"/>
    <w:rsid w:val="00EB5C47"/>
    <w:rsid w:val="00EB62C9"/>
    <w:rsid w:val="00EB78A1"/>
    <w:rsid w:val="00EC06B6"/>
    <w:rsid w:val="00EC31FC"/>
    <w:rsid w:val="00EC441B"/>
    <w:rsid w:val="00EC5E1A"/>
    <w:rsid w:val="00ED0639"/>
    <w:rsid w:val="00ED559F"/>
    <w:rsid w:val="00ED5986"/>
    <w:rsid w:val="00EE1A1D"/>
    <w:rsid w:val="00EE2499"/>
    <w:rsid w:val="00EE4D8C"/>
    <w:rsid w:val="00EE567A"/>
    <w:rsid w:val="00EE713E"/>
    <w:rsid w:val="00EE7F9F"/>
    <w:rsid w:val="00EF0469"/>
    <w:rsid w:val="00EF0A58"/>
    <w:rsid w:val="00EF289F"/>
    <w:rsid w:val="00EF293E"/>
    <w:rsid w:val="00EF32B0"/>
    <w:rsid w:val="00EF3AFE"/>
    <w:rsid w:val="00EF3F9F"/>
    <w:rsid w:val="00EF4271"/>
    <w:rsid w:val="00EF4755"/>
    <w:rsid w:val="00EF5838"/>
    <w:rsid w:val="00EF6807"/>
    <w:rsid w:val="00EF7135"/>
    <w:rsid w:val="00EF745E"/>
    <w:rsid w:val="00F002EC"/>
    <w:rsid w:val="00F01756"/>
    <w:rsid w:val="00F027DB"/>
    <w:rsid w:val="00F0308D"/>
    <w:rsid w:val="00F03B77"/>
    <w:rsid w:val="00F03CE3"/>
    <w:rsid w:val="00F03E9A"/>
    <w:rsid w:val="00F04069"/>
    <w:rsid w:val="00F07964"/>
    <w:rsid w:val="00F10AB1"/>
    <w:rsid w:val="00F11E55"/>
    <w:rsid w:val="00F1221E"/>
    <w:rsid w:val="00F12C61"/>
    <w:rsid w:val="00F13A71"/>
    <w:rsid w:val="00F1415F"/>
    <w:rsid w:val="00F14A7A"/>
    <w:rsid w:val="00F14E8F"/>
    <w:rsid w:val="00F1582A"/>
    <w:rsid w:val="00F204FE"/>
    <w:rsid w:val="00F22985"/>
    <w:rsid w:val="00F22F38"/>
    <w:rsid w:val="00F3088B"/>
    <w:rsid w:val="00F3136A"/>
    <w:rsid w:val="00F31FF2"/>
    <w:rsid w:val="00F32D1F"/>
    <w:rsid w:val="00F3383E"/>
    <w:rsid w:val="00F4414E"/>
    <w:rsid w:val="00F465A7"/>
    <w:rsid w:val="00F50B7C"/>
    <w:rsid w:val="00F543D5"/>
    <w:rsid w:val="00F550E6"/>
    <w:rsid w:val="00F555E6"/>
    <w:rsid w:val="00F55FE3"/>
    <w:rsid w:val="00F57031"/>
    <w:rsid w:val="00F576AD"/>
    <w:rsid w:val="00F57AA7"/>
    <w:rsid w:val="00F63685"/>
    <w:rsid w:val="00F6444A"/>
    <w:rsid w:val="00F71D9A"/>
    <w:rsid w:val="00F72BB2"/>
    <w:rsid w:val="00F736E1"/>
    <w:rsid w:val="00F74345"/>
    <w:rsid w:val="00F7572B"/>
    <w:rsid w:val="00F7699E"/>
    <w:rsid w:val="00F776E1"/>
    <w:rsid w:val="00F80A0A"/>
    <w:rsid w:val="00F8159B"/>
    <w:rsid w:val="00F82B19"/>
    <w:rsid w:val="00F83200"/>
    <w:rsid w:val="00F8483D"/>
    <w:rsid w:val="00F85F33"/>
    <w:rsid w:val="00F86168"/>
    <w:rsid w:val="00F861A0"/>
    <w:rsid w:val="00F9212D"/>
    <w:rsid w:val="00F93FF3"/>
    <w:rsid w:val="00F96530"/>
    <w:rsid w:val="00F965DA"/>
    <w:rsid w:val="00FA406A"/>
    <w:rsid w:val="00FA4CEC"/>
    <w:rsid w:val="00FB167F"/>
    <w:rsid w:val="00FB389E"/>
    <w:rsid w:val="00FB503A"/>
    <w:rsid w:val="00FB516C"/>
    <w:rsid w:val="00FB644A"/>
    <w:rsid w:val="00FB7CFD"/>
    <w:rsid w:val="00FC2834"/>
    <w:rsid w:val="00FC2A44"/>
    <w:rsid w:val="00FC603F"/>
    <w:rsid w:val="00FD0236"/>
    <w:rsid w:val="00FD18F4"/>
    <w:rsid w:val="00FD1F4E"/>
    <w:rsid w:val="00FD450D"/>
    <w:rsid w:val="00FD54DB"/>
    <w:rsid w:val="00FD619F"/>
    <w:rsid w:val="00FD6C40"/>
    <w:rsid w:val="00FD7503"/>
    <w:rsid w:val="00FE1CB5"/>
    <w:rsid w:val="00FF1EBC"/>
    <w:rsid w:val="00FF5C0F"/>
    <w:rsid w:val="00FF5DFC"/>
    <w:rsid w:val="00FF6073"/>
    <w:rsid w:val="00FF74D5"/>
    <w:rsid w:val="00FF7D52"/>
    <w:rsid w:val="00FF7F9E"/>
    <w:rsid w:val="01064C9A"/>
    <w:rsid w:val="010A64E6"/>
    <w:rsid w:val="010C0502"/>
    <w:rsid w:val="0127121F"/>
    <w:rsid w:val="01284C10"/>
    <w:rsid w:val="01290F7E"/>
    <w:rsid w:val="0132783D"/>
    <w:rsid w:val="0136557F"/>
    <w:rsid w:val="013B2B96"/>
    <w:rsid w:val="015777C6"/>
    <w:rsid w:val="015821CD"/>
    <w:rsid w:val="015C2B0C"/>
    <w:rsid w:val="015D1E09"/>
    <w:rsid w:val="016977F8"/>
    <w:rsid w:val="016A6FD7"/>
    <w:rsid w:val="017165B7"/>
    <w:rsid w:val="017B2F92"/>
    <w:rsid w:val="01853E11"/>
    <w:rsid w:val="018600C9"/>
    <w:rsid w:val="01881AF6"/>
    <w:rsid w:val="018F38F6"/>
    <w:rsid w:val="01923A15"/>
    <w:rsid w:val="01A87AFF"/>
    <w:rsid w:val="01B42948"/>
    <w:rsid w:val="01C70332"/>
    <w:rsid w:val="01CA216C"/>
    <w:rsid w:val="01CA63A7"/>
    <w:rsid w:val="01D65505"/>
    <w:rsid w:val="01E5415A"/>
    <w:rsid w:val="01E94501"/>
    <w:rsid w:val="01EF744F"/>
    <w:rsid w:val="01F0289D"/>
    <w:rsid w:val="020F7B7E"/>
    <w:rsid w:val="022343E1"/>
    <w:rsid w:val="022E44A8"/>
    <w:rsid w:val="02353A89"/>
    <w:rsid w:val="0236335D"/>
    <w:rsid w:val="023B77F4"/>
    <w:rsid w:val="023C4E17"/>
    <w:rsid w:val="023D0B8F"/>
    <w:rsid w:val="024141DC"/>
    <w:rsid w:val="025832D3"/>
    <w:rsid w:val="02624152"/>
    <w:rsid w:val="026954E1"/>
    <w:rsid w:val="02697903"/>
    <w:rsid w:val="026B74AB"/>
    <w:rsid w:val="026D3223"/>
    <w:rsid w:val="02922C89"/>
    <w:rsid w:val="02970DCC"/>
    <w:rsid w:val="029A7D90"/>
    <w:rsid w:val="029B6B48"/>
    <w:rsid w:val="029C1412"/>
    <w:rsid w:val="029D33DC"/>
    <w:rsid w:val="02A66DC4"/>
    <w:rsid w:val="02AD7AC3"/>
    <w:rsid w:val="02B27065"/>
    <w:rsid w:val="02B82731"/>
    <w:rsid w:val="02BA21E0"/>
    <w:rsid w:val="02CB4D02"/>
    <w:rsid w:val="02D23086"/>
    <w:rsid w:val="02D54924"/>
    <w:rsid w:val="02E1151B"/>
    <w:rsid w:val="02F05C02"/>
    <w:rsid w:val="02F96569"/>
    <w:rsid w:val="03036481"/>
    <w:rsid w:val="03074706"/>
    <w:rsid w:val="031636B5"/>
    <w:rsid w:val="0329220A"/>
    <w:rsid w:val="03394EB3"/>
    <w:rsid w:val="033C49A3"/>
    <w:rsid w:val="033D6A2A"/>
    <w:rsid w:val="033E7623"/>
    <w:rsid w:val="033F6241"/>
    <w:rsid w:val="03486EE3"/>
    <w:rsid w:val="034B2E38"/>
    <w:rsid w:val="034D4E02"/>
    <w:rsid w:val="035C5045"/>
    <w:rsid w:val="03722BFA"/>
    <w:rsid w:val="03874A2A"/>
    <w:rsid w:val="038C0422"/>
    <w:rsid w:val="038C592B"/>
    <w:rsid w:val="03942A31"/>
    <w:rsid w:val="0397607D"/>
    <w:rsid w:val="03AA7B5F"/>
    <w:rsid w:val="03D251BA"/>
    <w:rsid w:val="03D6401F"/>
    <w:rsid w:val="03E4699D"/>
    <w:rsid w:val="03E811F5"/>
    <w:rsid w:val="03EA7B21"/>
    <w:rsid w:val="03FC35CA"/>
    <w:rsid w:val="040000C7"/>
    <w:rsid w:val="0404728D"/>
    <w:rsid w:val="04051239"/>
    <w:rsid w:val="040C25C7"/>
    <w:rsid w:val="041B7A76"/>
    <w:rsid w:val="041E1B93"/>
    <w:rsid w:val="043B086E"/>
    <w:rsid w:val="043F0BEF"/>
    <w:rsid w:val="04455AD9"/>
    <w:rsid w:val="0454227A"/>
    <w:rsid w:val="04671EF4"/>
    <w:rsid w:val="046A41AC"/>
    <w:rsid w:val="04781A0B"/>
    <w:rsid w:val="047F0FEB"/>
    <w:rsid w:val="048760F2"/>
    <w:rsid w:val="04912ACD"/>
    <w:rsid w:val="049A4077"/>
    <w:rsid w:val="049D778A"/>
    <w:rsid w:val="04A66578"/>
    <w:rsid w:val="04A9250C"/>
    <w:rsid w:val="04AB3BCF"/>
    <w:rsid w:val="04B844FD"/>
    <w:rsid w:val="04C3537C"/>
    <w:rsid w:val="04D035F5"/>
    <w:rsid w:val="04D05224"/>
    <w:rsid w:val="04D330E5"/>
    <w:rsid w:val="04F82B4C"/>
    <w:rsid w:val="05332F18"/>
    <w:rsid w:val="056106F1"/>
    <w:rsid w:val="05616943"/>
    <w:rsid w:val="056401E1"/>
    <w:rsid w:val="058A5E9A"/>
    <w:rsid w:val="058F58EC"/>
    <w:rsid w:val="059A29B0"/>
    <w:rsid w:val="059C0325"/>
    <w:rsid w:val="05A30D0A"/>
    <w:rsid w:val="05C72C4A"/>
    <w:rsid w:val="05CA44E8"/>
    <w:rsid w:val="05DB66F5"/>
    <w:rsid w:val="05DE1D42"/>
    <w:rsid w:val="05F83EAE"/>
    <w:rsid w:val="06007F0A"/>
    <w:rsid w:val="06020D60"/>
    <w:rsid w:val="06225F92"/>
    <w:rsid w:val="062260D2"/>
    <w:rsid w:val="0624009C"/>
    <w:rsid w:val="063B2C07"/>
    <w:rsid w:val="063E7D85"/>
    <w:rsid w:val="06532730"/>
    <w:rsid w:val="0656156B"/>
    <w:rsid w:val="06585F98"/>
    <w:rsid w:val="065B3BFA"/>
    <w:rsid w:val="06766E75"/>
    <w:rsid w:val="067B4119"/>
    <w:rsid w:val="06850C3E"/>
    <w:rsid w:val="06872B7E"/>
    <w:rsid w:val="06963466"/>
    <w:rsid w:val="069741C7"/>
    <w:rsid w:val="06AE5BB8"/>
    <w:rsid w:val="06BD404D"/>
    <w:rsid w:val="06C20886"/>
    <w:rsid w:val="06C61153"/>
    <w:rsid w:val="06C90C44"/>
    <w:rsid w:val="06D27AF8"/>
    <w:rsid w:val="06D519FE"/>
    <w:rsid w:val="06D849E3"/>
    <w:rsid w:val="06DC0977"/>
    <w:rsid w:val="06E33337"/>
    <w:rsid w:val="06EC048E"/>
    <w:rsid w:val="06F02757"/>
    <w:rsid w:val="06F442A9"/>
    <w:rsid w:val="06FC6128"/>
    <w:rsid w:val="06FC6923"/>
    <w:rsid w:val="071E4DE7"/>
    <w:rsid w:val="07261BF2"/>
    <w:rsid w:val="07293586"/>
    <w:rsid w:val="07295285"/>
    <w:rsid w:val="07391925"/>
    <w:rsid w:val="073D0CEA"/>
    <w:rsid w:val="073E518E"/>
    <w:rsid w:val="074C45A5"/>
    <w:rsid w:val="07577FFE"/>
    <w:rsid w:val="07591FC8"/>
    <w:rsid w:val="0760056B"/>
    <w:rsid w:val="07636392"/>
    <w:rsid w:val="07691ADF"/>
    <w:rsid w:val="076E3F95"/>
    <w:rsid w:val="07770C56"/>
    <w:rsid w:val="07837045"/>
    <w:rsid w:val="078E1545"/>
    <w:rsid w:val="078F7797"/>
    <w:rsid w:val="07930733"/>
    <w:rsid w:val="07A05C0E"/>
    <w:rsid w:val="07A31495"/>
    <w:rsid w:val="07A45828"/>
    <w:rsid w:val="07A80859"/>
    <w:rsid w:val="07B90CB8"/>
    <w:rsid w:val="07CF4038"/>
    <w:rsid w:val="07D63618"/>
    <w:rsid w:val="07DD49A7"/>
    <w:rsid w:val="07E13D6B"/>
    <w:rsid w:val="07ED0962"/>
    <w:rsid w:val="07EE58E7"/>
    <w:rsid w:val="07F910B5"/>
    <w:rsid w:val="080F2686"/>
    <w:rsid w:val="08183C31"/>
    <w:rsid w:val="081B102B"/>
    <w:rsid w:val="08202AE5"/>
    <w:rsid w:val="083420ED"/>
    <w:rsid w:val="0837398B"/>
    <w:rsid w:val="083C3EF0"/>
    <w:rsid w:val="083D3697"/>
    <w:rsid w:val="08471E20"/>
    <w:rsid w:val="084D037F"/>
    <w:rsid w:val="08634780"/>
    <w:rsid w:val="08670714"/>
    <w:rsid w:val="087B5F6E"/>
    <w:rsid w:val="08844E22"/>
    <w:rsid w:val="08874912"/>
    <w:rsid w:val="088A61B1"/>
    <w:rsid w:val="088B5B4C"/>
    <w:rsid w:val="088F5575"/>
    <w:rsid w:val="08A125AA"/>
    <w:rsid w:val="08A76D63"/>
    <w:rsid w:val="08B35707"/>
    <w:rsid w:val="08B5322E"/>
    <w:rsid w:val="08B66FA6"/>
    <w:rsid w:val="08BF530D"/>
    <w:rsid w:val="08BF736C"/>
    <w:rsid w:val="08C064E0"/>
    <w:rsid w:val="08E7715F"/>
    <w:rsid w:val="08EB269F"/>
    <w:rsid w:val="08FA2BEA"/>
    <w:rsid w:val="090D1B45"/>
    <w:rsid w:val="09192CB9"/>
    <w:rsid w:val="092217DD"/>
    <w:rsid w:val="09302957"/>
    <w:rsid w:val="0932487E"/>
    <w:rsid w:val="093A7294"/>
    <w:rsid w:val="094877B5"/>
    <w:rsid w:val="0949606C"/>
    <w:rsid w:val="095011A8"/>
    <w:rsid w:val="095A00C3"/>
    <w:rsid w:val="095A2897"/>
    <w:rsid w:val="095F3781"/>
    <w:rsid w:val="09627CCF"/>
    <w:rsid w:val="0965025A"/>
    <w:rsid w:val="096D1193"/>
    <w:rsid w:val="096E162E"/>
    <w:rsid w:val="096F5AD2"/>
    <w:rsid w:val="09807D20"/>
    <w:rsid w:val="09970B85"/>
    <w:rsid w:val="09A03EDE"/>
    <w:rsid w:val="09AF2373"/>
    <w:rsid w:val="09BA4874"/>
    <w:rsid w:val="09C474A0"/>
    <w:rsid w:val="09D45935"/>
    <w:rsid w:val="09D963FB"/>
    <w:rsid w:val="09DA51A9"/>
    <w:rsid w:val="09DC2A3C"/>
    <w:rsid w:val="09E0507F"/>
    <w:rsid w:val="09E244F6"/>
    <w:rsid w:val="09F75AC8"/>
    <w:rsid w:val="0A0124A3"/>
    <w:rsid w:val="0A0855DF"/>
    <w:rsid w:val="0A1026E6"/>
    <w:rsid w:val="0A24345E"/>
    <w:rsid w:val="0A263993"/>
    <w:rsid w:val="0A2D3AC2"/>
    <w:rsid w:val="0A2F02E7"/>
    <w:rsid w:val="0A344B0C"/>
    <w:rsid w:val="0A375EC4"/>
    <w:rsid w:val="0A40746F"/>
    <w:rsid w:val="0A456D37"/>
    <w:rsid w:val="0A4F1460"/>
    <w:rsid w:val="0A570314"/>
    <w:rsid w:val="0A58495A"/>
    <w:rsid w:val="0A5B7E05"/>
    <w:rsid w:val="0A5C43D0"/>
    <w:rsid w:val="0A5E519A"/>
    <w:rsid w:val="0A637B5A"/>
    <w:rsid w:val="0A67431A"/>
    <w:rsid w:val="0A752CB8"/>
    <w:rsid w:val="0A8C09D7"/>
    <w:rsid w:val="0A8E234B"/>
    <w:rsid w:val="0A8F3F52"/>
    <w:rsid w:val="0A94406A"/>
    <w:rsid w:val="0AA01CBB"/>
    <w:rsid w:val="0AA755DF"/>
    <w:rsid w:val="0AB1211B"/>
    <w:rsid w:val="0AD97CBD"/>
    <w:rsid w:val="0ADD081A"/>
    <w:rsid w:val="0AF352AC"/>
    <w:rsid w:val="0AF52007"/>
    <w:rsid w:val="0AFD2C6A"/>
    <w:rsid w:val="0B073AE9"/>
    <w:rsid w:val="0B0C60DD"/>
    <w:rsid w:val="0B120D44"/>
    <w:rsid w:val="0B1B1342"/>
    <w:rsid w:val="0B34558F"/>
    <w:rsid w:val="0B372620"/>
    <w:rsid w:val="0B4E7969"/>
    <w:rsid w:val="0B552304"/>
    <w:rsid w:val="0B837613"/>
    <w:rsid w:val="0B8E57A5"/>
    <w:rsid w:val="0B957346"/>
    <w:rsid w:val="0B985065"/>
    <w:rsid w:val="0B9A1A66"/>
    <w:rsid w:val="0B9B0319"/>
    <w:rsid w:val="0BA23811"/>
    <w:rsid w:val="0BAA1044"/>
    <w:rsid w:val="0BAD643E"/>
    <w:rsid w:val="0BB31137"/>
    <w:rsid w:val="0BC814CA"/>
    <w:rsid w:val="0BD25035"/>
    <w:rsid w:val="0BD27BF6"/>
    <w:rsid w:val="0BD54FA3"/>
    <w:rsid w:val="0BE47415"/>
    <w:rsid w:val="0BEC3253"/>
    <w:rsid w:val="0BEE52A9"/>
    <w:rsid w:val="0C0A1D5F"/>
    <w:rsid w:val="0C0D6C26"/>
    <w:rsid w:val="0C100AE7"/>
    <w:rsid w:val="0C175FAD"/>
    <w:rsid w:val="0C1B6ADB"/>
    <w:rsid w:val="0C35055F"/>
    <w:rsid w:val="0C3628D7"/>
    <w:rsid w:val="0C3748A2"/>
    <w:rsid w:val="0C3B3C7D"/>
    <w:rsid w:val="0C3E178C"/>
    <w:rsid w:val="0C3E6076"/>
    <w:rsid w:val="0C403756"/>
    <w:rsid w:val="0C5C7E64"/>
    <w:rsid w:val="0C600706"/>
    <w:rsid w:val="0C647D62"/>
    <w:rsid w:val="0C6E2E22"/>
    <w:rsid w:val="0C7A5796"/>
    <w:rsid w:val="0C831895"/>
    <w:rsid w:val="0C87510A"/>
    <w:rsid w:val="0C8D626F"/>
    <w:rsid w:val="0C913FB2"/>
    <w:rsid w:val="0C9413AC"/>
    <w:rsid w:val="0C9475FE"/>
    <w:rsid w:val="0CA35A93"/>
    <w:rsid w:val="0CAB2EAE"/>
    <w:rsid w:val="0CD65E68"/>
    <w:rsid w:val="0CD8398F"/>
    <w:rsid w:val="0CD875CA"/>
    <w:rsid w:val="0CE265BB"/>
    <w:rsid w:val="0CE340E1"/>
    <w:rsid w:val="0CE75980"/>
    <w:rsid w:val="0D066EAA"/>
    <w:rsid w:val="0D116EA1"/>
    <w:rsid w:val="0D1C6DBA"/>
    <w:rsid w:val="0D1D75F3"/>
    <w:rsid w:val="0D2E7A52"/>
    <w:rsid w:val="0D442DD2"/>
    <w:rsid w:val="0D576FA9"/>
    <w:rsid w:val="0D5864CD"/>
    <w:rsid w:val="0D621C7D"/>
    <w:rsid w:val="0D6276FC"/>
    <w:rsid w:val="0D645222"/>
    <w:rsid w:val="0D6671EC"/>
    <w:rsid w:val="0D6676CE"/>
    <w:rsid w:val="0D6B035F"/>
    <w:rsid w:val="0D813C29"/>
    <w:rsid w:val="0D8853B5"/>
    <w:rsid w:val="0D8E6743"/>
    <w:rsid w:val="0DA45EA6"/>
    <w:rsid w:val="0DA8151C"/>
    <w:rsid w:val="0DB77A48"/>
    <w:rsid w:val="0DBF68FD"/>
    <w:rsid w:val="0DC161D1"/>
    <w:rsid w:val="0DC94CD9"/>
    <w:rsid w:val="0DD34156"/>
    <w:rsid w:val="0DD95C10"/>
    <w:rsid w:val="0DDD6D83"/>
    <w:rsid w:val="0DF5231E"/>
    <w:rsid w:val="0DFE7425"/>
    <w:rsid w:val="0E0D7668"/>
    <w:rsid w:val="0E124C7E"/>
    <w:rsid w:val="0E2055ED"/>
    <w:rsid w:val="0E2F75DE"/>
    <w:rsid w:val="0E3015A8"/>
    <w:rsid w:val="0E4806A0"/>
    <w:rsid w:val="0E4A08BC"/>
    <w:rsid w:val="0E4B0190"/>
    <w:rsid w:val="0E526682"/>
    <w:rsid w:val="0E6D6359"/>
    <w:rsid w:val="0E710DAC"/>
    <w:rsid w:val="0E73034D"/>
    <w:rsid w:val="0E770F85"/>
    <w:rsid w:val="0E782A66"/>
    <w:rsid w:val="0EA13663"/>
    <w:rsid w:val="0EAA4EB7"/>
    <w:rsid w:val="0EB32B5C"/>
    <w:rsid w:val="0EB83A78"/>
    <w:rsid w:val="0EBC4BEA"/>
    <w:rsid w:val="0EC20452"/>
    <w:rsid w:val="0EC94CD8"/>
    <w:rsid w:val="0ECA5559"/>
    <w:rsid w:val="0EDB32C2"/>
    <w:rsid w:val="0EDE1004"/>
    <w:rsid w:val="0EE04D7C"/>
    <w:rsid w:val="0EF0492F"/>
    <w:rsid w:val="0EF645A0"/>
    <w:rsid w:val="0EF6634E"/>
    <w:rsid w:val="0F136F00"/>
    <w:rsid w:val="0F13775A"/>
    <w:rsid w:val="0F144A26"/>
    <w:rsid w:val="0F1C2F56"/>
    <w:rsid w:val="0F1D14FC"/>
    <w:rsid w:val="0F2B6888"/>
    <w:rsid w:val="0F2C1D70"/>
    <w:rsid w:val="0F2F360E"/>
    <w:rsid w:val="0F44355D"/>
    <w:rsid w:val="0F544433"/>
    <w:rsid w:val="0F576E3B"/>
    <w:rsid w:val="0F5D7898"/>
    <w:rsid w:val="0F5F45FE"/>
    <w:rsid w:val="0F5F5667"/>
    <w:rsid w:val="0F6E05DA"/>
    <w:rsid w:val="0F7D25CB"/>
    <w:rsid w:val="0F7E171D"/>
    <w:rsid w:val="0F8971C2"/>
    <w:rsid w:val="0F8B02EB"/>
    <w:rsid w:val="0F8B118C"/>
    <w:rsid w:val="0F9A112B"/>
    <w:rsid w:val="0FA83AEC"/>
    <w:rsid w:val="0FAB0EE6"/>
    <w:rsid w:val="0FB81855"/>
    <w:rsid w:val="0FC1695C"/>
    <w:rsid w:val="0FC401FA"/>
    <w:rsid w:val="0FCD5301"/>
    <w:rsid w:val="0FDE2C74"/>
    <w:rsid w:val="0FE20680"/>
    <w:rsid w:val="0FF26B15"/>
    <w:rsid w:val="0FFA3C1C"/>
    <w:rsid w:val="0FFF56D6"/>
    <w:rsid w:val="10066A65"/>
    <w:rsid w:val="101051ED"/>
    <w:rsid w:val="10152CFE"/>
    <w:rsid w:val="10245EA5"/>
    <w:rsid w:val="102D5D9F"/>
    <w:rsid w:val="103A226A"/>
    <w:rsid w:val="104355C3"/>
    <w:rsid w:val="104511A7"/>
    <w:rsid w:val="10463305"/>
    <w:rsid w:val="104D2642"/>
    <w:rsid w:val="104D4694"/>
    <w:rsid w:val="105574D7"/>
    <w:rsid w:val="105E064F"/>
    <w:rsid w:val="10625508"/>
    <w:rsid w:val="106D2F64"/>
    <w:rsid w:val="106E0499"/>
    <w:rsid w:val="10703EDE"/>
    <w:rsid w:val="107517B6"/>
    <w:rsid w:val="108341D3"/>
    <w:rsid w:val="1088747A"/>
    <w:rsid w:val="108A1444"/>
    <w:rsid w:val="109127D2"/>
    <w:rsid w:val="10956024"/>
    <w:rsid w:val="10993435"/>
    <w:rsid w:val="109D57D6"/>
    <w:rsid w:val="109E0A4B"/>
    <w:rsid w:val="10AE08D0"/>
    <w:rsid w:val="10B269C4"/>
    <w:rsid w:val="10B63710"/>
    <w:rsid w:val="10D0447C"/>
    <w:rsid w:val="10D2374C"/>
    <w:rsid w:val="10E30B54"/>
    <w:rsid w:val="10E32902"/>
    <w:rsid w:val="10F10820"/>
    <w:rsid w:val="10F42D61"/>
    <w:rsid w:val="110C1E59"/>
    <w:rsid w:val="11180DEF"/>
    <w:rsid w:val="111C2F7A"/>
    <w:rsid w:val="111D4066"/>
    <w:rsid w:val="112C24FB"/>
    <w:rsid w:val="112E1DCF"/>
    <w:rsid w:val="11554042"/>
    <w:rsid w:val="115B693C"/>
    <w:rsid w:val="115E01DA"/>
    <w:rsid w:val="11655E95"/>
    <w:rsid w:val="11665CA1"/>
    <w:rsid w:val="11731ED8"/>
    <w:rsid w:val="11733C86"/>
    <w:rsid w:val="117A3266"/>
    <w:rsid w:val="11895257"/>
    <w:rsid w:val="11964CC3"/>
    <w:rsid w:val="11BB05F6"/>
    <w:rsid w:val="11BB562D"/>
    <w:rsid w:val="11BF55BC"/>
    <w:rsid w:val="11BF6ECB"/>
    <w:rsid w:val="11C20769"/>
    <w:rsid w:val="11C81388"/>
    <w:rsid w:val="11D230A2"/>
    <w:rsid w:val="11D44747"/>
    <w:rsid w:val="11E15093"/>
    <w:rsid w:val="11E44B84"/>
    <w:rsid w:val="11EF6A15"/>
    <w:rsid w:val="11FF376C"/>
    <w:rsid w:val="120F6673"/>
    <w:rsid w:val="122B57CA"/>
    <w:rsid w:val="122C2A91"/>
    <w:rsid w:val="12307DC9"/>
    <w:rsid w:val="12372F05"/>
    <w:rsid w:val="123A47A4"/>
    <w:rsid w:val="123C051C"/>
    <w:rsid w:val="123E4294"/>
    <w:rsid w:val="12413A23"/>
    <w:rsid w:val="12505D75"/>
    <w:rsid w:val="12514DCD"/>
    <w:rsid w:val="12591F6D"/>
    <w:rsid w:val="12631F4C"/>
    <w:rsid w:val="1278016C"/>
    <w:rsid w:val="128A74D9"/>
    <w:rsid w:val="12906AB9"/>
    <w:rsid w:val="12A06CFD"/>
    <w:rsid w:val="12AB56A1"/>
    <w:rsid w:val="12B2262F"/>
    <w:rsid w:val="12BA7692"/>
    <w:rsid w:val="12C7072D"/>
    <w:rsid w:val="12C86253"/>
    <w:rsid w:val="12CA0C12"/>
    <w:rsid w:val="12CD5618"/>
    <w:rsid w:val="12E27315"/>
    <w:rsid w:val="12EC0194"/>
    <w:rsid w:val="12F17558"/>
    <w:rsid w:val="12F63D44"/>
    <w:rsid w:val="12F64D40"/>
    <w:rsid w:val="12F72004"/>
    <w:rsid w:val="12FB0D49"/>
    <w:rsid w:val="12FE7EC7"/>
    <w:rsid w:val="1303728B"/>
    <w:rsid w:val="130F6C00"/>
    <w:rsid w:val="13174AE5"/>
    <w:rsid w:val="131A681F"/>
    <w:rsid w:val="131D6B8F"/>
    <w:rsid w:val="13250D15"/>
    <w:rsid w:val="132D18DF"/>
    <w:rsid w:val="13517FF7"/>
    <w:rsid w:val="13533AD2"/>
    <w:rsid w:val="135B0E75"/>
    <w:rsid w:val="135F602A"/>
    <w:rsid w:val="136F501E"/>
    <w:rsid w:val="13732F2F"/>
    <w:rsid w:val="137A57A0"/>
    <w:rsid w:val="138959E3"/>
    <w:rsid w:val="138E124B"/>
    <w:rsid w:val="138F28CD"/>
    <w:rsid w:val="13906D71"/>
    <w:rsid w:val="13951726"/>
    <w:rsid w:val="139D148E"/>
    <w:rsid w:val="13A32576"/>
    <w:rsid w:val="13A823A0"/>
    <w:rsid w:val="13B275C3"/>
    <w:rsid w:val="13B81E24"/>
    <w:rsid w:val="13BF7656"/>
    <w:rsid w:val="13C133CE"/>
    <w:rsid w:val="13D6674E"/>
    <w:rsid w:val="13DA0C71"/>
    <w:rsid w:val="13DA623E"/>
    <w:rsid w:val="13F54E26"/>
    <w:rsid w:val="13FC61B5"/>
    <w:rsid w:val="14005579"/>
    <w:rsid w:val="140C2170"/>
    <w:rsid w:val="14186D67"/>
    <w:rsid w:val="141A663B"/>
    <w:rsid w:val="143376FC"/>
    <w:rsid w:val="143503BA"/>
    <w:rsid w:val="14396509"/>
    <w:rsid w:val="145C4EA5"/>
    <w:rsid w:val="14641FAC"/>
    <w:rsid w:val="147026FF"/>
    <w:rsid w:val="147072F3"/>
    <w:rsid w:val="147D5D8D"/>
    <w:rsid w:val="1481490C"/>
    <w:rsid w:val="14830684"/>
    <w:rsid w:val="14885C9A"/>
    <w:rsid w:val="148D32B1"/>
    <w:rsid w:val="149F2FE4"/>
    <w:rsid w:val="14A46014"/>
    <w:rsid w:val="14AB3737"/>
    <w:rsid w:val="14AF4973"/>
    <w:rsid w:val="14C173FE"/>
    <w:rsid w:val="14CA0061"/>
    <w:rsid w:val="14CF38C9"/>
    <w:rsid w:val="14DD2C3C"/>
    <w:rsid w:val="14E82BDD"/>
    <w:rsid w:val="14F72E20"/>
    <w:rsid w:val="14F96B98"/>
    <w:rsid w:val="150712B5"/>
    <w:rsid w:val="150A4901"/>
    <w:rsid w:val="150D43F1"/>
    <w:rsid w:val="151B4D60"/>
    <w:rsid w:val="151C63E2"/>
    <w:rsid w:val="15232E3B"/>
    <w:rsid w:val="152B4878"/>
    <w:rsid w:val="15312A9E"/>
    <w:rsid w:val="1536302F"/>
    <w:rsid w:val="153B4ABB"/>
    <w:rsid w:val="15451DDD"/>
    <w:rsid w:val="15453B8B"/>
    <w:rsid w:val="15485429"/>
    <w:rsid w:val="154A2F50"/>
    <w:rsid w:val="15542020"/>
    <w:rsid w:val="155A2216"/>
    <w:rsid w:val="156D4E90"/>
    <w:rsid w:val="15744470"/>
    <w:rsid w:val="15790FD7"/>
    <w:rsid w:val="157E2FE7"/>
    <w:rsid w:val="15826B8D"/>
    <w:rsid w:val="158A77F0"/>
    <w:rsid w:val="15987930"/>
    <w:rsid w:val="15B250FF"/>
    <w:rsid w:val="15B34F99"/>
    <w:rsid w:val="15B731BB"/>
    <w:rsid w:val="15BB209F"/>
    <w:rsid w:val="15C03212"/>
    <w:rsid w:val="15C4283C"/>
    <w:rsid w:val="15D05B4B"/>
    <w:rsid w:val="15D30EFA"/>
    <w:rsid w:val="15D46CBD"/>
    <w:rsid w:val="15D63EB2"/>
    <w:rsid w:val="15DA10F2"/>
    <w:rsid w:val="15DD457C"/>
    <w:rsid w:val="15E96A4C"/>
    <w:rsid w:val="15EA028F"/>
    <w:rsid w:val="15F5110D"/>
    <w:rsid w:val="16087E1D"/>
    <w:rsid w:val="16144A8D"/>
    <w:rsid w:val="16187491"/>
    <w:rsid w:val="161D2412"/>
    <w:rsid w:val="1620742A"/>
    <w:rsid w:val="163756F8"/>
    <w:rsid w:val="163F4A7E"/>
    <w:rsid w:val="16437B7C"/>
    <w:rsid w:val="16594C83"/>
    <w:rsid w:val="16646293"/>
    <w:rsid w:val="167A1613"/>
    <w:rsid w:val="16852CFE"/>
    <w:rsid w:val="168F6EA7"/>
    <w:rsid w:val="16953BCD"/>
    <w:rsid w:val="1699418F"/>
    <w:rsid w:val="169E17A5"/>
    <w:rsid w:val="16B44623"/>
    <w:rsid w:val="16C61609"/>
    <w:rsid w:val="16D74CB7"/>
    <w:rsid w:val="16DB245C"/>
    <w:rsid w:val="16DF3B6C"/>
    <w:rsid w:val="16EB1622"/>
    <w:rsid w:val="16F72C63"/>
    <w:rsid w:val="17013AE2"/>
    <w:rsid w:val="17141470"/>
    <w:rsid w:val="17286CD0"/>
    <w:rsid w:val="172A3E82"/>
    <w:rsid w:val="17424826"/>
    <w:rsid w:val="17495DBF"/>
    <w:rsid w:val="1752433D"/>
    <w:rsid w:val="17527E35"/>
    <w:rsid w:val="17544559"/>
    <w:rsid w:val="17595F83"/>
    <w:rsid w:val="175E5E7D"/>
    <w:rsid w:val="176F3141"/>
    <w:rsid w:val="17701D14"/>
    <w:rsid w:val="177249E0"/>
    <w:rsid w:val="17735226"/>
    <w:rsid w:val="178070FD"/>
    <w:rsid w:val="178B1BAC"/>
    <w:rsid w:val="178B7795"/>
    <w:rsid w:val="17935082"/>
    <w:rsid w:val="179766B3"/>
    <w:rsid w:val="17B35ACD"/>
    <w:rsid w:val="17B54466"/>
    <w:rsid w:val="17BB6387"/>
    <w:rsid w:val="17BC1C4F"/>
    <w:rsid w:val="17E40A83"/>
    <w:rsid w:val="180A2E6A"/>
    <w:rsid w:val="183121A5"/>
    <w:rsid w:val="183F2CBF"/>
    <w:rsid w:val="184616E8"/>
    <w:rsid w:val="18504D21"/>
    <w:rsid w:val="185B3D4E"/>
    <w:rsid w:val="185C36C6"/>
    <w:rsid w:val="18626802"/>
    <w:rsid w:val="186E51A7"/>
    <w:rsid w:val="18787DD4"/>
    <w:rsid w:val="187B61AB"/>
    <w:rsid w:val="18883C44"/>
    <w:rsid w:val="18950986"/>
    <w:rsid w:val="18980476"/>
    <w:rsid w:val="189C0982"/>
    <w:rsid w:val="189F624C"/>
    <w:rsid w:val="18AD3F21"/>
    <w:rsid w:val="18B828C6"/>
    <w:rsid w:val="18C14F50"/>
    <w:rsid w:val="18C82B09"/>
    <w:rsid w:val="18CD6371"/>
    <w:rsid w:val="18D53478"/>
    <w:rsid w:val="18DC7CA7"/>
    <w:rsid w:val="18DD40DB"/>
    <w:rsid w:val="18ED6A14"/>
    <w:rsid w:val="19017DC9"/>
    <w:rsid w:val="191775DC"/>
    <w:rsid w:val="1921046B"/>
    <w:rsid w:val="19235F91"/>
    <w:rsid w:val="19241D0A"/>
    <w:rsid w:val="19246D19"/>
    <w:rsid w:val="1925123C"/>
    <w:rsid w:val="19306900"/>
    <w:rsid w:val="193261D5"/>
    <w:rsid w:val="1941466A"/>
    <w:rsid w:val="194660D8"/>
    <w:rsid w:val="19474EBB"/>
    <w:rsid w:val="194B7296"/>
    <w:rsid w:val="19570331"/>
    <w:rsid w:val="19597C05"/>
    <w:rsid w:val="19646C68"/>
    <w:rsid w:val="19662322"/>
    <w:rsid w:val="198527A8"/>
    <w:rsid w:val="1987620B"/>
    <w:rsid w:val="19924EC5"/>
    <w:rsid w:val="199455B4"/>
    <w:rsid w:val="19AA4A1C"/>
    <w:rsid w:val="19AE61A3"/>
    <w:rsid w:val="19BF485E"/>
    <w:rsid w:val="19CB0575"/>
    <w:rsid w:val="19CB1D3A"/>
    <w:rsid w:val="19E94C86"/>
    <w:rsid w:val="19EE2A43"/>
    <w:rsid w:val="19EF056A"/>
    <w:rsid w:val="19EF40C6"/>
    <w:rsid w:val="1A1C66C0"/>
    <w:rsid w:val="1A287FE7"/>
    <w:rsid w:val="1A42393B"/>
    <w:rsid w:val="1A4268EB"/>
    <w:rsid w:val="1A622AE9"/>
    <w:rsid w:val="1A651146"/>
    <w:rsid w:val="1A6D4BB7"/>
    <w:rsid w:val="1A6E148E"/>
    <w:rsid w:val="1A7806FD"/>
    <w:rsid w:val="1A787533"/>
    <w:rsid w:val="1A7A42D7"/>
    <w:rsid w:val="1A7B3BAB"/>
    <w:rsid w:val="1A815666"/>
    <w:rsid w:val="1A845156"/>
    <w:rsid w:val="1A854A21"/>
    <w:rsid w:val="1A8E7D82"/>
    <w:rsid w:val="1AA90718"/>
    <w:rsid w:val="1AAD45DE"/>
    <w:rsid w:val="1AB66933"/>
    <w:rsid w:val="1AC11F06"/>
    <w:rsid w:val="1AC15A62"/>
    <w:rsid w:val="1ADF238C"/>
    <w:rsid w:val="1AE14356"/>
    <w:rsid w:val="1AE17C0B"/>
    <w:rsid w:val="1B046F80"/>
    <w:rsid w:val="1B0B13D3"/>
    <w:rsid w:val="1B0B3181"/>
    <w:rsid w:val="1B0D131B"/>
    <w:rsid w:val="1B155DAE"/>
    <w:rsid w:val="1B210BF7"/>
    <w:rsid w:val="1B2B13B7"/>
    <w:rsid w:val="1B31159D"/>
    <w:rsid w:val="1B3267B5"/>
    <w:rsid w:val="1B3A5814"/>
    <w:rsid w:val="1B40161D"/>
    <w:rsid w:val="1B411A0A"/>
    <w:rsid w:val="1B43291B"/>
    <w:rsid w:val="1B4346C9"/>
    <w:rsid w:val="1B441859"/>
    <w:rsid w:val="1B6606B1"/>
    <w:rsid w:val="1B663A43"/>
    <w:rsid w:val="1B740D26"/>
    <w:rsid w:val="1B873D79"/>
    <w:rsid w:val="1B972C67"/>
    <w:rsid w:val="1B9B4505"/>
    <w:rsid w:val="1B9C1031"/>
    <w:rsid w:val="1BAA299A"/>
    <w:rsid w:val="1BC81072"/>
    <w:rsid w:val="1BCF0653"/>
    <w:rsid w:val="1BDE0896"/>
    <w:rsid w:val="1BF604D2"/>
    <w:rsid w:val="1BF73705"/>
    <w:rsid w:val="1BFC0812"/>
    <w:rsid w:val="1C09276F"/>
    <w:rsid w:val="1C0D6A33"/>
    <w:rsid w:val="1C1036BB"/>
    <w:rsid w:val="1C177904"/>
    <w:rsid w:val="1C2E1720"/>
    <w:rsid w:val="1C35495A"/>
    <w:rsid w:val="1C4A7CD9"/>
    <w:rsid w:val="1C5803F8"/>
    <w:rsid w:val="1C5E47EB"/>
    <w:rsid w:val="1C5E7925"/>
    <w:rsid w:val="1C8431EB"/>
    <w:rsid w:val="1C931680"/>
    <w:rsid w:val="1C962F1E"/>
    <w:rsid w:val="1CB2219C"/>
    <w:rsid w:val="1CB8334F"/>
    <w:rsid w:val="1CBC0BD7"/>
    <w:rsid w:val="1CCC06EE"/>
    <w:rsid w:val="1CD32CF2"/>
    <w:rsid w:val="1CE27F12"/>
    <w:rsid w:val="1CE617B0"/>
    <w:rsid w:val="1CEB5018"/>
    <w:rsid w:val="1CF10B92"/>
    <w:rsid w:val="1CF11810"/>
    <w:rsid w:val="1CFD070F"/>
    <w:rsid w:val="1D043A4B"/>
    <w:rsid w:val="1D097B94"/>
    <w:rsid w:val="1D1327C1"/>
    <w:rsid w:val="1D13704C"/>
    <w:rsid w:val="1D1A3B4F"/>
    <w:rsid w:val="1D1F2F14"/>
    <w:rsid w:val="1D2B3667"/>
    <w:rsid w:val="1D2F7CC7"/>
    <w:rsid w:val="1D423107"/>
    <w:rsid w:val="1D496BFF"/>
    <w:rsid w:val="1D5F6196"/>
    <w:rsid w:val="1D6132A5"/>
    <w:rsid w:val="1D6D3C7F"/>
    <w:rsid w:val="1D6E2F6B"/>
    <w:rsid w:val="1D74500E"/>
    <w:rsid w:val="1D774AFE"/>
    <w:rsid w:val="1D7768AC"/>
    <w:rsid w:val="1D7A319B"/>
    <w:rsid w:val="1D812310"/>
    <w:rsid w:val="1D852E89"/>
    <w:rsid w:val="1D880AB9"/>
    <w:rsid w:val="1D882867"/>
    <w:rsid w:val="1D8E56D5"/>
    <w:rsid w:val="1D927673"/>
    <w:rsid w:val="1DA10708"/>
    <w:rsid w:val="1DA13929"/>
    <w:rsid w:val="1DA35562"/>
    <w:rsid w:val="1DA43419"/>
    <w:rsid w:val="1DAB169F"/>
    <w:rsid w:val="1DCC309C"/>
    <w:rsid w:val="1DD261D8"/>
    <w:rsid w:val="1DF12B02"/>
    <w:rsid w:val="1E004AF3"/>
    <w:rsid w:val="1E01086B"/>
    <w:rsid w:val="1E0A1C72"/>
    <w:rsid w:val="1E110AAE"/>
    <w:rsid w:val="1E1D5C20"/>
    <w:rsid w:val="1E2F7187"/>
    <w:rsid w:val="1E3B1F14"/>
    <w:rsid w:val="1E454BFC"/>
    <w:rsid w:val="1E4C0CF3"/>
    <w:rsid w:val="1E74103D"/>
    <w:rsid w:val="1E7A43DA"/>
    <w:rsid w:val="1E88623C"/>
    <w:rsid w:val="1E8D144E"/>
    <w:rsid w:val="1EA336D1"/>
    <w:rsid w:val="1EA41923"/>
    <w:rsid w:val="1EAF2075"/>
    <w:rsid w:val="1ECE074D"/>
    <w:rsid w:val="1ED01768"/>
    <w:rsid w:val="1EDD453E"/>
    <w:rsid w:val="1EDF4270"/>
    <w:rsid w:val="1EE066D3"/>
    <w:rsid w:val="1EEB7551"/>
    <w:rsid w:val="1EF53F2C"/>
    <w:rsid w:val="1EF620A4"/>
    <w:rsid w:val="1EFD7285"/>
    <w:rsid w:val="1F040613"/>
    <w:rsid w:val="1F0625DD"/>
    <w:rsid w:val="1F114ADE"/>
    <w:rsid w:val="1F212F73"/>
    <w:rsid w:val="1F2760B0"/>
    <w:rsid w:val="1F3507CD"/>
    <w:rsid w:val="1F372797"/>
    <w:rsid w:val="1F3A2287"/>
    <w:rsid w:val="1F3E47CD"/>
    <w:rsid w:val="1F4629DA"/>
    <w:rsid w:val="1F470500"/>
    <w:rsid w:val="1F491442"/>
    <w:rsid w:val="1F5D7D23"/>
    <w:rsid w:val="1F5E5F75"/>
    <w:rsid w:val="1F602B3B"/>
    <w:rsid w:val="1F686DF4"/>
    <w:rsid w:val="1F6E3CDF"/>
    <w:rsid w:val="1F833C2E"/>
    <w:rsid w:val="1F843502"/>
    <w:rsid w:val="1FA660DC"/>
    <w:rsid w:val="1FA6791C"/>
    <w:rsid w:val="1FB02549"/>
    <w:rsid w:val="1FB43DE7"/>
    <w:rsid w:val="1FE7539E"/>
    <w:rsid w:val="1FF43BB1"/>
    <w:rsid w:val="1FFB35E3"/>
    <w:rsid w:val="20020FF7"/>
    <w:rsid w:val="200603BB"/>
    <w:rsid w:val="20200F8C"/>
    <w:rsid w:val="20280331"/>
    <w:rsid w:val="20313EF6"/>
    <w:rsid w:val="20564E9E"/>
    <w:rsid w:val="20621A95"/>
    <w:rsid w:val="20671BE0"/>
    <w:rsid w:val="208C6B12"/>
    <w:rsid w:val="20931C4F"/>
    <w:rsid w:val="20963CB8"/>
    <w:rsid w:val="209D0D1F"/>
    <w:rsid w:val="20A26336"/>
    <w:rsid w:val="20A3224D"/>
    <w:rsid w:val="20A81A1B"/>
    <w:rsid w:val="20AC033D"/>
    <w:rsid w:val="20B00A53"/>
    <w:rsid w:val="20B07FB6"/>
    <w:rsid w:val="20B646FB"/>
    <w:rsid w:val="20DB35F6"/>
    <w:rsid w:val="20E06E5E"/>
    <w:rsid w:val="21071715"/>
    <w:rsid w:val="21072813"/>
    <w:rsid w:val="211A2370"/>
    <w:rsid w:val="21246D4B"/>
    <w:rsid w:val="21333432"/>
    <w:rsid w:val="213B74B1"/>
    <w:rsid w:val="213D7E0C"/>
    <w:rsid w:val="214A44E5"/>
    <w:rsid w:val="214B12E7"/>
    <w:rsid w:val="214C62A1"/>
    <w:rsid w:val="215A2310"/>
    <w:rsid w:val="21601B8B"/>
    <w:rsid w:val="21627873"/>
    <w:rsid w:val="2168200C"/>
    <w:rsid w:val="216929AF"/>
    <w:rsid w:val="21696E53"/>
    <w:rsid w:val="216E0C3C"/>
    <w:rsid w:val="21701F90"/>
    <w:rsid w:val="21767713"/>
    <w:rsid w:val="21A07893"/>
    <w:rsid w:val="21A25EC1"/>
    <w:rsid w:val="21A970E2"/>
    <w:rsid w:val="21B225A8"/>
    <w:rsid w:val="21B93937"/>
    <w:rsid w:val="21C30312"/>
    <w:rsid w:val="21D249F9"/>
    <w:rsid w:val="21D50045"/>
    <w:rsid w:val="21DE318A"/>
    <w:rsid w:val="21EF5B80"/>
    <w:rsid w:val="21F20BF7"/>
    <w:rsid w:val="21FC7CC7"/>
    <w:rsid w:val="21FF7025"/>
    <w:rsid w:val="220B3A67"/>
    <w:rsid w:val="22160D89"/>
    <w:rsid w:val="221B767A"/>
    <w:rsid w:val="22250FCC"/>
    <w:rsid w:val="222705BD"/>
    <w:rsid w:val="222958CF"/>
    <w:rsid w:val="22364E11"/>
    <w:rsid w:val="223905D4"/>
    <w:rsid w:val="22497C84"/>
    <w:rsid w:val="224D407F"/>
    <w:rsid w:val="225047C3"/>
    <w:rsid w:val="22572055"/>
    <w:rsid w:val="22576990"/>
    <w:rsid w:val="22592A24"/>
    <w:rsid w:val="22605CB1"/>
    <w:rsid w:val="22613331"/>
    <w:rsid w:val="226D40A1"/>
    <w:rsid w:val="22721D38"/>
    <w:rsid w:val="22723AE6"/>
    <w:rsid w:val="227E248B"/>
    <w:rsid w:val="22804455"/>
    <w:rsid w:val="22821F7B"/>
    <w:rsid w:val="229B0D12"/>
    <w:rsid w:val="22A55C69"/>
    <w:rsid w:val="22B8599C"/>
    <w:rsid w:val="22E76282"/>
    <w:rsid w:val="22EC5646"/>
    <w:rsid w:val="22F47480"/>
    <w:rsid w:val="22F514EE"/>
    <w:rsid w:val="231A0405"/>
    <w:rsid w:val="23243032"/>
    <w:rsid w:val="23302BE7"/>
    <w:rsid w:val="233A4603"/>
    <w:rsid w:val="233B65CE"/>
    <w:rsid w:val="2342795C"/>
    <w:rsid w:val="234731C4"/>
    <w:rsid w:val="2355143D"/>
    <w:rsid w:val="235B641F"/>
    <w:rsid w:val="236C2D03"/>
    <w:rsid w:val="2370007A"/>
    <w:rsid w:val="23713D9D"/>
    <w:rsid w:val="23733FB9"/>
    <w:rsid w:val="237A5558"/>
    <w:rsid w:val="237D267E"/>
    <w:rsid w:val="2383244E"/>
    <w:rsid w:val="238654DF"/>
    <w:rsid w:val="239D1036"/>
    <w:rsid w:val="23A94469"/>
    <w:rsid w:val="23BD6681"/>
    <w:rsid w:val="23BE21BE"/>
    <w:rsid w:val="23C93BD9"/>
    <w:rsid w:val="23DE1C48"/>
    <w:rsid w:val="23F01166"/>
    <w:rsid w:val="23F07A01"/>
    <w:rsid w:val="23FA529B"/>
    <w:rsid w:val="23FC3FAF"/>
    <w:rsid w:val="24013373"/>
    <w:rsid w:val="240210CD"/>
    <w:rsid w:val="240A66CC"/>
    <w:rsid w:val="240D3AC6"/>
    <w:rsid w:val="2412732E"/>
    <w:rsid w:val="241430A6"/>
    <w:rsid w:val="24174945"/>
    <w:rsid w:val="241C63FF"/>
    <w:rsid w:val="243472A5"/>
    <w:rsid w:val="243B4AD7"/>
    <w:rsid w:val="244D65B8"/>
    <w:rsid w:val="24500B7F"/>
    <w:rsid w:val="245C2C9F"/>
    <w:rsid w:val="246336F4"/>
    <w:rsid w:val="24747FE9"/>
    <w:rsid w:val="24773635"/>
    <w:rsid w:val="2480073C"/>
    <w:rsid w:val="248151E3"/>
    <w:rsid w:val="24973CD7"/>
    <w:rsid w:val="249B7324"/>
    <w:rsid w:val="24A85EE5"/>
    <w:rsid w:val="24A86184"/>
    <w:rsid w:val="24AA3A0B"/>
    <w:rsid w:val="24B10C03"/>
    <w:rsid w:val="24B71C84"/>
    <w:rsid w:val="24BB4180"/>
    <w:rsid w:val="24BF09F7"/>
    <w:rsid w:val="24E54A43"/>
    <w:rsid w:val="24F64A0B"/>
    <w:rsid w:val="25057744"/>
    <w:rsid w:val="250E5D48"/>
    <w:rsid w:val="25273966"/>
    <w:rsid w:val="252B659C"/>
    <w:rsid w:val="252D53FE"/>
    <w:rsid w:val="253151AB"/>
    <w:rsid w:val="25331C52"/>
    <w:rsid w:val="253961E2"/>
    <w:rsid w:val="253E7682"/>
    <w:rsid w:val="254402E0"/>
    <w:rsid w:val="254B6F9C"/>
    <w:rsid w:val="254C6870"/>
    <w:rsid w:val="25547608"/>
    <w:rsid w:val="25575B08"/>
    <w:rsid w:val="25733DFD"/>
    <w:rsid w:val="257A5F66"/>
    <w:rsid w:val="2580651A"/>
    <w:rsid w:val="258129BE"/>
    <w:rsid w:val="258204E4"/>
    <w:rsid w:val="25897EAD"/>
    <w:rsid w:val="258B0691"/>
    <w:rsid w:val="25910727"/>
    <w:rsid w:val="25A04547"/>
    <w:rsid w:val="25BC4EA9"/>
    <w:rsid w:val="25BD776E"/>
    <w:rsid w:val="25BF34E6"/>
    <w:rsid w:val="25D1584C"/>
    <w:rsid w:val="25D52D09"/>
    <w:rsid w:val="25E66CC5"/>
    <w:rsid w:val="25EC2D81"/>
    <w:rsid w:val="25F72C80"/>
    <w:rsid w:val="25FC0296"/>
    <w:rsid w:val="260D5EB5"/>
    <w:rsid w:val="260E7FC9"/>
    <w:rsid w:val="261F5D33"/>
    <w:rsid w:val="26355556"/>
    <w:rsid w:val="264D7E79"/>
    <w:rsid w:val="26695200"/>
    <w:rsid w:val="266F6541"/>
    <w:rsid w:val="2677349D"/>
    <w:rsid w:val="2677791D"/>
    <w:rsid w:val="26920BFA"/>
    <w:rsid w:val="26AF0B88"/>
    <w:rsid w:val="26C863CA"/>
    <w:rsid w:val="26C879CF"/>
    <w:rsid w:val="26D27249"/>
    <w:rsid w:val="26D703BB"/>
    <w:rsid w:val="26ED5E31"/>
    <w:rsid w:val="26FD42C6"/>
    <w:rsid w:val="26FF5B24"/>
    <w:rsid w:val="27090EBD"/>
    <w:rsid w:val="270F5A60"/>
    <w:rsid w:val="27117D71"/>
    <w:rsid w:val="2722007C"/>
    <w:rsid w:val="272E26D1"/>
    <w:rsid w:val="273961A8"/>
    <w:rsid w:val="27561C28"/>
    <w:rsid w:val="275A34C6"/>
    <w:rsid w:val="275B0FEC"/>
    <w:rsid w:val="275B2D9A"/>
    <w:rsid w:val="275F0ADD"/>
    <w:rsid w:val="276E0D20"/>
    <w:rsid w:val="277057A2"/>
    <w:rsid w:val="27814EF7"/>
    <w:rsid w:val="27830026"/>
    <w:rsid w:val="278C42F2"/>
    <w:rsid w:val="27912C60"/>
    <w:rsid w:val="27983FEE"/>
    <w:rsid w:val="279938C3"/>
    <w:rsid w:val="279A3902"/>
    <w:rsid w:val="27A74232"/>
    <w:rsid w:val="27A75FE0"/>
    <w:rsid w:val="27B20563"/>
    <w:rsid w:val="27B5378A"/>
    <w:rsid w:val="27BF172E"/>
    <w:rsid w:val="27D33279"/>
    <w:rsid w:val="27D36DD5"/>
    <w:rsid w:val="27D52B4D"/>
    <w:rsid w:val="27DC037F"/>
    <w:rsid w:val="27DF39CB"/>
    <w:rsid w:val="27E65BDD"/>
    <w:rsid w:val="27FA6A57"/>
    <w:rsid w:val="28060F58"/>
    <w:rsid w:val="280751E1"/>
    <w:rsid w:val="280E42B1"/>
    <w:rsid w:val="28193B34"/>
    <w:rsid w:val="281F3B30"/>
    <w:rsid w:val="282509C7"/>
    <w:rsid w:val="2828082C"/>
    <w:rsid w:val="282B115F"/>
    <w:rsid w:val="28334373"/>
    <w:rsid w:val="284C64E6"/>
    <w:rsid w:val="284D6B87"/>
    <w:rsid w:val="285223EF"/>
    <w:rsid w:val="286918F0"/>
    <w:rsid w:val="28861EB0"/>
    <w:rsid w:val="2886653D"/>
    <w:rsid w:val="28941C39"/>
    <w:rsid w:val="289447B6"/>
    <w:rsid w:val="28A10C81"/>
    <w:rsid w:val="28B22E8E"/>
    <w:rsid w:val="28B5472C"/>
    <w:rsid w:val="28BB6529"/>
    <w:rsid w:val="28C055AB"/>
    <w:rsid w:val="28C17575"/>
    <w:rsid w:val="28C921EC"/>
    <w:rsid w:val="28D92B11"/>
    <w:rsid w:val="28DA4193"/>
    <w:rsid w:val="28DB0E62"/>
    <w:rsid w:val="28E026ED"/>
    <w:rsid w:val="28E374EB"/>
    <w:rsid w:val="28EF40E2"/>
    <w:rsid w:val="28F72F97"/>
    <w:rsid w:val="28FA3D43"/>
    <w:rsid w:val="29086F52"/>
    <w:rsid w:val="290B7953"/>
    <w:rsid w:val="290D4568"/>
    <w:rsid w:val="2916166F"/>
    <w:rsid w:val="291C35D2"/>
    <w:rsid w:val="29206EB8"/>
    <w:rsid w:val="29211A14"/>
    <w:rsid w:val="29324930"/>
    <w:rsid w:val="293D2205"/>
    <w:rsid w:val="2941600F"/>
    <w:rsid w:val="29471828"/>
    <w:rsid w:val="2959155B"/>
    <w:rsid w:val="29595666"/>
    <w:rsid w:val="295D54F0"/>
    <w:rsid w:val="296D5007"/>
    <w:rsid w:val="296D7344"/>
    <w:rsid w:val="29785E86"/>
    <w:rsid w:val="29874881"/>
    <w:rsid w:val="29946A38"/>
    <w:rsid w:val="299A67A7"/>
    <w:rsid w:val="299D769A"/>
    <w:rsid w:val="29AC5B2F"/>
    <w:rsid w:val="29BB2086"/>
    <w:rsid w:val="29BF1D06"/>
    <w:rsid w:val="29C9718D"/>
    <w:rsid w:val="29E11C7D"/>
    <w:rsid w:val="29E325E0"/>
    <w:rsid w:val="2A005E7B"/>
    <w:rsid w:val="2A047719"/>
    <w:rsid w:val="2A157B78"/>
    <w:rsid w:val="2A1C0F07"/>
    <w:rsid w:val="2A236073"/>
    <w:rsid w:val="2A276771"/>
    <w:rsid w:val="2A452503"/>
    <w:rsid w:val="2A482E41"/>
    <w:rsid w:val="2A5306A1"/>
    <w:rsid w:val="2A5F2BA2"/>
    <w:rsid w:val="2A6922B9"/>
    <w:rsid w:val="2A6D1762"/>
    <w:rsid w:val="2A75032D"/>
    <w:rsid w:val="2A787ED2"/>
    <w:rsid w:val="2A9314C9"/>
    <w:rsid w:val="2A96781F"/>
    <w:rsid w:val="2A9A62D0"/>
    <w:rsid w:val="2AAE5692"/>
    <w:rsid w:val="2AC241F2"/>
    <w:rsid w:val="2AC259D7"/>
    <w:rsid w:val="2ACA0963"/>
    <w:rsid w:val="2AD109C9"/>
    <w:rsid w:val="2AD27817"/>
    <w:rsid w:val="2AEC6B2B"/>
    <w:rsid w:val="2AFC6F9C"/>
    <w:rsid w:val="2B026071"/>
    <w:rsid w:val="2B1240B8"/>
    <w:rsid w:val="2B1478F6"/>
    <w:rsid w:val="2B28133B"/>
    <w:rsid w:val="2B2D4A4E"/>
    <w:rsid w:val="2B4A1AA4"/>
    <w:rsid w:val="2B5517A3"/>
    <w:rsid w:val="2B585F6F"/>
    <w:rsid w:val="2B593AD6"/>
    <w:rsid w:val="2B5F2304"/>
    <w:rsid w:val="2B633863"/>
    <w:rsid w:val="2B6E1413"/>
    <w:rsid w:val="2B822FEC"/>
    <w:rsid w:val="2B8925CC"/>
    <w:rsid w:val="2B8B7160"/>
    <w:rsid w:val="2B8E7BE2"/>
    <w:rsid w:val="2BA016C4"/>
    <w:rsid w:val="2BA15987"/>
    <w:rsid w:val="2BA936A8"/>
    <w:rsid w:val="2BB626C9"/>
    <w:rsid w:val="2BBA3CA9"/>
    <w:rsid w:val="2BBB474F"/>
    <w:rsid w:val="2BC374BB"/>
    <w:rsid w:val="2BE75544"/>
    <w:rsid w:val="2BF632B8"/>
    <w:rsid w:val="2BFF288E"/>
    <w:rsid w:val="2C167BD8"/>
    <w:rsid w:val="2C186E9C"/>
    <w:rsid w:val="2C2422F5"/>
    <w:rsid w:val="2C2F4A08"/>
    <w:rsid w:val="2C315A5A"/>
    <w:rsid w:val="2C4B1C25"/>
    <w:rsid w:val="2C4C53A8"/>
    <w:rsid w:val="2C5801F0"/>
    <w:rsid w:val="2C5F157F"/>
    <w:rsid w:val="2C6B7F24"/>
    <w:rsid w:val="2C78619D"/>
    <w:rsid w:val="2C862667"/>
    <w:rsid w:val="2C92725E"/>
    <w:rsid w:val="2CA84CD4"/>
    <w:rsid w:val="2CB216AE"/>
    <w:rsid w:val="2CCF04B2"/>
    <w:rsid w:val="2CD22F81"/>
    <w:rsid w:val="2CD70CBA"/>
    <w:rsid w:val="2CE02702"/>
    <w:rsid w:val="2CE2075A"/>
    <w:rsid w:val="2CED26E7"/>
    <w:rsid w:val="2CFF066C"/>
    <w:rsid w:val="2D1B3B17"/>
    <w:rsid w:val="2D1F486A"/>
    <w:rsid w:val="2D267460"/>
    <w:rsid w:val="2D2D342B"/>
    <w:rsid w:val="2D2F7431"/>
    <w:rsid w:val="2D396A90"/>
    <w:rsid w:val="2D4B565F"/>
    <w:rsid w:val="2D6B22BD"/>
    <w:rsid w:val="2D6D7CCB"/>
    <w:rsid w:val="2D6F57F1"/>
    <w:rsid w:val="2D855015"/>
    <w:rsid w:val="2D8D5C78"/>
    <w:rsid w:val="2D9154CB"/>
    <w:rsid w:val="2D9E56F5"/>
    <w:rsid w:val="2DB43204"/>
    <w:rsid w:val="2DCC49F2"/>
    <w:rsid w:val="2DD218DC"/>
    <w:rsid w:val="2DDD275B"/>
    <w:rsid w:val="2DDF7C5A"/>
    <w:rsid w:val="2DEA30CA"/>
    <w:rsid w:val="2DF80BB4"/>
    <w:rsid w:val="2E075A2A"/>
    <w:rsid w:val="2E083954"/>
    <w:rsid w:val="2E0C51E3"/>
    <w:rsid w:val="2E0C688C"/>
    <w:rsid w:val="2E1B3283"/>
    <w:rsid w:val="2E1D284D"/>
    <w:rsid w:val="2E2E7268"/>
    <w:rsid w:val="2E36630F"/>
    <w:rsid w:val="2E3B3926"/>
    <w:rsid w:val="2E440A2C"/>
    <w:rsid w:val="2E4427DA"/>
    <w:rsid w:val="2E4647A4"/>
    <w:rsid w:val="2E667F96"/>
    <w:rsid w:val="2E6B5A46"/>
    <w:rsid w:val="2E6C1899"/>
    <w:rsid w:val="2E6F0090"/>
    <w:rsid w:val="2E730AF8"/>
    <w:rsid w:val="2E7B0D8D"/>
    <w:rsid w:val="2E8226AB"/>
    <w:rsid w:val="2E894691"/>
    <w:rsid w:val="2E9F5C62"/>
    <w:rsid w:val="2ED76FED"/>
    <w:rsid w:val="2EEE2746"/>
    <w:rsid w:val="2F0121E9"/>
    <w:rsid w:val="2F0D52C2"/>
    <w:rsid w:val="2F1234FB"/>
    <w:rsid w:val="2F1877C3"/>
    <w:rsid w:val="2F1E36D3"/>
    <w:rsid w:val="2F281FC4"/>
    <w:rsid w:val="2F2820FC"/>
    <w:rsid w:val="2F2B5748"/>
    <w:rsid w:val="2F503401"/>
    <w:rsid w:val="2F520F27"/>
    <w:rsid w:val="2F540BF7"/>
    <w:rsid w:val="2F5E5DC9"/>
    <w:rsid w:val="2F662C24"/>
    <w:rsid w:val="2F6A001E"/>
    <w:rsid w:val="2F8B7921"/>
    <w:rsid w:val="2F923A19"/>
    <w:rsid w:val="2F92736A"/>
    <w:rsid w:val="2F94153F"/>
    <w:rsid w:val="2FAB6BD3"/>
    <w:rsid w:val="2FB120F1"/>
    <w:rsid w:val="2FB61DF6"/>
    <w:rsid w:val="2FB70D88"/>
    <w:rsid w:val="2FB90FA6"/>
    <w:rsid w:val="2FBA323E"/>
    <w:rsid w:val="2FC55B9D"/>
    <w:rsid w:val="2FC82F97"/>
    <w:rsid w:val="2FCF07C9"/>
    <w:rsid w:val="2FD065E6"/>
    <w:rsid w:val="2FD96870"/>
    <w:rsid w:val="2FDA7EC4"/>
    <w:rsid w:val="2FE51D9B"/>
    <w:rsid w:val="2FF12575"/>
    <w:rsid w:val="2FF827FE"/>
    <w:rsid w:val="300C7328"/>
    <w:rsid w:val="30134B5A"/>
    <w:rsid w:val="30161F54"/>
    <w:rsid w:val="302E7398"/>
    <w:rsid w:val="30325BB6"/>
    <w:rsid w:val="303D1BD7"/>
    <w:rsid w:val="30580BC9"/>
    <w:rsid w:val="306C426A"/>
    <w:rsid w:val="30751371"/>
    <w:rsid w:val="3082583C"/>
    <w:rsid w:val="30980055"/>
    <w:rsid w:val="30A65790"/>
    <w:rsid w:val="30B11C7D"/>
    <w:rsid w:val="30B21802"/>
    <w:rsid w:val="30C10112"/>
    <w:rsid w:val="30C60BE4"/>
    <w:rsid w:val="30D14BB1"/>
    <w:rsid w:val="30D5727F"/>
    <w:rsid w:val="30DC4F4C"/>
    <w:rsid w:val="30DD3E35"/>
    <w:rsid w:val="30E11085"/>
    <w:rsid w:val="30E72D87"/>
    <w:rsid w:val="30FD3114"/>
    <w:rsid w:val="311E2ED7"/>
    <w:rsid w:val="312132A7"/>
    <w:rsid w:val="31244195"/>
    <w:rsid w:val="31322DBE"/>
    <w:rsid w:val="313A42AE"/>
    <w:rsid w:val="313C7C2B"/>
    <w:rsid w:val="314174A5"/>
    <w:rsid w:val="31440D43"/>
    <w:rsid w:val="3153274D"/>
    <w:rsid w:val="315619EE"/>
    <w:rsid w:val="315C42DF"/>
    <w:rsid w:val="315C449C"/>
    <w:rsid w:val="317F1137"/>
    <w:rsid w:val="318B0720"/>
    <w:rsid w:val="319121DA"/>
    <w:rsid w:val="31A33CBC"/>
    <w:rsid w:val="31A737AC"/>
    <w:rsid w:val="31B425B2"/>
    <w:rsid w:val="31B45EC9"/>
    <w:rsid w:val="31B5579D"/>
    <w:rsid w:val="31B82709"/>
    <w:rsid w:val="31CA5529"/>
    <w:rsid w:val="31D010A8"/>
    <w:rsid w:val="31D05482"/>
    <w:rsid w:val="31DC0F7C"/>
    <w:rsid w:val="31DD60F7"/>
    <w:rsid w:val="32236BAB"/>
    <w:rsid w:val="32241728"/>
    <w:rsid w:val="32400B34"/>
    <w:rsid w:val="3241232A"/>
    <w:rsid w:val="324234D5"/>
    <w:rsid w:val="3247469D"/>
    <w:rsid w:val="324760F6"/>
    <w:rsid w:val="326351F9"/>
    <w:rsid w:val="3264169D"/>
    <w:rsid w:val="326C06C8"/>
    <w:rsid w:val="32713DBA"/>
    <w:rsid w:val="32803FFD"/>
    <w:rsid w:val="328533C1"/>
    <w:rsid w:val="32896631"/>
    <w:rsid w:val="329110B5"/>
    <w:rsid w:val="329E6876"/>
    <w:rsid w:val="32A54BEB"/>
    <w:rsid w:val="32B048E2"/>
    <w:rsid w:val="32B7300E"/>
    <w:rsid w:val="32B819E9"/>
    <w:rsid w:val="32BA306B"/>
    <w:rsid w:val="32BD2D68"/>
    <w:rsid w:val="32BD3D34"/>
    <w:rsid w:val="32CE1E89"/>
    <w:rsid w:val="32D35FBF"/>
    <w:rsid w:val="32DD144F"/>
    <w:rsid w:val="32F8303F"/>
    <w:rsid w:val="32FB60E4"/>
    <w:rsid w:val="3307027A"/>
    <w:rsid w:val="331309CD"/>
    <w:rsid w:val="33184235"/>
    <w:rsid w:val="33185FE3"/>
    <w:rsid w:val="331A1D5C"/>
    <w:rsid w:val="331F7372"/>
    <w:rsid w:val="333015F2"/>
    <w:rsid w:val="334B6320"/>
    <w:rsid w:val="334B63B9"/>
    <w:rsid w:val="337D5EB4"/>
    <w:rsid w:val="337E27C7"/>
    <w:rsid w:val="3380202C"/>
    <w:rsid w:val="338F274A"/>
    <w:rsid w:val="33917FD3"/>
    <w:rsid w:val="33977850"/>
    <w:rsid w:val="33BB353F"/>
    <w:rsid w:val="33BC62D4"/>
    <w:rsid w:val="33BF52A9"/>
    <w:rsid w:val="33C10429"/>
    <w:rsid w:val="33CD6DCE"/>
    <w:rsid w:val="33D068BE"/>
    <w:rsid w:val="33D934D4"/>
    <w:rsid w:val="33DE0FDB"/>
    <w:rsid w:val="33E6081A"/>
    <w:rsid w:val="33E671C5"/>
    <w:rsid w:val="33EC7B9C"/>
    <w:rsid w:val="33F56325"/>
    <w:rsid w:val="33F64577"/>
    <w:rsid w:val="33F87432"/>
    <w:rsid w:val="33FE2F6A"/>
    <w:rsid w:val="34086058"/>
    <w:rsid w:val="340E07E5"/>
    <w:rsid w:val="3420323F"/>
    <w:rsid w:val="34235BF7"/>
    <w:rsid w:val="34384B8F"/>
    <w:rsid w:val="346A6D13"/>
    <w:rsid w:val="34931DC5"/>
    <w:rsid w:val="34993154"/>
    <w:rsid w:val="349A13A6"/>
    <w:rsid w:val="34B561E0"/>
    <w:rsid w:val="34BC7277"/>
    <w:rsid w:val="34CC342B"/>
    <w:rsid w:val="34DA17F1"/>
    <w:rsid w:val="34DD52CB"/>
    <w:rsid w:val="34E94521"/>
    <w:rsid w:val="34EA39B0"/>
    <w:rsid w:val="35011425"/>
    <w:rsid w:val="35076310"/>
    <w:rsid w:val="350B4052"/>
    <w:rsid w:val="350F7B69"/>
    <w:rsid w:val="35123632"/>
    <w:rsid w:val="351647A5"/>
    <w:rsid w:val="35262C3A"/>
    <w:rsid w:val="355163EF"/>
    <w:rsid w:val="35527ED3"/>
    <w:rsid w:val="35535C24"/>
    <w:rsid w:val="355377A7"/>
    <w:rsid w:val="35575444"/>
    <w:rsid w:val="35577297"/>
    <w:rsid w:val="3558300F"/>
    <w:rsid w:val="35777939"/>
    <w:rsid w:val="357A2F85"/>
    <w:rsid w:val="35802682"/>
    <w:rsid w:val="358C5FA8"/>
    <w:rsid w:val="358E1DB0"/>
    <w:rsid w:val="35926521"/>
    <w:rsid w:val="35957DBF"/>
    <w:rsid w:val="3598340C"/>
    <w:rsid w:val="359866B0"/>
    <w:rsid w:val="359A7F9B"/>
    <w:rsid w:val="35AD5109"/>
    <w:rsid w:val="35BB3F9F"/>
    <w:rsid w:val="35C15DF1"/>
    <w:rsid w:val="35C65406"/>
    <w:rsid w:val="35D07049"/>
    <w:rsid w:val="35D16B00"/>
    <w:rsid w:val="35DE3514"/>
    <w:rsid w:val="35DF4B9C"/>
    <w:rsid w:val="35FB40C6"/>
    <w:rsid w:val="36074A7F"/>
    <w:rsid w:val="361B4126"/>
    <w:rsid w:val="362C0724"/>
    <w:rsid w:val="362F5B1E"/>
    <w:rsid w:val="363B0967"/>
    <w:rsid w:val="36420F81"/>
    <w:rsid w:val="3643781B"/>
    <w:rsid w:val="36453593"/>
    <w:rsid w:val="3645478B"/>
    <w:rsid w:val="36496FF1"/>
    <w:rsid w:val="3651018A"/>
    <w:rsid w:val="3652180C"/>
    <w:rsid w:val="36610482"/>
    <w:rsid w:val="36644727"/>
    <w:rsid w:val="3667175C"/>
    <w:rsid w:val="366C6D72"/>
    <w:rsid w:val="36923549"/>
    <w:rsid w:val="369342FF"/>
    <w:rsid w:val="36A33BF4"/>
    <w:rsid w:val="36A4650C"/>
    <w:rsid w:val="36B42484"/>
    <w:rsid w:val="36B75FBF"/>
    <w:rsid w:val="36BD0C45"/>
    <w:rsid w:val="36EB7DBF"/>
    <w:rsid w:val="36EC7EB3"/>
    <w:rsid w:val="36F86858"/>
    <w:rsid w:val="36FD79CA"/>
    <w:rsid w:val="37021484"/>
    <w:rsid w:val="37074CED"/>
    <w:rsid w:val="37133692"/>
    <w:rsid w:val="37415DB1"/>
    <w:rsid w:val="374C0952"/>
    <w:rsid w:val="374E6478"/>
    <w:rsid w:val="375241BA"/>
    <w:rsid w:val="37661A13"/>
    <w:rsid w:val="377309D7"/>
    <w:rsid w:val="37796963"/>
    <w:rsid w:val="37802DC5"/>
    <w:rsid w:val="37886865"/>
    <w:rsid w:val="37983B97"/>
    <w:rsid w:val="37AB5678"/>
    <w:rsid w:val="37CA01F4"/>
    <w:rsid w:val="37D746BF"/>
    <w:rsid w:val="37D90546"/>
    <w:rsid w:val="37DA7D0B"/>
    <w:rsid w:val="37E00298"/>
    <w:rsid w:val="37E213A2"/>
    <w:rsid w:val="37F041ED"/>
    <w:rsid w:val="38064FA4"/>
    <w:rsid w:val="380A28CA"/>
    <w:rsid w:val="3814146F"/>
    <w:rsid w:val="382F643A"/>
    <w:rsid w:val="38312021"/>
    <w:rsid w:val="38367638"/>
    <w:rsid w:val="383E64EC"/>
    <w:rsid w:val="38435613"/>
    <w:rsid w:val="38455ACD"/>
    <w:rsid w:val="38460BE9"/>
    <w:rsid w:val="388135EA"/>
    <w:rsid w:val="388A1731"/>
    <w:rsid w:val="388C7258"/>
    <w:rsid w:val="389242B4"/>
    <w:rsid w:val="389600D6"/>
    <w:rsid w:val="389B56ED"/>
    <w:rsid w:val="38A24CCD"/>
    <w:rsid w:val="38A8605B"/>
    <w:rsid w:val="38B302F9"/>
    <w:rsid w:val="38C2711D"/>
    <w:rsid w:val="38C537E4"/>
    <w:rsid w:val="38C745C2"/>
    <w:rsid w:val="38CE5AC2"/>
    <w:rsid w:val="38E54BBA"/>
    <w:rsid w:val="38EC7622"/>
    <w:rsid w:val="38F117B0"/>
    <w:rsid w:val="38F12CD3"/>
    <w:rsid w:val="38F20374"/>
    <w:rsid w:val="38F94775"/>
    <w:rsid w:val="38F9569D"/>
    <w:rsid w:val="38FB618B"/>
    <w:rsid w:val="38FE5C7B"/>
    <w:rsid w:val="390A4620"/>
    <w:rsid w:val="391334D5"/>
    <w:rsid w:val="3914549F"/>
    <w:rsid w:val="391C141C"/>
    <w:rsid w:val="392971ED"/>
    <w:rsid w:val="392E030F"/>
    <w:rsid w:val="39325651"/>
    <w:rsid w:val="393450E2"/>
    <w:rsid w:val="39365415"/>
    <w:rsid w:val="39535FC7"/>
    <w:rsid w:val="395E45E1"/>
    <w:rsid w:val="396F0351"/>
    <w:rsid w:val="3971644D"/>
    <w:rsid w:val="39743126"/>
    <w:rsid w:val="39873EC3"/>
    <w:rsid w:val="398D772B"/>
    <w:rsid w:val="39917C51"/>
    <w:rsid w:val="399A59A4"/>
    <w:rsid w:val="399F2FBB"/>
    <w:rsid w:val="39BA6046"/>
    <w:rsid w:val="39BC591B"/>
    <w:rsid w:val="39C173D5"/>
    <w:rsid w:val="39C944DB"/>
    <w:rsid w:val="39CA01D5"/>
    <w:rsid w:val="39D709A6"/>
    <w:rsid w:val="39DA2245"/>
    <w:rsid w:val="39E44E71"/>
    <w:rsid w:val="39F20325"/>
    <w:rsid w:val="39F72DF7"/>
    <w:rsid w:val="39FC0403"/>
    <w:rsid w:val="3A053765"/>
    <w:rsid w:val="3A145757"/>
    <w:rsid w:val="3A1E4827"/>
    <w:rsid w:val="3A27603D"/>
    <w:rsid w:val="3A2801BE"/>
    <w:rsid w:val="3A301503"/>
    <w:rsid w:val="3A4273A8"/>
    <w:rsid w:val="3A451191"/>
    <w:rsid w:val="3A465B2C"/>
    <w:rsid w:val="3A540249"/>
    <w:rsid w:val="3A5F274A"/>
    <w:rsid w:val="3A7206CF"/>
    <w:rsid w:val="3A80103E"/>
    <w:rsid w:val="3A872856"/>
    <w:rsid w:val="3A880EC7"/>
    <w:rsid w:val="3A8B1791"/>
    <w:rsid w:val="3A916DA7"/>
    <w:rsid w:val="3A920D71"/>
    <w:rsid w:val="3AA647EE"/>
    <w:rsid w:val="3AC55AB3"/>
    <w:rsid w:val="3ACD736D"/>
    <w:rsid w:val="3AD33C5B"/>
    <w:rsid w:val="3ADB0022"/>
    <w:rsid w:val="3AEC66D3"/>
    <w:rsid w:val="3AFC6F67"/>
    <w:rsid w:val="3B021A53"/>
    <w:rsid w:val="3B023801"/>
    <w:rsid w:val="3B091033"/>
    <w:rsid w:val="3B0C0D90"/>
    <w:rsid w:val="3B2319C9"/>
    <w:rsid w:val="3B2E2848"/>
    <w:rsid w:val="3B375F3D"/>
    <w:rsid w:val="3B3763D1"/>
    <w:rsid w:val="3B3E69F4"/>
    <w:rsid w:val="3B491430"/>
    <w:rsid w:val="3B4F0A10"/>
    <w:rsid w:val="3B5626E1"/>
    <w:rsid w:val="3B5C2A14"/>
    <w:rsid w:val="3B5E2A01"/>
    <w:rsid w:val="3B691AD2"/>
    <w:rsid w:val="3B7364AD"/>
    <w:rsid w:val="3B9F3746"/>
    <w:rsid w:val="3BA66882"/>
    <w:rsid w:val="3BC01081"/>
    <w:rsid w:val="3BC211E2"/>
    <w:rsid w:val="3BC92571"/>
    <w:rsid w:val="3BDB3226"/>
    <w:rsid w:val="3BDC22A4"/>
    <w:rsid w:val="3BE0324B"/>
    <w:rsid w:val="3BE178BA"/>
    <w:rsid w:val="3BF53366"/>
    <w:rsid w:val="3C090BBF"/>
    <w:rsid w:val="3C1A7270"/>
    <w:rsid w:val="3C1F6635"/>
    <w:rsid w:val="3C287664"/>
    <w:rsid w:val="3C2F6E1E"/>
    <w:rsid w:val="3C4F64BA"/>
    <w:rsid w:val="3C577B7C"/>
    <w:rsid w:val="3C5A4927"/>
    <w:rsid w:val="3C6B7ACC"/>
    <w:rsid w:val="3C6E670E"/>
    <w:rsid w:val="3C746980"/>
    <w:rsid w:val="3C771FCD"/>
    <w:rsid w:val="3C77353F"/>
    <w:rsid w:val="3C8A1D00"/>
    <w:rsid w:val="3CA20800"/>
    <w:rsid w:val="3CA32DC2"/>
    <w:rsid w:val="3CB32AD9"/>
    <w:rsid w:val="3CB52AF5"/>
    <w:rsid w:val="3CBE720A"/>
    <w:rsid w:val="3CCF1E09"/>
    <w:rsid w:val="3CDA245A"/>
    <w:rsid w:val="3CDC62D4"/>
    <w:rsid w:val="3CDE3D1B"/>
    <w:rsid w:val="3CE05DC4"/>
    <w:rsid w:val="3CEE34ED"/>
    <w:rsid w:val="3D0E0B83"/>
    <w:rsid w:val="3D1D0DC6"/>
    <w:rsid w:val="3D1D2B74"/>
    <w:rsid w:val="3D1E06B7"/>
    <w:rsid w:val="3D26172C"/>
    <w:rsid w:val="3D475E43"/>
    <w:rsid w:val="3D502BD6"/>
    <w:rsid w:val="3D5567B2"/>
    <w:rsid w:val="3D606F05"/>
    <w:rsid w:val="3D74650C"/>
    <w:rsid w:val="3D78424E"/>
    <w:rsid w:val="3D8A5D30"/>
    <w:rsid w:val="3DA6700D"/>
    <w:rsid w:val="3DA768E2"/>
    <w:rsid w:val="3DAC214A"/>
    <w:rsid w:val="3DAD1CC3"/>
    <w:rsid w:val="3DB37F8D"/>
    <w:rsid w:val="3DC72AE0"/>
    <w:rsid w:val="3DD562BA"/>
    <w:rsid w:val="3DD82F3F"/>
    <w:rsid w:val="3DEB4A20"/>
    <w:rsid w:val="3DEC0798"/>
    <w:rsid w:val="3DF17B5D"/>
    <w:rsid w:val="3DFC462E"/>
    <w:rsid w:val="3DFD6502"/>
    <w:rsid w:val="3E015FF2"/>
    <w:rsid w:val="3E043D34"/>
    <w:rsid w:val="3E09134A"/>
    <w:rsid w:val="3E0945B1"/>
    <w:rsid w:val="3E0F1616"/>
    <w:rsid w:val="3E1000F5"/>
    <w:rsid w:val="3E285C74"/>
    <w:rsid w:val="3E2D4427"/>
    <w:rsid w:val="3E3839DE"/>
    <w:rsid w:val="3E4405D4"/>
    <w:rsid w:val="3E483C21"/>
    <w:rsid w:val="3E5C40C3"/>
    <w:rsid w:val="3E671F4D"/>
    <w:rsid w:val="3E7F160D"/>
    <w:rsid w:val="3E8804C1"/>
    <w:rsid w:val="3E8D2B73"/>
    <w:rsid w:val="3E92675F"/>
    <w:rsid w:val="3E952BDE"/>
    <w:rsid w:val="3EA572C5"/>
    <w:rsid w:val="3EC51715"/>
    <w:rsid w:val="3ED22D6A"/>
    <w:rsid w:val="3ED71449"/>
    <w:rsid w:val="3EDA0523"/>
    <w:rsid w:val="3EEB0A50"/>
    <w:rsid w:val="3EF26282"/>
    <w:rsid w:val="3EFB6EE5"/>
    <w:rsid w:val="3EFC4A0B"/>
    <w:rsid w:val="3F081602"/>
    <w:rsid w:val="3F0F0BE2"/>
    <w:rsid w:val="3F1767A4"/>
    <w:rsid w:val="3F1B4469"/>
    <w:rsid w:val="3F3D686C"/>
    <w:rsid w:val="3F485DF7"/>
    <w:rsid w:val="3F4A39C9"/>
    <w:rsid w:val="3F544847"/>
    <w:rsid w:val="3F657FC1"/>
    <w:rsid w:val="3F710F55"/>
    <w:rsid w:val="3F870779"/>
    <w:rsid w:val="3F8F3AD1"/>
    <w:rsid w:val="3FA23805"/>
    <w:rsid w:val="3FAC6431"/>
    <w:rsid w:val="3FE200A5"/>
    <w:rsid w:val="3FEA68C5"/>
    <w:rsid w:val="3FFA0F4B"/>
    <w:rsid w:val="40155D85"/>
    <w:rsid w:val="40185875"/>
    <w:rsid w:val="40224945"/>
    <w:rsid w:val="404448BC"/>
    <w:rsid w:val="404B3E9C"/>
    <w:rsid w:val="40510A2D"/>
    <w:rsid w:val="40511B68"/>
    <w:rsid w:val="40610FCA"/>
    <w:rsid w:val="40714F85"/>
    <w:rsid w:val="40771D19"/>
    <w:rsid w:val="40784565"/>
    <w:rsid w:val="407A6407"/>
    <w:rsid w:val="407D392A"/>
    <w:rsid w:val="408178BE"/>
    <w:rsid w:val="40860A30"/>
    <w:rsid w:val="40994C08"/>
    <w:rsid w:val="40A23B78"/>
    <w:rsid w:val="40A86BF9"/>
    <w:rsid w:val="40D310C8"/>
    <w:rsid w:val="40E439A9"/>
    <w:rsid w:val="40F327A1"/>
    <w:rsid w:val="40F77B80"/>
    <w:rsid w:val="40FF373C"/>
    <w:rsid w:val="410142A2"/>
    <w:rsid w:val="410A340F"/>
    <w:rsid w:val="41102DB8"/>
    <w:rsid w:val="4114603C"/>
    <w:rsid w:val="41151DB4"/>
    <w:rsid w:val="411D521F"/>
    <w:rsid w:val="413A2E0B"/>
    <w:rsid w:val="413B4DE9"/>
    <w:rsid w:val="413F3604"/>
    <w:rsid w:val="414032D5"/>
    <w:rsid w:val="4142704D"/>
    <w:rsid w:val="41432F6C"/>
    <w:rsid w:val="41452699"/>
    <w:rsid w:val="414B7444"/>
    <w:rsid w:val="415D3E87"/>
    <w:rsid w:val="415F489E"/>
    <w:rsid w:val="417B60BB"/>
    <w:rsid w:val="41961147"/>
    <w:rsid w:val="41B06E4B"/>
    <w:rsid w:val="41C77552"/>
    <w:rsid w:val="41C90FBF"/>
    <w:rsid w:val="41E91C03"/>
    <w:rsid w:val="41F63994"/>
    <w:rsid w:val="41F75D39"/>
    <w:rsid w:val="4200449D"/>
    <w:rsid w:val="42132798"/>
    <w:rsid w:val="421F0F04"/>
    <w:rsid w:val="42291C79"/>
    <w:rsid w:val="422F6EA6"/>
    <w:rsid w:val="423A3BCC"/>
    <w:rsid w:val="42470923"/>
    <w:rsid w:val="424E57D2"/>
    <w:rsid w:val="425A2175"/>
    <w:rsid w:val="425C105C"/>
    <w:rsid w:val="42672AE3"/>
    <w:rsid w:val="4274031A"/>
    <w:rsid w:val="42755200"/>
    <w:rsid w:val="42A11E98"/>
    <w:rsid w:val="42A17DA3"/>
    <w:rsid w:val="42A33B1C"/>
    <w:rsid w:val="42B074AD"/>
    <w:rsid w:val="42B07FE6"/>
    <w:rsid w:val="42B26C49"/>
    <w:rsid w:val="42D34AAA"/>
    <w:rsid w:val="42F500EF"/>
    <w:rsid w:val="42FB5E19"/>
    <w:rsid w:val="42FF2D1C"/>
    <w:rsid w:val="43081BD1"/>
    <w:rsid w:val="43104F29"/>
    <w:rsid w:val="431247FD"/>
    <w:rsid w:val="43153C13"/>
    <w:rsid w:val="431C6452"/>
    <w:rsid w:val="432450BB"/>
    <w:rsid w:val="432A3781"/>
    <w:rsid w:val="432E715D"/>
    <w:rsid w:val="43301127"/>
    <w:rsid w:val="43340C18"/>
    <w:rsid w:val="43367407"/>
    <w:rsid w:val="43391936"/>
    <w:rsid w:val="433A6FE6"/>
    <w:rsid w:val="433C5D1E"/>
    <w:rsid w:val="43432C09"/>
    <w:rsid w:val="43480868"/>
    <w:rsid w:val="4350713C"/>
    <w:rsid w:val="43560B8E"/>
    <w:rsid w:val="43585209"/>
    <w:rsid w:val="435D316C"/>
    <w:rsid w:val="435E3EE6"/>
    <w:rsid w:val="436334A9"/>
    <w:rsid w:val="436653E0"/>
    <w:rsid w:val="436D4FAD"/>
    <w:rsid w:val="437B6846"/>
    <w:rsid w:val="438C45B0"/>
    <w:rsid w:val="439148A0"/>
    <w:rsid w:val="4392593E"/>
    <w:rsid w:val="43947908"/>
    <w:rsid w:val="43B91808"/>
    <w:rsid w:val="43C4431A"/>
    <w:rsid w:val="43D16466"/>
    <w:rsid w:val="43E029AE"/>
    <w:rsid w:val="43EA577A"/>
    <w:rsid w:val="43F839F3"/>
    <w:rsid w:val="43FD36FF"/>
    <w:rsid w:val="44013BD3"/>
    <w:rsid w:val="440C749E"/>
    <w:rsid w:val="44136A7F"/>
    <w:rsid w:val="441416DA"/>
    <w:rsid w:val="441427F7"/>
    <w:rsid w:val="44202F4A"/>
    <w:rsid w:val="442471ED"/>
    <w:rsid w:val="442C7B41"/>
    <w:rsid w:val="443D3AFC"/>
    <w:rsid w:val="443D58AA"/>
    <w:rsid w:val="445157F9"/>
    <w:rsid w:val="446612A5"/>
    <w:rsid w:val="44676E58"/>
    <w:rsid w:val="44685A7C"/>
    <w:rsid w:val="446A507F"/>
    <w:rsid w:val="44711358"/>
    <w:rsid w:val="447B1636"/>
    <w:rsid w:val="44936E0C"/>
    <w:rsid w:val="449A2CFC"/>
    <w:rsid w:val="449B5C55"/>
    <w:rsid w:val="449C6A74"/>
    <w:rsid w:val="449F28C0"/>
    <w:rsid w:val="449F47B6"/>
    <w:rsid w:val="449F6565"/>
    <w:rsid w:val="44A973E3"/>
    <w:rsid w:val="44B00772"/>
    <w:rsid w:val="44B64E17"/>
    <w:rsid w:val="44B951CC"/>
    <w:rsid w:val="44C45FCB"/>
    <w:rsid w:val="44C71617"/>
    <w:rsid w:val="44CB1108"/>
    <w:rsid w:val="44CD14E0"/>
    <w:rsid w:val="44D1645F"/>
    <w:rsid w:val="44D334D7"/>
    <w:rsid w:val="44D94BD0"/>
    <w:rsid w:val="44E64193"/>
    <w:rsid w:val="44F14DE5"/>
    <w:rsid w:val="44F20B0B"/>
    <w:rsid w:val="450D7972"/>
    <w:rsid w:val="45174543"/>
    <w:rsid w:val="45244CBC"/>
    <w:rsid w:val="452627E2"/>
    <w:rsid w:val="452E5F4C"/>
    <w:rsid w:val="45333C62"/>
    <w:rsid w:val="453E7B2C"/>
    <w:rsid w:val="45462E84"/>
    <w:rsid w:val="454B7E57"/>
    <w:rsid w:val="454D7C03"/>
    <w:rsid w:val="45510150"/>
    <w:rsid w:val="45600EFB"/>
    <w:rsid w:val="45612018"/>
    <w:rsid w:val="457C2402"/>
    <w:rsid w:val="458946E9"/>
    <w:rsid w:val="458E0C7A"/>
    <w:rsid w:val="458E50FB"/>
    <w:rsid w:val="45940BE7"/>
    <w:rsid w:val="459E3CDB"/>
    <w:rsid w:val="45A47C0E"/>
    <w:rsid w:val="45AF0A29"/>
    <w:rsid w:val="45C64F3E"/>
    <w:rsid w:val="45C85647"/>
    <w:rsid w:val="45D466E2"/>
    <w:rsid w:val="45E05087"/>
    <w:rsid w:val="45E2495B"/>
    <w:rsid w:val="45E65E42"/>
    <w:rsid w:val="45EA380F"/>
    <w:rsid w:val="45F4468E"/>
    <w:rsid w:val="4605689B"/>
    <w:rsid w:val="46074D52"/>
    <w:rsid w:val="4609638B"/>
    <w:rsid w:val="46144D30"/>
    <w:rsid w:val="461B1C1B"/>
    <w:rsid w:val="464949DA"/>
    <w:rsid w:val="46577FD6"/>
    <w:rsid w:val="465A14A9"/>
    <w:rsid w:val="466435C2"/>
    <w:rsid w:val="46693F3D"/>
    <w:rsid w:val="46803F66"/>
    <w:rsid w:val="46873754"/>
    <w:rsid w:val="468A0F7A"/>
    <w:rsid w:val="469D4D26"/>
    <w:rsid w:val="46A165C4"/>
    <w:rsid w:val="46A460B4"/>
    <w:rsid w:val="46AD12F7"/>
    <w:rsid w:val="46B53E1D"/>
    <w:rsid w:val="46CC73B9"/>
    <w:rsid w:val="46CE3131"/>
    <w:rsid w:val="46D36999"/>
    <w:rsid w:val="46D955A7"/>
    <w:rsid w:val="46E26BDC"/>
    <w:rsid w:val="46EE10DD"/>
    <w:rsid w:val="46F30DEA"/>
    <w:rsid w:val="47046B53"/>
    <w:rsid w:val="471072A6"/>
    <w:rsid w:val="47133957"/>
    <w:rsid w:val="4713781B"/>
    <w:rsid w:val="47146532"/>
    <w:rsid w:val="471A1ED2"/>
    <w:rsid w:val="472B0583"/>
    <w:rsid w:val="473361A9"/>
    <w:rsid w:val="47424AB1"/>
    <w:rsid w:val="47502C34"/>
    <w:rsid w:val="47507FEA"/>
    <w:rsid w:val="475E7622"/>
    <w:rsid w:val="4782258D"/>
    <w:rsid w:val="47863A0C"/>
    <w:rsid w:val="47A07E0C"/>
    <w:rsid w:val="47A65E5C"/>
    <w:rsid w:val="47A9027D"/>
    <w:rsid w:val="47AA56E9"/>
    <w:rsid w:val="47C63E08"/>
    <w:rsid w:val="47E32C0C"/>
    <w:rsid w:val="47EA16BA"/>
    <w:rsid w:val="47F866B8"/>
    <w:rsid w:val="48217291"/>
    <w:rsid w:val="482F5E51"/>
    <w:rsid w:val="48390A7E"/>
    <w:rsid w:val="48415AB2"/>
    <w:rsid w:val="48425B85"/>
    <w:rsid w:val="484B7280"/>
    <w:rsid w:val="484F25B3"/>
    <w:rsid w:val="484F4161"/>
    <w:rsid w:val="48587156"/>
    <w:rsid w:val="486C5F17"/>
    <w:rsid w:val="486F688E"/>
    <w:rsid w:val="4870272E"/>
    <w:rsid w:val="487B4BF3"/>
    <w:rsid w:val="487F2935"/>
    <w:rsid w:val="487F438D"/>
    <w:rsid w:val="48802209"/>
    <w:rsid w:val="48890A85"/>
    <w:rsid w:val="489363E0"/>
    <w:rsid w:val="48A8276D"/>
    <w:rsid w:val="48AA54D8"/>
    <w:rsid w:val="48B347C5"/>
    <w:rsid w:val="48B56357"/>
    <w:rsid w:val="48CC18F2"/>
    <w:rsid w:val="48D82045"/>
    <w:rsid w:val="48E22EC4"/>
    <w:rsid w:val="48E924A4"/>
    <w:rsid w:val="48EC3D42"/>
    <w:rsid w:val="490270C2"/>
    <w:rsid w:val="49066BB2"/>
    <w:rsid w:val="490746D8"/>
    <w:rsid w:val="491C0184"/>
    <w:rsid w:val="4924496C"/>
    <w:rsid w:val="49267AD3"/>
    <w:rsid w:val="492A36D2"/>
    <w:rsid w:val="492B486B"/>
    <w:rsid w:val="493354CD"/>
    <w:rsid w:val="493D0D2B"/>
    <w:rsid w:val="49417BEA"/>
    <w:rsid w:val="4961028C"/>
    <w:rsid w:val="4961203A"/>
    <w:rsid w:val="49697141"/>
    <w:rsid w:val="496E69A4"/>
    <w:rsid w:val="49975B39"/>
    <w:rsid w:val="499E3420"/>
    <w:rsid w:val="49A458D4"/>
    <w:rsid w:val="49AA39E1"/>
    <w:rsid w:val="49AD1724"/>
    <w:rsid w:val="49AD34D2"/>
    <w:rsid w:val="49B74350"/>
    <w:rsid w:val="49B963E8"/>
    <w:rsid w:val="49BB5939"/>
    <w:rsid w:val="49BE123B"/>
    <w:rsid w:val="49DC7715"/>
    <w:rsid w:val="49F42EAF"/>
    <w:rsid w:val="49F51014"/>
    <w:rsid w:val="49FC1D63"/>
    <w:rsid w:val="4A023139"/>
    <w:rsid w:val="4A191ED4"/>
    <w:rsid w:val="4A1E5C97"/>
    <w:rsid w:val="4A2009C9"/>
    <w:rsid w:val="4A233794"/>
    <w:rsid w:val="4A34774F"/>
    <w:rsid w:val="4A361719"/>
    <w:rsid w:val="4A372D9B"/>
    <w:rsid w:val="4A396B13"/>
    <w:rsid w:val="4A3A4921"/>
    <w:rsid w:val="4A3E05CE"/>
    <w:rsid w:val="4A437992"/>
    <w:rsid w:val="4A4E6A63"/>
    <w:rsid w:val="4A630034"/>
    <w:rsid w:val="4A6A3171"/>
    <w:rsid w:val="4A6C0C97"/>
    <w:rsid w:val="4A7B576F"/>
    <w:rsid w:val="4A835FE1"/>
    <w:rsid w:val="4A8C758B"/>
    <w:rsid w:val="4AA91EEB"/>
    <w:rsid w:val="4AAE12AF"/>
    <w:rsid w:val="4AB34B18"/>
    <w:rsid w:val="4AB81412"/>
    <w:rsid w:val="4AB83EDC"/>
    <w:rsid w:val="4ABD43B0"/>
    <w:rsid w:val="4AC46D25"/>
    <w:rsid w:val="4ACE54AE"/>
    <w:rsid w:val="4AD14F9E"/>
    <w:rsid w:val="4AE42F23"/>
    <w:rsid w:val="4AF01B03"/>
    <w:rsid w:val="4AF561A9"/>
    <w:rsid w:val="4AF60EA8"/>
    <w:rsid w:val="4B1530DD"/>
    <w:rsid w:val="4B337A07"/>
    <w:rsid w:val="4B345FB1"/>
    <w:rsid w:val="4B5A4F93"/>
    <w:rsid w:val="4B692D16"/>
    <w:rsid w:val="4B775B45"/>
    <w:rsid w:val="4B8F4955"/>
    <w:rsid w:val="4B90799F"/>
    <w:rsid w:val="4B9304A5"/>
    <w:rsid w:val="4B9506C1"/>
    <w:rsid w:val="4B9A1834"/>
    <w:rsid w:val="4BB2183B"/>
    <w:rsid w:val="4BB87F0C"/>
    <w:rsid w:val="4BBD5522"/>
    <w:rsid w:val="4BC13264"/>
    <w:rsid w:val="4BC30D8B"/>
    <w:rsid w:val="4BDB2578"/>
    <w:rsid w:val="4C043151"/>
    <w:rsid w:val="4C0A4C0B"/>
    <w:rsid w:val="4C15535E"/>
    <w:rsid w:val="4C1635B0"/>
    <w:rsid w:val="4C2271A7"/>
    <w:rsid w:val="4C2D4456"/>
    <w:rsid w:val="4C2F01CE"/>
    <w:rsid w:val="4C497047"/>
    <w:rsid w:val="4C4A0649"/>
    <w:rsid w:val="4C4C5224"/>
    <w:rsid w:val="4C5B5467"/>
    <w:rsid w:val="4C716A38"/>
    <w:rsid w:val="4C786019"/>
    <w:rsid w:val="4C7E5ECA"/>
    <w:rsid w:val="4C876AA5"/>
    <w:rsid w:val="4C983FC5"/>
    <w:rsid w:val="4CB00C05"/>
    <w:rsid w:val="4CC27513"/>
    <w:rsid w:val="4CD858AC"/>
    <w:rsid w:val="4CD9638C"/>
    <w:rsid w:val="4CE67907"/>
    <w:rsid w:val="4CEA67EB"/>
    <w:rsid w:val="4CF51418"/>
    <w:rsid w:val="4CF66F3E"/>
    <w:rsid w:val="4CFB342A"/>
    <w:rsid w:val="4D0E00FB"/>
    <w:rsid w:val="4D0E24D9"/>
    <w:rsid w:val="4D1608A4"/>
    <w:rsid w:val="4D176606"/>
    <w:rsid w:val="4D36558C"/>
    <w:rsid w:val="4D3D691B"/>
    <w:rsid w:val="4D485708"/>
    <w:rsid w:val="4D4E28D6"/>
    <w:rsid w:val="4D5636C2"/>
    <w:rsid w:val="4D565246"/>
    <w:rsid w:val="4D6D36A4"/>
    <w:rsid w:val="4D7820B1"/>
    <w:rsid w:val="4D7A191D"/>
    <w:rsid w:val="4D9549A9"/>
    <w:rsid w:val="4DA60964"/>
    <w:rsid w:val="4DAB7D28"/>
    <w:rsid w:val="4DB82445"/>
    <w:rsid w:val="4DEC4FB0"/>
    <w:rsid w:val="4DF27705"/>
    <w:rsid w:val="4E041280"/>
    <w:rsid w:val="4E075D8A"/>
    <w:rsid w:val="4E0D2791"/>
    <w:rsid w:val="4E165AE9"/>
    <w:rsid w:val="4E3C4E24"/>
    <w:rsid w:val="4E473EF5"/>
    <w:rsid w:val="4E571C5E"/>
    <w:rsid w:val="4E6F6FA8"/>
    <w:rsid w:val="4E740A62"/>
    <w:rsid w:val="4E810A89"/>
    <w:rsid w:val="4E8A2033"/>
    <w:rsid w:val="4E8C15C7"/>
    <w:rsid w:val="4E8D5680"/>
    <w:rsid w:val="4E992277"/>
    <w:rsid w:val="4EC00FAD"/>
    <w:rsid w:val="4ED17C62"/>
    <w:rsid w:val="4EDB4732"/>
    <w:rsid w:val="4EDD03B5"/>
    <w:rsid w:val="4EEC05F8"/>
    <w:rsid w:val="4EEE2A3C"/>
    <w:rsid w:val="4F045E2D"/>
    <w:rsid w:val="4F1813ED"/>
    <w:rsid w:val="4F224610"/>
    <w:rsid w:val="4F244236"/>
    <w:rsid w:val="4F293E29"/>
    <w:rsid w:val="4F4E3061"/>
    <w:rsid w:val="4F5148FF"/>
    <w:rsid w:val="4F541CA3"/>
    <w:rsid w:val="4F5C783F"/>
    <w:rsid w:val="4F64710F"/>
    <w:rsid w:val="4F7423AB"/>
    <w:rsid w:val="4F754A92"/>
    <w:rsid w:val="4F7903EF"/>
    <w:rsid w:val="4F912F4E"/>
    <w:rsid w:val="4F936CC6"/>
    <w:rsid w:val="4F9667B6"/>
    <w:rsid w:val="4F9843DC"/>
    <w:rsid w:val="4FAB04B3"/>
    <w:rsid w:val="4FC4501C"/>
    <w:rsid w:val="4FC62A8C"/>
    <w:rsid w:val="4FE20F0D"/>
    <w:rsid w:val="4FE51552"/>
    <w:rsid w:val="4FE90FDC"/>
    <w:rsid w:val="50075DA1"/>
    <w:rsid w:val="500F1150"/>
    <w:rsid w:val="50137E07"/>
    <w:rsid w:val="501C7C09"/>
    <w:rsid w:val="503264DF"/>
    <w:rsid w:val="50342257"/>
    <w:rsid w:val="503C735D"/>
    <w:rsid w:val="50413F78"/>
    <w:rsid w:val="50480EA7"/>
    <w:rsid w:val="50504C4B"/>
    <w:rsid w:val="5054731E"/>
    <w:rsid w:val="507E34D2"/>
    <w:rsid w:val="50903205"/>
    <w:rsid w:val="509C6E7C"/>
    <w:rsid w:val="50A849F3"/>
    <w:rsid w:val="50AA42C7"/>
    <w:rsid w:val="50B1791F"/>
    <w:rsid w:val="50C636F7"/>
    <w:rsid w:val="50C80BF1"/>
    <w:rsid w:val="50D157DE"/>
    <w:rsid w:val="50D61560"/>
    <w:rsid w:val="50DA6C25"/>
    <w:rsid w:val="50E13A61"/>
    <w:rsid w:val="50E21CB3"/>
    <w:rsid w:val="50F11EF6"/>
    <w:rsid w:val="50F330D4"/>
    <w:rsid w:val="50F660E5"/>
    <w:rsid w:val="5107796B"/>
    <w:rsid w:val="510D0FC2"/>
    <w:rsid w:val="51121E6C"/>
    <w:rsid w:val="512027DB"/>
    <w:rsid w:val="51330760"/>
    <w:rsid w:val="51451264"/>
    <w:rsid w:val="51491D32"/>
    <w:rsid w:val="51510BE7"/>
    <w:rsid w:val="5153495F"/>
    <w:rsid w:val="51595CED"/>
    <w:rsid w:val="5162104E"/>
    <w:rsid w:val="517234D1"/>
    <w:rsid w:val="51752B27"/>
    <w:rsid w:val="518920CE"/>
    <w:rsid w:val="5193092D"/>
    <w:rsid w:val="51A056CA"/>
    <w:rsid w:val="51A514F5"/>
    <w:rsid w:val="51B33605"/>
    <w:rsid w:val="51B760F6"/>
    <w:rsid w:val="51BC69A8"/>
    <w:rsid w:val="51C306A9"/>
    <w:rsid w:val="51C6309D"/>
    <w:rsid w:val="51CF5C6B"/>
    <w:rsid w:val="51D03119"/>
    <w:rsid w:val="51DB6702"/>
    <w:rsid w:val="51E63A25"/>
    <w:rsid w:val="51F223CA"/>
    <w:rsid w:val="51F31C9E"/>
    <w:rsid w:val="51F7178E"/>
    <w:rsid w:val="52027881"/>
    <w:rsid w:val="521C002A"/>
    <w:rsid w:val="523A18EA"/>
    <w:rsid w:val="525070F0"/>
    <w:rsid w:val="525C7843"/>
    <w:rsid w:val="526037D7"/>
    <w:rsid w:val="52635075"/>
    <w:rsid w:val="52636E23"/>
    <w:rsid w:val="527728CF"/>
    <w:rsid w:val="527F652B"/>
    <w:rsid w:val="528F5E6A"/>
    <w:rsid w:val="52A5743C"/>
    <w:rsid w:val="52CB49C9"/>
    <w:rsid w:val="52CD6D59"/>
    <w:rsid w:val="52DA5D9C"/>
    <w:rsid w:val="52F757BE"/>
    <w:rsid w:val="530C3017"/>
    <w:rsid w:val="531540A5"/>
    <w:rsid w:val="531B7376"/>
    <w:rsid w:val="53234805"/>
    <w:rsid w:val="53265EE4"/>
    <w:rsid w:val="533E5903"/>
    <w:rsid w:val="53530C46"/>
    <w:rsid w:val="5354676C"/>
    <w:rsid w:val="53585AF8"/>
    <w:rsid w:val="5361397A"/>
    <w:rsid w:val="53715570"/>
    <w:rsid w:val="537806AC"/>
    <w:rsid w:val="537F7C8D"/>
    <w:rsid w:val="538E7D26"/>
    <w:rsid w:val="53972848"/>
    <w:rsid w:val="539D6365"/>
    <w:rsid w:val="53A039CC"/>
    <w:rsid w:val="53A1505A"/>
    <w:rsid w:val="53AC6661"/>
    <w:rsid w:val="53B35B89"/>
    <w:rsid w:val="53B82429"/>
    <w:rsid w:val="53BA1261"/>
    <w:rsid w:val="53C733E2"/>
    <w:rsid w:val="53FA7313"/>
    <w:rsid w:val="54063E08"/>
    <w:rsid w:val="54086B32"/>
    <w:rsid w:val="540F56E9"/>
    <w:rsid w:val="541128AF"/>
    <w:rsid w:val="542B7F95"/>
    <w:rsid w:val="543437E8"/>
    <w:rsid w:val="543A0058"/>
    <w:rsid w:val="543A1E06"/>
    <w:rsid w:val="545A24A8"/>
    <w:rsid w:val="545A4256"/>
    <w:rsid w:val="545F7ABE"/>
    <w:rsid w:val="546155E5"/>
    <w:rsid w:val="546832F7"/>
    <w:rsid w:val="547D6C5E"/>
    <w:rsid w:val="547F3CBD"/>
    <w:rsid w:val="549E4143"/>
    <w:rsid w:val="54A05D21"/>
    <w:rsid w:val="54B75204"/>
    <w:rsid w:val="54BC6A3F"/>
    <w:rsid w:val="54C16083"/>
    <w:rsid w:val="54C975BA"/>
    <w:rsid w:val="54F16968"/>
    <w:rsid w:val="54F73313"/>
    <w:rsid w:val="54F80955"/>
    <w:rsid w:val="550146D2"/>
    <w:rsid w:val="550D504A"/>
    <w:rsid w:val="55173EF5"/>
    <w:rsid w:val="55376345"/>
    <w:rsid w:val="553C395C"/>
    <w:rsid w:val="5540344C"/>
    <w:rsid w:val="55466806"/>
    <w:rsid w:val="554C1DF1"/>
    <w:rsid w:val="555170A7"/>
    <w:rsid w:val="556A04C9"/>
    <w:rsid w:val="556C3E3B"/>
    <w:rsid w:val="556F73C3"/>
    <w:rsid w:val="55711857"/>
    <w:rsid w:val="55794BB0"/>
    <w:rsid w:val="5587536D"/>
    <w:rsid w:val="559317CE"/>
    <w:rsid w:val="55936BA1"/>
    <w:rsid w:val="55990DAE"/>
    <w:rsid w:val="559B174B"/>
    <w:rsid w:val="559D64D2"/>
    <w:rsid w:val="55A0213D"/>
    <w:rsid w:val="55C061A9"/>
    <w:rsid w:val="55CE0CF4"/>
    <w:rsid w:val="55CE2806"/>
    <w:rsid w:val="55CE6CAA"/>
    <w:rsid w:val="55D342C0"/>
    <w:rsid w:val="55DD513F"/>
    <w:rsid w:val="55E02539"/>
    <w:rsid w:val="55E6461A"/>
    <w:rsid w:val="55F14746"/>
    <w:rsid w:val="55FA0F2C"/>
    <w:rsid w:val="56030062"/>
    <w:rsid w:val="56156687"/>
    <w:rsid w:val="561641AD"/>
    <w:rsid w:val="56196483"/>
    <w:rsid w:val="561C5C67"/>
    <w:rsid w:val="56252C91"/>
    <w:rsid w:val="56332C65"/>
    <w:rsid w:val="56337B86"/>
    <w:rsid w:val="563C00B7"/>
    <w:rsid w:val="56407A11"/>
    <w:rsid w:val="56446CFB"/>
    <w:rsid w:val="565076BF"/>
    <w:rsid w:val="56554CD5"/>
    <w:rsid w:val="56794E67"/>
    <w:rsid w:val="567A0BDF"/>
    <w:rsid w:val="567D42C2"/>
    <w:rsid w:val="56847368"/>
    <w:rsid w:val="568850AA"/>
    <w:rsid w:val="568C2E6B"/>
    <w:rsid w:val="568D26C1"/>
    <w:rsid w:val="568D516B"/>
    <w:rsid w:val="5694034B"/>
    <w:rsid w:val="569D042A"/>
    <w:rsid w:val="56AE58D0"/>
    <w:rsid w:val="56B22A9C"/>
    <w:rsid w:val="56B527FF"/>
    <w:rsid w:val="56B91708"/>
    <w:rsid w:val="56D45E7D"/>
    <w:rsid w:val="56F049FE"/>
    <w:rsid w:val="56F04AF3"/>
    <w:rsid w:val="56F51A31"/>
    <w:rsid w:val="570D1A54"/>
    <w:rsid w:val="57212E09"/>
    <w:rsid w:val="57295D0E"/>
    <w:rsid w:val="572C3BBB"/>
    <w:rsid w:val="573131FD"/>
    <w:rsid w:val="573C5E95"/>
    <w:rsid w:val="573D68B9"/>
    <w:rsid w:val="57435475"/>
    <w:rsid w:val="574B7E86"/>
    <w:rsid w:val="576158FB"/>
    <w:rsid w:val="57697C3F"/>
    <w:rsid w:val="576C30D0"/>
    <w:rsid w:val="57713D91"/>
    <w:rsid w:val="57827D4C"/>
    <w:rsid w:val="57835872"/>
    <w:rsid w:val="578515EA"/>
    <w:rsid w:val="578D049F"/>
    <w:rsid w:val="578F06BB"/>
    <w:rsid w:val="57914433"/>
    <w:rsid w:val="57A31A70"/>
    <w:rsid w:val="57A50376"/>
    <w:rsid w:val="57AB24DB"/>
    <w:rsid w:val="57AD558C"/>
    <w:rsid w:val="57B72A76"/>
    <w:rsid w:val="57C3426C"/>
    <w:rsid w:val="57CE1F93"/>
    <w:rsid w:val="57EE3CFC"/>
    <w:rsid w:val="580746F5"/>
    <w:rsid w:val="58240E03"/>
    <w:rsid w:val="58334AC7"/>
    <w:rsid w:val="58353010"/>
    <w:rsid w:val="58370398"/>
    <w:rsid w:val="58382B00"/>
    <w:rsid w:val="58403763"/>
    <w:rsid w:val="584D3D82"/>
    <w:rsid w:val="5853793A"/>
    <w:rsid w:val="58596B7D"/>
    <w:rsid w:val="5862382A"/>
    <w:rsid w:val="58692CBA"/>
    <w:rsid w:val="587E01DD"/>
    <w:rsid w:val="587F5993"/>
    <w:rsid w:val="588743D1"/>
    <w:rsid w:val="5887701A"/>
    <w:rsid w:val="589558F5"/>
    <w:rsid w:val="589C308F"/>
    <w:rsid w:val="58A02244"/>
    <w:rsid w:val="58A106A5"/>
    <w:rsid w:val="58A4140A"/>
    <w:rsid w:val="58B71C77"/>
    <w:rsid w:val="58BF0B2C"/>
    <w:rsid w:val="58CE1FC2"/>
    <w:rsid w:val="58D04AE7"/>
    <w:rsid w:val="58D740C7"/>
    <w:rsid w:val="58E80082"/>
    <w:rsid w:val="58EA0DDF"/>
    <w:rsid w:val="58EB13A1"/>
    <w:rsid w:val="58ED5699"/>
    <w:rsid w:val="58F24A5D"/>
    <w:rsid w:val="58F63101"/>
    <w:rsid w:val="58FB75F3"/>
    <w:rsid w:val="590D1897"/>
    <w:rsid w:val="594117BB"/>
    <w:rsid w:val="59477EAF"/>
    <w:rsid w:val="59605D5B"/>
    <w:rsid w:val="596C096E"/>
    <w:rsid w:val="5975743C"/>
    <w:rsid w:val="59814033"/>
    <w:rsid w:val="598C4EB2"/>
    <w:rsid w:val="59AC10B0"/>
    <w:rsid w:val="59C0439F"/>
    <w:rsid w:val="59D32A10"/>
    <w:rsid w:val="59E352E3"/>
    <w:rsid w:val="59E545C2"/>
    <w:rsid w:val="59E738B8"/>
    <w:rsid w:val="59F14D15"/>
    <w:rsid w:val="59FD190B"/>
    <w:rsid w:val="59FD307A"/>
    <w:rsid w:val="5A156FA8"/>
    <w:rsid w:val="5A252C10"/>
    <w:rsid w:val="5A3A2B60"/>
    <w:rsid w:val="5A4237C2"/>
    <w:rsid w:val="5A4526B5"/>
    <w:rsid w:val="5A504131"/>
    <w:rsid w:val="5A5B1C1D"/>
    <w:rsid w:val="5A5F6122"/>
    <w:rsid w:val="5A6220B6"/>
    <w:rsid w:val="5A6F20DD"/>
    <w:rsid w:val="5A7616BE"/>
    <w:rsid w:val="5A783688"/>
    <w:rsid w:val="5A851901"/>
    <w:rsid w:val="5A871B1D"/>
    <w:rsid w:val="5A89319F"/>
    <w:rsid w:val="5A9E4D37"/>
    <w:rsid w:val="5AB521E6"/>
    <w:rsid w:val="5AB75F5E"/>
    <w:rsid w:val="5ABA15AB"/>
    <w:rsid w:val="5ABE2233"/>
    <w:rsid w:val="5AC02939"/>
    <w:rsid w:val="5AC47B41"/>
    <w:rsid w:val="5AC71F19"/>
    <w:rsid w:val="5ACB37B8"/>
    <w:rsid w:val="5AD05272"/>
    <w:rsid w:val="5AE709EC"/>
    <w:rsid w:val="5AF745AD"/>
    <w:rsid w:val="5AF80325"/>
    <w:rsid w:val="5AFD6893"/>
    <w:rsid w:val="5B0B1E06"/>
    <w:rsid w:val="5B0E5D35"/>
    <w:rsid w:val="5B1433B1"/>
    <w:rsid w:val="5B144899"/>
    <w:rsid w:val="5B16743A"/>
    <w:rsid w:val="5B1970D1"/>
    <w:rsid w:val="5B2B24A8"/>
    <w:rsid w:val="5B37709F"/>
    <w:rsid w:val="5B4A5B4F"/>
    <w:rsid w:val="5B501F0F"/>
    <w:rsid w:val="5B5365B0"/>
    <w:rsid w:val="5B667984"/>
    <w:rsid w:val="5B743E4F"/>
    <w:rsid w:val="5B7B4AE6"/>
    <w:rsid w:val="5B841BB9"/>
    <w:rsid w:val="5B8F5593"/>
    <w:rsid w:val="5B922527"/>
    <w:rsid w:val="5B995664"/>
    <w:rsid w:val="5B9E711E"/>
    <w:rsid w:val="5BA81D4B"/>
    <w:rsid w:val="5BAA5AC3"/>
    <w:rsid w:val="5BAD47DE"/>
    <w:rsid w:val="5BB44B12"/>
    <w:rsid w:val="5BBB382C"/>
    <w:rsid w:val="5BC24D1C"/>
    <w:rsid w:val="5BD3501A"/>
    <w:rsid w:val="5BDF5D95"/>
    <w:rsid w:val="5BFB631F"/>
    <w:rsid w:val="5BFE7528"/>
    <w:rsid w:val="5C004550"/>
    <w:rsid w:val="5C1473E0"/>
    <w:rsid w:val="5C163158"/>
    <w:rsid w:val="5C164F06"/>
    <w:rsid w:val="5C367357"/>
    <w:rsid w:val="5C3B4731"/>
    <w:rsid w:val="5C52446F"/>
    <w:rsid w:val="5C5B500F"/>
    <w:rsid w:val="5C6500C4"/>
    <w:rsid w:val="5C68724D"/>
    <w:rsid w:val="5C7406BD"/>
    <w:rsid w:val="5C893F80"/>
    <w:rsid w:val="5C8E3DCD"/>
    <w:rsid w:val="5C91458D"/>
    <w:rsid w:val="5C9212C4"/>
    <w:rsid w:val="5CB3676D"/>
    <w:rsid w:val="5CCA7DBF"/>
    <w:rsid w:val="5CCC4C91"/>
    <w:rsid w:val="5CCD7CBB"/>
    <w:rsid w:val="5CDF354A"/>
    <w:rsid w:val="5D0134C1"/>
    <w:rsid w:val="5D0C00B7"/>
    <w:rsid w:val="5D0C11C7"/>
    <w:rsid w:val="5D0E2082"/>
    <w:rsid w:val="5D24469B"/>
    <w:rsid w:val="5D30024A"/>
    <w:rsid w:val="5D3C274B"/>
    <w:rsid w:val="5D3E3727"/>
    <w:rsid w:val="5D5F28DD"/>
    <w:rsid w:val="5D6C59C3"/>
    <w:rsid w:val="5D777C27"/>
    <w:rsid w:val="5D9205BD"/>
    <w:rsid w:val="5D997B9D"/>
    <w:rsid w:val="5D9A56C3"/>
    <w:rsid w:val="5DB46785"/>
    <w:rsid w:val="5DB83B00"/>
    <w:rsid w:val="5DC6470A"/>
    <w:rsid w:val="5DCB1D21"/>
    <w:rsid w:val="5DD66317"/>
    <w:rsid w:val="5DE51ACA"/>
    <w:rsid w:val="5DFB0858"/>
    <w:rsid w:val="5DFC1D51"/>
    <w:rsid w:val="5E0314BA"/>
    <w:rsid w:val="5E1611EE"/>
    <w:rsid w:val="5E2467F1"/>
    <w:rsid w:val="5E2C6C63"/>
    <w:rsid w:val="5E3B2A02"/>
    <w:rsid w:val="5E452F7B"/>
    <w:rsid w:val="5E4D2736"/>
    <w:rsid w:val="5E544C51"/>
    <w:rsid w:val="5E700844"/>
    <w:rsid w:val="5E7B5612"/>
    <w:rsid w:val="5E7D126D"/>
    <w:rsid w:val="5EA132E2"/>
    <w:rsid w:val="5EB17167"/>
    <w:rsid w:val="5EBE53E1"/>
    <w:rsid w:val="5EC14A97"/>
    <w:rsid w:val="5EDA046D"/>
    <w:rsid w:val="5EEF3A43"/>
    <w:rsid w:val="5EF744B5"/>
    <w:rsid w:val="5EFA28BD"/>
    <w:rsid w:val="5EFD0600"/>
    <w:rsid w:val="5EFF047B"/>
    <w:rsid w:val="5F0059FA"/>
    <w:rsid w:val="5F1A2B43"/>
    <w:rsid w:val="5F2E2567"/>
    <w:rsid w:val="5F2E6828"/>
    <w:rsid w:val="5F37766E"/>
    <w:rsid w:val="5F4725B8"/>
    <w:rsid w:val="5F4955F3"/>
    <w:rsid w:val="5F593A88"/>
    <w:rsid w:val="5F5C5FB8"/>
    <w:rsid w:val="5F6124AF"/>
    <w:rsid w:val="5F6474FD"/>
    <w:rsid w:val="5F6B37BB"/>
    <w:rsid w:val="5F7A39FE"/>
    <w:rsid w:val="5F7C32D2"/>
    <w:rsid w:val="5F896220"/>
    <w:rsid w:val="5F8B1768"/>
    <w:rsid w:val="5F925B11"/>
    <w:rsid w:val="5FA32F55"/>
    <w:rsid w:val="5FB837BB"/>
    <w:rsid w:val="5FBE38EB"/>
    <w:rsid w:val="5FC133DB"/>
    <w:rsid w:val="5FC52ECB"/>
    <w:rsid w:val="5FCC1FAC"/>
    <w:rsid w:val="5FD56E87"/>
    <w:rsid w:val="5FDA624B"/>
    <w:rsid w:val="5FDB04D8"/>
    <w:rsid w:val="5FDC03E0"/>
    <w:rsid w:val="5FE62E42"/>
    <w:rsid w:val="5FF11F12"/>
    <w:rsid w:val="5FF732A1"/>
    <w:rsid w:val="5FF75E46"/>
    <w:rsid w:val="600D3B89"/>
    <w:rsid w:val="600F3BC5"/>
    <w:rsid w:val="601D461E"/>
    <w:rsid w:val="60454C9A"/>
    <w:rsid w:val="60455DBA"/>
    <w:rsid w:val="604662CE"/>
    <w:rsid w:val="60471B32"/>
    <w:rsid w:val="604A517F"/>
    <w:rsid w:val="605129B1"/>
    <w:rsid w:val="605424A1"/>
    <w:rsid w:val="6082700E"/>
    <w:rsid w:val="60883EF9"/>
    <w:rsid w:val="608A1A1F"/>
    <w:rsid w:val="608A1CA5"/>
    <w:rsid w:val="609A7072"/>
    <w:rsid w:val="609D79A4"/>
    <w:rsid w:val="60A725D1"/>
    <w:rsid w:val="60B60A66"/>
    <w:rsid w:val="60C469EE"/>
    <w:rsid w:val="60C56EFB"/>
    <w:rsid w:val="60CC2038"/>
    <w:rsid w:val="60CC405A"/>
    <w:rsid w:val="60CF38D6"/>
    <w:rsid w:val="60DB671F"/>
    <w:rsid w:val="60E76E71"/>
    <w:rsid w:val="60FA6BA5"/>
    <w:rsid w:val="61045C75"/>
    <w:rsid w:val="6106379C"/>
    <w:rsid w:val="6119542D"/>
    <w:rsid w:val="611B4D6D"/>
    <w:rsid w:val="61234CD3"/>
    <w:rsid w:val="612400C6"/>
    <w:rsid w:val="61291238"/>
    <w:rsid w:val="61317B79"/>
    <w:rsid w:val="613F7EC3"/>
    <w:rsid w:val="614147D4"/>
    <w:rsid w:val="61414AD6"/>
    <w:rsid w:val="614442C4"/>
    <w:rsid w:val="61481727"/>
    <w:rsid w:val="615564D1"/>
    <w:rsid w:val="61684974"/>
    <w:rsid w:val="61691F7C"/>
    <w:rsid w:val="616B35FF"/>
    <w:rsid w:val="618C17C7"/>
    <w:rsid w:val="61AD00BB"/>
    <w:rsid w:val="61AD1E69"/>
    <w:rsid w:val="61B431F8"/>
    <w:rsid w:val="61BF1B9C"/>
    <w:rsid w:val="61BF7DEE"/>
    <w:rsid w:val="61C827FF"/>
    <w:rsid w:val="61C930FF"/>
    <w:rsid w:val="61CC20BB"/>
    <w:rsid w:val="61CD6067"/>
    <w:rsid w:val="61D54F1C"/>
    <w:rsid w:val="61E215D8"/>
    <w:rsid w:val="61ED6709"/>
    <w:rsid w:val="61F25ACE"/>
    <w:rsid w:val="621041A6"/>
    <w:rsid w:val="621B3775"/>
    <w:rsid w:val="621C0D9D"/>
    <w:rsid w:val="62364782"/>
    <w:rsid w:val="62426A55"/>
    <w:rsid w:val="62526006"/>
    <w:rsid w:val="625E3163"/>
    <w:rsid w:val="6271733B"/>
    <w:rsid w:val="629D1EDE"/>
    <w:rsid w:val="62A019CE"/>
    <w:rsid w:val="62A3326C"/>
    <w:rsid w:val="62AA0157"/>
    <w:rsid w:val="62B426CA"/>
    <w:rsid w:val="62B66AFB"/>
    <w:rsid w:val="62B92A90"/>
    <w:rsid w:val="62D358FF"/>
    <w:rsid w:val="62D376AD"/>
    <w:rsid w:val="62F15D85"/>
    <w:rsid w:val="62F260C5"/>
    <w:rsid w:val="631A352E"/>
    <w:rsid w:val="631B2E02"/>
    <w:rsid w:val="632048BD"/>
    <w:rsid w:val="6329551F"/>
    <w:rsid w:val="63422443"/>
    <w:rsid w:val="63462575"/>
    <w:rsid w:val="634C56B2"/>
    <w:rsid w:val="634E31D8"/>
    <w:rsid w:val="63500CFE"/>
    <w:rsid w:val="63664ED9"/>
    <w:rsid w:val="637A5D7B"/>
    <w:rsid w:val="637C7D45"/>
    <w:rsid w:val="638D3657"/>
    <w:rsid w:val="6394356A"/>
    <w:rsid w:val="639C2195"/>
    <w:rsid w:val="63B84AF5"/>
    <w:rsid w:val="63BA6A4B"/>
    <w:rsid w:val="63BE65AF"/>
    <w:rsid w:val="63C61B2C"/>
    <w:rsid w:val="63C90AB0"/>
    <w:rsid w:val="63D27965"/>
    <w:rsid w:val="63D40BE9"/>
    <w:rsid w:val="63D86F45"/>
    <w:rsid w:val="63DC6A36"/>
    <w:rsid w:val="63FF2724"/>
    <w:rsid w:val="64102431"/>
    <w:rsid w:val="64107E22"/>
    <w:rsid w:val="64127E15"/>
    <w:rsid w:val="6416019A"/>
    <w:rsid w:val="64185E08"/>
    <w:rsid w:val="64224927"/>
    <w:rsid w:val="642301C1"/>
    <w:rsid w:val="64290917"/>
    <w:rsid w:val="642F3009"/>
    <w:rsid w:val="643423CE"/>
    <w:rsid w:val="643B7C00"/>
    <w:rsid w:val="64405216"/>
    <w:rsid w:val="6477050C"/>
    <w:rsid w:val="64917820"/>
    <w:rsid w:val="649A3A1C"/>
    <w:rsid w:val="64A05CB5"/>
    <w:rsid w:val="64A5243A"/>
    <w:rsid w:val="64A6511C"/>
    <w:rsid w:val="64AC3E47"/>
    <w:rsid w:val="64B74DAD"/>
    <w:rsid w:val="64B902C0"/>
    <w:rsid w:val="64C574CA"/>
    <w:rsid w:val="64CD45D0"/>
    <w:rsid w:val="64CE639C"/>
    <w:rsid w:val="64DA6254"/>
    <w:rsid w:val="64E9765C"/>
    <w:rsid w:val="64F102BF"/>
    <w:rsid w:val="64F360F8"/>
    <w:rsid w:val="64F531DE"/>
    <w:rsid w:val="64F61D79"/>
    <w:rsid w:val="65071890"/>
    <w:rsid w:val="65202952"/>
    <w:rsid w:val="6530163A"/>
    <w:rsid w:val="65373578"/>
    <w:rsid w:val="653B3C30"/>
    <w:rsid w:val="65436640"/>
    <w:rsid w:val="654B3E73"/>
    <w:rsid w:val="65574DC9"/>
    <w:rsid w:val="65757142"/>
    <w:rsid w:val="659868BE"/>
    <w:rsid w:val="6598698C"/>
    <w:rsid w:val="659C46CE"/>
    <w:rsid w:val="65B0017A"/>
    <w:rsid w:val="65B67155"/>
    <w:rsid w:val="65BB267B"/>
    <w:rsid w:val="65BF03BD"/>
    <w:rsid w:val="65C02498"/>
    <w:rsid w:val="65C459D3"/>
    <w:rsid w:val="65D35C16"/>
    <w:rsid w:val="65D74CE7"/>
    <w:rsid w:val="65E05075"/>
    <w:rsid w:val="65E87914"/>
    <w:rsid w:val="66044434"/>
    <w:rsid w:val="662446C4"/>
    <w:rsid w:val="662621EA"/>
    <w:rsid w:val="663302AE"/>
    <w:rsid w:val="663B7F8E"/>
    <w:rsid w:val="664802EF"/>
    <w:rsid w:val="66495ED8"/>
    <w:rsid w:val="6655487D"/>
    <w:rsid w:val="665B6338"/>
    <w:rsid w:val="665E1984"/>
    <w:rsid w:val="665F74AA"/>
    <w:rsid w:val="66676D2D"/>
    <w:rsid w:val="666B5E4F"/>
    <w:rsid w:val="66756CCD"/>
    <w:rsid w:val="6684707D"/>
    <w:rsid w:val="66954647"/>
    <w:rsid w:val="669C24AC"/>
    <w:rsid w:val="66A55805"/>
    <w:rsid w:val="66D73BDC"/>
    <w:rsid w:val="66D9725C"/>
    <w:rsid w:val="66DB1226"/>
    <w:rsid w:val="66E867D7"/>
    <w:rsid w:val="6700022A"/>
    <w:rsid w:val="671B1623"/>
    <w:rsid w:val="671F124A"/>
    <w:rsid w:val="672636AE"/>
    <w:rsid w:val="67277FC8"/>
    <w:rsid w:val="67281F92"/>
    <w:rsid w:val="672C7CD4"/>
    <w:rsid w:val="67317098"/>
    <w:rsid w:val="67342DD7"/>
    <w:rsid w:val="673B3F29"/>
    <w:rsid w:val="673C7B87"/>
    <w:rsid w:val="67584625"/>
    <w:rsid w:val="675D1C3B"/>
    <w:rsid w:val="6760797E"/>
    <w:rsid w:val="67616FAC"/>
    <w:rsid w:val="676254A4"/>
    <w:rsid w:val="677A33C6"/>
    <w:rsid w:val="678278F4"/>
    <w:rsid w:val="67AC671F"/>
    <w:rsid w:val="67AE1CEA"/>
    <w:rsid w:val="67C779FD"/>
    <w:rsid w:val="67C972D1"/>
    <w:rsid w:val="67CD5013"/>
    <w:rsid w:val="67D00572"/>
    <w:rsid w:val="67DF6AF4"/>
    <w:rsid w:val="68010AE0"/>
    <w:rsid w:val="68064081"/>
    <w:rsid w:val="681F6961"/>
    <w:rsid w:val="68336E40"/>
    <w:rsid w:val="683F5EFA"/>
    <w:rsid w:val="68582403"/>
    <w:rsid w:val="685A43CD"/>
    <w:rsid w:val="68610A2F"/>
    <w:rsid w:val="686F60CA"/>
    <w:rsid w:val="687436E1"/>
    <w:rsid w:val="68805514"/>
    <w:rsid w:val="688D47A2"/>
    <w:rsid w:val="6897756F"/>
    <w:rsid w:val="68996CA3"/>
    <w:rsid w:val="689B5F43"/>
    <w:rsid w:val="68A044D6"/>
    <w:rsid w:val="68AB4C28"/>
    <w:rsid w:val="68AF3B46"/>
    <w:rsid w:val="68B00491"/>
    <w:rsid w:val="68B166E3"/>
    <w:rsid w:val="68B41D2F"/>
    <w:rsid w:val="68C3471D"/>
    <w:rsid w:val="68C55CEA"/>
    <w:rsid w:val="68C55FCD"/>
    <w:rsid w:val="68CE384C"/>
    <w:rsid w:val="68D0468F"/>
    <w:rsid w:val="68D979E8"/>
    <w:rsid w:val="68EB3277"/>
    <w:rsid w:val="68EF2D67"/>
    <w:rsid w:val="68F24AF6"/>
    <w:rsid w:val="69034D85"/>
    <w:rsid w:val="69104274"/>
    <w:rsid w:val="69196036"/>
    <w:rsid w:val="691B1DAE"/>
    <w:rsid w:val="691B3B5C"/>
    <w:rsid w:val="692109E6"/>
    <w:rsid w:val="69316E2F"/>
    <w:rsid w:val="693966D8"/>
    <w:rsid w:val="693E784B"/>
    <w:rsid w:val="69435FE9"/>
    <w:rsid w:val="69482477"/>
    <w:rsid w:val="694A4441"/>
    <w:rsid w:val="694E2071"/>
    <w:rsid w:val="694F48C3"/>
    <w:rsid w:val="69567D33"/>
    <w:rsid w:val="69586B5E"/>
    <w:rsid w:val="69653029"/>
    <w:rsid w:val="6969287D"/>
    <w:rsid w:val="696A6892"/>
    <w:rsid w:val="69725F19"/>
    <w:rsid w:val="69766163"/>
    <w:rsid w:val="697A3B33"/>
    <w:rsid w:val="69821E2D"/>
    <w:rsid w:val="69836B84"/>
    <w:rsid w:val="698B4C95"/>
    <w:rsid w:val="69AF3217"/>
    <w:rsid w:val="69B1626F"/>
    <w:rsid w:val="69B30239"/>
    <w:rsid w:val="69D44760"/>
    <w:rsid w:val="69DA7573"/>
    <w:rsid w:val="69E43118"/>
    <w:rsid w:val="69E91EAC"/>
    <w:rsid w:val="69EB79D2"/>
    <w:rsid w:val="69EC54F9"/>
    <w:rsid w:val="69F85C4B"/>
    <w:rsid w:val="6A022F6E"/>
    <w:rsid w:val="6A0942FC"/>
    <w:rsid w:val="6A107439"/>
    <w:rsid w:val="6A1A02B8"/>
    <w:rsid w:val="6A2E78BF"/>
    <w:rsid w:val="6A334ED5"/>
    <w:rsid w:val="6A3A2708"/>
    <w:rsid w:val="6A3D5D54"/>
    <w:rsid w:val="6A425119"/>
    <w:rsid w:val="6A466ADA"/>
    <w:rsid w:val="6A48145B"/>
    <w:rsid w:val="6A4B0471"/>
    <w:rsid w:val="6A4B66C3"/>
    <w:rsid w:val="6A4D243B"/>
    <w:rsid w:val="6A4D41E9"/>
    <w:rsid w:val="6A513BED"/>
    <w:rsid w:val="6A520EC7"/>
    <w:rsid w:val="6A674B7F"/>
    <w:rsid w:val="6A731776"/>
    <w:rsid w:val="6A7D43A3"/>
    <w:rsid w:val="6A8B6AC0"/>
    <w:rsid w:val="6A90057A"/>
    <w:rsid w:val="6A94006A"/>
    <w:rsid w:val="6A9516EC"/>
    <w:rsid w:val="6A95793E"/>
    <w:rsid w:val="6AA03569"/>
    <w:rsid w:val="6AA162E3"/>
    <w:rsid w:val="6AB04778"/>
    <w:rsid w:val="6AB4579C"/>
    <w:rsid w:val="6AC326FD"/>
    <w:rsid w:val="6AE663EC"/>
    <w:rsid w:val="6AF01018"/>
    <w:rsid w:val="6AF87E20"/>
    <w:rsid w:val="6AFE3735"/>
    <w:rsid w:val="6B005CDC"/>
    <w:rsid w:val="6B040620"/>
    <w:rsid w:val="6B15282D"/>
    <w:rsid w:val="6B3158B9"/>
    <w:rsid w:val="6B322639"/>
    <w:rsid w:val="6B3811CB"/>
    <w:rsid w:val="6B3B6738"/>
    <w:rsid w:val="6B4A697B"/>
    <w:rsid w:val="6B655563"/>
    <w:rsid w:val="6B685053"/>
    <w:rsid w:val="6B767770"/>
    <w:rsid w:val="6B8005EE"/>
    <w:rsid w:val="6B811C71"/>
    <w:rsid w:val="6B9876E6"/>
    <w:rsid w:val="6BA22313"/>
    <w:rsid w:val="6BA53054"/>
    <w:rsid w:val="6BB27B85"/>
    <w:rsid w:val="6BBF2EC5"/>
    <w:rsid w:val="6BD44496"/>
    <w:rsid w:val="6BDF70C3"/>
    <w:rsid w:val="6C026E9C"/>
    <w:rsid w:val="6C092392"/>
    <w:rsid w:val="6C101972"/>
    <w:rsid w:val="6C1C49E1"/>
    <w:rsid w:val="6C2471CC"/>
    <w:rsid w:val="6C272818"/>
    <w:rsid w:val="6C276CBC"/>
    <w:rsid w:val="6C2E2F51"/>
    <w:rsid w:val="6C2F0215"/>
    <w:rsid w:val="6C3D028D"/>
    <w:rsid w:val="6C3E3329"/>
    <w:rsid w:val="6C636C38"/>
    <w:rsid w:val="6C727F37"/>
    <w:rsid w:val="6C735A5D"/>
    <w:rsid w:val="6C7D68DC"/>
    <w:rsid w:val="6C944351"/>
    <w:rsid w:val="6C9500C9"/>
    <w:rsid w:val="6C983AD9"/>
    <w:rsid w:val="6CA66D11"/>
    <w:rsid w:val="6CBA457B"/>
    <w:rsid w:val="6CBE13CE"/>
    <w:rsid w:val="6CBF0CA2"/>
    <w:rsid w:val="6CC241C4"/>
    <w:rsid w:val="6CCB3AEB"/>
    <w:rsid w:val="6CD10828"/>
    <w:rsid w:val="6CD97FB6"/>
    <w:rsid w:val="6CEC0037"/>
    <w:rsid w:val="6CF84E59"/>
    <w:rsid w:val="6CFA617E"/>
    <w:rsid w:val="6D0112BB"/>
    <w:rsid w:val="6D1E3C1B"/>
    <w:rsid w:val="6D284A9A"/>
    <w:rsid w:val="6D2A08D5"/>
    <w:rsid w:val="6D512242"/>
    <w:rsid w:val="6D566C13"/>
    <w:rsid w:val="6D5C4209"/>
    <w:rsid w:val="6D611D5A"/>
    <w:rsid w:val="6D6D06FE"/>
    <w:rsid w:val="6D733672"/>
    <w:rsid w:val="6D793547"/>
    <w:rsid w:val="6D901DEE"/>
    <w:rsid w:val="6DAC7BC8"/>
    <w:rsid w:val="6DB34098"/>
    <w:rsid w:val="6DB36A59"/>
    <w:rsid w:val="6DB545B6"/>
    <w:rsid w:val="6DC02F24"/>
    <w:rsid w:val="6DC20A4A"/>
    <w:rsid w:val="6DCF4F15"/>
    <w:rsid w:val="6DDB1B0C"/>
    <w:rsid w:val="6DE02FB4"/>
    <w:rsid w:val="6DE67331"/>
    <w:rsid w:val="6E027099"/>
    <w:rsid w:val="6E0C6169"/>
    <w:rsid w:val="6E0F17B6"/>
    <w:rsid w:val="6E14501E"/>
    <w:rsid w:val="6E146DCC"/>
    <w:rsid w:val="6E1804E6"/>
    <w:rsid w:val="6E1A123E"/>
    <w:rsid w:val="6E1B015A"/>
    <w:rsid w:val="6E1E24BD"/>
    <w:rsid w:val="6E25722B"/>
    <w:rsid w:val="6E301E58"/>
    <w:rsid w:val="6E3A1C14"/>
    <w:rsid w:val="6E3F7222"/>
    <w:rsid w:val="6E412457"/>
    <w:rsid w:val="6E46167B"/>
    <w:rsid w:val="6E473E9E"/>
    <w:rsid w:val="6E4E2FDB"/>
    <w:rsid w:val="6E4E6782"/>
    <w:rsid w:val="6E514CED"/>
    <w:rsid w:val="6E5C415A"/>
    <w:rsid w:val="6E755ABD"/>
    <w:rsid w:val="6E841359"/>
    <w:rsid w:val="6E8E6B7E"/>
    <w:rsid w:val="6E957F0D"/>
    <w:rsid w:val="6EA2262A"/>
    <w:rsid w:val="6EA52E3A"/>
    <w:rsid w:val="6EAB14DE"/>
    <w:rsid w:val="6EB5308F"/>
    <w:rsid w:val="6EB563D5"/>
    <w:rsid w:val="6EBA7973"/>
    <w:rsid w:val="6EC16F54"/>
    <w:rsid w:val="6EC24A7A"/>
    <w:rsid w:val="6ECB4795"/>
    <w:rsid w:val="6ECC0578"/>
    <w:rsid w:val="6ED8604B"/>
    <w:rsid w:val="6ED91271"/>
    <w:rsid w:val="6ED92677"/>
    <w:rsid w:val="6EDA0016"/>
    <w:rsid w:val="6EE669BA"/>
    <w:rsid w:val="6EE71853"/>
    <w:rsid w:val="6EEE586F"/>
    <w:rsid w:val="6EF07839"/>
    <w:rsid w:val="6EF530A1"/>
    <w:rsid w:val="6F074469"/>
    <w:rsid w:val="6F0926A9"/>
    <w:rsid w:val="6F0A0AD3"/>
    <w:rsid w:val="6F135451"/>
    <w:rsid w:val="6F174DC6"/>
    <w:rsid w:val="6F225983"/>
    <w:rsid w:val="6F383CBE"/>
    <w:rsid w:val="6F3A0AB4"/>
    <w:rsid w:val="6F4251EF"/>
    <w:rsid w:val="6F437969"/>
    <w:rsid w:val="6F467459"/>
    <w:rsid w:val="6F4A333A"/>
    <w:rsid w:val="6F513CB1"/>
    <w:rsid w:val="6F525DFE"/>
    <w:rsid w:val="6F5A2F04"/>
    <w:rsid w:val="6F997ED1"/>
    <w:rsid w:val="6FA51ACE"/>
    <w:rsid w:val="6FA7614A"/>
    <w:rsid w:val="6FC15127"/>
    <w:rsid w:val="6FC50CC6"/>
    <w:rsid w:val="6FFC5590"/>
    <w:rsid w:val="70271038"/>
    <w:rsid w:val="705C333F"/>
    <w:rsid w:val="70666005"/>
    <w:rsid w:val="706D1DD0"/>
    <w:rsid w:val="7080699B"/>
    <w:rsid w:val="70856B87"/>
    <w:rsid w:val="70A72179"/>
    <w:rsid w:val="70C60851"/>
    <w:rsid w:val="70C66AA3"/>
    <w:rsid w:val="70CB230C"/>
    <w:rsid w:val="70D50A94"/>
    <w:rsid w:val="70D527EE"/>
    <w:rsid w:val="70D867D7"/>
    <w:rsid w:val="70DD1E39"/>
    <w:rsid w:val="70DE203F"/>
    <w:rsid w:val="70EA3307"/>
    <w:rsid w:val="70EB475C"/>
    <w:rsid w:val="70EC5626"/>
    <w:rsid w:val="70F125D6"/>
    <w:rsid w:val="70F27898"/>
    <w:rsid w:val="70F84925"/>
    <w:rsid w:val="711A294B"/>
    <w:rsid w:val="711F7F62"/>
    <w:rsid w:val="71202BA5"/>
    <w:rsid w:val="71257ACF"/>
    <w:rsid w:val="713A123F"/>
    <w:rsid w:val="713A6AF4"/>
    <w:rsid w:val="7140674B"/>
    <w:rsid w:val="714874B8"/>
    <w:rsid w:val="714A76D4"/>
    <w:rsid w:val="715144B4"/>
    <w:rsid w:val="715B5300"/>
    <w:rsid w:val="716D33C3"/>
    <w:rsid w:val="717464FF"/>
    <w:rsid w:val="71792BF4"/>
    <w:rsid w:val="717C7162"/>
    <w:rsid w:val="7189187F"/>
    <w:rsid w:val="718C1A9B"/>
    <w:rsid w:val="71950224"/>
    <w:rsid w:val="71B44B4E"/>
    <w:rsid w:val="71BE777B"/>
    <w:rsid w:val="71C22401"/>
    <w:rsid w:val="71CE718C"/>
    <w:rsid w:val="71CF7BDA"/>
    <w:rsid w:val="71D27F8A"/>
    <w:rsid w:val="71D64AC4"/>
    <w:rsid w:val="71D90A58"/>
    <w:rsid w:val="71DC40A5"/>
    <w:rsid w:val="720F7FD6"/>
    <w:rsid w:val="721F290F"/>
    <w:rsid w:val="72255A4C"/>
    <w:rsid w:val="723978A8"/>
    <w:rsid w:val="724E257A"/>
    <w:rsid w:val="72553024"/>
    <w:rsid w:val="725A3947"/>
    <w:rsid w:val="725B2B9B"/>
    <w:rsid w:val="725E4ABA"/>
    <w:rsid w:val="726301BA"/>
    <w:rsid w:val="727B156D"/>
    <w:rsid w:val="727E3CE5"/>
    <w:rsid w:val="72824C4C"/>
    <w:rsid w:val="72987FCC"/>
    <w:rsid w:val="729C3F60"/>
    <w:rsid w:val="72A2709C"/>
    <w:rsid w:val="72CB66EC"/>
    <w:rsid w:val="72D27981"/>
    <w:rsid w:val="72FD6976"/>
    <w:rsid w:val="730E028E"/>
    <w:rsid w:val="73122968"/>
    <w:rsid w:val="731F5D5E"/>
    <w:rsid w:val="732E26DE"/>
    <w:rsid w:val="733221CE"/>
    <w:rsid w:val="734B3290"/>
    <w:rsid w:val="735743F6"/>
    <w:rsid w:val="73612AB3"/>
    <w:rsid w:val="73853978"/>
    <w:rsid w:val="73AB01D2"/>
    <w:rsid w:val="73B07597"/>
    <w:rsid w:val="73BA21C4"/>
    <w:rsid w:val="73C51AD5"/>
    <w:rsid w:val="73C848E1"/>
    <w:rsid w:val="740A4EF9"/>
    <w:rsid w:val="741E793C"/>
    <w:rsid w:val="74381A66"/>
    <w:rsid w:val="74510BC5"/>
    <w:rsid w:val="745E3944"/>
    <w:rsid w:val="74673E70"/>
    <w:rsid w:val="7472484C"/>
    <w:rsid w:val="747B1953"/>
    <w:rsid w:val="748051BB"/>
    <w:rsid w:val="74890514"/>
    <w:rsid w:val="748A6630"/>
    <w:rsid w:val="74982505"/>
    <w:rsid w:val="74A569D0"/>
    <w:rsid w:val="74A94475"/>
    <w:rsid w:val="74B041AC"/>
    <w:rsid w:val="74B44EC7"/>
    <w:rsid w:val="74B530B7"/>
    <w:rsid w:val="74B66E2F"/>
    <w:rsid w:val="74BB5B1E"/>
    <w:rsid w:val="74C94DB4"/>
    <w:rsid w:val="74D3353D"/>
    <w:rsid w:val="74D55507"/>
    <w:rsid w:val="74DA48CB"/>
    <w:rsid w:val="74DC4AE7"/>
    <w:rsid w:val="74DF1EE2"/>
    <w:rsid w:val="74E41BEE"/>
    <w:rsid w:val="74F17E67"/>
    <w:rsid w:val="74FE15AB"/>
    <w:rsid w:val="75134281"/>
    <w:rsid w:val="752D650F"/>
    <w:rsid w:val="753B10E2"/>
    <w:rsid w:val="753F6E24"/>
    <w:rsid w:val="75457202"/>
    <w:rsid w:val="754C0670"/>
    <w:rsid w:val="754E52B9"/>
    <w:rsid w:val="755A5A0C"/>
    <w:rsid w:val="75662603"/>
    <w:rsid w:val="75824E12"/>
    <w:rsid w:val="7592164A"/>
    <w:rsid w:val="75952EE8"/>
    <w:rsid w:val="75A44ED9"/>
    <w:rsid w:val="75B07D22"/>
    <w:rsid w:val="75CA545C"/>
    <w:rsid w:val="75D2632D"/>
    <w:rsid w:val="75F75951"/>
    <w:rsid w:val="75FE5C0C"/>
    <w:rsid w:val="760F4A49"/>
    <w:rsid w:val="76261D92"/>
    <w:rsid w:val="76277FE4"/>
    <w:rsid w:val="762F0C47"/>
    <w:rsid w:val="7635099D"/>
    <w:rsid w:val="763B575E"/>
    <w:rsid w:val="765039BD"/>
    <w:rsid w:val="76524935"/>
    <w:rsid w:val="765661D4"/>
    <w:rsid w:val="766052A4"/>
    <w:rsid w:val="767E1BCE"/>
    <w:rsid w:val="7681158E"/>
    <w:rsid w:val="7682521B"/>
    <w:rsid w:val="768D4D1F"/>
    <w:rsid w:val="769211D6"/>
    <w:rsid w:val="769E5415"/>
    <w:rsid w:val="76A2766B"/>
    <w:rsid w:val="76AF3B36"/>
    <w:rsid w:val="76BD471F"/>
    <w:rsid w:val="76C738D8"/>
    <w:rsid w:val="76CF5F86"/>
    <w:rsid w:val="76E934EC"/>
    <w:rsid w:val="76EB1A60"/>
    <w:rsid w:val="76EF2922"/>
    <w:rsid w:val="76F24FF3"/>
    <w:rsid w:val="771147F0"/>
    <w:rsid w:val="7718592D"/>
    <w:rsid w:val="772B7660"/>
    <w:rsid w:val="772E227A"/>
    <w:rsid w:val="7731279D"/>
    <w:rsid w:val="773D3837"/>
    <w:rsid w:val="774B1AB0"/>
    <w:rsid w:val="774E15A1"/>
    <w:rsid w:val="7750356B"/>
    <w:rsid w:val="77560ABE"/>
    <w:rsid w:val="77674410"/>
    <w:rsid w:val="776A0342"/>
    <w:rsid w:val="77762421"/>
    <w:rsid w:val="77894387"/>
    <w:rsid w:val="778969A8"/>
    <w:rsid w:val="779571D0"/>
    <w:rsid w:val="779F1DFC"/>
    <w:rsid w:val="77AC60C5"/>
    <w:rsid w:val="77B2509E"/>
    <w:rsid w:val="77B56B1F"/>
    <w:rsid w:val="77C15580"/>
    <w:rsid w:val="77CE623E"/>
    <w:rsid w:val="77D25D2E"/>
    <w:rsid w:val="77E14132"/>
    <w:rsid w:val="77F55EC0"/>
    <w:rsid w:val="780460F6"/>
    <w:rsid w:val="780F09F4"/>
    <w:rsid w:val="781639F1"/>
    <w:rsid w:val="78177BE5"/>
    <w:rsid w:val="78197E01"/>
    <w:rsid w:val="781F40D3"/>
    <w:rsid w:val="782B18E2"/>
    <w:rsid w:val="78411105"/>
    <w:rsid w:val="784671A4"/>
    <w:rsid w:val="784A620C"/>
    <w:rsid w:val="784D7AAA"/>
    <w:rsid w:val="78546E24"/>
    <w:rsid w:val="78570929"/>
    <w:rsid w:val="78593726"/>
    <w:rsid w:val="785D2852"/>
    <w:rsid w:val="785D5F3F"/>
    <w:rsid w:val="787B0173"/>
    <w:rsid w:val="78850FF2"/>
    <w:rsid w:val="78861271"/>
    <w:rsid w:val="788A6608"/>
    <w:rsid w:val="78911745"/>
    <w:rsid w:val="789254BD"/>
    <w:rsid w:val="789B6A68"/>
    <w:rsid w:val="78A90480"/>
    <w:rsid w:val="78C7785D"/>
    <w:rsid w:val="78E57CE3"/>
    <w:rsid w:val="78E75809"/>
    <w:rsid w:val="78EC72C3"/>
    <w:rsid w:val="79206F6D"/>
    <w:rsid w:val="792425B9"/>
    <w:rsid w:val="792541B8"/>
    <w:rsid w:val="792F71B0"/>
    <w:rsid w:val="79434761"/>
    <w:rsid w:val="79554E68"/>
    <w:rsid w:val="79674B9C"/>
    <w:rsid w:val="79694470"/>
    <w:rsid w:val="79780B57"/>
    <w:rsid w:val="79786DA9"/>
    <w:rsid w:val="797C0647"/>
    <w:rsid w:val="797F1CD4"/>
    <w:rsid w:val="798E3ED6"/>
    <w:rsid w:val="79951709"/>
    <w:rsid w:val="79A27982"/>
    <w:rsid w:val="79AD6A52"/>
    <w:rsid w:val="79B109F5"/>
    <w:rsid w:val="79C97604"/>
    <w:rsid w:val="79CE69C9"/>
    <w:rsid w:val="79DC10E6"/>
    <w:rsid w:val="79E166FC"/>
    <w:rsid w:val="79F0693F"/>
    <w:rsid w:val="79F301DD"/>
    <w:rsid w:val="79F50C10"/>
    <w:rsid w:val="79FD5908"/>
    <w:rsid w:val="7A0D418F"/>
    <w:rsid w:val="7A0F40D4"/>
    <w:rsid w:val="7A1268B5"/>
    <w:rsid w:val="7A195BF9"/>
    <w:rsid w:val="7A1B7E60"/>
    <w:rsid w:val="7A24780B"/>
    <w:rsid w:val="7A2B3E1B"/>
    <w:rsid w:val="7A320D06"/>
    <w:rsid w:val="7A3251AA"/>
    <w:rsid w:val="7A356A48"/>
    <w:rsid w:val="7A3613CA"/>
    <w:rsid w:val="7A364017"/>
    <w:rsid w:val="7A3643D4"/>
    <w:rsid w:val="7A4F18B8"/>
    <w:rsid w:val="7A543372"/>
    <w:rsid w:val="7A555E8C"/>
    <w:rsid w:val="7A5944E4"/>
    <w:rsid w:val="7A650521"/>
    <w:rsid w:val="7A652E89"/>
    <w:rsid w:val="7A6B246A"/>
    <w:rsid w:val="7A8265E1"/>
    <w:rsid w:val="7A9479AC"/>
    <w:rsid w:val="7A996FD7"/>
    <w:rsid w:val="7AD4000F"/>
    <w:rsid w:val="7ADC6EC3"/>
    <w:rsid w:val="7AEE7323"/>
    <w:rsid w:val="7AF1471D"/>
    <w:rsid w:val="7AF4245F"/>
    <w:rsid w:val="7AF430BB"/>
    <w:rsid w:val="7AFA5109"/>
    <w:rsid w:val="7B004F54"/>
    <w:rsid w:val="7B00565C"/>
    <w:rsid w:val="7B18439F"/>
    <w:rsid w:val="7B1B3E90"/>
    <w:rsid w:val="7B204C45"/>
    <w:rsid w:val="7B271119"/>
    <w:rsid w:val="7B3D3241"/>
    <w:rsid w:val="7B5724BB"/>
    <w:rsid w:val="7B58479C"/>
    <w:rsid w:val="7B686D42"/>
    <w:rsid w:val="7B6E5D6D"/>
    <w:rsid w:val="7B7C4E33"/>
    <w:rsid w:val="7B841746"/>
    <w:rsid w:val="7B845591"/>
    <w:rsid w:val="7B867C36"/>
    <w:rsid w:val="7B8732D3"/>
    <w:rsid w:val="7B9559F0"/>
    <w:rsid w:val="7B9571A7"/>
    <w:rsid w:val="7B974A82"/>
    <w:rsid w:val="7B9B0B2D"/>
    <w:rsid w:val="7BA06143"/>
    <w:rsid w:val="7BA46E03"/>
    <w:rsid w:val="7BA7127F"/>
    <w:rsid w:val="7BAB5214"/>
    <w:rsid w:val="7BC736D0"/>
    <w:rsid w:val="7BD06A28"/>
    <w:rsid w:val="7BD44861"/>
    <w:rsid w:val="7BDC53CD"/>
    <w:rsid w:val="7BEA38B4"/>
    <w:rsid w:val="7BF32717"/>
    <w:rsid w:val="7C077F70"/>
    <w:rsid w:val="7C0B5CB2"/>
    <w:rsid w:val="7C0C0BAF"/>
    <w:rsid w:val="7C1D098D"/>
    <w:rsid w:val="7C26489A"/>
    <w:rsid w:val="7C2B3C5E"/>
    <w:rsid w:val="7C2F7BF3"/>
    <w:rsid w:val="7C377F63"/>
    <w:rsid w:val="7C423C8F"/>
    <w:rsid w:val="7C431520"/>
    <w:rsid w:val="7C482A62"/>
    <w:rsid w:val="7C501917"/>
    <w:rsid w:val="7C596A1E"/>
    <w:rsid w:val="7C5F7DAC"/>
    <w:rsid w:val="7C675037"/>
    <w:rsid w:val="7C694787"/>
    <w:rsid w:val="7C6A53A9"/>
    <w:rsid w:val="7C6B04FF"/>
    <w:rsid w:val="7C6C5AC7"/>
    <w:rsid w:val="7C6F7FEF"/>
    <w:rsid w:val="7C75137E"/>
    <w:rsid w:val="7C8A1DD9"/>
    <w:rsid w:val="7C8E62B7"/>
    <w:rsid w:val="7C9712F4"/>
    <w:rsid w:val="7C9E6CC4"/>
    <w:rsid w:val="7CA53A11"/>
    <w:rsid w:val="7CB43349"/>
    <w:rsid w:val="7CBC51FE"/>
    <w:rsid w:val="7CC6544B"/>
    <w:rsid w:val="7CCA0125"/>
    <w:rsid w:val="7CD04806"/>
    <w:rsid w:val="7CD341EB"/>
    <w:rsid w:val="7CD47820"/>
    <w:rsid w:val="7CE309DD"/>
    <w:rsid w:val="7CEA1476"/>
    <w:rsid w:val="7CEE5606"/>
    <w:rsid w:val="7CF16C56"/>
    <w:rsid w:val="7CFD0DDD"/>
    <w:rsid w:val="7D0239FF"/>
    <w:rsid w:val="7D164121"/>
    <w:rsid w:val="7D1D5C9D"/>
    <w:rsid w:val="7D276B1C"/>
    <w:rsid w:val="7D4274B2"/>
    <w:rsid w:val="7D43322A"/>
    <w:rsid w:val="7D5A23B4"/>
    <w:rsid w:val="7D5E40CD"/>
    <w:rsid w:val="7D62010B"/>
    <w:rsid w:val="7D741635"/>
    <w:rsid w:val="7D7D2BE0"/>
    <w:rsid w:val="7D845D1C"/>
    <w:rsid w:val="7D8471D9"/>
    <w:rsid w:val="7DA43CC8"/>
    <w:rsid w:val="7DAE2D99"/>
    <w:rsid w:val="7DC12ACC"/>
    <w:rsid w:val="7DCD56F2"/>
    <w:rsid w:val="7DD722F0"/>
    <w:rsid w:val="7DD86068"/>
    <w:rsid w:val="7DE1316F"/>
    <w:rsid w:val="7DE93DD1"/>
    <w:rsid w:val="7DF47BAF"/>
    <w:rsid w:val="7DF52776"/>
    <w:rsid w:val="7DF54524"/>
    <w:rsid w:val="7DFD5ACF"/>
    <w:rsid w:val="7E07340F"/>
    <w:rsid w:val="7E1150D6"/>
    <w:rsid w:val="7E222935"/>
    <w:rsid w:val="7E237B36"/>
    <w:rsid w:val="7E2A7744"/>
    <w:rsid w:val="7E521BF9"/>
    <w:rsid w:val="7E525E1A"/>
    <w:rsid w:val="7E5F4093"/>
    <w:rsid w:val="7E742EE1"/>
    <w:rsid w:val="7E832F35"/>
    <w:rsid w:val="7E865AC4"/>
    <w:rsid w:val="7E925CCF"/>
    <w:rsid w:val="7EA71F32"/>
    <w:rsid w:val="7EA91828"/>
    <w:rsid w:val="7ECF1219"/>
    <w:rsid w:val="7ED24865"/>
    <w:rsid w:val="7ED444FD"/>
    <w:rsid w:val="7ED44A81"/>
    <w:rsid w:val="7ED500EA"/>
    <w:rsid w:val="7ED93E46"/>
    <w:rsid w:val="7EE54599"/>
    <w:rsid w:val="7EF84FD8"/>
    <w:rsid w:val="7F001CE7"/>
    <w:rsid w:val="7F005876"/>
    <w:rsid w:val="7F032C71"/>
    <w:rsid w:val="7F04073A"/>
    <w:rsid w:val="7F066F18"/>
    <w:rsid w:val="7F0B7D77"/>
    <w:rsid w:val="7F1C285B"/>
    <w:rsid w:val="7F21571F"/>
    <w:rsid w:val="7F2350C1"/>
    <w:rsid w:val="7F2D4191"/>
    <w:rsid w:val="7F54171E"/>
    <w:rsid w:val="7F5931D8"/>
    <w:rsid w:val="7F6236CF"/>
    <w:rsid w:val="7F631961"/>
    <w:rsid w:val="7F707618"/>
    <w:rsid w:val="7F7D7358"/>
    <w:rsid w:val="7F961D37"/>
    <w:rsid w:val="7F985AAF"/>
    <w:rsid w:val="7FB977D3"/>
    <w:rsid w:val="7FBD72C3"/>
    <w:rsid w:val="7FC22B2C"/>
    <w:rsid w:val="7FCF6FF7"/>
    <w:rsid w:val="7FD05249"/>
    <w:rsid w:val="7FE151A1"/>
    <w:rsid w:val="7FE47E50"/>
    <w:rsid w:val="7FE945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semiHidden="0" w:name="heading 2" w:locked="1"/>
    <w:lsdException w:qFormat="1" w:uiPriority="9" w:semiHidden="0" w:name="heading 3" w:locked="1"/>
    <w:lsdException w:qFormat="1" w:uiPriority="9" w:semiHidden="0" w:name="heading 4" w:locked="1"/>
    <w:lsdException w:qFormat="1" w:uiPriority="9" w:name="heading 5" w:locked="1"/>
    <w:lsdException w:qFormat="1" w:uiPriority="9" w:semiHidden="0" w:name="heading 6" w:locked="1"/>
    <w:lsdException w:qFormat="1" w:uiPriority="9" w:name="heading 7" w:locked="1"/>
    <w:lsdException w:qFormat="1" w:uiPriority="9" w:name="heading 8" w:locked="1"/>
    <w:lsdException w:qFormat="1" w:uiPriority="9"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35"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qFormat="1" w:uiPriority="99"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EastAsia" w:cstheme="minorBidi"/>
      <w:sz w:val="24"/>
      <w:szCs w:val="22"/>
      <w:lang w:val="en-US" w:eastAsia="zh-CN" w:bidi="ar-SA"/>
    </w:rPr>
  </w:style>
  <w:style w:type="paragraph" w:styleId="2">
    <w:name w:val="heading 1"/>
    <w:basedOn w:val="1"/>
    <w:next w:val="1"/>
    <w:link w:val="48"/>
    <w:qFormat/>
    <w:locked/>
    <w:uiPriority w:val="9"/>
    <w:pPr>
      <w:keepNext/>
      <w:keepLines/>
      <w:spacing w:before="240" w:after="0"/>
      <w:outlineLvl w:val="0"/>
    </w:pPr>
    <w:rPr>
      <w:rFonts w:asciiTheme="majorHAnsi" w:hAnsiTheme="majorHAnsi" w:eastAsiaTheme="majorEastAsia" w:cstheme="majorBidi"/>
      <w:color w:val="376092" w:themeColor="accent1" w:themeShade="BF"/>
      <w:sz w:val="32"/>
      <w:szCs w:val="32"/>
    </w:rPr>
  </w:style>
  <w:style w:type="paragraph" w:styleId="3">
    <w:name w:val="heading 2"/>
    <w:basedOn w:val="1"/>
    <w:next w:val="1"/>
    <w:link w:val="49"/>
    <w:unhideWhenUsed/>
    <w:qFormat/>
    <w:locked/>
    <w:uiPriority w:val="9"/>
    <w:pPr>
      <w:keepNext/>
      <w:keepLines/>
      <w:spacing w:before="40" w:after="0"/>
      <w:outlineLvl w:val="1"/>
    </w:pPr>
    <w:rPr>
      <w:rFonts w:asciiTheme="majorHAnsi" w:hAnsiTheme="majorHAnsi" w:eastAsiaTheme="majorEastAsia" w:cstheme="majorBidi"/>
      <w:color w:val="376092" w:themeColor="accent1" w:themeShade="BF"/>
      <w:sz w:val="28"/>
      <w:szCs w:val="28"/>
    </w:rPr>
  </w:style>
  <w:style w:type="paragraph" w:styleId="4">
    <w:name w:val="heading 3"/>
    <w:basedOn w:val="1"/>
    <w:next w:val="1"/>
    <w:link w:val="74"/>
    <w:unhideWhenUsed/>
    <w:qFormat/>
    <w:locked/>
    <w:uiPriority w:val="9"/>
    <w:pPr>
      <w:keepNext/>
      <w:keepLines/>
      <w:spacing w:before="40" w:after="0"/>
      <w:outlineLvl w:val="2"/>
    </w:pPr>
    <w:rPr>
      <w:rFonts w:asciiTheme="majorHAnsi" w:hAnsiTheme="majorHAnsi" w:eastAsiaTheme="majorEastAsia" w:cstheme="majorBidi"/>
      <w:color w:val="254061" w:themeColor="accent1" w:themeShade="80"/>
      <w:szCs w:val="24"/>
    </w:rPr>
  </w:style>
  <w:style w:type="paragraph" w:styleId="5">
    <w:name w:val="heading 4"/>
    <w:basedOn w:val="1"/>
    <w:next w:val="1"/>
    <w:link w:val="194"/>
    <w:unhideWhenUsed/>
    <w:qFormat/>
    <w:locked/>
    <w:uiPriority w:val="9"/>
    <w:pPr>
      <w:keepNext/>
      <w:keepLines/>
      <w:spacing w:before="40" w:after="0"/>
      <w:outlineLvl w:val="3"/>
    </w:pPr>
    <w:rPr>
      <w:rFonts w:asciiTheme="majorHAnsi" w:hAnsiTheme="majorHAnsi" w:eastAsiaTheme="majorEastAsia" w:cstheme="majorBidi"/>
      <w:i/>
      <w:iCs/>
      <w:color w:val="376092" w:themeColor="accent1" w:themeShade="BF"/>
    </w:rPr>
  </w:style>
  <w:style w:type="paragraph" w:styleId="6">
    <w:name w:val="heading 5"/>
    <w:basedOn w:val="1"/>
    <w:next w:val="1"/>
    <w:link w:val="195"/>
    <w:semiHidden/>
    <w:unhideWhenUsed/>
    <w:qFormat/>
    <w:locked/>
    <w:uiPriority w:val="9"/>
    <w:pPr>
      <w:keepNext/>
      <w:keepLines/>
      <w:spacing w:before="40" w:after="0"/>
      <w:outlineLvl w:val="4"/>
    </w:pPr>
    <w:rPr>
      <w:rFonts w:asciiTheme="majorHAnsi" w:hAnsiTheme="majorHAnsi" w:eastAsiaTheme="majorEastAsia" w:cstheme="majorBidi"/>
      <w:color w:val="376092" w:themeColor="accent1" w:themeShade="BF"/>
    </w:rPr>
  </w:style>
  <w:style w:type="paragraph" w:styleId="7">
    <w:name w:val="heading 6"/>
    <w:basedOn w:val="1"/>
    <w:next w:val="1"/>
    <w:link w:val="196"/>
    <w:unhideWhenUsed/>
    <w:qFormat/>
    <w:locked/>
    <w:uiPriority w:val="9"/>
    <w:pPr>
      <w:keepNext/>
      <w:keepLines/>
      <w:spacing w:before="40" w:after="0"/>
      <w:outlineLvl w:val="5"/>
    </w:pPr>
    <w:rPr>
      <w:rFonts w:asciiTheme="majorHAnsi" w:hAnsiTheme="majorHAnsi" w:eastAsiaTheme="majorEastAsia" w:cstheme="majorBidi"/>
      <w:color w:val="254061" w:themeColor="accent1" w:themeShade="80"/>
    </w:rPr>
  </w:style>
  <w:style w:type="paragraph" w:styleId="8">
    <w:name w:val="heading 7"/>
    <w:basedOn w:val="1"/>
    <w:next w:val="1"/>
    <w:link w:val="197"/>
    <w:semiHidden/>
    <w:unhideWhenUsed/>
    <w:qFormat/>
    <w:locked/>
    <w:uiPriority w:val="9"/>
    <w:pPr>
      <w:keepNext/>
      <w:keepLines/>
      <w:spacing w:before="40" w:after="0"/>
      <w:outlineLvl w:val="6"/>
    </w:pPr>
    <w:rPr>
      <w:rFonts w:asciiTheme="majorHAnsi" w:hAnsiTheme="majorHAnsi" w:eastAsiaTheme="majorEastAsia" w:cstheme="majorBidi"/>
      <w:i/>
      <w:iCs/>
      <w:color w:val="254061" w:themeColor="accent1" w:themeShade="80"/>
    </w:rPr>
  </w:style>
  <w:style w:type="paragraph" w:styleId="9">
    <w:name w:val="heading 8"/>
    <w:basedOn w:val="1"/>
    <w:next w:val="1"/>
    <w:link w:val="198"/>
    <w:semiHidden/>
    <w:unhideWhenUsed/>
    <w:qFormat/>
    <w:locked/>
    <w:uiPriority w:val="9"/>
    <w:pPr>
      <w:keepNext/>
      <w:keepLines/>
      <w:spacing w:before="40" w:after="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199"/>
    <w:semiHidden/>
    <w:unhideWhenUsed/>
    <w:qFormat/>
    <w:locked/>
    <w:uiPriority w:val="9"/>
    <w:pPr>
      <w:keepNext/>
      <w:keepLines/>
      <w:spacing w:before="40" w:after="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39">
    <w:name w:val="Default Paragraph Font"/>
    <w:semiHidden/>
    <w:unhideWhenUsed/>
    <w:uiPriority w:val="1"/>
  </w:style>
  <w:style w:type="table" w:default="1" w:styleId="37">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locked/>
    <w:uiPriority w:val="0"/>
    <w:pPr>
      <w:ind w:left="1260"/>
    </w:pPr>
    <w:rPr>
      <w:rFonts w:ascii="Calibri" w:hAnsi="Calibri" w:cs="Calibri"/>
      <w:sz w:val="18"/>
      <w:szCs w:val="18"/>
    </w:rPr>
  </w:style>
  <w:style w:type="paragraph" w:styleId="12">
    <w:name w:val="table of authorities"/>
    <w:basedOn w:val="1"/>
    <w:next w:val="1"/>
    <w:semiHidden/>
    <w:qFormat/>
    <w:locked/>
    <w:uiPriority w:val="0"/>
    <w:pPr>
      <w:ind w:left="420" w:leftChars="200"/>
    </w:pPr>
  </w:style>
  <w:style w:type="paragraph" w:styleId="13">
    <w:name w:val="Note Heading"/>
    <w:basedOn w:val="1"/>
    <w:next w:val="1"/>
    <w:qFormat/>
    <w:locked/>
    <w:uiPriority w:val="0"/>
  </w:style>
  <w:style w:type="paragraph" w:styleId="14">
    <w:name w:val="Normal Indent"/>
    <w:basedOn w:val="1"/>
    <w:link w:val="50"/>
    <w:qFormat/>
    <w:locked/>
    <w:uiPriority w:val="99"/>
    <w:pPr>
      <w:spacing w:line="360" w:lineRule="auto"/>
      <w:ind w:firstLine="200" w:firstLineChars="200"/>
    </w:pPr>
    <w:rPr>
      <w:szCs w:val="20"/>
    </w:rPr>
  </w:style>
  <w:style w:type="paragraph" w:styleId="15">
    <w:name w:val="caption"/>
    <w:basedOn w:val="1"/>
    <w:next w:val="1"/>
    <w:semiHidden/>
    <w:unhideWhenUsed/>
    <w:qFormat/>
    <w:locked/>
    <w:uiPriority w:val="35"/>
    <w:pPr>
      <w:spacing w:after="200" w:line="240" w:lineRule="auto"/>
    </w:pPr>
    <w:rPr>
      <w:i/>
      <w:iCs/>
      <w:color w:val="1F497D" w:themeColor="text2"/>
      <w:sz w:val="18"/>
      <w:szCs w:val="18"/>
      <w14:textFill>
        <w14:solidFill>
          <w14:schemeClr w14:val="tx2"/>
        </w14:solidFill>
      </w14:textFill>
    </w:rPr>
  </w:style>
  <w:style w:type="paragraph" w:styleId="16">
    <w:name w:val="Document Map"/>
    <w:basedOn w:val="1"/>
    <w:link w:val="52"/>
    <w:qFormat/>
    <w:locked/>
    <w:uiPriority w:val="0"/>
    <w:rPr>
      <w:rFonts w:ascii="宋体"/>
      <w:sz w:val="18"/>
      <w:szCs w:val="18"/>
    </w:rPr>
  </w:style>
  <w:style w:type="paragraph" w:styleId="17">
    <w:name w:val="annotation text"/>
    <w:basedOn w:val="1"/>
    <w:link w:val="53"/>
    <w:qFormat/>
    <w:uiPriority w:val="0"/>
    <w:pPr>
      <w:spacing w:line="360" w:lineRule="auto"/>
      <w:ind w:firstLine="200" w:firstLineChars="200"/>
    </w:pPr>
    <w:rPr>
      <w:szCs w:val="20"/>
    </w:rPr>
  </w:style>
  <w:style w:type="paragraph" w:styleId="18">
    <w:name w:val="Salutation"/>
    <w:next w:val="1"/>
    <w:unhideWhenUsed/>
    <w:qFormat/>
    <w:locked/>
    <w:uiPriority w:val="99"/>
    <w:pPr>
      <w:widowControl w:val="0"/>
      <w:spacing w:after="160" w:line="307" w:lineRule="auto"/>
      <w:jc w:val="both"/>
    </w:pPr>
    <w:rPr>
      <w:rFonts w:ascii="Times New Roman" w:hAnsi="Times New Roman" w:eastAsia="宋体" w:cs="Times New Roman"/>
      <w:kern w:val="2"/>
      <w:sz w:val="21"/>
      <w:szCs w:val="24"/>
      <w:lang w:val="en-US" w:eastAsia="zh-CN" w:bidi="ar-SA"/>
    </w:rPr>
  </w:style>
  <w:style w:type="paragraph" w:styleId="19">
    <w:name w:val="Body Text"/>
    <w:basedOn w:val="1"/>
    <w:link w:val="51"/>
    <w:qFormat/>
    <w:uiPriority w:val="0"/>
    <w:pPr>
      <w:snapToGrid w:val="0"/>
      <w:spacing w:before="60"/>
      <w:ind w:right="113"/>
    </w:pPr>
    <w:rPr>
      <w:sz w:val="18"/>
      <w:szCs w:val="20"/>
    </w:rPr>
  </w:style>
  <w:style w:type="paragraph" w:styleId="20">
    <w:name w:val="Body Text Indent"/>
    <w:basedOn w:val="1"/>
    <w:next w:val="21"/>
    <w:link w:val="54"/>
    <w:qFormat/>
    <w:uiPriority w:val="0"/>
    <w:pPr>
      <w:spacing w:after="120"/>
      <w:ind w:left="420" w:leftChars="200"/>
    </w:pPr>
    <w:rPr>
      <w:szCs w:val="20"/>
    </w:rPr>
  </w:style>
  <w:style w:type="paragraph" w:styleId="21">
    <w:name w:val="Body Text First Indent 2"/>
    <w:basedOn w:val="1"/>
    <w:next w:val="22"/>
    <w:qFormat/>
    <w:locked/>
    <w:uiPriority w:val="0"/>
    <w:pPr>
      <w:ind w:firstLine="420" w:firstLineChars="200"/>
    </w:pPr>
    <w:rPr>
      <w:sz w:val="21"/>
    </w:rPr>
  </w:style>
  <w:style w:type="paragraph" w:styleId="22">
    <w:name w:val="Body Text First Indent"/>
    <w:basedOn w:val="19"/>
    <w:next w:val="1"/>
    <w:qFormat/>
    <w:locked/>
    <w:uiPriority w:val="0"/>
    <w:pPr>
      <w:spacing w:line="360" w:lineRule="auto"/>
      <w:ind w:right="0" w:firstLine="720" w:firstLineChars="200"/>
    </w:pPr>
    <w:rPr>
      <w:sz w:val="21"/>
    </w:rPr>
  </w:style>
  <w:style w:type="paragraph" w:styleId="23">
    <w:name w:val="index 4"/>
    <w:basedOn w:val="1"/>
    <w:next w:val="1"/>
    <w:qFormat/>
    <w:locked/>
    <w:uiPriority w:val="0"/>
    <w:pPr>
      <w:ind w:left="600" w:leftChars="600"/>
    </w:pPr>
    <w:rPr>
      <w:sz w:val="21"/>
    </w:rPr>
  </w:style>
  <w:style w:type="paragraph" w:styleId="24">
    <w:name w:val="Plain Text"/>
    <w:basedOn w:val="1"/>
    <w:next w:val="19"/>
    <w:qFormat/>
    <w:locked/>
    <w:uiPriority w:val="0"/>
    <w:rPr>
      <w:rFonts w:ascii="宋体" w:hAnsi="Courier New"/>
    </w:rPr>
  </w:style>
  <w:style w:type="paragraph" w:styleId="25">
    <w:name w:val="Date"/>
    <w:basedOn w:val="1"/>
    <w:next w:val="1"/>
    <w:link w:val="55"/>
    <w:qFormat/>
    <w:uiPriority w:val="0"/>
    <w:pPr>
      <w:ind w:left="100" w:leftChars="2500"/>
    </w:pPr>
    <w:rPr>
      <w:szCs w:val="20"/>
    </w:rPr>
  </w:style>
  <w:style w:type="paragraph" w:styleId="26">
    <w:name w:val="Body Text Indent 2"/>
    <w:basedOn w:val="1"/>
    <w:next w:val="1"/>
    <w:qFormat/>
    <w:locked/>
    <w:uiPriority w:val="0"/>
    <w:pPr>
      <w:adjustRightInd w:val="0"/>
      <w:snapToGrid w:val="0"/>
      <w:spacing w:line="360" w:lineRule="auto"/>
      <w:ind w:firstLine="1944" w:firstLineChars="1080"/>
    </w:pPr>
    <w:rPr>
      <w:sz w:val="18"/>
    </w:rPr>
  </w:style>
  <w:style w:type="paragraph" w:styleId="27">
    <w:name w:val="Balloon Text"/>
    <w:basedOn w:val="1"/>
    <w:link w:val="56"/>
    <w:semiHidden/>
    <w:qFormat/>
    <w:uiPriority w:val="0"/>
    <w:rPr>
      <w:sz w:val="18"/>
      <w:szCs w:val="20"/>
    </w:rPr>
  </w:style>
  <w:style w:type="paragraph" w:styleId="28">
    <w:name w:val="footer"/>
    <w:basedOn w:val="1"/>
    <w:next w:val="29"/>
    <w:link w:val="57"/>
    <w:qFormat/>
    <w:uiPriority w:val="99"/>
    <w:pPr>
      <w:tabs>
        <w:tab w:val="center" w:pos="4153"/>
        <w:tab w:val="right" w:pos="8306"/>
      </w:tabs>
      <w:snapToGrid w:val="0"/>
    </w:pPr>
    <w:rPr>
      <w:sz w:val="18"/>
      <w:szCs w:val="20"/>
    </w:rPr>
  </w:style>
  <w:style w:type="paragraph" w:styleId="29">
    <w:name w:val="Normal (Web)"/>
    <w:basedOn w:val="1"/>
    <w:link w:val="59"/>
    <w:qFormat/>
    <w:uiPriority w:val="99"/>
    <w:pPr>
      <w:spacing w:before="100" w:beforeAutospacing="1" w:after="100" w:afterAutospacing="1"/>
    </w:pPr>
    <w:rPr>
      <w:rFonts w:ascii="宋体" w:hAnsi="宋体"/>
      <w:szCs w:val="20"/>
    </w:rPr>
  </w:style>
  <w:style w:type="paragraph" w:styleId="30">
    <w:name w:val="envelope return"/>
    <w:basedOn w:val="1"/>
    <w:qFormat/>
    <w:locked/>
    <w:uiPriority w:val="0"/>
    <w:pPr>
      <w:adjustRightInd w:val="0"/>
      <w:snapToGrid w:val="0"/>
    </w:pPr>
    <w:rPr>
      <w:rFonts w:ascii="Arial" w:hAnsi="Arial"/>
    </w:rPr>
  </w:style>
  <w:style w:type="paragraph" w:styleId="31">
    <w:name w:val="header"/>
    <w:basedOn w:val="1"/>
    <w:link w:val="215"/>
    <w:qFormat/>
    <w:uiPriority w:val="0"/>
    <w:pPr>
      <w:pBdr>
        <w:bottom w:val="single" w:color="auto" w:sz="6" w:space="1"/>
      </w:pBdr>
      <w:tabs>
        <w:tab w:val="center" w:pos="4153"/>
        <w:tab w:val="right" w:pos="8306"/>
      </w:tabs>
      <w:snapToGrid w:val="0"/>
      <w:jc w:val="center"/>
    </w:pPr>
    <w:rPr>
      <w:sz w:val="18"/>
      <w:szCs w:val="20"/>
    </w:rPr>
  </w:style>
  <w:style w:type="paragraph" w:styleId="32">
    <w:name w:val="toc 1"/>
    <w:basedOn w:val="1"/>
    <w:next w:val="1"/>
    <w:unhideWhenUsed/>
    <w:qFormat/>
    <w:locked/>
    <w:uiPriority w:val="39"/>
    <w:pPr>
      <w:spacing w:before="360"/>
    </w:pPr>
    <w:rPr>
      <w:rFonts w:ascii="等线 Light" w:hAnsi="等线 Light" w:eastAsia="宋体"/>
      <w:b/>
      <w:bCs/>
      <w:caps/>
    </w:rPr>
  </w:style>
  <w:style w:type="paragraph" w:styleId="33">
    <w:name w:val="Subtitle"/>
    <w:basedOn w:val="1"/>
    <w:next w:val="1"/>
    <w:link w:val="201"/>
    <w:qFormat/>
    <w:locked/>
    <w:uiPriority w:val="11"/>
    <w:rPr>
      <w:color w:val="595959" w:themeColor="text1" w:themeTint="A6"/>
      <w:spacing w:val="15"/>
      <w14:textFill>
        <w14:solidFill>
          <w14:schemeClr w14:val="tx1">
            <w14:lumMod w14:val="65000"/>
            <w14:lumOff w14:val="35000"/>
          </w14:schemeClr>
        </w14:solidFill>
      </w14:textFill>
    </w:rPr>
  </w:style>
  <w:style w:type="paragraph" w:styleId="34">
    <w:name w:val="toc 2"/>
    <w:basedOn w:val="1"/>
    <w:next w:val="1"/>
    <w:qFormat/>
    <w:locked/>
    <w:uiPriority w:val="0"/>
    <w:pPr>
      <w:ind w:left="420" w:leftChars="200"/>
    </w:pPr>
  </w:style>
  <w:style w:type="paragraph" w:styleId="35">
    <w:name w:val="Title"/>
    <w:basedOn w:val="1"/>
    <w:next w:val="1"/>
    <w:link w:val="200"/>
    <w:qFormat/>
    <w:locked/>
    <w:uiPriority w:val="10"/>
    <w:pPr>
      <w:spacing w:after="0" w:line="240" w:lineRule="auto"/>
      <w:contextualSpacing/>
    </w:pPr>
    <w:rPr>
      <w:rFonts w:asciiTheme="majorHAnsi" w:hAnsiTheme="majorHAnsi" w:eastAsiaTheme="majorEastAsia" w:cstheme="majorBidi"/>
      <w:spacing w:val="-10"/>
      <w:sz w:val="56"/>
      <w:szCs w:val="56"/>
    </w:rPr>
  </w:style>
  <w:style w:type="paragraph" w:styleId="36">
    <w:name w:val="annotation subject"/>
    <w:basedOn w:val="17"/>
    <w:next w:val="17"/>
    <w:link w:val="60"/>
    <w:semiHidden/>
    <w:qFormat/>
    <w:uiPriority w:val="0"/>
    <w:rPr>
      <w:b/>
    </w:rPr>
  </w:style>
  <w:style w:type="table" w:styleId="38">
    <w:name w:val="Table Grid"/>
    <w:basedOn w:val="3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locked/>
    <w:uiPriority w:val="22"/>
    <w:rPr>
      <w:b/>
      <w:bCs/>
      <w:color w:val="auto"/>
    </w:rPr>
  </w:style>
  <w:style w:type="character" w:styleId="41">
    <w:name w:val="page number"/>
    <w:basedOn w:val="39"/>
    <w:qFormat/>
    <w:locked/>
    <w:uiPriority w:val="0"/>
    <w:rPr>
      <w:rFonts w:hint="default" w:ascii="Times New Roman" w:hAnsi="Times New Roman" w:cs="Times New Roman"/>
    </w:rPr>
  </w:style>
  <w:style w:type="character" w:styleId="42">
    <w:name w:val="Emphasis"/>
    <w:basedOn w:val="39"/>
    <w:qFormat/>
    <w:locked/>
    <w:uiPriority w:val="20"/>
    <w:rPr>
      <w:i/>
      <w:iCs/>
      <w:color w:val="auto"/>
    </w:rPr>
  </w:style>
  <w:style w:type="character" w:styleId="43">
    <w:name w:val="Hyperlink"/>
    <w:qFormat/>
    <w:locked/>
    <w:uiPriority w:val="0"/>
    <w:rPr>
      <w:color w:val="0000FF"/>
      <w:u w:val="single"/>
    </w:rPr>
  </w:style>
  <w:style w:type="character" w:styleId="44">
    <w:name w:val="annotation reference"/>
    <w:semiHidden/>
    <w:qFormat/>
    <w:uiPriority w:val="0"/>
    <w:rPr>
      <w:sz w:val="21"/>
    </w:rPr>
  </w:style>
  <w:style w:type="paragraph" w:customStyle="1" w:styleId="45">
    <w:name w:val="Default"/>
    <w:basedOn w:val="46"/>
    <w:next w:val="11"/>
    <w:unhideWhenUsed/>
    <w:qFormat/>
    <w:uiPriority w:val="0"/>
    <w:pPr>
      <w:widowControl w:val="0"/>
      <w:autoSpaceDE w:val="0"/>
      <w:autoSpaceDN w:val="0"/>
    </w:pPr>
    <w:rPr>
      <w:rFonts w:hint="eastAsia" w:ascii="Calibri" w:hAnsi="Calibri" w:eastAsia="Times New Roman" w:cs="Times New Roman"/>
      <w:color w:val="000000"/>
    </w:rPr>
  </w:style>
  <w:style w:type="paragraph" w:customStyle="1" w:styleId="46">
    <w:name w:val="纯文本1"/>
    <w:basedOn w:val="1"/>
    <w:qFormat/>
    <w:uiPriority w:val="0"/>
    <w:pPr>
      <w:adjustRightInd w:val="0"/>
    </w:pPr>
    <w:rPr>
      <w:rFonts w:ascii="宋体" w:hAnsi="Courier New"/>
    </w:rPr>
  </w:style>
  <w:style w:type="paragraph" w:customStyle="1" w:styleId="47">
    <w:name w:val="标题 段落4级"/>
    <w:qFormat/>
    <w:uiPriority w:val="0"/>
    <w:pPr>
      <w:spacing w:after="160" w:line="500" w:lineRule="exact"/>
      <w:outlineLvl w:val="3"/>
    </w:pPr>
    <w:rPr>
      <w:rFonts w:ascii="Times New Roman" w:hAnsi="Times New Roman" w:eastAsia="仿宋_GB2312" w:cs="Calibri"/>
      <w:b/>
      <w:kern w:val="2"/>
      <w:sz w:val="28"/>
      <w:szCs w:val="24"/>
      <w:lang w:val="en-US" w:eastAsia="zh-CN" w:bidi="ar-SA"/>
    </w:rPr>
  </w:style>
  <w:style w:type="character" w:customStyle="1" w:styleId="48">
    <w:name w:val="标题 1 字符"/>
    <w:basedOn w:val="39"/>
    <w:link w:val="2"/>
    <w:qFormat/>
    <w:uiPriority w:val="9"/>
    <w:rPr>
      <w:rFonts w:asciiTheme="majorHAnsi" w:hAnsiTheme="majorHAnsi" w:eastAsiaTheme="majorEastAsia" w:cstheme="majorBidi"/>
      <w:color w:val="376092" w:themeColor="accent1" w:themeShade="BF"/>
      <w:sz w:val="32"/>
      <w:szCs w:val="32"/>
    </w:rPr>
  </w:style>
  <w:style w:type="character" w:customStyle="1" w:styleId="49">
    <w:name w:val="标题 2 字符"/>
    <w:basedOn w:val="39"/>
    <w:link w:val="3"/>
    <w:qFormat/>
    <w:uiPriority w:val="9"/>
    <w:rPr>
      <w:rFonts w:asciiTheme="majorHAnsi" w:hAnsiTheme="majorHAnsi" w:eastAsiaTheme="majorEastAsia" w:cstheme="majorBidi"/>
      <w:color w:val="376092" w:themeColor="accent1" w:themeShade="BF"/>
      <w:sz w:val="28"/>
      <w:szCs w:val="28"/>
    </w:rPr>
  </w:style>
  <w:style w:type="character" w:customStyle="1" w:styleId="50">
    <w:name w:val="正文缩进 字符"/>
    <w:link w:val="14"/>
    <w:qFormat/>
    <w:uiPriority w:val="99"/>
    <w:rPr>
      <w:rFonts w:hint="eastAsia" w:ascii="黑体" w:hAnsi="宋体" w:eastAsia="黑体" w:cs="黑体"/>
      <w:kern w:val="2"/>
      <w:sz w:val="24"/>
    </w:rPr>
  </w:style>
  <w:style w:type="character" w:customStyle="1" w:styleId="51">
    <w:name w:val="正文文本 字符"/>
    <w:link w:val="19"/>
    <w:qFormat/>
    <w:locked/>
    <w:uiPriority w:val="0"/>
    <w:rPr>
      <w:sz w:val="18"/>
    </w:rPr>
  </w:style>
  <w:style w:type="character" w:customStyle="1" w:styleId="52">
    <w:name w:val="文档结构图 字符"/>
    <w:link w:val="16"/>
    <w:qFormat/>
    <w:uiPriority w:val="0"/>
    <w:rPr>
      <w:rFonts w:ascii="宋体"/>
      <w:kern w:val="2"/>
      <w:sz w:val="18"/>
      <w:szCs w:val="18"/>
    </w:rPr>
  </w:style>
  <w:style w:type="character" w:customStyle="1" w:styleId="53">
    <w:name w:val="批注文字 字符"/>
    <w:link w:val="17"/>
    <w:qFormat/>
    <w:locked/>
    <w:uiPriority w:val="0"/>
    <w:rPr>
      <w:rFonts w:ascii="Times New Roman" w:hAnsi="Times New Roman" w:eastAsia="宋体"/>
      <w:sz w:val="24"/>
    </w:rPr>
  </w:style>
  <w:style w:type="character" w:customStyle="1" w:styleId="54">
    <w:name w:val="正文文本缩进 字符1"/>
    <w:link w:val="20"/>
    <w:qFormat/>
    <w:uiPriority w:val="0"/>
    <w:rPr>
      <w:rFonts w:ascii="宋体" w:hAnsi="宋体" w:eastAsia="仿宋_GB2312" w:cs="Courier New"/>
      <w:kern w:val="2"/>
      <w:sz w:val="28"/>
      <w:szCs w:val="32"/>
      <w:lang w:val="en-US" w:eastAsia="zh-CN" w:bidi="ar-SA"/>
    </w:rPr>
  </w:style>
  <w:style w:type="character" w:customStyle="1" w:styleId="55">
    <w:name w:val="日期 字符1"/>
    <w:link w:val="25"/>
    <w:qFormat/>
    <w:locked/>
    <w:uiPriority w:val="0"/>
    <w:rPr>
      <w:rFonts w:ascii="Times New Roman" w:hAnsi="Times New Roman" w:eastAsia="宋体"/>
      <w:sz w:val="24"/>
    </w:rPr>
  </w:style>
  <w:style w:type="character" w:customStyle="1" w:styleId="56">
    <w:name w:val="批注框文本 字符"/>
    <w:link w:val="27"/>
    <w:semiHidden/>
    <w:qFormat/>
    <w:locked/>
    <w:uiPriority w:val="0"/>
    <w:rPr>
      <w:rFonts w:ascii="Times New Roman" w:hAnsi="Times New Roman" w:eastAsia="宋体"/>
      <w:sz w:val="18"/>
    </w:rPr>
  </w:style>
  <w:style w:type="character" w:customStyle="1" w:styleId="57">
    <w:name w:val="页脚 字符1"/>
    <w:link w:val="28"/>
    <w:qFormat/>
    <w:locked/>
    <w:uiPriority w:val="99"/>
    <w:rPr>
      <w:sz w:val="18"/>
    </w:rPr>
  </w:style>
  <w:style w:type="character" w:customStyle="1" w:styleId="58">
    <w:name w:val="页眉 字符"/>
    <w:qFormat/>
    <w:locked/>
    <w:uiPriority w:val="0"/>
    <w:rPr>
      <w:sz w:val="18"/>
    </w:rPr>
  </w:style>
  <w:style w:type="character" w:customStyle="1" w:styleId="59">
    <w:name w:val="普通(网站) 字符"/>
    <w:link w:val="29"/>
    <w:qFormat/>
    <w:locked/>
    <w:uiPriority w:val="0"/>
    <w:rPr>
      <w:rFonts w:ascii="宋体" w:hAnsi="宋体" w:eastAsia="宋体"/>
      <w:sz w:val="24"/>
    </w:rPr>
  </w:style>
  <w:style w:type="character" w:customStyle="1" w:styleId="60">
    <w:name w:val="批注主题 字符"/>
    <w:link w:val="36"/>
    <w:semiHidden/>
    <w:qFormat/>
    <w:locked/>
    <w:uiPriority w:val="0"/>
    <w:rPr>
      <w:rFonts w:ascii="Times New Roman" w:hAnsi="Times New Roman" w:eastAsia="宋体"/>
      <w:b/>
      <w:kern w:val="2"/>
      <w:sz w:val="24"/>
    </w:rPr>
  </w:style>
  <w:style w:type="character" w:customStyle="1" w:styleId="61">
    <w:name w:val="font61"/>
    <w:qFormat/>
    <w:uiPriority w:val="0"/>
    <w:rPr>
      <w:rFonts w:hint="eastAsia" w:ascii="宋体" w:hAnsi="宋体" w:eastAsia="宋体" w:cs="宋体"/>
      <w:color w:val="000000"/>
      <w:sz w:val="18"/>
      <w:szCs w:val="18"/>
      <w:u w:val="none"/>
    </w:rPr>
  </w:style>
  <w:style w:type="character" w:customStyle="1" w:styleId="62">
    <w:name w:val="Q表格标题 Char"/>
    <w:link w:val="63"/>
    <w:qFormat/>
    <w:uiPriority w:val="0"/>
    <w:rPr>
      <w:b/>
      <w:kern w:val="2"/>
      <w:sz w:val="24"/>
      <w:szCs w:val="24"/>
    </w:rPr>
  </w:style>
  <w:style w:type="paragraph" w:customStyle="1" w:styleId="63">
    <w:name w:val="Q表格标题"/>
    <w:basedOn w:val="1"/>
    <w:link w:val="62"/>
    <w:qFormat/>
    <w:uiPriority w:val="0"/>
    <w:pPr>
      <w:spacing w:line="360" w:lineRule="auto"/>
      <w:jc w:val="center"/>
      <w:outlineLvl w:val="4"/>
    </w:pPr>
    <w:rPr>
      <w:b/>
    </w:rPr>
  </w:style>
  <w:style w:type="character" w:customStyle="1" w:styleId="64">
    <w:name w:val="Font Style92"/>
    <w:qFormat/>
    <w:uiPriority w:val="0"/>
    <w:rPr>
      <w:rFonts w:hint="eastAsia" w:ascii="宋体" w:hAnsi="宋体" w:eastAsia="宋体" w:cs="宋体"/>
      <w:spacing w:val="10"/>
      <w:sz w:val="26"/>
      <w:szCs w:val="26"/>
    </w:rPr>
  </w:style>
  <w:style w:type="character" w:customStyle="1" w:styleId="65">
    <w:name w:val="font31"/>
    <w:qFormat/>
    <w:uiPriority w:val="0"/>
    <w:rPr>
      <w:rFonts w:hint="default" w:ascii="Times New Roman" w:hAnsi="Times New Roman" w:cs="Times New Roman"/>
      <w:color w:val="000000"/>
      <w:sz w:val="21"/>
      <w:szCs w:val="21"/>
      <w:u w:val="none"/>
      <w:vertAlign w:val="superscript"/>
    </w:rPr>
  </w:style>
  <w:style w:type="character" w:customStyle="1" w:styleId="66">
    <w:name w:val="font21"/>
    <w:qFormat/>
    <w:uiPriority w:val="0"/>
    <w:rPr>
      <w:rFonts w:hint="eastAsia" w:ascii="宋体" w:hAnsi="宋体" w:eastAsia="宋体" w:cs="宋体"/>
      <w:color w:val="000000"/>
      <w:sz w:val="21"/>
      <w:szCs w:val="21"/>
      <w:u w:val="none"/>
    </w:rPr>
  </w:style>
  <w:style w:type="character" w:customStyle="1" w:styleId="67">
    <w:name w:val="表格 Char"/>
    <w:link w:val="68"/>
    <w:qFormat/>
    <w:locked/>
    <w:uiPriority w:val="0"/>
    <w:rPr>
      <w:rFonts w:ascii="宋体"/>
      <w:sz w:val="21"/>
    </w:rPr>
  </w:style>
  <w:style w:type="paragraph" w:customStyle="1" w:styleId="68">
    <w:name w:val="表格"/>
    <w:basedOn w:val="1"/>
    <w:next w:val="1"/>
    <w:link w:val="67"/>
    <w:qFormat/>
    <w:uiPriority w:val="0"/>
    <w:pPr>
      <w:adjustRightInd w:val="0"/>
      <w:snapToGrid w:val="0"/>
      <w:spacing w:beforeLines="10" w:afterLines="10"/>
      <w:jc w:val="center"/>
    </w:pPr>
    <w:rPr>
      <w:rFonts w:ascii="宋体"/>
      <w:szCs w:val="20"/>
    </w:rPr>
  </w:style>
  <w:style w:type="character" w:customStyle="1" w:styleId="69">
    <w:name w:val="表格内容 Char1"/>
    <w:qFormat/>
    <w:uiPriority w:val="0"/>
    <w:rPr>
      <w:rFonts w:hint="eastAsia" w:ascii="宋体" w:hAnsi="宋体" w:eastAsia="宋体" w:cs="宋体"/>
      <w:kern w:val="0"/>
      <w:sz w:val="21"/>
    </w:rPr>
  </w:style>
  <w:style w:type="character" w:customStyle="1" w:styleId="70">
    <w:name w:val="表格标题QQ Char"/>
    <w:link w:val="71"/>
    <w:qFormat/>
    <w:uiPriority w:val="0"/>
    <w:rPr>
      <w:b/>
    </w:rPr>
  </w:style>
  <w:style w:type="paragraph" w:customStyle="1" w:styleId="71">
    <w:name w:val="表格标题QQ"/>
    <w:basedOn w:val="1"/>
    <w:link w:val="70"/>
    <w:qFormat/>
    <w:uiPriority w:val="0"/>
    <w:pPr>
      <w:jc w:val="center"/>
      <w:outlineLvl w:val="4"/>
    </w:pPr>
    <w:rPr>
      <w:b/>
      <w:sz w:val="20"/>
      <w:szCs w:val="20"/>
    </w:rPr>
  </w:style>
  <w:style w:type="character" w:customStyle="1" w:styleId="72">
    <w:name w:val="页脚 字符"/>
    <w:qFormat/>
    <w:uiPriority w:val="99"/>
  </w:style>
  <w:style w:type="character" w:customStyle="1" w:styleId="73">
    <w:name w:val="批注文字 字符1"/>
    <w:semiHidden/>
    <w:qFormat/>
    <w:uiPriority w:val="0"/>
    <w:rPr>
      <w:rFonts w:ascii="Times New Roman" w:hAnsi="Times New Roman" w:eastAsia="宋体"/>
      <w:sz w:val="24"/>
    </w:rPr>
  </w:style>
  <w:style w:type="character" w:customStyle="1" w:styleId="74">
    <w:name w:val="标题 3 字符"/>
    <w:basedOn w:val="39"/>
    <w:link w:val="4"/>
    <w:qFormat/>
    <w:uiPriority w:val="9"/>
    <w:rPr>
      <w:rFonts w:asciiTheme="majorHAnsi" w:hAnsiTheme="majorHAnsi" w:eastAsiaTheme="majorEastAsia" w:cstheme="majorBidi"/>
      <w:color w:val="254061" w:themeColor="accent1" w:themeShade="80"/>
      <w:sz w:val="24"/>
      <w:szCs w:val="24"/>
    </w:rPr>
  </w:style>
  <w:style w:type="character" w:customStyle="1" w:styleId="75">
    <w:name w:val="样式 zhang正文 + 宋体 小四 Char"/>
    <w:link w:val="76"/>
    <w:qFormat/>
    <w:uiPriority w:val="0"/>
    <w:rPr>
      <w:rFonts w:ascii="宋体" w:hAnsi="宋体" w:eastAsia="宋体" w:cs="Courier New"/>
      <w:kern w:val="0"/>
      <w:sz w:val="24"/>
      <w:szCs w:val="32"/>
      <w:lang w:val="en-US" w:eastAsia="zh-CN" w:bidi="ar-SA"/>
    </w:rPr>
  </w:style>
  <w:style w:type="paragraph" w:customStyle="1" w:styleId="76">
    <w:name w:val="样式 zhang正文 + 宋体 小四"/>
    <w:basedOn w:val="77"/>
    <w:link w:val="75"/>
    <w:qFormat/>
    <w:uiPriority w:val="0"/>
    <w:rPr>
      <w:rFonts w:ascii="宋体" w:hAnsi="宋体" w:eastAsia="宋体"/>
    </w:rPr>
  </w:style>
  <w:style w:type="paragraph" w:customStyle="1" w:styleId="77">
    <w:name w:val="zhang正文"/>
    <w:basedOn w:val="20"/>
    <w:next w:val="1"/>
    <w:link w:val="78"/>
    <w:qFormat/>
    <w:uiPriority w:val="0"/>
    <w:pPr>
      <w:autoSpaceDE w:val="0"/>
      <w:autoSpaceDN w:val="0"/>
      <w:adjustRightInd w:val="0"/>
      <w:snapToGrid w:val="0"/>
      <w:spacing w:line="500" w:lineRule="exact"/>
      <w:ind w:firstLine="539"/>
      <w:textAlignment w:val="baseline"/>
    </w:pPr>
    <w:rPr>
      <w:rFonts w:eastAsia="楷体_GB2312"/>
    </w:rPr>
  </w:style>
  <w:style w:type="character" w:customStyle="1" w:styleId="78">
    <w:name w:val="zhang正文 Char1"/>
    <w:link w:val="77"/>
    <w:qFormat/>
    <w:uiPriority w:val="0"/>
    <w:rPr>
      <w:rFonts w:ascii="宋体" w:hAnsi="宋体" w:eastAsia="楷体_GB2312" w:cs="Courier New"/>
      <w:kern w:val="0"/>
      <w:sz w:val="28"/>
      <w:szCs w:val="32"/>
      <w:lang w:val="en-US" w:eastAsia="zh-CN" w:bidi="ar-SA"/>
    </w:rPr>
  </w:style>
  <w:style w:type="character" w:customStyle="1" w:styleId="79">
    <w:name w:val="font41"/>
    <w:qFormat/>
    <w:uiPriority w:val="0"/>
    <w:rPr>
      <w:rFonts w:hint="default" w:ascii="Times New Roman" w:hAnsi="Times New Roman" w:cs="Times New Roman"/>
      <w:color w:val="000000"/>
      <w:sz w:val="22"/>
      <w:szCs w:val="22"/>
      <w:u w:val="none"/>
    </w:rPr>
  </w:style>
  <w:style w:type="character" w:customStyle="1" w:styleId="80">
    <w:name w:val="正文文本缩进 字符"/>
    <w:semiHidden/>
    <w:qFormat/>
    <w:locked/>
    <w:uiPriority w:val="0"/>
    <w:rPr>
      <w:rFonts w:ascii="Times New Roman" w:hAnsi="Times New Roman" w:eastAsia="宋体"/>
      <w:sz w:val="24"/>
    </w:rPr>
  </w:style>
  <w:style w:type="character" w:customStyle="1" w:styleId="81">
    <w:name w:val="表格标题CCW Char"/>
    <w:qFormat/>
    <w:uiPriority w:val="0"/>
    <w:rPr>
      <w:b/>
      <w:sz w:val="24"/>
    </w:rPr>
  </w:style>
  <w:style w:type="character" w:customStyle="1" w:styleId="82">
    <w:name w:val="font81"/>
    <w:qFormat/>
    <w:uiPriority w:val="0"/>
    <w:rPr>
      <w:rFonts w:hint="eastAsia" w:ascii="宋体" w:hAnsi="宋体" w:eastAsia="宋体" w:cs="宋体"/>
      <w:color w:val="000000"/>
      <w:sz w:val="18"/>
      <w:szCs w:val="18"/>
      <w:u w:val="none"/>
    </w:rPr>
  </w:style>
  <w:style w:type="character" w:customStyle="1" w:styleId="83">
    <w:name w:val="15"/>
    <w:qFormat/>
    <w:uiPriority w:val="0"/>
    <w:rPr>
      <w:rFonts w:hint="eastAsia" w:ascii="宋体" w:hAnsi="宋体" w:eastAsia="宋体"/>
      <w:spacing w:val="10"/>
      <w:sz w:val="26"/>
      <w:szCs w:val="26"/>
    </w:rPr>
  </w:style>
  <w:style w:type="character" w:customStyle="1" w:styleId="84">
    <w:name w:val="表格内正文1 Char Char"/>
    <w:link w:val="85"/>
    <w:qFormat/>
    <w:uiPriority w:val="0"/>
    <w:rPr>
      <w:sz w:val="21"/>
    </w:rPr>
  </w:style>
  <w:style w:type="paragraph" w:customStyle="1" w:styleId="85">
    <w:name w:val="表格内正文1"/>
    <w:basedOn w:val="1"/>
    <w:next w:val="1"/>
    <w:link w:val="84"/>
    <w:qFormat/>
    <w:uiPriority w:val="0"/>
    <w:pPr>
      <w:adjustRightInd w:val="0"/>
      <w:snapToGrid w:val="0"/>
      <w:jc w:val="center"/>
    </w:pPr>
    <w:rPr>
      <w:sz w:val="21"/>
    </w:rPr>
  </w:style>
  <w:style w:type="character" w:customStyle="1" w:styleId="86">
    <w:name w:val="font11"/>
    <w:qFormat/>
    <w:uiPriority w:val="0"/>
    <w:rPr>
      <w:rFonts w:hint="eastAsia" w:ascii="宋体" w:hAnsi="宋体" w:eastAsia="宋体" w:cs="宋体"/>
      <w:color w:val="000000"/>
      <w:sz w:val="21"/>
      <w:szCs w:val="21"/>
      <w:u w:val="none"/>
    </w:rPr>
  </w:style>
  <w:style w:type="character" w:customStyle="1" w:styleId="87">
    <w:name w:val="正文文本 字符1"/>
    <w:semiHidden/>
    <w:qFormat/>
    <w:uiPriority w:val="0"/>
    <w:rPr>
      <w:rFonts w:ascii="Times New Roman" w:hAnsi="Times New Roman" w:eastAsia="宋体"/>
      <w:sz w:val="24"/>
    </w:rPr>
  </w:style>
  <w:style w:type="character" w:customStyle="1" w:styleId="88">
    <w:name w:val="表格内容 Char Char"/>
    <w:qFormat/>
    <w:uiPriority w:val="0"/>
    <w:rPr>
      <w:rFonts w:ascii="Times New Roman" w:hAnsi="Times New Roman" w:eastAsia="宋体" w:cs="Times New Roman"/>
      <w:kern w:val="2"/>
      <w:sz w:val="21"/>
      <w:szCs w:val="22"/>
    </w:rPr>
  </w:style>
  <w:style w:type="character" w:customStyle="1" w:styleId="89">
    <w:name w:val="font01"/>
    <w:qFormat/>
    <w:uiPriority w:val="0"/>
    <w:rPr>
      <w:rFonts w:hint="eastAsia" w:ascii="宋体" w:hAnsi="宋体" w:eastAsia="宋体" w:cs="宋体"/>
      <w:color w:val="000000"/>
      <w:sz w:val="21"/>
      <w:szCs w:val="21"/>
      <w:u w:val="none"/>
    </w:rPr>
  </w:style>
  <w:style w:type="character" w:customStyle="1" w:styleId="90">
    <w:name w:val="font71"/>
    <w:qFormat/>
    <w:uiPriority w:val="0"/>
    <w:rPr>
      <w:rFonts w:ascii="微软雅黑" w:hAnsi="微软雅黑" w:eastAsia="微软雅黑" w:cs="微软雅黑"/>
      <w:color w:val="333333"/>
      <w:sz w:val="24"/>
      <w:szCs w:val="24"/>
      <w:u w:val="none"/>
    </w:rPr>
  </w:style>
  <w:style w:type="character" w:customStyle="1" w:styleId="91">
    <w:name w:val="font51"/>
    <w:qFormat/>
    <w:uiPriority w:val="0"/>
    <w:rPr>
      <w:rFonts w:hint="eastAsia" w:ascii="微软雅黑" w:hAnsi="微软雅黑" w:eastAsia="微软雅黑" w:cs="微软雅黑"/>
      <w:color w:val="333333"/>
      <w:sz w:val="24"/>
      <w:szCs w:val="24"/>
      <w:u w:val="none"/>
    </w:rPr>
  </w:style>
  <w:style w:type="character" w:customStyle="1" w:styleId="92">
    <w:name w:val="正文文本首行缩进 2 字符"/>
    <w:qFormat/>
    <w:uiPriority w:val="0"/>
    <w:rPr>
      <w:kern w:val="2"/>
      <w:sz w:val="24"/>
      <w:szCs w:val="24"/>
    </w:rPr>
  </w:style>
  <w:style w:type="character" w:customStyle="1" w:styleId="93">
    <w:name w:val="日期 字符"/>
    <w:semiHidden/>
    <w:qFormat/>
    <w:uiPriority w:val="0"/>
    <w:rPr>
      <w:rFonts w:ascii="Times New Roman" w:hAnsi="Times New Roman" w:eastAsia="宋体"/>
      <w:sz w:val="24"/>
    </w:rPr>
  </w:style>
  <w:style w:type="character" w:customStyle="1" w:styleId="94">
    <w:name w:val="正文（小四） Char"/>
    <w:qFormat/>
    <w:uiPriority w:val="0"/>
    <w:rPr>
      <w:bCs/>
      <w:color w:val="000000"/>
      <w:kern w:val="2"/>
      <w:sz w:val="24"/>
      <w:szCs w:val="32"/>
    </w:rPr>
  </w:style>
  <w:style w:type="paragraph" w:customStyle="1" w:styleId="95">
    <w:name w:val="xl57"/>
    <w:basedOn w:val="1"/>
    <w:qFormat/>
    <w:uiPriority w:val="0"/>
    <w:pPr>
      <w:pBdr>
        <w:top w:val="single" w:color="auto" w:sz="4" w:space="0"/>
        <w:left w:val="single" w:color="auto" w:sz="4" w:space="0"/>
        <w:bottom w:val="single" w:color="auto" w:sz="4" w:space="0"/>
      </w:pBdr>
      <w:spacing w:before="100" w:beforeAutospacing="1" w:after="100" w:afterAutospacing="1"/>
      <w:textAlignment w:val="center"/>
    </w:pPr>
    <w:rPr>
      <w:b/>
      <w:bCs/>
      <w:sz w:val="20"/>
      <w:szCs w:val="20"/>
    </w:rPr>
  </w:style>
  <w:style w:type="paragraph" w:customStyle="1" w:styleId="96">
    <w:name w:val="表格正文"/>
    <w:basedOn w:val="1"/>
    <w:qFormat/>
    <w:uiPriority w:val="0"/>
    <w:pPr>
      <w:jc w:val="center"/>
    </w:pPr>
    <w:rPr>
      <w:sz w:val="21"/>
    </w:rPr>
  </w:style>
  <w:style w:type="paragraph" w:styleId="97">
    <w:name w:val="List Paragraph"/>
    <w:basedOn w:val="1"/>
    <w:next w:val="1"/>
    <w:qFormat/>
    <w:uiPriority w:val="34"/>
    <w:pPr>
      <w:ind w:firstLine="420" w:firstLineChars="200"/>
    </w:pPr>
  </w:style>
  <w:style w:type="paragraph" w:styleId="98">
    <w:name w:val="Quote"/>
    <w:basedOn w:val="1"/>
    <w:next w:val="1"/>
    <w:link w:val="202"/>
    <w:qFormat/>
    <w:uiPriority w:val="29"/>
    <w:pPr>
      <w:spacing w:before="200"/>
      <w:ind w:left="864" w:right="864"/>
    </w:pPr>
    <w:rPr>
      <w:i/>
      <w:iCs/>
      <w:color w:val="404040" w:themeColor="text1" w:themeTint="BF"/>
      <w14:textFill>
        <w14:solidFill>
          <w14:schemeClr w14:val="tx1">
            <w14:lumMod w14:val="75000"/>
            <w14:lumOff w14:val="25000"/>
          </w14:schemeClr>
        </w14:solidFill>
      </w14:textFill>
    </w:rPr>
  </w:style>
  <w:style w:type="paragraph" w:customStyle="1" w:styleId="99">
    <w:name w:val="J标题二"/>
    <w:next w:val="100"/>
    <w:qFormat/>
    <w:uiPriority w:val="0"/>
    <w:pPr>
      <w:spacing w:after="160" w:line="360" w:lineRule="auto"/>
    </w:pPr>
    <w:rPr>
      <w:rFonts w:ascii="Times New Roman" w:hAnsi="Times New Roman" w:eastAsia="宋体" w:cs="宋体"/>
      <w:b/>
      <w:snapToGrid w:val="0"/>
      <w:sz w:val="21"/>
      <w:szCs w:val="22"/>
      <w:lang w:val="en-US" w:eastAsia="zh-CN" w:bidi="ar-SA"/>
    </w:rPr>
  </w:style>
  <w:style w:type="paragraph" w:customStyle="1" w:styleId="100">
    <w:name w:val="J报告表正文"/>
    <w:qFormat/>
    <w:uiPriority w:val="0"/>
    <w:pPr>
      <w:spacing w:after="160" w:line="360" w:lineRule="auto"/>
      <w:ind w:firstLine="200" w:firstLineChars="200"/>
      <w:jc w:val="both"/>
    </w:pPr>
    <w:rPr>
      <w:rFonts w:ascii="Times New Roman" w:hAnsi="Times New Roman" w:eastAsia="宋体" w:cs="宋体"/>
      <w:snapToGrid w:val="0"/>
      <w:sz w:val="21"/>
      <w:szCs w:val="22"/>
      <w:lang w:val="en-US" w:eastAsia="zh-CN" w:bidi="ar-SA"/>
    </w:rPr>
  </w:style>
  <w:style w:type="paragraph" w:customStyle="1" w:styleId="101">
    <w:name w:val="图表标题"/>
    <w:basedOn w:val="1"/>
    <w:next w:val="1"/>
    <w:qFormat/>
    <w:uiPriority w:val="0"/>
    <w:pPr>
      <w:jc w:val="center"/>
    </w:pPr>
    <w:rPr>
      <w:b/>
    </w:rPr>
  </w:style>
  <w:style w:type="paragraph" w:customStyle="1" w:styleId="102">
    <w:name w:val="4表格标题"/>
    <w:basedOn w:val="103"/>
    <w:next w:val="104"/>
    <w:qFormat/>
    <w:uiPriority w:val="0"/>
    <w:pPr>
      <w:spacing w:before="100" w:beforeAutospacing="1" w:after="100" w:afterAutospacing="1"/>
      <w:jc w:val="center"/>
    </w:pPr>
    <w:rPr>
      <w:rFonts w:cs="宋体"/>
      <w:b/>
      <w:szCs w:val="21"/>
    </w:rPr>
  </w:style>
  <w:style w:type="paragraph" w:customStyle="1" w:styleId="103">
    <w:name w:val="段落"/>
    <w:basedOn w:val="1"/>
    <w:qFormat/>
    <w:uiPriority w:val="0"/>
    <w:pPr>
      <w:adjustRightInd w:val="0"/>
      <w:snapToGrid w:val="0"/>
      <w:spacing w:line="360" w:lineRule="auto"/>
      <w:ind w:firstLine="420" w:firstLineChars="200"/>
    </w:pPr>
    <w:rPr>
      <w:rFonts w:ascii="gbsnu54" w:hAnsi="gbsnu54" w:cs="gbsnu54"/>
      <w:bCs/>
      <w:color w:val="000000"/>
      <w:szCs w:val="16"/>
    </w:rPr>
  </w:style>
  <w:style w:type="paragraph" w:customStyle="1" w:styleId="104">
    <w:name w:val="5段落"/>
    <w:basedOn w:val="1"/>
    <w:qFormat/>
    <w:uiPriority w:val="0"/>
    <w:pPr>
      <w:spacing w:line="360" w:lineRule="auto"/>
      <w:ind w:firstLine="200" w:firstLineChars="200"/>
    </w:pPr>
    <w:rPr>
      <w:szCs w:val="21"/>
    </w:rPr>
  </w:style>
  <w:style w:type="paragraph" w:customStyle="1" w:styleId="105">
    <w:name w:val="表格内容Q1"/>
    <w:basedOn w:val="1"/>
    <w:qFormat/>
    <w:uiPriority w:val="0"/>
    <w:pPr>
      <w:jc w:val="center"/>
    </w:pPr>
    <w:rPr>
      <w:sz w:val="18"/>
      <w:szCs w:val="20"/>
    </w:rPr>
  </w:style>
  <w:style w:type="paragraph" w:customStyle="1" w:styleId="106">
    <w:name w:val="表内文字"/>
    <w:basedOn w:val="1"/>
    <w:qFormat/>
    <w:uiPriority w:val="0"/>
    <w:pPr>
      <w:adjustRightInd w:val="0"/>
      <w:snapToGrid w:val="0"/>
      <w:jc w:val="center"/>
    </w:pPr>
    <w:rPr>
      <w:sz w:val="20"/>
      <w:szCs w:val="20"/>
    </w:rPr>
  </w:style>
  <w:style w:type="paragraph" w:customStyle="1" w:styleId="107">
    <w:name w:val="样式 样式 样式 样式 首行缩进:  2 字符 + 居中 + (中文) 黑体 五号 首行缩进:  2 字符 + 首行缩进:  2..."/>
    <w:basedOn w:val="1"/>
    <w:qFormat/>
    <w:uiPriority w:val="0"/>
    <w:pPr>
      <w:adjustRightInd w:val="0"/>
      <w:snapToGrid w:val="0"/>
      <w:spacing w:before="156" w:beforeLines="50" w:line="360" w:lineRule="auto"/>
      <w:jc w:val="center"/>
    </w:pPr>
    <w:rPr>
      <w:rFonts w:eastAsia="黑体"/>
    </w:rPr>
  </w:style>
  <w:style w:type="paragraph" w:customStyle="1" w:styleId="108">
    <w:name w:val="正文2"/>
    <w:qFormat/>
    <w:uiPriority w:val="0"/>
    <w:pPr>
      <w:spacing w:after="160" w:line="259" w:lineRule="auto"/>
      <w:jc w:val="both"/>
    </w:pPr>
    <w:rPr>
      <w:rFonts w:ascii="Times New Roman" w:hAnsi="Times New Roman" w:eastAsia="宋体" w:cs="Times New Roman"/>
      <w:kern w:val="2"/>
      <w:sz w:val="21"/>
      <w:szCs w:val="21"/>
      <w:lang w:val="en-US" w:eastAsia="zh-CN" w:bidi="ar-SA"/>
    </w:rPr>
  </w:style>
  <w:style w:type="paragraph" w:customStyle="1" w:styleId="109">
    <w:name w:val="_Style 96"/>
    <w:unhideWhenUsed/>
    <w:qFormat/>
    <w:uiPriority w:val="99"/>
    <w:pPr>
      <w:spacing w:after="160" w:line="259" w:lineRule="auto"/>
    </w:pPr>
    <w:rPr>
      <w:rFonts w:ascii="Times New Roman" w:hAnsi="Times New Roman" w:eastAsia="宋体" w:cs="Times New Roman"/>
      <w:kern w:val="2"/>
      <w:sz w:val="24"/>
      <w:szCs w:val="24"/>
      <w:lang w:val="en-US" w:eastAsia="zh-CN" w:bidi="ar-SA"/>
    </w:rPr>
  </w:style>
  <w:style w:type="paragraph" w:customStyle="1" w:styleId="110">
    <w:name w:val="表内容"/>
    <w:qFormat/>
    <w:uiPriority w:val="0"/>
    <w:pPr>
      <w:adjustRightInd w:val="0"/>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1">
    <w:name w:val="表格内容"/>
    <w:basedOn w:val="112"/>
    <w:next w:val="19"/>
    <w:qFormat/>
    <w:uiPriority w:val="0"/>
    <w:pPr>
      <w:spacing w:line="340" w:lineRule="exact"/>
    </w:pPr>
    <w:rPr>
      <w:iCs/>
      <w:szCs w:val="21"/>
    </w:rPr>
  </w:style>
  <w:style w:type="paragraph" w:customStyle="1" w:styleId="112">
    <w:name w:val="表头（图表题）"/>
    <w:basedOn w:val="1"/>
    <w:next w:val="1"/>
    <w:qFormat/>
    <w:uiPriority w:val="0"/>
    <w:pPr>
      <w:jc w:val="center"/>
    </w:pPr>
    <w:rPr>
      <w:b/>
      <w:szCs w:val="20"/>
    </w:rPr>
  </w:style>
  <w:style w:type="paragraph" w:customStyle="1" w:styleId="113">
    <w:name w:val="图标标题"/>
    <w:basedOn w:val="7"/>
    <w:qFormat/>
    <w:uiPriority w:val="0"/>
    <w:pPr>
      <w:keepNext w:val="0"/>
      <w:spacing w:before="50" w:beforeLines="50" w:line="360" w:lineRule="auto"/>
      <w:jc w:val="center"/>
    </w:pPr>
    <w:rPr>
      <w:szCs w:val="20"/>
    </w:rPr>
  </w:style>
  <w:style w:type="paragraph" w:customStyle="1" w:styleId="114">
    <w:name w:val="6表格"/>
    <w:basedOn w:val="1"/>
    <w:qFormat/>
    <w:uiPriority w:val="0"/>
    <w:pPr>
      <w:jc w:val="center"/>
    </w:pPr>
  </w:style>
  <w:style w:type="paragraph" w:customStyle="1" w:styleId="115">
    <w:name w:val="样式2"/>
    <w:basedOn w:val="23"/>
    <w:next w:val="5"/>
    <w:qFormat/>
    <w:uiPriority w:val="0"/>
    <w:pPr>
      <w:spacing w:line="360" w:lineRule="auto"/>
      <w:ind w:firstLine="482" w:firstLineChars="200"/>
    </w:pPr>
    <w:rPr>
      <w:b/>
      <w:sz w:val="24"/>
    </w:rPr>
  </w:style>
  <w:style w:type="paragraph" w:customStyle="1" w:styleId="116">
    <w:name w:val="1.表格标题CM"/>
    <w:basedOn w:val="1"/>
    <w:qFormat/>
    <w:uiPriority w:val="0"/>
    <w:pPr>
      <w:adjustRightInd w:val="0"/>
      <w:snapToGrid w:val="0"/>
      <w:jc w:val="center"/>
      <w:outlineLvl w:val="6"/>
    </w:pPr>
    <w:rPr>
      <w:b/>
      <w:lang w:val="zh-CN"/>
    </w:rPr>
  </w:style>
  <w:style w:type="paragraph" w:customStyle="1" w:styleId="117">
    <w:name w:val="样式 正文文本缩进 + 行距: 1.5 倍行距"/>
    <w:basedOn w:val="1"/>
    <w:qFormat/>
    <w:uiPriority w:val="0"/>
    <w:pPr>
      <w:spacing w:after="120" w:line="360" w:lineRule="auto"/>
      <w:ind w:left="90" w:leftChars="32" w:firstLine="560" w:firstLineChars="200"/>
    </w:pPr>
    <w:rPr>
      <w:rFonts w:cs="宋体"/>
    </w:rPr>
  </w:style>
  <w:style w:type="paragraph" w:customStyle="1" w:styleId="118">
    <w:name w:val="表格的字"/>
    <w:next w:val="1"/>
    <w:qFormat/>
    <w:uiPriority w:val="0"/>
    <w:pPr>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9">
    <w:name w:val="表格内文字"/>
    <w:basedOn w:val="1"/>
    <w:qFormat/>
    <w:uiPriority w:val="0"/>
    <w:pPr>
      <w:jc w:val="center"/>
    </w:pPr>
    <w:rPr>
      <w:color w:val="000000"/>
      <w:szCs w:val="21"/>
    </w:rPr>
  </w:style>
  <w:style w:type="paragraph" w:customStyle="1" w:styleId="120">
    <w:name w:val="正文（无网格）"/>
    <w:basedOn w:val="1"/>
    <w:qFormat/>
    <w:uiPriority w:val="0"/>
    <w:pPr>
      <w:adjustRightInd w:val="0"/>
      <w:snapToGrid w:val="0"/>
      <w:spacing w:line="360" w:lineRule="auto"/>
      <w:ind w:firstLine="480" w:firstLineChars="200"/>
    </w:pPr>
    <w:rPr>
      <w:rFonts w:cs="宋体"/>
      <w:szCs w:val="20"/>
    </w:rPr>
  </w:style>
  <w:style w:type="paragraph" w:customStyle="1" w:styleId="121">
    <w:name w:val="3表内文字"/>
    <w:basedOn w:val="1"/>
    <w:qFormat/>
    <w:uiPriority w:val="0"/>
    <w:pPr>
      <w:jc w:val="center"/>
    </w:pPr>
    <w:rPr>
      <w:color w:val="000000"/>
      <w:sz w:val="18"/>
    </w:rPr>
  </w:style>
  <w:style w:type="paragraph" w:customStyle="1" w:styleId="122">
    <w:name w:val="2图标名称"/>
    <w:basedOn w:val="1"/>
    <w:qFormat/>
    <w:uiPriority w:val="0"/>
    <w:pPr>
      <w:autoSpaceDE w:val="0"/>
      <w:autoSpaceDN w:val="0"/>
      <w:adjustRightInd w:val="0"/>
      <w:snapToGrid w:val="0"/>
      <w:ind w:firstLine="420"/>
      <w:jc w:val="center"/>
    </w:pPr>
    <w:rPr>
      <w:rFonts w:ascii="宋体" w:hAnsi="宋体"/>
      <w:b/>
      <w:szCs w:val="21"/>
    </w:rPr>
  </w:style>
  <w:style w:type="paragraph" w:customStyle="1" w:styleId="123">
    <w:name w:val="标题3"/>
    <w:basedOn w:val="1"/>
    <w:qFormat/>
    <w:uiPriority w:val="0"/>
  </w:style>
  <w:style w:type="paragraph" w:customStyle="1" w:styleId="124">
    <w:name w:val="H标题3"/>
    <w:basedOn w:val="1"/>
    <w:qFormat/>
    <w:uiPriority w:val="0"/>
    <w:pPr>
      <w:spacing w:before="120" w:beforeLines="50" w:after="120" w:afterLines="50" w:line="360" w:lineRule="auto"/>
      <w:outlineLvl w:val="2"/>
    </w:pPr>
    <w:rPr>
      <w:b/>
      <w:szCs w:val="20"/>
    </w:rPr>
  </w:style>
  <w:style w:type="paragraph" w:customStyle="1" w:styleId="125">
    <w:name w:val="无间隔1"/>
    <w:qFormat/>
    <w:uiPriority w:val="1"/>
    <w:pPr>
      <w:widowControl w:val="0"/>
      <w:spacing w:after="160" w:line="259" w:lineRule="auto"/>
      <w:ind w:firstLine="200" w:firstLineChars="200"/>
      <w:jc w:val="both"/>
    </w:pPr>
    <w:rPr>
      <w:rFonts w:ascii="Calibri" w:hAnsi="Calibri" w:eastAsia="宋体" w:cs="Calibri"/>
      <w:kern w:val="2"/>
      <w:sz w:val="24"/>
      <w:szCs w:val="24"/>
      <w:lang w:val="en-US" w:eastAsia="zh-CN" w:bidi="ar-SA"/>
    </w:rPr>
  </w:style>
  <w:style w:type="paragraph" w:customStyle="1" w:styleId="126">
    <w:name w:val="金皇-正文"/>
    <w:basedOn w:val="1"/>
    <w:qFormat/>
    <w:uiPriority w:val="0"/>
    <w:pPr>
      <w:spacing w:line="360" w:lineRule="auto"/>
      <w:ind w:firstLine="200" w:firstLineChars="200"/>
    </w:pPr>
  </w:style>
  <w:style w:type="paragraph" w:customStyle="1" w:styleId="127">
    <w:name w:val="2 图表标题"/>
    <w:basedOn w:val="122"/>
    <w:qFormat/>
    <w:uiPriority w:val="0"/>
    <w:pPr>
      <w:ind w:firstLine="0"/>
    </w:pPr>
    <w:rPr>
      <w:rFonts w:ascii="Times New Roman" w:hAnsi="Times New Roman"/>
    </w:rPr>
  </w:style>
  <w:style w:type="paragraph" w:customStyle="1" w:styleId="128">
    <w:name w:val="标题2"/>
    <w:basedOn w:val="12"/>
    <w:qFormat/>
    <w:uiPriority w:val="0"/>
    <w:pPr>
      <w:spacing w:beforeLines="50" w:afterLines="50"/>
      <w:ind w:left="0" w:leftChars="0"/>
    </w:pPr>
    <w:rPr>
      <w:rFonts w:ascii="宋体" w:hAnsi="宋体"/>
      <w:b/>
      <w:sz w:val="28"/>
      <w:szCs w:val="28"/>
    </w:rPr>
  </w:style>
  <w:style w:type="paragraph" w:customStyle="1" w:styleId="129">
    <w:name w:val="H图表标题"/>
    <w:basedOn w:val="1"/>
    <w:qFormat/>
    <w:uiPriority w:val="0"/>
    <w:pPr>
      <w:spacing w:before="120" w:beforeLines="50" w:line="360" w:lineRule="auto"/>
      <w:outlineLvl w:val="3"/>
    </w:pPr>
    <w:rPr>
      <w:b/>
      <w:snapToGrid w:val="0"/>
      <w:szCs w:val="30"/>
    </w:rPr>
  </w:style>
  <w:style w:type="paragraph" w:customStyle="1" w:styleId="130">
    <w:name w:val="自定义标题2"/>
    <w:basedOn w:val="1"/>
    <w:qFormat/>
    <w:uiPriority w:val="0"/>
    <w:pPr>
      <w:spacing w:before="50" w:beforeLines="50" w:after="50" w:afterLines="50" w:line="360" w:lineRule="auto"/>
      <w:ind w:firstLine="480" w:firstLineChars="200"/>
    </w:pPr>
    <w:rPr>
      <w:b/>
      <w:sz w:val="30"/>
      <w:szCs w:val="20"/>
    </w:rPr>
  </w:style>
  <w:style w:type="paragraph" w:customStyle="1" w:styleId="131">
    <w:name w:val="5.正文内容"/>
    <w:basedOn w:val="1"/>
    <w:qFormat/>
    <w:uiPriority w:val="0"/>
    <w:pPr>
      <w:adjustRightInd w:val="0"/>
      <w:snapToGrid w:val="0"/>
    </w:pPr>
    <w:rPr>
      <w:rFonts w:cs="宋体"/>
      <w:szCs w:val="20"/>
    </w:rPr>
  </w:style>
  <w:style w:type="paragraph" w:customStyle="1" w:styleId="132">
    <w:name w:val="5文章(金皇)"/>
    <w:basedOn w:val="1"/>
    <w:qFormat/>
    <w:uiPriority w:val="0"/>
    <w:pPr>
      <w:spacing w:line="360" w:lineRule="auto"/>
      <w:ind w:firstLine="480" w:firstLineChars="200"/>
    </w:pPr>
  </w:style>
  <w:style w:type="paragraph" w:customStyle="1" w:styleId="133">
    <w:name w:val="J报告表大文字"/>
    <w:qFormat/>
    <w:uiPriority w:val="0"/>
    <w:pPr>
      <w:adjustRightInd w:val="0"/>
      <w:snapToGrid w:val="0"/>
      <w:spacing w:after="160" w:line="259" w:lineRule="auto"/>
      <w:jc w:val="center"/>
    </w:pPr>
    <w:rPr>
      <w:rFonts w:ascii="Times New Roman" w:hAnsi="Times New Roman" w:eastAsia="宋体" w:cs="宋体"/>
      <w:color w:val="000000"/>
      <w:kern w:val="2"/>
      <w:sz w:val="21"/>
      <w:szCs w:val="21"/>
      <w:lang w:val="en-US" w:eastAsia="zh-CN" w:bidi="ar-SA"/>
    </w:rPr>
  </w:style>
  <w:style w:type="paragraph" w:customStyle="1" w:styleId="134">
    <w:name w:val="样式 标题 1 + 首行缩进:  0 字符"/>
    <w:basedOn w:val="2"/>
    <w:next w:val="95"/>
    <w:qFormat/>
    <w:uiPriority w:val="99"/>
    <w:pPr>
      <w:spacing w:before="0" w:line="520" w:lineRule="exact"/>
    </w:pPr>
    <w:rPr>
      <w:rFonts w:ascii="Arial" w:hAnsi="Arial" w:cs="宋体"/>
      <w:color w:val="auto"/>
      <w:szCs w:val="20"/>
    </w:rPr>
  </w:style>
  <w:style w:type="paragraph" w:customStyle="1" w:styleId="135">
    <w:name w:val="H标题2"/>
    <w:basedOn w:val="3"/>
    <w:qFormat/>
    <w:uiPriority w:val="0"/>
    <w:pPr>
      <w:keepNext w:val="0"/>
      <w:keepLines w:val="0"/>
      <w:tabs>
        <w:tab w:val="left" w:pos="5400"/>
      </w:tabs>
      <w:spacing w:before="120" w:after="120"/>
    </w:pPr>
  </w:style>
  <w:style w:type="paragraph" w:customStyle="1" w:styleId="136">
    <w:name w:val="3级标题"/>
    <w:basedOn w:val="103"/>
    <w:qFormat/>
    <w:uiPriority w:val="0"/>
    <w:pPr>
      <w:numPr>
        <w:ilvl w:val="2"/>
        <w:numId w:val="1"/>
      </w:numPr>
      <w:adjustRightInd/>
      <w:snapToGrid/>
      <w:ind w:firstLineChars="0"/>
    </w:pPr>
    <w:rPr>
      <w:b/>
    </w:rPr>
  </w:style>
  <w:style w:type="paragraph" w:customStyle="1" w:styleId="137">
    <w:name w:val="6表格后段落"/>
    <w:basedOn w:val="104"/>
    <w:qFormat/>
    <w:uiPriority w:val="0"/>
    <w:pPr>
      <w:spacing w:beforeLines="50" w:after="100" w:afterAutospacing="1"/>
    </w:pPr>
    <w:rPr>
      <w:rFonts w:cs="宋体"/>
    </w:rPr>
  </w:style>
  <w:style w:type="paragraph" w:customStyle="1" w:styleId="138">
    <w:name w:val="Table Paragraph"/>
    <w:basedOn w:val="1"/>
    <w:qFormat/>
    <w:uiPriority w:val="0"/>
    <w:rPr>
      <w:rFonts w:ascii="Calibri" w:hAnsi="Calibri"/>
    </w:rPr>
  </w:style>
  <w:style w:type="paragraph" w:customStyle="1" w:styleId="139">
    <w:name w:val="2表内正文CM"/>
    <w:basedOn w:val="1"/>
    <w:next w:val="1"/>
    <w:qFormat/>
    <w:uiPriority w:val="0"/>
    <w:pPr>
      <w:adjustRightInd w:val="0"/>
      <w:snapToGrid w:val="0"/>
      <w:jc w:val="center"/>
    </w:pPr>
    <w:rPr>
      <w:rFonts w:cs="宋体"/>
      <w:szCs w:val="21"/>
    </w:rPr>
  </w:style>
  <w:style w:type="paragraph" w:customStyle="1" w:styleId="140">
    <w:name w:val="表格标题CCW"/>
    <w:basedOn w:val="1"/>
    <w:next w:val="1"/>
    <w:qFormat/>
    <w:uiPriority w:val="0"/>
    <w:pPr>
      <w:spacing w:line="360" w:lineRule="auto"/>
      <w:jc w:val="center"/>
      <w:outlineLvl w:val="4"/>
    </w:pPr>
    <w:rPr>
      <w:b/>
    </w:rPr>
  </w:style>
  <w:style w:type="paragraph" w:customStyle="1" w:styleId="141">
    <w:name w:val="普通(网站)2"/>
    <w:basedOn w:val="1"/>
    <w:qFormat/>
    <w:uiPriority w:val="0"/>
    <w:pPr>
      <w:spacing w:before="100" w:beforeAutospacing="1" w:after="100" w:afterAutospacing="1"/>
    </w:pPr>
    <w:rPr>
      <w:rFonts w:ascii="宋体" w:hAnsi="宋体"/>
      <w:szCs w:val="20"/>
    </w:rPr>
  </w:style>
  <w:style w:type="paragraph" w:customStyle="1" w:styleId="142">
    <w:name w:val="正文（小四）"/>
    <w:qFormat/>
    <w:uiPriority w:val="0"/>
    <w:pPr>
      <w:spacing w:after="160"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paragraph" w:customStyle="1" w:styleId="143">
    <w:name w:val="CM11"/>
    <w:basedOn w:val="1"/>
    <w:next w:val="1"/>
    <w:qFormat/>
    <w:uiPriority w:val="0"/>
    <w:pPr>
      <w:autoSpaceDE w:val="0"/>
      <w:autoSpaceDN w:val="0"/>
      <w:adjustRightInd w:val="0"/>
      <w:spacing w:line="520" w:lineRule="atLeast"/>
    </w:pPr>
    <w:rPr>
      <w:rFonts w:ascii="宋体"/>
    </w:rPr>
  </w:style>
  <w:style w:type="paragraph" w:customStyle="1" w:styleId="144">
    <w:name w:val="常用"/>
    <w:basedOn w:val="1"/>
    <w:qFormat/>
    <w:uiPriority w:val="0"/>
    <w:pPr>
      <w:spacing w:line="360" w:lineRule="auto"/>
      <w:ind w:firstLine="200" w:firstLineChars="200"/>
    </w:pPr>
    <w:rPr>
      <w:rFonts w:ascii="宋体" w:hAnsi="宋体"/>
      <w:szCs w:val="28"/>
    </w:rPr>
  </w:style>
  <w:style w:type="paragraph" w:customStyle="1" w:styleId="145">
    <w:name w:val="表格内容Q"/>
    <w:basedOn w:val="1"/>
    <w:qFormat/>
    <w:uiPriority w:val="0"/>
    <w:pPr>
      <w:jc w:val="center"/>
    </w:pPr>
    <w:rPr>
      <w:szCs w:val="21"/>
    </w:rPr>
  </w:style>
  <w:style w:type="paragraph" w:customStyle="1" w:styleId="146">
    <w:name w:val="正文1"/>
    <w:basedOn w:val="20"/>
    <w:qFormat/>
    <w:uiPriority w:val="0"/>
    <w:pPr>
      <w:ind w:firstLine="200" w:firstLineChars="200"/>
    </w:pPr>
    <w:rPr>
      <w:rFonts w:cs="宋体"/>
    </w:rPr>
  </w:style>
  <w:style w:type="paragraph" w:customStyle="1" w:styleId="147">
    <w:name w:val="正文(首行缩进)"/>
    <w:basedOn w:val="1"/>
    <w:qFormat/>
    <w:uiPriority w:val="0"/>
    <w:pPr>
      <w:adjustRightInd w:val="0"/>
      <w:snapToGrid w:val="0"/>
    </w:pPr>
    <w:rPr>
      <w:rFonts w:ascii="宋体" w:hAnsi="宋体" w:cs="宋体"/>
      <w:snapToGrid w:val="0"/>
    </w:rPr>
  </w:style>
  <w:style w:type="paragraph" w:customStyle="1" w:styleId="148">
    <w:name w:val="表正文"/>
    <w:basedOn w:val="1"/>
    <w:qFormat/>
    <w:uiPriority w:val="0"/>
    <w:pPr>
      <w:spacing w:line="360" w:lineRule="auto"/>
      <w:ind w:firstLine="200" w:firstLineChars="200"/>
    </w:pPr>
  </w:style>
  <w:style w:type="paragraph" w:customStyle="1" w:styleId="149">
    <w:name w:val="Default1"/>
    <w:qFormat/>
    <w:uiPriority w:val="0"/>
    <w:pPr>
      <w:widowControl w:val="0"/>
      <w:autoSpaceDE w:val="0"/>
      <w:autoSpaceDN w:val="0"/>
      <w:adjustRightInd w:val="0"/>
      <w:spacing w:after="160" w:line="259" w:lineRule="auto"/>
    </w:pPr>
    <w:rPr>
      <w:rFonts w:ascii="宋体" w:hAnsi="Times New Roman" w:eastAsia="宋体" w:cs="宋体"/>
      <w:color w:val="000000"/>
      <w:sz w:val="24"/>
      <w:szCs w:val="24"/>
      <w:lang w:val="en-US" w:eastAsia="zh-CN" w:bidi="ar-SA"/>
    </w:rPr>
  </w:style>
  <w:style w:type="paragraph" w:customStyle="1" w:styleId="150">
    <w:name w:val="足乐正文"/>
    <w:basedOn w:val="1"/>
    <w:qFormat/>
    <w:uiPriority w:val="0"/>
    <w:pPr>
      <w:spacing w:line="360" w:lineRule="auto"/>
      <w:ind w:firstLine="720" w:firstLineChars="200"/>
    </w:pPr>
    <w:rPr>
      <w:sz w:val="20"/>
      <w:szCs w:val="20"/>
    </w:rPr>
  </w:style>
  <w:style w:type="paragraph" w:customStyle="1" w:styleId="151">
    <w:name w:val="表格内容CCW"/>
    <w:basedOn w:val="1"/>
    <w:qFormat/>
    <w:uiPriority w:val="0"/>
    <w:pPr>
      <w:jc w:val="center"/>
    </w:pPr>
    <w:rPr>
      <w:szCs w:val="21"/>
    </w:rPr>
  </w:style>
  <w:style w:type="paragraph" w:customStyle="1" w:styleId="152">
    <w:name w:val="足乐表格"/>
    <w:basedOn w:val="1"/>
    <w:qFormat/>
    <w:uiPriority w:val="0"/>
    <w:pPr>
      <w:adjustRightInd w:val="0"/>
      <w:snapToGrid w:val="0"/>
      <w:jc w:val="center"/>
    </w:pPr>
    <w:rPr>
      <w:sz w:val="21"/>
    </w:rPr>
  </w:style>
  <w:style w:type="paragraph" w:customStyle="1" w:styleId="153">
    <w:name w:val="文本"/>
    <w:basedOn w:val="1"/>
    <w:qFormat/>
    <w:uiPriority w:val="0"/>
    <w:pPr>
      <w:spacing w:line="360" w:lineRule="auto"/>
      <w:ind w:firstLine="200" w:firstLineChars="200"/>
    </w:pPr>
    <w:rPr>
      <w:rFonts w:cs="宋体"/>
    </w:rPr>
  </w:style>
  <w:style w:type="paragraph" w:customStyle="1" w:styleId="154">
    <w:name w:val="J标题一"/>
    <w:next w:val="100"/>
    <w:qFormat/>
    <w:uiPriority w:val="0"/>
    <w:pPr>
      <w:spacing w:after="160" w:line="360" w:lineRule="auto"/>
      <w:outlineLvl w:val="1"/>
    </w:pPr>
    <w:rPr>
      <w:rFonts w:ascii="Times New Roman" w:hAnsi="Times New Roman" w:eastAsia="宋体" w:cs="Times New Roman"/>
      <w:b/>
      <w:kern w:val="2"/>
      <w:sz w:val="24"/>
      <w:szCs w:val="22"/>
      <w:lang w:val="en-US" w:eastAsia="zh-CN" w:bidi="ar-SA"/>
    </w:rPr>
  </w:style>
  <w:style w:type="paragraph" w:customStyle="1" w:styleId="155">
    <w:name w:val="表格名称1"/>
    <w:basedOn w:val="1"/>
    <w:qFormat/>
    <w:uiPriority w:val="0"/>
    <w:pPr>
      <w:adjustRightInd w:val="0"/>
      <w:snapToGrid w:val="0"/>
      <w:jc w:val="center"/>
    </w:pPr>
    <w:rPr>
      <w:b/>
      <w:sz w:val="21"/>
    </w:rPr>
  </w:style>
  <w:style w:type="paragraph" w:customStyle="1" w:styleId="156">
    <w:name w:val="H图表内容"/>
    <w:basedOn w:val="1"/>
    <w:qFormat/>
    <w:uiPriority w:val="0"/>
    <w:rPr>
      <w:szCs w:val="20"/>
    </w:rPr>
  </w:style>
  <w:style w:type="paragraph" w:customStyle="1" w:styleId="157">
    <w:name w:val="7表格内容"/>
    <w:basedOn w:val="104"/>
    <w:qFormat/>
    <w:uiPriority w:val="0"/>
    <w:pPr>
      <w:spacing w:line="240" w:lineRule="auto"/>
      <w:ind w:firstLine="0" w:firstLineChars="0"/>
      <w:jc w:val="center"/>
    </w:pPr>
  </w:style>
  <w:style w:type="paragraph" w:customStyle="1" w:styleId="158">
    <w:name w:val="正文_10"/>
    <w:qFormat/>
    <w:uiPriority w:val="0"/>
    <w:pPr>
      <w:widowControl w:val="0"/>
      <w:spacing w:after="160" w:line="259" w:lineRule="auto"/>
      <w:jc w:val="both"/>
    </w:pPr>
    <w:rPr>
      <w:rFonts w:ascii="Times New Roman" w:hAnsi="Times New Roman" w:eastAsia="宋体" w:cs="Times New Roman"/>
      <w:kern w:val="2"/>
      <w:sz w:val="21"/>
      <w:szCs w:val="22"/>
      <w:lang w:val="en-US" w:eastAsia="zh-CN" w:bidi="ar-SA"/>
    </w:rPr>
  </w:style>
  <w:style w:type="paragraph" w:styleId="159">
    <w:name w:val="No Spacing"/>
    <w:basedOn w:val="1"/>
    <w:qFormat/>
    <w:uiPriority w:val="1"/>
  </w:style>
  <w:style w:type="paragraph" w:customStyle="1" w:styleId="160">
    <w:name w:val="环评 表格"/>
    <w:basedOn w:val="125"/>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161">
    <w:name w:val="表格标题1111111"/>
    <w:basedOn w:val="1"/>
    <w:qFormat/>
    <w:uiPriority w:val="0"/>
    <w:pPr>
      <w:adjustRightInd w:val="0"/>
      <w:snapToGrid w:val="0"/>
      <w:spacing w:line="360" w:lineRule="auto"/>
      <w:jc w:val="center"/>
      <w:outlineLvl w:val="5"/>
    </w:pPr>
    <w:rPr>
      <w:rFonts w:eastAsia="黑体"/>
      <w:b/>
    </w:rPr>
  </w:style>
  <w:style w:type="paragraph" w:customStyle="1" w:styleId="162">
    <w:name w:val="正文内容"/>
    <w:basedOn w:val="1"/>
    <w:qFormat/>
    <w:uiPriority w:val="0"/>
    <w:pPr>
      <w:adjustRightInd w:val="0"/>
      <w:snapToGrid w:val="0"/>
      <w:spacing w:line="360" w:lineRule="auto"/>
      <w:ind w:firstLine="200" w:firstLineChars="200"/>
    </w:pPr>
    <w:rPr>
      <w:szCs w:val="20"/>
    </w:rPr>
  </w:style>
  <w:style w:type="paragraph" w:customStyle="1" w:styleId="163">
    <w:name w:val="表头"/>
    <w:basedOn w:val="1"/>
    <w:qFormat/>
    <w:uiPriority w:val="0"/>
    <w:pPr>
      <w:jc w:val="center"/>
    </w:pPr>
    <w:rPr>
      <w:b/>
      <w:szCs w:val="21"/>
    </w:rPr>
  </w:style>
  <w:style w:type="paragraph" w:customStyle="1" w:styleId="164">
    <w:name w:val="0.正文内容"/>
    <w:basedOn w:val="1"/>
    <w:qFormat/>
    <w:uiPriority w:val="0"/>
    <w:pPr>
      <w:adjustRightInd w:val="0"/>
      <w:snapToGrid w:val="0"/>
    </w:pPr>
    <w:rPr>
      <w:rFonts w:ascii="TimesNewRoman" w:hAnsi="TimesNewRoman" w:cs="宋体"/>
      <w:szCs w:val="20"/>
    </w:rPr>
  </w:style>
  <w:style w:type="paragraph" w:customStyle="1" w:styleId="165">
    <w:name w:val="Char Char Char Char Char Char Char Char Char1 Char"/>
    <w:basedOn w:val="1"/>
    <w:semiHidden/>
    <w:qFormat/>
    <w:uiPriority w:val="0"/>
    <w:rPr>
      <w:rFonts w:ascii="宋体" w:hAnsi="宋体" w:cs="Courier New"/>
      <w:sz w:val="32"/>
      <w:szCs w:val="32"/>
    </w:rPr>
  </w:style>
  <w:style w:type="paragraph" w:customStyle="1" w:styleId="166">
    <w:name w:val="表格标题"/>
    <w:basedOn w:val="1"/>
    <w:qFormat/>
    <w:uiPriority w:val="0"/>
    <w:pPr>
      <w:adjustRightInd w:val="0"/>
      <w:snapToGrid w:val="0"/>
      <w:spacing w:beforeLines="50" w:line="360" w:lineRule="auto"/>
      <w:jc w:val="center"/>
    </w:pPr>
    <w:rPr>
      <w:rFonts w:eastAsia="黑体"/>
      <w:b/>
    </w:rPr>
  </w:style>
  <w:style w:type="table" w:customStyle="1" w:styleId="167">
    <w:name w:val="表格样式刘"/>
    <w:basedOn w:val="37"/>
    <w:qFormat/>
    <w:uiPriority w:val="99"/>
    <w:tblPr>
      <w:tblBorders>
        <w:top w:val="single" w:color="auto" w:sz="12" w:space="0"/>
        <w:bottom w:val="single" w:color="auto" w:sz="12" w:space="0"/>
        <w:insideH w:val="single" w:color="auto" w:sz="4" w:space="0"/>
        <w:insideV w:val="single" w:color="auto" w:sz="4" w:space="0"/>
      </w:tblBorders>
    </w:tblPr>
  </w:style>
  <w:style w:type="table" w:customStyle="1" w:styleId="168">
    <w:name w:val="表格样式"/>
    <w:basedOn w:val="37"/>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69">
    <w:name w:val="网格型7"/>
    <w:basedOn w:val="37"/>
    <w:qFormat/>
    <w:uiPriority w:val="0"/>
    <w:pPr>
      <w:widowControl w:val="0"/>
      <w:jc w:val="both"/>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170">
    <w:name w:val="标题111"/>
    <w:basedOn w:val="29"/>
    <w:qFormat/>
    <w:uiPriority w:val="0"/>
    <w:pPr>
      <w:adjustRightInd w:val="0"/>
      <w:snapToGrid w:val="0"/>
      <w:spacing w:before="0" w:beforeAutospacing="0" w:after="0" w:afterAutospacing="0" w:line="360" w:lineRule="auto"/>
      <w:jc w:val="center"/>
      <w:outlineLvl w:val="0"/>
    </w:pPr>
    <w:rPr>
      <w:rFonts w:ascii="Times New Roman" w:hAnsi="Times New Roman" w:eastAsia="黑体"/>
      <w:snapToGrid w:val="0"/>
      <w:sz w:val="32"/>
      <w:szCs w:val="30"/>
    </w:rPr>
  </w:style>
  <w:style w:type="paragraph" w:customStyle="1" w:styleId="171">
    <w:name w:val="111正文的格式"/>
    <w:basedOn w:val="1"/>
    <w:qFormat/>
    <w:uiPriority w:val="0"/>
    <w:pPr>
      <w:adjustRightInd w:val="0"/>
      <w:snapToGrid w:val="0"/>
      <w:spacing w:line="360" w:lineRule="auto"/>
      <w:ind w:firstLine="200" w:firstLineChars="200"/>
    </w:pPr>
    <w:rPr>
      <w:color w:val="0000FF"/>
    </w:rPr>
  </w:style>
  <w:style w:type="paragraph" w:customStyle="1" w:styleId="172">
    <w:name w:val="Table Text"/>
    <w:basedOn w:val="1"/>
    <w:semiHidden/>
    <w:qFormat/>
    <w:uiPriority w:val="0"/>
    <w:rPr>
      <w:rFonts w:ascii="宋体" w:hAnsi="宋体" w:cs="宋体"/>
      <w:lang w:eastAsia="en-US"/>
    </w:rPr>
  </w:style>
  <w:style w:type="table" w:customStyle="1" w:styleId="173">
    <w:name w:val="Table Normal"/>
    <w:unhideWhenUsed/>
    <w:qFormat/>
    <w:uiPriority w:val="0"/>
    <w:tblPr>
      <w:tblCellMar>
        <w:top w:w="0" w:type="dxa"/>
        <w:left w:w="0" w:type="dxa"/>
        <w:bottom w:w="0" w:type="dxa"/>
        <w:right w:w="0" w:type="dxa"/>
      </w:tblCellMar>
    </w:tblPr>
  </w:style>
  <w:style w:type="paragraph" w:customStyle="1" w:styleId="174">
    <w:name w:val="11111表土"/>
    <w:basedOn w:val="1"/>
    <w:qFormat/>
    <w:uiPriority w:val="0"/>
    <w:pPr>
      <w:adjustRightInd w:val="0"/>
      <w:snapToGrid w:val="0"/>
      <w:jc w:val="center"/>
    </w:pPr>
    <w:rPr>
      <w:rFonts w:eastAsia="黑体"/>
    </w:rPr>
  </w:style>
  <w:style w:type="paragraph" w:customStyle="1" w:styleId="175">
    <w:name w:val="11正文"/>
    <w:basedOn w:val="176"/>
    <w:qFormat/>
    <w:uiPriority w:val="0"/>
  </w:style>
  <w:style w:type="paragraph" w:customStyle="1" w:styleId="176">
    <w:name w:val="正文111"/>
    <w:basedOn w:val="177"/>
    <w:qFormat/>
    <w:uiPriority w:val="0"/>
    <w:pPr>
      <w:ind w:firstLine="480"/>
    </w:pPr>
  </w:style>
  <w:style w:type="paragraph" w:customStyle="1" w:styleId="177">
    <w:name w:val="正文的格式52"/>
    <w:basedOn w:val="1"/>
    <w:qFormat/>
    <w:uiPriority w:val="0"/>
    <w:pPr>
      <w:spacing w:line="360" w:lineRule="auto"/>
      <w:ind w:firstLine="200" w:firstLineChars="200"/>
    </w:pPr>
    <w:rPr>
      <w:szCs w:val="20"/>
    </w:rPr>
  </w:style>
  <w:style w:type="paragraph" w:customStyle="1" w:styleId="178">
    <w:name w:val="111表头"/>
    <w:basedOn w:val="179"/>
    <w:qFormat/>
    <w:uiPriority w:val="0"/>
    <w:pPr>
      <w:adjustRightInd w:val="0"/>
      <w:snapToGrid w:val="0"/>
    </w:pPr>
  </w:style>
  <w:style w:type="paragraph" w:customStyle="1" w:styleId="179">
    <w:name w:val="表头 ylp"/>
    <w:basedOn w:val="1"/>
    <w:qFormat/>
    <w:uiPriority w:val="0"/>
    <w:pPr>
      <w:jc w:val="center"/>
    </w:pPr>
    <w:rPr>
      <w:rFonts w:eastAsia="黑体"/>
      <w:color w:val="0000FF"/>
      <w:lang w:bidi="he-IL"/>
    </w:rPr>
  </w:style>
  <w:style w:type="paragraph" w:customStyle="1" w:styleId="180">
    <w:name w:val="111表格的格式"/>
    <w:basedOn w:val="1"/>
    <w:qFormat/>
    <w:uiPriority w:val="0"/>
    <w:pPr>
      <w:adjustRightInd w:val="0"/>
      <w:snapToGrid w:val="0"/>
      <w:jc w:val="center"/>
    </w:pPr>
  </w:style>
  <w:style w:type="paragraph" w:customStyle="1" w:styleId="181">
    <w:name w:val="44标题444"/>
    <w:basedOn w:val="1"/>
    <w:qFormat/>
    <w:uiPriority w:val="0"/>
    <w:pPr>
      <w:adjustRightInd w:val="0"/>
      <w:snapToGrid w:val="0"/>
      <w:spacing w:line="360" w:lineRule="auto"/>
      <w:outlineLvl w:val="3"/>
    </w:pPr>
    <w:rPr>
      <w:rFonts w:eastAsia="黑体" w:cs="宋体"/>
      <w:bCs/>
      <w:spacing w:val="-10"/>
      <w:szCs w:val="21"/>
    </w:rPr>
  </w:style>
  <w:style w:type="paragraph" w:customStyle="1" w:styleId="182">
    <w:name w:val="22表格"/>
    <w:basedOn w:val="183"/>
    <w:qFormat/>
    <w:uiPriority w:val="0"/>
    <w:pPr>
      <w:adjustRightInd w:val="0"/>
      <w:snapToGrid w:val="0"/>
      <w:textAlignment w:val="center"/>
    </w:pPr>
    <w:rPr>
      <w:rFonts w:eastAsia="宋体"/>
      <w:color w:val="000000"/>
    </w:rPr>
  </w:style>
  <w:style w:type="paragraph" w:customStyle="1" w:styleId="183">
    <w:name w:val="表表表表"/>
    <w:basedOn w:val="184"/>
    <w:qFormat/>
    <w:uiPriority w:val="0"/>
    <w:rPr>
      <w:rFonts w:eastAsia="方正楷体简体"/>
    </w:rPr>
  </w:style>
  <w:style w:type="paragraph" w:customStyle="1" w:styleId="184">
    <w:name w:val="表格文字"/>
    <w:basedOn w:val="159"/>
    <w:next w:val="1"/>
    <w:qFormat/>
    <w:uiPriority w:val="0"/>
    <w:pPr>
      <w:spacing w:before="60" w:after="60" w:line="240" w:lineRule="atLeast"/>
      <w:jc w:val="center"/>
    </w:pPr>
  </w:style>
  <w:style w:type="paragraph" w:customStyle="1" w:styleId="185">
    <w:name w:val="0正文"/>
    <w:unhideWhenUsed/>
    <w:qFormat/>
    <w:uiPriority w:val="0"/>
    <w:pPr>
      <w:widowControl w:val="0"/>
      <w:spacing w:after="160" w:line="360" w:lineRule="auto"/>
      <w:ind w:firstLine="720" w:firstLineChars="200"/>
    </w:pPr>
    <w:rPr>
      <w:rFonts w:ascii="Times New Roman" w:hAnsi="Times New Roman" w:eastAsia="宋体" w:cs="Times New Roman"/>
      <w:sz w:val="24"/>
      <w:szCs w:val="22"/>
      <w:lang w:val="en-US" w:eastAsia="zh-CN" w:bidi="ar-SA"/>
    </w:rPr>
  </w:style>
  <w:style w:type="paragraph" w:customStyle="1" w:styleId="186">
    <w:name w:val="【表格文字】"/>
    <w:basedOn w:val="1"/>
    <w:next w:val="1"/>
    <w:qFormat/>
    <w:uiPriority w:val="0"/>
    <w:pPr>
      <w:adjustRightInd w:val="0"/>
      <w:snapToGrid w:val="0"/>
      <w:jc w:val="center"/>
    </w:pPr>
  </w:style>
  <w:style w:type="paragraph" w:customStyle="1" w:styleId="187">
    <w:name w:val="111zhengwen"/>
    <w:basedOn w:val="1"/>
    <w:qFormat/>
    <w:uiPriority w:val="0"/>
    <w:pPr>
      <w:adjustRightInd w:val="0"/>
      <w:snapToGrid w:val="0"/>
      <w:spacing w:line="360" w:lineRule="auto"/>
      <w:ind w:firstLine="200" w:firstLineChars="200"/>
    </w:pPr>
    <w:rPr>
      <w:szCs w:val="20"/>
    </w:rPr>
  </w:style>
  <w:style w:type="paragraph" w:customStyle="1" w:styleId="188">
    <w:name w:val="5文章(治) + 黑色"/>
    <w:basedOn w:val="189"/>
    <w:qFormat/>
    <w:uiPriority w:val="0"/>
    <w:pPr>
      <w:ind w:firstLine="560"/>
    </w:pPr>
    <w:rPr>
      <w:rFonts w:ascii="Arial" w:hAnsi="Arial" w:cs="Tahoma"/>
      <w:snapToGrid w:val="0"/>
      <w:color w:val="000000"/>
      <w:szCs w:val="21"/>
    </w:rPr>
  </w:style>
  <w:style w:type="paragraph" w:customStyle="1" w:styleId="189">
    <w:name w:val="5文章(治)"/>
    <w:basedOn w:val="1"/>
    <w:qFormat/>
    <w:uiPriority w:val="0"/>
    <w:pPr>
      <w:spacing w:line="360" w:lineRule="auto"/>
      <w:ind w:firstLine="561"/>
    </w:pPr>
    <w:rPr>
      <w:rFonts w:ascii="Calibri" w:hAnsi="Calibri" w:cs="黑体"/>
    </w:rPr>
  </w:style>
  <w:style w:type="paragraph" w:customStyle="1" w:styleId="190">
    <w:name w:val="WPSOffice手动目录 1"/>
    <w:qFormat/>
    <w:uiPriority w:val="0"/>
    <w:pPr>
      <w:spacing w:after="160" w:line="259" w:lineRule="auto"/>
    </w:pPr>
    <w:rPr>
      <w:rFonts w:ascii="Times New Roman" w:hAnsi="Times New Roman" w:eastAsia="宋体" w:cs="Times New Roman"/>
      <w:sz w:val="22"/>
      <w:szCs w:val="22"/>
      <w:lang w:val="en-US" w:eastAsia="zh-CN" w:bidi="ar-SA"/>
    </w:rPr>
  </w:style>
  <w:style w:type="paragraph" w:customStyle="1" w:styleId="191">
    <w:name w:val="WPSOffice手动目录 2"/>
    <w:qFormat/>
    <w:uiPriority w:val="0"/>
    <w:pPr>
      <w:spacing w:after="160" w:line="259" w:lineRule="auto"/>
      <w:ind w:left="200" w:leftChars="200"/>
    </w:pPr>
    <w:rPr>
      <w:rFonts w:ascii="Times New Roman" w:hAnsi="Times New Roman" w:eastAsia="宋体" w:cs="Times New Roman"/>
      <w:sz w:val="22"/>
      <w:szCs w:val="22"/>
      <w:lang w:val="en-US" w:eastAsia="zh-CN" w:bidi="ar-SA"/>
    </w:rPr>
  </w:style>
  <w:style w:type="paragraph" w:customStyle="1" w:styleId="192">
    <w:name w:val="111正文"/>
    <w:basedOn w:val="1"/>
    <w:qFormat/>
    <w:uiPriority w:val="0"/>
    <w:pPr>
      <w:tabs>
        <w:tab w:val="left" w:pos="7276"/>
      </w:tabs>
      <w:adjustRightInd w:val="0"/>
      <w:snapToGrid w:val="0"/>
      <w:spacing w:line="360" w:lineRule="auto"/>
      <w:ind w:firstLine="480" w:firstLineChars="200"/>
    </w:pPr>
    <w:rPr>
      <w:color w:val="C00000"/>
      <w:szCs w:val="32"/>
    </w:rPr>
  </w:style>
  <w:style w:type="paragraph" w:customStyle="1" w:styleId="193">
    <w:name w:val="彪哥文本"/>
    <w:basedOn w:val="1"/>
    <w:next w:val="1"/>
    <w:qFormat/>
    <w:uiPriority w:val="0"/>
    <w:pPr>
      <w:adjustRightInd w:val="0"/>
      <w:snapToGrid w:val="0"/>
      <w:spacing w:before="10" w:beforeLines="10" w:after="10" w:afterLines="10"/>
      <w:jc w:val="center"/>
    </w:pPr>
    <w:rPr>
      <w:szCs w:val="20"/>
    </w:rPr>
  </w:style>
  <w:style w:type="character" w:customStyle="1" w:styleId="194">
    <w:name w:val="标题 4 字符"/>
    <w:basedOn w:val="39"/>
    <w:link w:val="5"/>
    <w:qFormat/>
    <w:uiPriority w:val="9"/>
    <w:rPr>
      <w:rFonts w:asciiTheme="majorHAnsi" w:hAnsiTheme="majorHAnsi" w:eastAsiaTheme="majorEastAsia" w:cstheme="majorBidi"/>
      <w:i/>
      <w:iCs/>
      <w:color w:val="376092" w:themeColor="accent1" w:themeShade="BF"/>
    </w:rPr>
  </w:style>
  <w:style w:type="character" w:customStyle="1" w:styleId="195">
    <w:name w:val="标题 5 字符"/>
    <w:basedOn w:val="39"/>
    <w:link w:val="6"/>
    <w:semiHidden/>
    <w:qFormat/>
    <w:uiPriority w:val="9"/>
    <w:rPr>
      <w:rFonts w:asciiTheme="majorHAnsi" w:hAnsiTheme="majorHAnsi" w:eastAsiaTheme="majorEastAsia" w:cstheme="majorBidi"/>
      <w:color w:val="376092" w:themeColor="accent1" w:themeShade="BF"/>
    </w:rPr>
  </w:style>
  <w:style w:type="character" w:customStyle="1" w:styleId="196">
    <w:name w:val="标题 6 字符"/>
    <w:basedOn w:val="39"/>
    <w:link w:val="7"/>
    <w:qFormat/>
    <w:uiPriority w:val="9"/>
    <w:rPr>
      <w:rFonts w:asciiTheme="majorHAnsi" w:hAnsiTheme="majorHAnsi" w:eastAsiaTheme="majorEastAsia" w:cstheme="majorBidi"/>
      <w:color w:val="254061" w:themeColor="accent1" w:themeShade="80"/>
    </w:rPr>
  </w:style>
  <w:style w:type="character" w:customStyle="1" w:styleId="197">
    <w:name w:val="标题 7 字符"/>
    <w:basedOn w:val="39"/>
    <w:link w:val="8"/>
    <w:semiHidden/>
    <w:qFormat/>
    <w:uiPriority w:val="9"/>
    <w:rPr>
      <w:rFonts w:asciiTheme="majorHAnsi" w:hAnsiTheme="majorHAnsi" w:eastAsiaTheme="majorEastAsia" w:cstheme="majorBidi"/>
      <w:i/>
      <w:iCs/>
      <w:color w:val="254061" w:themeColor="accent1" w:themeShade="80"/>
    </w:rPr>
  </w:style>
  <w:style w:type="character" w:customStyle="1" w:styleId="198">
    <w:name w:val="标题 8 字符"/>
    <w:basedOn w:val="39"/>
    <w:link w:val="9"/>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199">
    <w:name w:val="标题 9 字符"/>
    <w:basedOn w:val="39"/>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200">
    <w:name w:val="标题 字符"/>
    <w:basedOn w:val="39"/>
    <w:link w:val="35"/>
    <w:qFormat/>
    <w:uiPriority w:val="10"/>
    <w:rPr>
      <w:rFonts w:asciiTheme="majorHAnsi" w:hAnsiTheme="majorHAnsi" w:eastAsiaTheme="majorEastAsia" w:cstheme="majorBidi"/>
      <w:spacing w:val="-10"/>
      <w:sz w:val="56"/>
      <w:szCs w:val="56"/>
    </w:rPr>
  </w:style>
  <w:style w:type="character" w:customStyle="1" w:styleId="201">
    <w:name w:val="副标题 字符"/>
    <w:basedOn w:val="39"/>
    <w:link w:val="33"/>
    <w:qFormat/>
    <w:uiPriority w:val="11"/>
    <w:rPr>
      <w:color w:val="595959" w:themeColor="text1" w:themeTint="A6"/>
      <w:spacing w:val="15"/>
      <w14:textFill>
        <w14:solidFill>
          <w14:schemeClr w14:val="tx1">
            <w14:lumMod w14:val="65000"/>
            <w14:lumOff w14:val="35000"/>
          </w14:schemeClr>
        </w14:solidFill>
      </w14:textFill>
    </w:rPr>
  </w:style>
  <w:style w:type="character" w:customStyle="1" w:styleId="202">
    <w:name w:val="引用 字符"/>
    <w:basedOn w:val="39"/>
    <w:link w:val="98"/>
    <w:qFormat/>
    <w:uiPriority w:val="29"/>
    <w:rPr>
      <w:i/>
      <w:iCs/>
      <w:color w:val="404040" w:themeColor="text1" w:themeTint="BF"/>
      <w14:textFill>
        <w14:solidFill>
          <w14:schemeClr w14:val="tx1">
            <w14:lumMod w14:val="75000"/>
            <w14:lumOff w14:val="25000"/>
          </w14:schemeClr>
        </w14:solidFill>
      </w14:textFill>
    </w:rPr>
  </w:style>
  <w:style w:type="paragraph" w:styleId="203">
    <w:name w:val="Intense Quote"/>
    <w:basedOn w:val="1"/>
    <w:next w:val="1"/>
    <w:link w:val="204"/>
    <w:qFormat/>
    <w:uiPriority w:val="30"/>
    <w:pPr>
      <w:pBdr>
        <w:top w:val="single" w:color="4F81BD" w:themeColor="accent1" w:sz="4" w:space="10"/>
        <w:bottom w:val="single" w:color="4F81BD" w:themeColor="accent1" w:sz="4" w:space="10"/>
      </w:pBdr>
      <w:spacing w:before="360" w:after="360"/>
      <w:ind w:left="864" w:right="864"/>
      <w:jc w:val="center"/>
    </w:pPr>
    <w:rPr>
      <w:i/>
      <w:iCs/>
      <w:color w:val="4F81BD" w:themeColor="accent1"/>
      <w14:textFill>
        <w14:solidFill>
          <w14:schemeClr w14:val="accent1"/>
        </w14:solidFill>
      </w14:textFill>
    </w:rPr>
  </w:style>
  <w:style w:type="character" w:customStyle="1" w:styleId="204">
    <w:name w:val="明显引用 字符"/>
    <w:basedOn w:val="39"/>
    <w:link w:val="203"/>
    <w:qFormat/>
    <w:uiPriority w:val="30"/>
    <w:rPr>
      <w:i/>
      <w:iCs/>
      <w:color w:val="4F81BD" w:themeColor="accent1"/>
      <w14:textFill>
        <w14:solidFill>
          <w14:schemeClr w14:val="accent1"/>
        </w14:solidFill>
      </w14:textFill>
    </w:rPr>
  </w:style>
  <w:style w:type="character" w:customStyle="1" w:styleId="205">
    <w:name w:val="不明显强调1"/>
    <w:basedOn w:val="39"/>
    <w:qFormat/>
    <w:uiPriority w:val="19"/>
    <w:rPr>
      <w:i/>
      <w:iCs/>
      <w:color w:val="404040" w:themeColor="text1" w:themeTint="BF"/>
      <w14:textFill>
        <w14:solidFill>
          <w14:schemeClr w14:val="tx1">
            <w14:lumMod w14:val="75000"/>
            <w14:lumOff w14:val="25000"/>
          </w14:schemeClr>
        </w14:solidFill>
      </w14:textFill>
    </w:rPr>
  </w:style>
  <w:style w:type="character" w:customStyle="1" w:styleId="206">
    <w:name w:val="明显强调1"/>
    <w:basedOn w:val="39"/>
    <w:qFormat/>
    <w:uiPriority w:val="21"/>
    <w:rPr>
      <w:i/>
      <w:iCs/>
      <w:color w:val="4F81BD" w:themeColor="accent1"/>
      <w14:textFill>
        <w14:solidFill>
          <w14:schemeClr w14:val="accent1"/>
        </w14:solidFill>
      </w14:textFill>
    </w:rPr>
  </w:style>
  <w:style w:type="character" w:customStyle="1" w:styleId="207">
    <w:name w:val="不明显参考1"/>
    <w:basedOn w:val="39"/>
    <w:qFormat/>
    <w:uiPriority w:val="31"/>
    <w:rPr>
      <w:smallCaps/>
      <w:color w:val="404040" w:themeColor="text1" w:themeTint="BF"/>
      <w14:textFill>
        <w14:solidFill>
          <w14:schemeClr w14:val="tx1">
            <w14:lumMod w14:val="75000"/>
            <w14:lumOff w14:val="25000"/>
          </w14:schemeClr>
        </w14:solidFill>
      </w14:textFill>
    </w:rPr>
  </w:style>
  <w:style w:type="character" w:customStyle="1" w:styleId="208">
    <w:name w:val="明显参考1"/>
    <w:basedOn w:val="39"/>
    <w:qFormat/>
    <w:uiPriority w:val="32"/>
    <w:rPr>
      <w:b/>
      <w:bCs/>
      <w:smallCaps/>
      <w:color w:val="4F81BD" w:themeColor="accent1"/>
      <w:spacing w:val="5"/>
      <w14:textFill>
        <w14:solidFill>
          <w14:schemeClr w14:val="accent1"/>
        </w14:solidFill>
      </w14:textFill>
    </w:rPr>
  </w:style>
  <w:style w:type="character" w:customStyle="1" w:styleId="209">
    <w:name w:val="书籍标题1"/>
    <w:basedOn w:val="39"/>
    <w:qFormat/>
    <w:uiPriority w:val="33"/>
    <w:rPr>
      <w:b/>
      <w:bCs/>
      <w:i/>
      <w:iCs/>
      <w:spacing w:val="5"/>
    </w:rPr>
  </w:style>
  <w:style w:type="paragraph" w:customStyle="1" w:styleId="210">
    <w:name w:val="TOC 标题1"/>
    <w:basedOn w:val="2"/>
    <w:next w:val="1"/>
    <w:semiHidden/>
    <w:unhideWhenUsed/>
    <w:qFormat/>
    <w:uiPriority w:val="39"/>
    <w:pPr>
      <w:outlineLvl w:val="9"/>
    </w:pPr>
  </w:style>
  <w:style w:type="paragraph" w:customStyle="1" w:styleId="211">
    <w:name w:val="修订1"/>
    <w:hidden/>
    <w:semiHidden/>
    <w:qFormat/>
    <w:uiPriority w:val="99"/>
    <w:rPr>
      <w:rFonts w:asciiTheme="minorHAnsi" w:hAnsiTheme="minorHAnsi" w:eastAsiaTheme="minorEastAsia" w:cstheme="minorBidi"/>
      <w:sz w:val="22"/>
      <w:szCs w:val="22"/>
      <w:lang w:val="en-US" w:eastAsia="zh-CN" w:bidi="ar-SA"/>
    </w:rPr>
  </w:style>
  <w:style w:type="paragraph" w:customStyle="1" w:styleId="212">
    <w:name w:val="10、表格内容"/>
    <w:basedOn w:val="19"/>
    <w:qFormat/>
    <w:uiPriority w:val="0"/>
    <w:pPr>
      <w:widowControl w:val="0"/>
      <w:adjustRightInd w:val="0"/>
      <w:spacing w:before="0" w:after="0" w:line="280" w:lineRule="exact"/>
      <w:ind w:right="0"/>
      <w:jc w:val="center"/>
    </w:pPr>
    <w:rPr>
      <w:color w:val="000000"/>
      <w:kern w:val="2"/>
      <w:sz w:val="21"/>
      <w:szCs w:val="24"/>
    </w:rPr>
  </w:style>
  <w:style w:type="paragraph" w:customStyle="1" w:styleId="213">
    <w:name w:val="修订2"/>
    <w:hidden/>
    <w:semiHidden/>
    <w:qFormat/>
    <w:uiPriority w:val="99"/>
    <w:rPr>
      <w:rFonts w:asciiTheme="minorHAnsi" w:hAnsiTheme="minorHAnsi" w:eastAsiaTheme="minorEastAsia" w:cstheme="minorBidi"/>
      <w:sz w:val="22"/>
      <w:szCs w:val="22"/>
      <w:lang w:val="en-US" w:eastAsia="zh-CN" w:bidi="ar-SA"/>
    </w:rPr>
  </w:style>
  <w:style w:type="paragraph" w:customStyle="1" w:styleId="214">
    <w:name w:val="标题33"/>
    <w:basedOn w:val="1"/>
    <w:qFormat/>
    <w:uiPriority w:val="0"/>
    <w:pPr>
      <w:tabs>
        <w:tab w:val="left" w:pos="3840"/>
      </w:tabs>
      <w:spacing w:line="360" w:lineRule="auto"/>
      <w:outlineLvl w:val="2"/>
    </w:pPr>
    <w:rPr>
      <w:rFonts w:eastAsia="黑体"/>
      <w:szCs w:val="30"/>
    </w:rPr>
  </w:style>
  <w:style w:type="character" w:customStyle="1" w:styleId="215">
    <w:name w:val="页眉 字符1"/>
    <w:basedOn w:val="39"/>
    <w:link w:val="31"/>
    <w:qFormat/>
    <w:uiPriority w:val="0"/>
    <w:rPr>
      <w:rFonts w:hint="default" w:ascii="Calibri" w:hAnsi="Calibri" w:cs="Calibri"/>
    </w:rPr>
  </w:style>
  <w:style w:type="character" w:customStyle="1" w:styleId="216">
    <w:name w:val="apple-converted-space"/>
    <w:basedOn w:val="39"/>
    <w:qFormat/>
    <w:uiPriority w:val="0"/>
    <w:rPr>
      <w:rFonts w:hint="default" w:ascii="Times New Roman" w:hAnsi="Times New Roman" w:cs="Times New Roman"/>
    </w:rPr>
  </w:style>
  <w:style w:type="paragraph" w:customStyle="1" w:styleId="217">
    <w:name w:val="BGZX"/>
    <w:next w:val="1"/>
    <w:qFormat/>
    <w:uiPriority w:val="0"/>
    <w:pPr>
      <w:widowControl w:val="0"/>
      <w:spacing w:line="360" w:lineRule="auto"/>
      <w:ind w:firstLine="480" w:firstLineChars="200"/>
    </w:pPr>
    <w:rPr>
      <w:rFonts w:ascii="Times New Roman" w:hAnsi="Times New Roman" w:eastAsia="宋体" w:cs="Times New Roman"/>
      <w:sz w:val="24"/>
      <w:lang w:val="en-US" w:eastAsia="zh-CN" w:bidi="ar-SA"/>
    </w:rPr>
  </w:style>
  <w:style w:type="paragraph" w:customStyle="1" w:styleId="218">
    <w:name w:val="正文新"/>
    <w:basedOn w:val="24"/>
    <w:qFormat/>
    <w:uiPriority w:val="0"/>
    <w:pPr>
      <w:spacing w:before="120" w:after="120" w:line="300" w:lineRule="auto"/>
      <w:ind w:firstLine="510"/>
    </w:pPr>
    <w:rPr>
      <w:rFonts w:hAnsi="Arial"/>
      <w:snapToGrid w:val="0"/>
    </w:rPr>
  </w:style>
  <w:style w:type="paragraph" w:customStyle="1" w:styleId="219">
    <w:name w:val="7表格(治)"/>
    <w:qFormat/>
    <w:uiPriority w:val="0"/>
    <w:pPr>
      <w:jc w:val="center"/>
    </w:pPr>
    <w:rPr>
      <w:rFonts w:ascii="Times New Roman" w:hAnsi="Times New Roman" w:eastAsia="楷体_GB2312" w:cs="Times New Roman"/>
      <w:sz w:val="21"/>
      <w:lang w:val="en-US" w:eastAsia="zh-CN" w:bidi="ar-SA"/>
    </w:rPr>
  </w:style>
  <w:style w:type="paragraph" w:customStyle="1" w:styleId="220">
    <w:name w:val="报告表正文"/>
    <w:basedOn w:val="1"/>
    <w:qFormat/>
    <w:uiPriority w:val="0"/>
    <w:pPr>
      <w:spacing w:line="360" w:lineRule="auto"/>
      <w:ind w:firstLine="200" w:firstLineChars="200"/>
    </w:pPr>
  </w:style>
  <w:style w:type="paragraph" w:customStyle="1" w:styleId="221">
    <w:name w:val="【表格】"/>
    <w:next w:val="22"/>
    <w:qFormat/>
    <w:uiPriority w:val="0"/>
    <w:pPr>
      <w:jc w:val="center"/>
    </w:pPr>
    <w:rPr>
      <w:rFonts w:ascii="Times New Roman" w:hAnsi="Times New Roman" w:eastAsia="宋体" w:cs="Times New Roman"/>
      <w:sz w:val="21"/>
      <w:szCs w:val="24"/>
      <w:lang w:val="en-US" w:eastAsia="zh-CN" w:bidi="ar-SA"/>
      <w14:ligatures w14:val="standardContextual"/>
    </w:rPr>
  </w:style>
  <w:style w:type="paragraph" w:customStyle="1" w:styleId="222">
    <w:name w:val="【表头】"/>
    <w:basedOn w:val="1"/>
    <w:qFormat/>
    <w:uiPriority w:val="0"/>
    <w:pPr>
      <w:widowControl w:val="0"/>
      <w:adjustRightInd w:val="0"/>
      <w:snapToGrid w:val="0"/>
      <w:spacing w:beforeLines="50" w:after="0" w:line="240" w:lineRule="auto"/>
      <w:jc w:val="center"/>
    </w:pPr>
    <w:rPr>
      <w:rFonts w:ascii="Times New Roman" w:hAnsi="Times New Roman" w:eastAsia="宋体" w:cs="Times New Roman"/>
      <w:b/>
      <w:kern w:val="2"/>
      <w:szCs w:val="24"/>
      <w14:ligatures w14:val="standardContextual"/>
    </w:rPr>
  </w:style>
  <w:style w:type="paragraph" w:customStyle="1" w:styleId="223">
    <w:name w:val="【表下正文】"/>
    <w:basedOn w:val="1"/>
    <w:next w:val="1"/>
    <w:qFormat/>
    <w:uiPriority w:val="0"/>
    <w:pPr>
      <w:widowControl w:val="0"/>
      <w:spacing w:before="50" w:beforeLines="50" w:after="0" w:line="360" w:lineRule="auto"/>
      <w:ind w:firstLine="200" w:firstLineChars="200"/>
      <w:jc w:val="both"/>
    </w:pPr>
    <w:rPr>
      <w:rFonts w:ascii="Times New Roman" w:hAnsi="Times New Roman" w:eastAsia="宋体" w:cs="Times New Roman"/>
      <w:kern w:val="2"/>
      <w:szCs w:val="20"/>
      <w14:ligatures w14:val="standardContextual"/>
    </w:rPr>
  </w:style>
  <w:style w:type="paragraph" w:customStyle="1" w:styleId="224">
    <w:name w:val="【图】"/>
    <w:qFormat/>
    <w:uiPriority w:val="0"/>
    <w:pPr>
      <w:spacing w:line="360" w:lineRule="auto"/>
      <w:jc w:val="center"/>
    </w:pPr>
    <w:rPr>
      <w:rFonts w:ascii="Times New Roman" w:hAnsi="Times New Roman" w:eastAsia="宋体" w:cs="Times New Roman"/>
      <w:b/>
      <w:kern w:val="2"/>
      <w:sz w:val="24"/>
      <w:szCs w:val="24"/>
      <w:lang w:val="en-US" w:eastAsia="zh-CN" w:bidi="ar-SA"/>
      <w14:ligatures w14:val="standardContextual"/>
    </w:rPr>
  </w:style>
  <w:style w:type="paragraph" w:customStyle="1" w:styleId="225">
    <w:name w:val="【正文】"/>
    <w:qFormat/>
    <w:uiPriority w:val="0"/>
    <w:pPr>
      <w:spacing w:line="360" w:lineRule="auto"/>
      <w:ind w:firstLine="200" w:firstLineChars="200"/>
      <w:jc w:val="both"/>
    </w:pPr>
    <w:rPr>
      <w:rFonts w:ascii="Times New Roman" w:hAnsi="Times New Roman" w:eastAsia="宋体" w:cs="Times New Roman"/>
      <w:sz w:val="24"/>
      <w:szCs w:val="24"/>
      <w:lang w:val="zh-CN" w:eastAsia="zh-CN" w:bidi="zh-CN"/>
      <w14:ligatures w14:val="standardContextual"/>
    </w:rPr>
  </w:style>
  <w:style w:type="table" w:customStyle="1" w:styleId="226">
    <w:name w:val="样式1"/>
    <w:basedOn w:val="37"/>
    <w:qFormat/>
    <w:uiPriority w:val="99"/>
    <w:pPr>
      <w:jc w:val="center"/>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227">
    <w:name w:val="修订3"/>
    <w:hidden/>
    <w:unhideWhenUsed/>
    <w:qFormat/>
    <w:uiPriority w:val="99"/>
    <w:rPr>
      <w:rFonts w:asciiTheme="minorHAnsi" w:hAnsiTheme="minorHAnsi" w:eastAsiaTheme="minorEastAsia" w:cstheme="minorBidi"/>
      <w:sz w:val="24"/>
      <w:szCs w:val="22"/>
      <w:lang w:val="en-US" w:eastAsia="zh-CN" w:bidi="ar-SA"/>
    </w:rPr>
  </w:style>
  <w:style w:type="paragraph" w:customStyle="1" w:styleId="228">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229">
    <w:name w:val="表2.3-1"/>
    <w:basedOn w:val="1"/>
    <w:qFormat/>
    <w:uiPriority w:val="0"/>
    <w:pPr>
      <w:widowControl w:val="0"/>
      <w:adjustRightInd w:val="0"/>
      <w:snapToGrid w:val="0"/>
      <w:spacing w:after="0" w:line="320" w:lineRule="exact"/>
      <w:ind w:firstLine="720" w:firstLineChars="200"/>
      <w:jc w:val="center"/>
      <w:outlineLvl w:val="4"/>
    </w:pPr>
    <w:rPr>
      <w:rFonts w:ascii="Arial" w:hAnsi="Arial" w:eastAsia="宋体" w:cs="Times New Roman"/>
      <w:kern w:val="2"/>
      <w:szCs w:val="24"/>
    </w:rPr>
  </w:style>
  <w:style w:type="character" w:customStyle="1" w:styleId="230">
    <w:name w:val="font101"/>
    <w:basedOn w:val="39"/>
    <w:qFormat/>
    <w:uiPriority w:val="0"/>
    <w:rPr>
      <w:rFonts w:hint="eastAsia" w:ascii="宋体" w:hAnsi="宋体" w:eastAsia="宋体"/>
      <w:color w:val="000000"/>
      <w:sz w:val="28"/>
      <w:szCs w:val="28"/>
      <w:u w:val="none"/>
    </w:rPr>
  </w:style>
  <w:style w:type="character" w:customStyle="1" w:styleId="231">
    <w:name w:val="font141"/>
    <w:basedOn w:val="39"/>
    <w:qFormat/>
    <w:uiPriority w:val="0"/>
    <w:rPr>
      <w:rFonts w:hint="eastAsia" w:ascii="宋体" w:hAnsi="宋体" w:eastAsia="宋体"/>
      <w:b/>
      <w:bCs/>
      <w:color w:val="000000"/>
      <w:sz w:val="28"/>
      <w:szCs w:val="28"/>
      <w:u w:val="none"/>
    </w:rPr>
  </w:style>
  <w:style w:type="table" w:customStyle="1" w:styleId="232">
    <w:name w:val="网格型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3">
    <w:name w:val="表格5号居中"/>
    <w:next w:val="1"/>
    <w:qFormat/>
    <w:uiPriority w:val="0"/>
    <w:pPr>
      <w:widowControl w:val="0"/>
      <w:tabs>
        <w:tab w:val="right" w:pos="8640"/>
        <w:tab w:val="right" w:pos="8784"/>
      </w:tabs>
      <w:adjustRightInd w:val="0"/>
      <w:snapToGrid w:val="0"/>
      <w:jc w:val="center"/>
    </w:pPr>
    <w:rPr>
      <w:rFonts w:ascii="Times New Roman" w:hAnsi="Times New Roman" w:eastAsia="宋体" w:cs="Times New Roman"/>
      <w:iCs/>
      <w:color w:val="000000"/>
      <w:sz w:val="21"/>
      <w:szCs w:val="24"/>
      <w:lang w:val="en-US" w:eastAsia="zh-CN" w:bidi="ar-SA"/>
    </w:rPr>
  </w:style>
  <w:style w:type="character" w:customStyle="1" w:styleId="234">
    <w:name w:val="未处理的提及1"/>
    <w:basedOn w:val="39"/>
    <w:semiHidden/>
    <w:unhideWhenUsed/>
    <w:qFormat/>
    <w:uiPriority w:val="99"/>
    <w:rPr>
      <w:color w:val="605E5C"/>
      <w:shd w:val="clear" w:color="auto" w:fill="E1DFDD"/>
    </w:rPr>
  </w:style>
  <w:style w:type="character" w:customStyle="1" w:styleId="235">
    <w:name w:val="[表格内容] Char"/>
    <w:link w:val="236"/>
    <w:qFormat/>
    <w:uiPriority w:val="0"/>
    <w:rPr>
      <w:kern w:val="2"/>
      <w:sz w:val="21"/>
      <w:szCs w:val="21"/>
    </w:rPr>
  </w:style>
  <w:style w:type="paragraph" w:customStyle="1" w:styleId="236">
    <w:name w:val="[表格内容]"/>
    <w:link w:val="235"/>
    <w:qFormat/>
    <w:uiPriority w:val="0"/>
    <w:pPr>
      <w:widowControl w:val="0"/>
      <w:jc w:val="center"/>
    </w:pPr>
    <w:rPr>
      <w:rFonts w:ascii="Times New Roman" w:hAnsi="Times New Roman" w:eastAsia="宋体" w:cs="Times New Roman"/>
      <w:kern w:val="2"/>
      <w:sz w:val="21"/>
      <w:szCs w:val="21"/>
      <w:lang w:val="en-US" w:eastAsia="zh-CN" w:bidi="ar-SA"/>
    </w:rPr>
  </w:style>
  <w:style w:type="table" w:customStyle="1" w:styleId="237">
    <w:name w:val="网格型3"/>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emf"/><Relationship Id="rId21" Type="http://schemas.openxmlformats.org/officeDocument/2006/relationships/package" Target="embeddings/Presentation2.pptx"/><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package" Target="embeddings/Presentation1.pptx"/><Relationship Id="rId18" Type="http://schemas.openxmlformats.org/officeDocument/2006/relationships/image" Target="media/image3.emf"/><Relationship Id="rId17" Type="http://schemas.openxmlformats.org/officeDocument/2006/relationships/package" Target="embeddings/Microsoft_Visio___1.vsdx"/><Relationship Id="rId16" Type="http://schemas.openxmlformats.org/officeDocument/2006/relationships/image" Target="media/image2.wmf"/><Relationship Id="rId15" Type="http://schemas.openxmlformats.org/officeDocument/2006/relationships/oleObject" Target="embeddings/oleObject1.bin"/><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70</Pages>
  <Words>6671</Words>
  <Characters>38029</Characters>
  <Lines>316</Lines>
  <Paragraphs>89</Paragraphs>
  <TotalTime>15</TotalTime>
  <ScaleCrop>false</ScaleCrop>
  <LinksUpToDate>false</LinksUpToDate>
  <CharactersWithSpaces>44611</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2026-01-04T03:31:00Z</dcterms:created>
  <dc:creator>lhj</dc:creator>
  <cp:lastModifiedBy>admin</cp:lastModifiedBy>
  <cp:lastPrinted>2024-05-31T06:14:00Z</cp:lastPrinted>
  <dcterms:modified xsi:type="dcterms:W3CDTF">2026-01-04T08:15:06Z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0385CC9842B6417B96021289C7215636_13</vt:lpwstr>
  </property>
  <property fmtid="{D5CDD505-2E9C-101B-9397-08002B2CF9AE}" pid="4" name="MSIP_Label_defa4170-0d19-0005-0004-bc88714345d2_Enabled">
    <vt:lpwstr>true</vt:lpwstr>
  </property>
  <property fmtid="{D5CDD505-2E9C-101B-9397-08002B2CF9AE}" pid="5" name="MSIP_Label_defa4170-0d19-0005-0004-bc88714345d2_SetDate">
    <vt:lpwstr>2024-10-21T07:32:05Z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f5fc9c0b-f80e-4bcc-bb1f-03e97bc2c076</vt:lpwstr>
  </property>
  <property fmtid="{D5CDD505-2E9C-101B-9397-08002B2CF9AE}" pid="9" name="MSIP_Label_defa4170-0d19-0005-0004-bc88714345d2_ActionId">
    <vt:lpwstr>77584b97-2a30-4fd4-a861-441eec4c18f0</vt:lpwstr>
  </property>
  <property fmtid="{D5CDD505-2E9C-101B-9397-08002B2CF9AE}" pid="10" name="MSIP_Label_defa4170-0d19-0005-0004-bc88714345d2_ContentBits">
    <vt:lpwstr>0</vt:lpwstr>
  </property>
</Properties>
</file>