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D9FA5">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rPr>
          <w:rFonts w:hint="default" w:ascii="Times New Roman" w:hAnsi="Times New Roman" w:eastAsia="宋体" w:cs="Times New Roman"/>
          <w:bCs/>
          <w:color w:val="auto"/>
          <w:sz w:val="72"/>
          <w:szCs w:val="72"/>
          <w:highlight w:val="none"/>
        </w:rPr>
        <w:drawing>
          <wp:anchor distT="0" distB="0" distL="114300" distR="114300" simplePos="0" relativeHeight="251663360" behindDoc="0" locked="0" layoutInCell="1" allowOverlap="1">
            <wp:simplePos x="0" y="0"/>
            <wp:positionH relativeFrom="column">
              <wp:posOffset>1905</wp:posOffset>
            </wp:positionH>
            <wp:positionV relativeFrom="paragraph">
              <wp:posOffset>0</wp:posOffset>
            </wp:positionV>
            <wp:extent cx="6090920" cy="8689340"/>
            <wp:effectExtent l="0" t="0" r="5080" b="16510"/>
            <wp:wrapNone/>
            <wp:docPr id="204" name="图片 204" descr="扫描_20251121_00394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扫描_20251121_003940_01"/>
                    <pic:cNvPicPr>
                      <a:picLocks noChangeAspect="1"/>
                    </pic:cNvPicPr>
                  </pic:nvPicPr>
                  <pic:blipFill>
                    <a:blip r:embed="rId8"/>
                    <a:stretch>
                      <a:fillRect/>
                    </a:stretch>
                  </pic:blipFill>
                  <pic:spPr>
                    <a:xfrm>
                      <a:off x="0" y="0"/>
                      <a:ext cx="6090920" cy="8689340"/>
                    </a:xfrm>
                    <a:prstGeom prst="rect">
                      <a:avLst/>
                    </a:prstGeom>
                  </pic:spPr>
                </pic:pic>
              </a:graphicData>
            </a:graphic>
          </wp:anchor>
        </w:drawing>
      </w:r>
    </w:p>
    <w:p w14:paraId="5022E62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2526"/>
      <w:bookmarkStart w:id="1" w:name="_Toc15153"/>
      <w:bookmarkStart w:id="2" w:name="_Toc17132"/>
      <w:bookmarkStart w:id="3" w:name="_Toc23611"/>
      <w:bookmarkStart w:id="4" w:name="_Toc13859"/>
      <w:bookmarkStart w:id="5" w:name="_Toc29571"/>
      <w:bookmarkStart w:id="6" w:name="_Toc14623"/>
      <w:bookmarkStart w:id="7" w:name="_Toc19841"/>
      <w:bookmarkStart w:id="8" w:name="_Toc9163"/>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5D7FC04">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656963C2">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BAF7017">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EF449B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E1DA220">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FC5B291">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6C95F58E">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289DC7A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7DEBCD3">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523AB0E9">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eastAsia="zh-CN"/>
        </w:rPr>
        <w:t>福州市闽侯振兴炜业机械有限公司年加工工业连接器300万件、6KV以下工业线缆200万件</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r>
        <w:rPr>
          <w:rFonts w:hint="eastAsia" w:cs="Times New Roman"/>
          <w:color w:val="auto"/>
          <w:sz w:val="36"/>
          <w:szCs w:val="36"/>
          <w:highlight w:val="none"/>
          <w:u w:val="single"/>
          <w:lang w:val="en-US" w:eastAsia="zh-CN"/>
        </w:rPr>
        <w:t xml:space="preserve">       </w:t>
      </w:r>
      <w:r>
        <w:rPr>
          <w:rFonts w:hint="eastAsia" w:ascii="Times New Roman" w:hAnsi="Times New Roman" w:cs="Times New Roman"/>
          <w:color w:val="auto"/>
          <w:sz w:val="36"/>
          <w:szCs w:val="36"/>
          <w:highlight w:val="none"/>
          <w:u w:val="single"/>
          <w:lang w:val="en-US" w:eastAsia="zh-CN"/>
        </w:rPr>
        <w:t xml:space="preserve">      </w:t>
      </w:r>
    </w:p>
    <w:p w14:paraId="443BC1AE">
      <w:pPr>
        <w:keepNext w:val="0"/>
        <w:keepLines w:val="0"/>
        <w:pageBreakBefore w:val="0"/>
        <w:widowControl w:val="0"/>
        <w:kinsoku/>
        <w:wordWrap/>
        <w:overflowPunct/>
        <w:topLinePunct w:val="0"/>
        <w:autoSpaceDE/>
        <w:autoSpaceDN/>
        <w:bidi w:val="0"/>
        <w:adjustRightInd w:val="0"/>
        <w:snapToGrid w:val="0"/>
        <w:spacing w:line="288" w:lineRule="auto"/>
        <w:ind w:left="359" w:leftChars="171" w:firstLine="0" w:firstLineChars="0"/>
        <w:jc w:val="left"/>
        <w:textAlignment w:val="auto"/>
        <w:rPr>
          <w:rFonts w:hint="default" w:ascii="Times New Roman" w:hAnsi="Times New Roman" w:eastAsia="宋体" w:cs="Times New Roman"/>
          <w:color w:val="auto"/>
          <w:sz w:val="36"/>
          <w:szCs w:val="36"/>
          <w:highlight w:val="none"/>
          <w:u w:val="single"/>
        </w:rPr>
      </w:pPr>
      <w:r>
        <w:rPr>
          <w:rFonts w:hint="default" w:ascii="Times New Roman" w:hAnsi="Times New Roman" w:eastAsia="宋体" w:cs="Times New Roman"/>
          <w:color w:val="auto"/>
          <w:sz w:val="36"/>
          <w:szCs w:val="36"/>
          <w:highlight w:val="none"/>
        </w:rPr>
        <w:t>建设单位（盖章）：</w:t>
      </w:r>
      <w:r>
        <w:rPr>
          <w:rFonts w:hint="eastAsia" w:ascii="Times New Roman" w:hAnsi="Times New Roman" w:eastAsia="宋体" w:cs="Times New Roman"/>
          <w:color w:val="auto"/>
          <w:sz w:val="36"/>
          <w:szCs w:val="36"/>
          <w:highlight w:val="none"/>
          <w:u w:val="single"/>
          <w:lang w:val="en-US" w:eastAsia="zh-CN"/>
        </w:rPr>
        <w:t xml:space="preserve"> </w:t>
      </w:r>
      <w:r>
        <w:rPr>
          <w:rFonts w:hint="eastAsia" w:ascii="宋体" w:hAnsi="宋体" w:cs="宋体"/>
          <w:color w:val="auto"/>
          <w:sz w:val="36"/>
          <w:szCs w:val="36"/>
          <w:u w:val="single"/>
          <w:lang w:eastAsia="zh-CN"/>
        </w:rPr>
        <w:t>福州市闽侯振兴炜业机械有限公司</w:t>
      </w: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 xml:space="preserve"> 202</w:t>
      </w:r>
      <w:r>
        <w:rPr>
          <w:rFonts w:hint="eastAsia" w:ascii="Times New Roman" w:hAnsi="Times New Roman" w:eastAsia="宋体" w:cs="Times New Roman"/>
          <w:color w:val="auto"/>
          <w:sz w:val="36"/>
          <w:szCs w:val="36"/>
          <w:highlight w:val="none"/>
          <w:u w:val="single"/>
          <w:lang w:val="en-US" w:eastAsia="zh-CN"/>
        </w:rPr>
        <w:t>5</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10</w:t>
      </w:r>
      <w:r>
        <w:rPr>
          <w:rFonts w:hint="default" w:ascii="Times New Roman" w:hAnsi="Times New Roman" w:eastAsia="宋体" w:cs="Times New Roman"/>
          <w:color w:val="auto"/>
          <w:sz w:val="36"/>
          <w:szCs w:val="36"/>
          <w:highlight w:val="none"/>
          <w:u w:val="single"/>
          <w:lang w:val="en-US" w:eastAsia="zh-CN"/>
        </w:rPr>
        <w:t>月</w:t>
      </w:r>
      <w:r>
        <w:rPr>
          <w:rFonts w:hint="default" w:ascii="Times New Roman" w:hAnsi="Times New Roman" w:eastAsia="宋体" w:cs="Times New Roman"/>
          <w:color w:val="auto"/>
          <w:sz w:val="36"/>
          <w:szCs w:val="36"/>
          <w:highlight w:val="none"/>
          <w:u w:val="single"/>
        </w:rPr>
        <w:t xml:space="preserve">     </w:t>
      </w:r>
      <w:r>
        <w:rPr>
          <w:rFonts w:hint="eastAsia" w:ascii="Times New Roman" w:hAnsi="Times New Roman" w:eastAsia="宋体"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rPr>
        <w:t xml:space="preserve"> </w:t>
      </w:r>
      <w:r>
        <w:rPr>
          <w:rFonts w:hint="default" w:ascii="Times New Roman" w:hAnsi="Times New Roman" w:eastAsia="宋体" w:cs="Times New Roman"/>
          <w:color w:val="auto"/>
          <w:sz w:val="36"/>
          <w:szCs w:val="36"/>
          <w:highlight w:val="none"/>
          <w:u w:val="single"/>
          <w:lang w:val="en-US" w:eastAsia="zh-CN"/>
        </w:rPr>
        <w:t xml:space="preserve">   </w:t>
      </w:r>
    </w:p>
    <w:p w14:paraId="293F3CA4">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5EE4E799">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175567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36"/>
          <w:szCs w:val="36"/>
          <w:highlight w:val="none"/>
        </w:rPr>
      </w:pPr>
    </w:p>
    <w:p w14:paraId="075D2745">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54971949">
      <w:pPr>
        <w:pStyle w:val="12"/>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1E33991E">
      <w:pP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br w:type="page"/>
      </w:r>
    </w:p>
    <w:p w14:paraId="026BBB1D">
      <w:pPr>
        <w:pStyle w:val="12"/>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auto"/>
          <w:sz w:val="36"/>
          <w:szCs w:val="36"/>
          <w:highlight w:val="none"/>
          <w:lang w:eastAsia="zh-CN"/>
        </w:rPr>
      </w:pPr>
    </w:p>
    <w:p w14:paraId="18C10823">
      <w:pPr>
        <w:bidi w:val="0"/>
        <w:rPr>
          <w:rFonts w:hint="default"/>
          <w:lang w:val="en-US" w:eastAsia="zh-CN"/>
        </w:rPr>
      </w:pPr>
      <w:bookmarkStart w:id="9" w:name="_Toc9208"/>
      <w:bookmarkStart w:id="10" w:name="_Toc29265"/>
    </w:p>
    <w:p w14:paraId="16A1C7F3">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587" w:right="1417" w:bottom="1587"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18" w:charSpace="0"/>
        </w:sectPr>
      </w:pPr>
    </w:p>
    <w:p w14:paraId="72CFB1CF">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1" w:name="_Toc31786"/>
      <w:r>
        <w:rPr>
          <w:rFonts w:hint="default" w:ascii="Times New Roman" w:hAnsi="Times New Roman" w:eastAsia="黑体" w:cs="Times New Roman"/>
          <w:snapToGrid w:val="0"/>
          <w:color w:val="auto"/>
          <w:sz w:val="30"/>
          <w:szCs w:val="30"/>
          <w:u w:val="none"/>
          <w:lang w:val="en-US" w:eastAsia="zh-CN"/>
        </w:rPr>
        <w:t>一、建设项目基本情况</w:t>
      </w:r>
      <w:bookmarkEnd w:id="9"/>
      <w:bookmarkEnd w:id="10"/>
      <w:bookmarkEnd w:id="11"/>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90"/>
        <w:gridCol w:w="1121"/>
        <w:gridCol w:w="2398"/>
        <w:gridCol w:w="1414"/>
        <w:gridCol w:w="480"/>
        <w:gridCol w:w="2893"/>
      </w:tblGrid>
      <w:tr w14:paraId="2FDB7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1" w:hRule="atLeast"/>
          <w:jc w:val="center"/>
        </w:trPr>
        <w:tc>
          <w:tcPr>
            <w:tcW w:w="1050" w:type="pct"/>
            <w:gridSpan w:val="2"/>
            <w:noWrap w:val="0"/>
            <w:tcMar>
              <w:top w:w="16" w:type="dxa"/>
              <w:left w:w="16" w:type="dxa"/>
              <w:right w:w="16" w:type="dxa"/>
            </w:tcMar>
            <w:vAlign w:val="center"/>
          </w:tcPr>
          <w:p w14:paraId="6A09E3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3949" w:type="pct"/>
            <w:gridSpan w:val="4"/>
            <w:noWrap w:val="0"/>
            <w:vAlign w:val="center"/>
          </w:tcPr>
          <w:p w14:paraId="058444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福州市闽侯振兴炜业机械有限公司年加工工业连接器300万件、6KV以下工业线缆200万件</w:t>
            </w:r>
          </w:p>
        </w:tc>
      </w:tr>
      <w:tr w14:paraId="0186D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0" w:hRule="atLeast"/>
          <w:jc w:val="center"/>
        </w:trPr>
        <w:tc>
          <w:tcPr>
            <w:tcW w:w="1050" w:type="pct"/>
            <w:gridSpan w:val="2"/>
            <w:noWrap w:val="0"/>
            <w:tcMar>
              <w:top w:w="16" w:type="dxa"/>
              <w:left w:w="16" w:type="dxa"/>
              <w:right w:w="16" w:type="dxa"/>
            </w:tcMar>
            <w:vAlign w:val="center"/>
          </w:tcPr>
          <w:p w14:paraId="700F0850">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3949" w:type="pct"/>
            <w:gridSpan w:val="4"/>
            <w:noWrap w:val="0"/>
            <w:vAlign w:val="center"/>
          </w:tcPr>
          <w:p w14:paraId="6083A94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2510-350181-04-01-163821</w:t>
            </w:r>
          </w:p>
        </w:tc>
      </w:tr>
      <w:tr w14:paraId="25CD4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050" w:type="pct"/>
            <w:gridSpan w:val="2"/>
            <w:noWrap w:val="0"/>
            <w:tcMar>
              <w:top w:w="16" w:type="dxa"/>
              <w:left w:w="16" w:type="dxa"/>
              <w:right w:w="16" w:type="dxa"/>
            </w:tcMar>
            <w:vAlign w:val="center"/>
          </w:tcPr>
          <w:p w14:paraId="0F3BAFA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318" w:type="pct"/>
            <w:noWrap w:val="0"/>
            <w:vAlign w:val="center"/>
          </w:tcPr>
          <w:p w14:paraId="4C60EBF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包</w:t>
            </w:r>
            <w:r>
              <w:rPr>
                <w:rFonts w:hint="eastAsia" w:cs="Times New Roman"/>
                <w:color w:val="auto"/>
                <w:sz w:val="24"/>
                <w:szCs w:val="24"/>
                <w:highlight w:val="none"/>
                <w:u w:val="none"/>
                <w:lang w:val="en-US" w:eastAsia="zh-CN"/>
              </w:rPr>
              <w:t>**</w:t>
            </w:r>
          </w:p>
        </w:tc>
        <w:tc>
          <w:tcPr>
            <w:tcW w:w="1041" w:type="pct"/>
            <w:gridSpan w:val="2"/>
            <w:noWrap w:val="0"/>
            <w:vAlign w:val="center"/>
          </w:tcPr>
          <w:p w14:paraId="5123E7E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589" w:type="pct"/>
            <w:noWrap w:val="0"/>
            <w:vAlign w:val="center"/>
          </w:tcPr>
          <w:p w14:paraId="650B638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159</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8</w:t>
            </w:r>
          </w:p>
        </w:tc>
      </w:tr>
      <w:tr w14:paraId="2449A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050" w:type="pct"/>
            <w:gridSpan w:val="2"/>
            <w:noWrap w:val="0"/>
            <w:tcMar>
              <w:top w:w="16" w:type="dxa"/>
              <w:left w:w="16" w:type="dxa"/>
              <w:right w:w="16" w:type="dxa"/>
            </w:tcMar>
            <w:vAlign w:val="center"/>
          </w:tcPr>
          <w:p w14:paraId="6553CEE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3949" w:type="pct"/>
            <w:gridSpan w:val="4"/>
            <w:noWrap w:val="0"/>
            <w:vAlign w:val="center"/>
          </w:tcPr>
          <w:p w14:paraId="4902921C">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rPr>
            </w:pPr>
            <w:r>
              <w:rPr>
                <w:rFonts w:hint="eastAsia" w:cs="Times New Roman"/>
                <w:color w:val="auto"/>
                <w:sz w:val="24"/>
                <w:szCs w:val="24"/>
                <w:u w:val="none"/>
                <w:lang w:val="en-US" w:eastAsia="zh-CN"/>
              </w:rPr>
              <w:t>福清融侨经济技术开发区（均和云谷·福清科技港39#厂房）</w:t>
            </w:r>
          </w:p>
        </w:tc>
      </w:tr>
      <w:tr w14:paraId="4755C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5B3FFFB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3949" w:type="pct"/>
            <w:gridSpan w:val="4"/>
            <w:noWrap w:val="0"/>
            <w:vAlign w:val="center"/>
          </w:tcPr>
          <w:p w14:paraId="7C6B7B8C">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sz w:val="24"/>
              </w:rPr>
              <w:t>（</w:t>
            </w:r>
            <w:r>
              <w:rPr>
                <w:sz w:val="24"/>
                <w:u w:val="single"/>
              </w:rPr>
              <w:t>119</w:t>
            </w:r>
            <w:r>
              <w:rPr>
                <w:sz w:val="24"/>
              </w:rPr>
              <w:t>度</w:t>
            </w:r>
            <w:r>
              <w:rPr>
                <w:rFonts w:hint="eastAsia"/>
                <w:sz w:val="24"/>
                <w:u w:val="single"/>
                <w:lang w:val="en-US" w:eastAsia="zh-CN"/>
              </w:rPr>
              <w:t>25</w:t>
            </w:r>
            <w:r>
              <w:rPr>
                <w:sz w:val="24"/>
              </w:rPr>
              <w:t>分</w:t>
            </w:r>
            <w:r>
              <w:rPr>
                <w:rFonts w:hint="eastAsia"/>
                <w:sz w:val="24"/>
                <w:u w:val="single"/>
                <w:lang w:val="en-US" w:eastAsia="zh-CN"/>
              </w:rPr>
              <w:t>45.97</w:t>
            </w:r>
            <w:r>
              <w:rPr>
                <w:sz w:val="24"/>
              </w:rPr>
              <w:t>秒，</w:t>
            </w:r>
            <w:r>
              <w:rPr>
                <w:sz w:val="24"/>
                <w:u w:val="single"/>
              </w:rPr>
              <w:t>2</w:t>
            </w:r>
            <w:r>
              <w:rPr>
                <w:rFonts w:hint="eastAsia"/>
                <w:sz w:val="24"/>
                <w:u w:val="single"/>
              </w:rPr>
              <w:t>5</w:t>
            </w:r>
            <w:r>
              <w:rPr>
                <w:sz w:val="24"/>
              </w:rPr>
              <w:t>度</w:t>
            </w:r>
            <w:r>
              <w:rPr>
                <w:rFonts w:hint="eastAsia"/>
                <w:sz w:val="24"/>
                <w:u w:val="single"/>
                <w:lang w:val="en-US" w:eastAsia="zh-CN"/>
              </w:rPr>
              <w:t>46</w:t>
            </w:r>
            <w:r>
              <w:rPr>
                <w:sz w:val="24"/>
              </w:rPr>
              <w:t>分</w:t>
            </w:r>
            <w:r>
              <w:rPr>
                <w:rFonts w:hint="eastAsia"/>
                <w:sz w:val="24"/>
                <w:u w:val="single"/>
                <w:lang w:val="en-US" w:eastAsia="zh-CN"/>
              </w:rPr>
              <w:t>5.07</w:t>
            </w:r>
            <w:r>
              <w:rPr>
                <w:sz w:val="24"/>
              </w:rPr>
              <w:t>秒）</w:t>
            </w:r>
          </w:p>
          <w:p w14:paraId="07B0CC60">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地理位置图详见附图</w:t>
            </w:r>
            <w:r>
              <w:rPr>
                <w:rFonts w:hint="eastAsia" w:cs="Times New Roman"/>
                <w:color w:val="auto"/>
                <w:sz w:val="24"/>
                <w:szCs w:val="24"/>
                <w:highlight w:val="none"/>
                <w:u w:val="none"/>
                <w:lang w:val="en-US" w:eastAsia="zh-CN"/>
              </w:rPr>
              <w:t>一</w:t>
            </w:r>
          </w:p>
        </w:tc>
      </w:tr>
      <w:tr w14:paraId="6F4CD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50" w:type="pct"/>
            <w:gridSpan w:val="2"/>
            <w:noWrap w:val="0"/>
            <w:tcMar>
              <w:top w:w="16" w:type="dxa"/>
              <w:left w:w="16" w:type="dxa"/>
              <w:right w:w="16" w:type="dxa"/>
            </w:tcMar>
            <w:vAlign w:val="center"/>
          </w:tcPr>
          <w:p w14:paraId="368E091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41E9A01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318" w:type="pct"/>
            <w:noWrap w:val="0"/>
            <w:vAlign w:val="center"/>
          </w:tcPr>
          <w:p w14:paraId="31C627A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C3989 其他电子元件制造；</w:t>
            </w:r>
          </w:p>
          <w:p w14:paraId="722EDF0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cs="Times New Roman"/>
                <w:color w:val="auto"/>
                <w:sz w:val="24"/>
                <w:szCs w:val="24"/>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C3831 电线、电缆制造</w:t>
            </w:r>
            <w:r>
              <w:rPr>
                <w:rFonts w:hint="eastAsia" w:cs="Times New Roman"/>
                <w:color w:val="auto"/>
                <w:sz w:val="24"/>
                <w:szCs w:val="24"/>
                <w:u w:val="none"/>
                <w:lang w:val="en-US" w:eastAsia="zh-CN"/>
              </w:rPr>
              <w:t>；</w:t>
            </w:r>
          </w:p>
          <w:p w14:paraId="263D450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lang w:val="en-US"/>
              </w:rPr>
            </w:pPr>
            <w:r>
              <w:rPr>
                <w:rFonts w:hint="default" w:ascii="Times New Roman" w:hAnsi="Times New Roman" w:eastAsia="宋体" w:cs="Times New Roman"/>
                <w:b w:val="0"/>
                <w:bCs w:val="0"/>
                <w:color w:val="auto"/>
                <w:sz w:val="24"/>
                <w:szCs w:val="24"/>
                <w:highlight w:val="none"/>
                <w:u w:val="none"/>
                <w:lang w:val="en-US" w:eastAsia="zh-CN"/>
              </w:rPr>
              <w:t>C2929</w:t>
            </w:r>
            <w:r>
              <w:rPr>
                <w:rFonts w:hint="eastAsia" w:cs="Times New Roman"/>
                <w:b w:val="0"/>
                <w:bCs w:val="0"/>
                <w:color w:val="auto"/>
                <w:sz w:val="24"/>
                <w:szCs w:val="24"/>
                <w:highlight w:val="none"/>
                <w:u w:val="none"/>
                <w:lang w:val="en-US" w:eastAsia="zh-CN"/>
              </w:rPr>
              <w:t xml:space="preserve"> </w:t>
            </w:r>
            <w:r>
              <w:rPr>
                <w:rFonts w:hint="default" w:ascii="Times New Roman" w:hAnsi="Times New Roman" w:eastAsia="宋体" w:cs="Times New Roman"/>
                <w:b w:val="0"/>
                <w:bCs w:val="0"/>
                <w:color w:val="auto"/>
                <w:sz w:val="24"/>
                <w:szCs w:val="24"/>
                <w:highlight w:val="none"/>
                <w:u w:val="none"/>
                <w:lang w:val="en-US" w:eastAsia="zh-CN"/>
              </w:rPr>
              <w:t>塑料零件及其他塑料制品制造</w:t>
            </w:r>
          </w:p>
        </w:tc>
        <w:tc>
          <w:tcPr>
            <w:tcW w:w="777" w:type="pct"/>
            <w:noWrap w:val="0"/>
            <w:vAlign w:val="center"/>
          </w:tcPr>
          <w:p w14:paraId="4520CC0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7BA7B33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852" w:type="pct"/>
            <w:gridSpan w:val="2"/>
            <w:noWrap w:val="0"/>
            <w:vAlign w:val="center"/>
          </w:tcPr>
          <w:p w14:paraId="13D35D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三十六、计算机、通信和其他电子设备制造业39</w:t>
            </w:r>
            <w:r>
              <w:rPr>
                <w:rFonts w:hint="eastAsia" w:cs="Times New Roman"/>
                <w:color w:val="auto"/>
                <w:sz w:val="24"/>
                <w:szCs w:val="24"/>
                <w:u w:val="none"/>
                <w:lang w:val="en-US" w:eastAsia="zh-CN"/>
              </w:rPr>
              <w:t>-81</w:t>
            </w:r>
            <w:r>
              <w:rPr>
                <w:rFonts w:hint="default" w:ascii="Times New Roman" w:hAnsi="Times New Roman" w:eastAsia="宋体" w:cs="Times New Roman"/>
                <w:color w:val="auto"/>
                <w:sz w:val="24"/>
                <w:szCs w:val="24"/>
                <w:u w:val="none"/>
                <w:lang w:val="en-US" w:eastAsia="zh-CN"/>
              </w:rPr>
              <w:t>电子元件及电子专用材料制造398</w:t>
            </w:r>
            <w:r>
              <w:rPr>
                <w:rFonts w:hint="default" w:ascii="Times New Roman" w:hAnsi="Times New Roman" w:eastAsia="宋体" w:cs="Times New Roman"/>
                <w:color w:val="auto"/>
                <w:sz w:val="24"/>
                <w:szCs w:val="24"/>
                <w:u w:val="none"/>
                <w:lang w:val="en-US" w:eastAsia="zh-CN"/>
              </w:rPr>
              <w:br w:type="textWrapping"/>
            </w:r>
            <w:r>
              <w:rPr>
                <w:rFonts w:hint="default" w:ascii="Times New Roman" w:hAnsi="Times New Roman" w:eastAsia="宋体" w:cs="Times New Roman"/>
                <w:color w:val="auto"/>
                <w:sz w:val="24"/>
                <w:szCs w:val="24"/>
                <w:u w:val="none"/>
                <w:lang w:val="en-US" w:eastAsia="zh-CN"/>
              </w:rPr>
              <w:t>三十五、电气机械和器材制造业38</w:t>
            </w:r>
            <w:r>
              <w:rPr>
                <w:rFonts w:hint="eastAsia" w:cs="Times New Roman"/>
                <w:color w:val="auto"/>
                <w:sz w:val="24"/>
                <w:szCs w:val="24"/>
                <w:u w:val="none"/>
                <w:lang w:val="en-US" w:eastAsia="zh-CN"/>
              </w:rPr>
              <w:t>-77</w:t>
            </w:r>
            <w:r>
              <w:rPr>
                <w:rFonts w:hint="default" w:ascii="Times New Roman" w:hAnsi="Times New Roman" w:eastAsia="宋体" w:cs="Times New Roman"/>
                <w:color w:val="auto"/>
                <w:sz w:val="24"/>
                <w:szCs w:val="24"/>
                <w:u w:val="none"/>
                <w:lang w:val="en-US" w:eastAsia="zh-CN"/>
              </w:rPr>
              <w:t>电线、电缆、光缆及电工器材制造383</w:t>
            </w:r>
          </w:p>
          <w:p w14:paraId="799BA5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二十六、橡胶和塑料制品业 29</w:t>
            </w:r>
          </w:p>
          <w:p w14:paraId="7FEB6E5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53 塑料制品业 292</w:t>
            </w:r>
          </w:p>
        </w:tc>
      </w:tr>
      <w:tr w14:paraId="4C91E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50" w:type="pct"/>
            <w:gridSpan w:val="2"/>
            <w:noWrap w:val="0"/>
            <w:tcMar>
              <w:top w:w="16" w:type="dxa"/>
              <w:left w:w="16" w:type="dxa"/>
              <w:right w:w="16" w:type="dxa"/>
            </w:tcMar>
            <w:vAlign w:val="center"/>
          </w:tcPr>
          <w:p w14:paraId="6810F6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318" w:type="pct"/>
            <w:noWrap w:val="0"/>
            <w:vAlign w:val="center"/>
          </w:tcPr>
          <w:p w14:paraId="0872F43F">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新建（迁建）</w:t>
            </w:r>
          </w:p>
          <w:p w14:paraId="1CD1B56A">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改建</w:t>
            </w:r>
          </w:p>
          <w:p w14:paraId="05FA07A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扩建</w:t>
            </w:r>
          </w:p>
          <w:p w14:paraId="1B78F16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技术改造</w:t>
            </w:r>
          </w:p>
        </w:tc>
        <w:tc>
          <w:tcPr>
            <w:tcW w:w="777" w:type="pct"/>
            <w:noWrap w:val="0"/>
            <w:vAlign w:val="center"/>
          </w:tcPr>
          <w:p w14:paraId="68D1AF1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32EF88A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申报情形</w:t>
            </w:r>
          </w:p>
        </w:tc>
        <w:tc>
          <w:tcPr>
            <w:tcW w:w="1852" w:type="pct"/>
            <w:gridSpan w:val="2"/>
            <w:noWrap w:val="0"/>
            <w:vAlign w:val="center"/>
          </w:tcPr>
          <w:p w14:paraId="235E1007">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首次申报项目</w:t>
            </w:r>
          </w:p>
          <w:p w14:paraId="2FABE2C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不予批准后再次申报项目</w:t>
            </w:r>
          </w:p>
          <w:p w14:paraId="003A8DF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超五年重新审核项目</w:t>
            </w:r>
          </w:p>
          <w:p w14:paraId="7CA2D39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重大变动重新报批项目</w:t>
            </w:r>
          </w:p>
        </w:tc>
      </w:tr>
      <w:tr w14:paraId="17446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50" w:type="pct"/>
            <w:gridSpan w:val="2"/>
            <w:noWrap w:val="0"/>
            <w:tcMar>
              <w:top w:w="16" w:type="dxa"/>
              <w:left w:w="16" w:type="dxa"/>
              <w:right w:w="16" w:type="dxa"/>
            </w:tcMar>
            <w:vAlign w:val="center"/>
          </w:tcPr>
          <w:p w14:paraId="4FED4DA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19437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318" w:type="pct"/>
            <w:noWrap w:val="0"/>
            <w:vAlign w:val="center"/>
          </w:tcPr>
          <w:p w14:paraId="29F94A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eastAsia" w:cs="Times New Roman"/>
                <w:color w:val="auto"/>
                <w:sz w:val="24"/>
                <w:szCs w:val="24"/>
                <w:u w:val="none"/>
                <w:lang w:val="en-US" w:eastAsia="zh-CN"/>
              </w:rPr>
              <w:t>福清</w:t>
            </w:r>
            <w:r>
              <w:rPr>
                <w:rFonts w:hint="default" w:ascii="Times New Roman" w:hAnsi="Times New Roman" w:eastAsia="宋体" w:cs="Times New Roman"/>
                <w:color w:val="auto"/>
                <w:sz w:val="24"/>
                <w:szCs w:val="24"/>
                <w:u w:val="none"/>
                <w:lang w:eastAsia="zh-CN"/>
              </w:rPr>
              <w:t>市发展和改革局</w:t>
            </w:r>
          </w:p>
        </w:tc>
        <w:tc>
          <w:tcPr>
            <w:tcW w:w="1041" w:type="pct"/>
            <w:gridSpan w:val="2"/>
            <w:noWrap w:val="0"/>
            <w:vAlign w:val="center"/>
          </w:tcPr>
          <w:p w14:paraId="69CA6A5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2E2FBD0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备案）文号（选填）</w:t>
            </w:r>
          </w:p>
        </w:tc>
        <w:tc>
          <w:tcPr>
            <w:tcW w:w="1589" w:type="pct"/>
            <w:noWrap w:val="0"/>
            <w:vAlign w:val="center"/>
          </w:tcPr>
          <w:p w14:paraId="59AC1A9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eastAsia="zh-CN"/>
              </w:rPr>
              <w:t>闽发改备</w:t>
            </w:r>
            <w:r>
              <w:rPr>
                <w:rFonts w:hint="eastAsia" w:cs="Times New Roman"/>
                <w:color w:val="auto"/>
                <w:sz w:val="24"/>
                <w:szCs w:val="24"/>
                <w:u w:val="none"/>
                <w:lang w:eastAsia="zh-CN"/>
              </w:rPr>
              <w:t>〔2025〕A060387</w:t>
            </w:r>
            <w:r>
              <w:rPr>
                <w:rFonts w:hint="default" w:ascii="Times New Roman" w:hAnsi="Times New Roman" w:eastAsia="宋体" w:cs="Times New Roman"/>
                <w:color w:val="auto"/>
                <w:sz w:val="24"/>
                <w:szCs w:val="24"/>
                <w:u w:val="none"/>
                <w:lang w:eastAsia="zh-CN"/>
              </w:rPr>
              <w:t>号</w:t>
            </w:r>
          </w:p>
        </w:tc>
      </w:tr>
      <w:tr w14:paraId="039F2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683C29D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318" w:type="pct"/>
            <w:noWrap w:val="0"/>
            <w:vAlign w:val="center"/>
          </w:tcPr>
          <w:p w14:paraId="0EDC3F6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1500</w:t>
            </w:r>
          </w:p>
        </w:tc>
        <w:tc>
          <w:tcPr>
            <w:tcW w:w="1041" w:type="pct"/>
            <w:gridSpan w:val="2"/>
            <w:noWrap w:val="0"/>
            <w:tcMar>
              <w:top w:w="16" w:type="dxa"/>
              <w:left w:w="16" w:type="dxa"/>
              <w:right w:w="16" w:type="dxa"/>
            </w:tcMar>
            <w:vAlign w:val="center"/>
          </w:tcPr>
          <w:p w14:paraId="45E6775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环保投资（万元）</w:t>
            </w:r>
          </w:p>
        </w:tc>
        <w:tc>
          <w:tcPr>
            <w:tcW w:w="1589" w:type="pct"/>
            <w:noWrap w:val="0"/>
            <w:vAlign w:val="center"/>
          </w:tcPr>
          <w:p w14:paraId="426BA59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w:t>
            </w:r>
            <w:r>
              <w:rPr>
                <w:rFonts w:hint="eastAsia" w:cs="Times New Roman"/>
                <w:color w:val="auto"/>
                <w:sz w:val="24"/>
                <w:szCs w:val="24"/>
                <w:u w:val="none"/>
                <w:lang w:val="en-US" w:eastAsia="zh-CN"/>
              </w:rPr>
              <w:t>5</w:t>
            </w:r>
          </w:p>
        </w:tc>
      </w:tr>
      <w:tr w14:paraId="65E02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0C54B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318" w:type="pct"/>
            <w:noWrap w:val="0"/>
            <w:vAlign w:val="center"/>
          </w:tcPr>
          <w:p w14:paraId="7502742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highlight w:val="none"/>
                <w:u w:val="none"/>
                <w:lang w:val="en-US" w:eastAsia="zh-CN"/>
              </w:rPr>
              <w:t>1</w:t>
            </w:r>
            <w:r>
              <w:rPr>
                <w:rFonts w:hint="eastAsia" w:ascii="Times New Roman" w:hAnsi="Times New Roman" w:eastAsia="宋体" w:cs="Times New Roman"/>
                <w:color w:val="auto"/>
                <w:sz w:val="24"/>
                <w:szCs w:val="24"/>
                <w:highlight w:val="none"/>
                <w:u w:val="none"/>
                <w:lang w:val="en-US" w:eastAsia="zh-CN"/>
              </w:rPr>
              <w:t>%</w:t>
            </w:r>
          </w:p>
        </w:tc>
        <w:tc>
          <w:tcPr>
            <w:tcW w:w="1041" w:type="pct"/>
            <w:gridSpan w:val="2"/>
            <w:noWrap w:val="0"/>
            <w:tcMar>
              <w:top w:w="16" w:type="dxa"/>
              <w:left w:w="16" w:type="dxa"/>
              <w:right w:w="16" w:type="dxa"/>
            </w:tcMar>
            <w:vAlign w:val="center"/>
          </w:tcPr>
          <w:p w14:paraId="01C675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施工工期</w:t>
            </w:r>
          </w:p>
        </w:tc>
        <w:tc>
          <w:tcPr>
            <w:tcW w:w="1589" w:type="pct"/>
            <w:noWrap w:val="0"/>
            <w:vAlign w:val="center"/>
          </w:tcPr>
          <w:p w14:paraId="19F6668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12个月</w:t>
            </w:r>
          </w:p>
        </w:tc>
      </w:tr>
      <w:tr w14:paraId="1B531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50" w:type="pct"/>
            <w:gridSpan w:val="2"/>
            <w:noWrap w:val="0"/>
            <w:tcMar>
              <w:top w:w="16" w:type="dxa"/>
              <w:left w:w="16" w:type="dxa"/>
              <w:right w:w="16" w:type="dxa"/>
            </w:tcMar>
            <w:vAlign w:val="center"/>
          </w:tcPr>
          <w:p w14:paraId="192EBA3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318" w:type="pct"/>
            <w:noWrap w:val="0"/>
            <w:vAlign w:val="center"/>
          </w:tcPr>
          <w:p w14:paraId="1DA7E0C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104D1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41" w:type="pct"/>
            <w:gridSpan w:val="2"/>
            <w:noWrap w:val="0"/>
            <w:tcMar>
              <w:top w:w="16" w:type="dxa"/>
              <w:left w:w="16" w:type="dxa"/>
              <w:right w:w="16" w:type="dxa"/>
            </w:tcMar>
            <w:vAlign w:val="center"/>
          </w:tcPr>
          <w:p w14:paraId="3E999B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0F03E1F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589" w:type="pct"/>
            <w:noWrap w:val="0"/>
            <w:vAlign w:val="center"/>
          </w:tcPr>
          <w:p w14:paraId="41CCC33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highlight w:val="none"/>
                <w:u w:val="none"/>
                <w:lang w:eastAsia="zh-CN"/>
              </w:rPr>
              <w:t>面积</w:t>
            </w:r>
            <w:r>
              <w:rPr>
                <w:rFonts w:hint="eastAsia" w:cs="Times New Roman"/>
                <w:color w:val="auto"/>
                <w:sz w:val="24"/>
                <w:szCs w:val="24"/>
                <w:highlight w:val="none"/>
                <w:u w:val="none"/>
                <w:lang w:val="en-US" w:eastAsia="zh-CN"/>
              </w:rPr>
              <w:t>4188.94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p>
        </w:tc>
      </w:tr>
      <w:tr w14:paraId="52362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7307D5C2">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65" w:type="pct"/>
            <w:gridSpan w:val="5"/>
            <w:noWrap w:val="0"/>
            <w:vAlign w:val="center"/>
          </w:tcPr>
          <w:p w14:paraId="3F63624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w:t>
            </w:r>
            <w:r>
              <w:rPr>
                <w:rFonts w:hint="eastAsia" w:cs="Times New Roman"/>
                <w:color w:val="auto"/>
                <w:kern w:val="0"/>
                <w:sz w:val="24"/>
                <w:szCs w:val="24"/>
                <w:u w:val="none"/>
                <w:lang w:val="en-US" w:eastAsia="zh-CN" w:bidi="ar"/>
              </w:rPr>
              <w:t>.1-1</w:t>
            </w:r>
            <w:r>
              <w:rPr>
                <w:rFonts w:hint="default" w:ascii="Times New Roman" w:hAnsi="Times New Roman" w:eastAsia="宋体" w:cs="Times New Roman"/>
                <w:color w:val="auto"/>
                <w:kern w:val="0"/>
                <w:sz w:val="24"/>
                <w:szCs w:val="24"/>
                <w:u w:val="none"/>
                <w:lang w:val="en-US" w:eastAsia="zh-CN" w:bidi="ar"/>
              </w:rPr>
              <w:t>专项评价设置原则表，具体详见下表：</w:t>
            </w:r>
          </w:p>
          <w:p w14:paraId="375B69DF">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w:t>
            </w:r>
            <w:r>
              <w:rPr>
                <w:rFonts w:hint="eastAsia" w:cs="Times New Roman"/>
                <w:b/>
                <w:bCs/>
                <w:color w:val="auto"/>
                <w:kern w:val="0"/>
                <w:sz w:val="24"/>
                <w:szCs w:val="24"/>
                <w:u w:val="none"/>
                <w:lang w:val="en-US" w:eastAsia="zh-CN" w:bidi="ar"/>
              </w:rPr>
              <w:t>-1</w:t>
            </w:r>
            <w:r>
              <w:rPr>
                <w:rFonts w:hint="default" w:ascii="Times New Roman" w:hAnsi="Times New Roman" w:eastAsia="宋体" w:cs="Times New Roman"/>
                <w:b/>
                <w:bCs/>
                <w:color w:val="auto"/>
                <w:kern w:val="0"/>
                <w:sz w:val="24"/>
                <w:szCs w:val="24"/>
                <w:u w:val="none"/>
                <w:lang w:eastAsia="zh-CN" w:bidi="ar"/>
              </w:rPr>
              <w:t xml:space="preserve">  项目专项评价设置表</w:t>
            </w:r>
          </w:p>
          <w:tbl>
            <w:tblPr>
              <w:tblStyle w:val="24"/>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3491"/>
              <w:gridCol w:w="2381"/>
              <w:gridCol w:w="908"/>
            </w:tblGrid>
            <w:tr w14:paraId="70D9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top w:val="single" w:color="auto" w:sz="12" w:space="0"/>
                    <w:left w:val="nil"/>
                  </w:tcBorders>
                  <w:noWrap w:val="0"/>
                  <w:vAlign w:val="center"/>
                </w:tcPr>
                <w:p w14:paraId="7D3D53C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专项评价的类别</w:t>
                  </w:r>
                </w:p>
              </w:tc>
              <w:tc>
                <w:tcPr>
                  <w:tcW w:w="2191" w:type="pct"/>
                  <w:tcBorders>
                    <w:top w:val="single" w:color="auto" w:sz="12" w:space="0"/>
                  </w:tcBorders>
                  <w:noWrap w:val="0"/>
                  <w:vAlign w:val="center"/>
                </w:tcPr>
                <w:p w14:paraId="4E0E459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设置原则</w:t>
                  </w:r>
                </w:p>
              </w:tc>
              <w:tc>
                <w:tcPr>
                  <w:tcW w:w="1494" w:type="pct"/>
                  <w:tcBorders>
                    <w:top w:val="single" w:color="auto" w:sz="12" w:space="0"/>
                  </w:tcBorders>
                  <w:noWrap w:val="0"/>
                  <w:vAlign w:val="center"/>
                </w:tcPr>
                <w:p w14:paraId="44E0D28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本项目情况</w:t>
                  </w:r>
                </w:p>
              </w:tc>
              <w:tc>
                <w:tcPr>
                  <w:tcW w:w="570" w:type="pct"/>
                  <w:tcBorders>
                    <w:top w:val="single" w:color="auto" w:sz="12" w:space="0"/>
                    <w:right w:val="nil"/>
                  </w:tcBorders>
                  <w:noWrap w:val="0"/>
                  <w:vAlign w:val="center"/>
                </w:tcPr>
                <w:p w14:paraId="6F3938B0">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u w:val="none"/>
                      <w:vertAlign w:val="baseline"/>
                      <w:lang w:val="en-US" w:eastAsia="zh-CN" w:bidi="ar-SA"/>
                    </w:rPr>
                  </w:pPr>
                  <w:r>
                    <w:rPr>
                      <w:rFonts w:hint="default" w:ascii="Times New Roman" w:hAnsi="Times New Roman" w:eastAsia="宋体" w:cs="Times New Roman"/>
                      <w:color w:val="auto"/>
                      <w:sz w:val="21"/>
                      <w:szCs w:val="21"/>
                      <w:u w:val="none"/>
                      <w:vertAlign w:val="baseline"/>
                      <w:lang w:eastAsia="zh-CN"/>
                    </w:rPr>
                    <w:t>是否设置专项</w:t>
                  </w:r>
                </w:p>
              </w:tc>
            </w:tr>
            <w:tr w14:paraId="59D2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743" w:type="pct"/>
                  <w:tcBorders>
                    <w:left w:val="nil"/>
                  </w:tcBorders>
                  <w:noWrap w:val="0"/>
                  <w:vAlign w:val="center"/>
                </w:tcPr>
                <w:p w14:paraId="4144E3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大气</w:t>
                  </w:r>
                </w:p>
              </w:tc>
              <w:tc>
                <w:tcPr>
                  <w:tcW w:w="2191" w:type="pct"/>
                  <w:noWrap w:val="0"/>
                  <w:vAlign w:val="center"/>
                </w:tcPr>
                <w:p w14:paraId="5DCFC7E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lang w:val="en-US" w:eastAsia="zh-CN"/>
                    </w:rPr>
                    <w:t>排放废气含有毒有害污染物、二噁英、苯并[a]芘、氰化物、氯气且厂界外500米范围内有环境空气保护目标的建设项目。</w:t>
                  </w:r>
                </w:p>
              </w:tc>
              <w:tc>
                <w:tcPr>
                  <w:tcW w:w="1494" w:type="pct"/>
                  <w:noWrap w:val="0"/>
                  <w:vAlign w:val="center"/>
                </w:tcPr>
                <w:p w14:paraId="5A891561">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lang w:val="en-US" w:eastAsia="zh-CN"/>
                    </w:rPr>
                    <w:t>本项目排放的废气污染物</w:t>
                  </w:r>
                  <w:r>
                    <w:rPr>
                      <w:rFonts w:hint="eastAsia" w:cs="Times New Roman"/>
                      <w:color w:val="auto"/>
                      <w:sz w:val="21"/>
                      <w:szCs w:val="21"/>
                      <w:lang w:val="en-US" w:eastAsia="zh-CN"/>
                    </w:rPr>
                    <w:t>为</w:t>
                  </w:r>
                  <w:r>
                    <w:rPr>
                      <w:rFonts w:hint="default" w:ascii="Times New Roman" w:hAnsi="Times New Roman" w:eastAsia="宋体" w:cs="Times New Roman"/>
                      <w:color w:val="auto"/>
                      <w:spacing w:val="0"/>
                      <w:kern w:val="21"/>
                      <w:sz w:val="21"/>
                      <w:szCs w:val="21"/>
                      <w:highlight w:val="none"/>
                      <w:lang w:val="en-US" w:eastAsia="zh-CN"/>
                    </w:rPr>
                    <w:t>非甲烷总烃、氨、甲苯二异氰酸酯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TDI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、二苯基甲烷二异氰酸酯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MDI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、异佛尔酮二异氰酸酯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IPDI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、多亚甲基多苯基异氰酸酯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PAPI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w:t>
                  </w:r>
                  <w:r>
                    <w:rPr>
                      <w:rFonts w:hint="eastAsia" w:cs="Times New Roman"/>
                      <w:color w:val="auto"/>
                      <w:spacing w:val="0"/>
                      <w:kern w:val="21"/>
                      <w:sz w:val="21"/>
                      <w:szCs w:val="21"/>
                      <w:highlight w:val="none"/>
                      <w:lang w:val="en-US" w:eastAsia="zh-CN"/>
                    </w:rPr>
                    <w:t>颗粒物、</w:t>
                  </w:r>
                  <w:r>
                    <w:rPr>
                      <w:rFonts w:hint="default" w:ascii="Times New Roman" w:hAnsi="Times New Roman" w:eastAsia="宋体" w:cs="Times New Roman"/>
                      <w:color w:val="auto"/>
                      <w:spacing w:val="0"/>
                      <w:kern w:val="21"/>
                      <w:sz w:val="21"/>
                      <w:szCs w:val="21"/>
                      <w:highlight w:val="none"/>
                      <w:lang w:val="en-US" w:eastAsia="zh-CN"/>
                    </w:rPr>
                    <w:t>臭气浓度</w:t>
                  </w:r>
                  <w:r>
                    <w:rPr>
                      <w:rFonts w:hint="eastAsia" w:cs="Times New Roman"/>
                      <w:color w:val="auto"/>
                      <w:spacing w:val="0"/>
                      <w:kern w:val="21"/>
                      <w:sz w:val="21"/>
                      <w:szCs w:val="21"/>
                      <w:highlight w:val="none"/>
                      <w:lang w:val="en-US" w:eastAsia="zh-CN"/>
                    </w:rPr>
                    <w:t>，本项目排放的废气不含</w:t>
                  </w:r>
                  <w:r>
                    <w:rPr>
                      <w:rFonts w:hint="default" w:ascii="Times New Roman" w:hAnsi="Times New Roman" w:eastAsia="宋体" w:cs="Times New Roman"/>
                      <w:color w:val="auto"/>
                      <w:sz w:val="21"/>
                      <w:szCs w:val="21"/>
                      <w:lang w:val="en-US" w:eastAsia="zh-CN"/>
                    </w:rPr>
                    <w:t>有毒有害污染物、二噁英、苯并[a]芘、氰化物、氯气</w:t>
                  </w:r>
                  <w:r>
                    <w:rPr>
                      <w:rFonts w:hint="eastAsia" w:ascii="Times New Roman" w:hAnsi="Times New Roman" w:eastAsia="宋体" w:cs="Times New Roman"/>
                      <w:color w:val="auto"/>
                      <w:sz w:val="21"/>
                      <w:szCs w:val="21"/>
                      <w:lang w:val="en-US" w:eastAsia="zh-CN"/>
                    </w:rPr>
                    <w:t>。</w:t>
                  </w:r>
                </w:p>
              </w:tc>
              <w:tc>
                <w:tcPr>
                  <w:tcW w:w="570" w:type="pct"/>
                  <w:tcBorders>
                    <w:right w:val="nil"/>
                  </w:tcBorders>
                  <w:noWrap w:val="0"/>
                  <w:vAlign w:val="center"/>
                </w:tcPr>
                <w:p w14:paraId="44CBA15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否</w:t>
                  </w:r>
                </w:p>
              </w:tc>
            </w:tr>
            <w:tr w14:paraId="1160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pct"/>
                  <w:tcBorders>
                    <w:left w:val="nil"/>
                  </w:tcBorders>
                  <w:noWrap w:val="0"/>
                  <w:vAlign w:val="center"/>
                </w:tcPr>
                <w:p w14:paraId="2A39D9E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地表水</w:t>
                  </w:r>
                </w:p>
              </w:tc>
              <w:tc>
                <w:tcPr>
                  <w:tcW w:w="2191" w:type="pct"/>
                  <w:noWrap w:val="0"/>
                  <w:vAlign w:val="center"/>
                </w:tcPr>
                <w:p w14:paraId="3DBA382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新增工业废水直排建设项目（槽罐车外送污水处理厂的除外）；新增废水直排的污水集中处理厂</w:t>
                  </w:r>
                </w:p>
              </w:tc>
              <w:tc>
                <w:tcPr>
                  <w:tcW w:w="1494" w:type="pct"/>
                  <w:noWrap w:val="0"/>
                  <w:vAlign w:val="center"/>
                </w:tcPr>
                <w:p w14:paraId="4FF2C7F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冷却水循环使用不外排；喷粉前清洗水经过自建废水处理设施处理后回用于清洗工序，不外排；</w:t>
                  </w: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p>
              </w:tc>
              <w:tc>
                <w:tcPr>
                  <w:tcW w:w="570" w:type="pct"/>
                  <w:tcBorders>
                    <w:right w:val="nil"/>
                  </w:tcBorders>
                  <w:noWrap w:val="0"/>
                  <w:vAlign w:val="center"/>
                </w:tcPr>
                <w:p w14:paraId="66EA81B8">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5A33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43" w:type="pct"/>
                  <w:tcBorders>
                    <w:left w:val="nil"/>
                  </w:tcBorders>
                  <w:noWrap w:val="0"/>
                  <w:vAlign w:val="center"/>
                </w:tcPr>
                <w:p w14:paraId="6EAFEF4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环境风险</w:t>
                  </w:r>
                </w:p>
              </w:tc>
              <w:tc>
                <w:tcPr>
                  <w:tcW w:w="2191" w:type="pct"/>
                  <w:noWrap w:val="0"/>
                  <w:vAlign w:val="center"/>
                </w:tcPr>
                <w:p w14:paraId="52FE669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有毒有害和易燃易爆危险物质存储量超过临界量的建设项目</w:t>
                  </w:r>
                </w:p>
              </w:tc>
              <w:tc>
                <w:tcPr>
                  <w:tcW w:w="1494" w:type="pct"/>
                  <w:noWrap w:val="0"/>
                  <w:vAlign w:val="center"/>
                </w:tcPr>
                <w:p w14:paraId="001D42A0">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w:t>
                  </w:r>
                  <w:r>
                    <w:rPr>
                      <w:rFonts w:hint="eastAsia" w:cs="Times New Roman"/>
                      <w:color w:val="auto"/>
                      <w:sz w:val="21"/>
                      <w:szCs w:val="21"/>
                      <w:u w:val="none"/>
                      <w:vertAlign w:val="baseline"/>
                      <w:lang w:eastAsia="zh-CN"/>
                    </w:rPr>
                    <w:t>涉及</w:t>
                  </w:r>
                  <w:r>
                    <w:rPr>
                      <w:rFonts w:hint="default" w:ascii="Times New Roman" w:hAnsi="Times New Roman" w:eastAsia="宋体" w:cs="Times New Roman"/>
                      <w:color w:val="auto"/>
                      <w:sz w:val="21"/>
                      <w:szCs w:val="21"/>
                      <w:u w:val="none"/>
                      <w:vertAlign w:val="baseline"/>
                      <w:lang w:eastAsia="zh-CN"/>
                    </w:rPr>
                    <w:t>危险物质为</w:t>
                  </w:r>
                  <w:r>
                    <w:rPr>
                      <w:rFonts w:hint="eastAsia" w:cs="Times New Roman"/>
                      <w:color w:val="auto"/>
                      <w:sz w:val="21"/>
                      <w:szCs w:val="21"/>
                      <w:u w:val="none"/>
                      <w:vertAlign w:val="baseline"/>
                      <w:lang w:val="en-US" w:eastAsia="zh-CN"/>
                    </w:rPr>
                    <w:t>废活性炭、废机油、除油废液、钝化废液、废水处理污泥、槽渣、废滤筒滤芯</w:t>
                  </w:r>
                  <w:r>
                    <w:rPr>
                      <w:rFonts w:hint="default" w:ascii="Times New Roman" w:hAnsi="Times New Roman" w:eastAsia="宋体" w:cs="Times New Roman"/>
                      <w:color w:val="auto"/>
                      <w:sz w:val="21"/>
                      <w:szCs w:val="21"/>
                      <w:u w:val="none"/>
                      <w:vertAlign w:val="baseline"/>
                      <w:lang w:eastAsia="zh-CN"/>
                    </w:rPr>
                    <w:t>，储量</w:t>
                  </w:r>
                  <w:r>
                    <w:rPr>
                      <w:rFonts w:hint="eastAsia" w:cs="Times New Roman"/>
                      <w:color w:val="auto"/>
                      <w:sz w:val="21"/>
                      <w:szCs w:val="21"/>
                      <w:u w:val="none"/>
                      <w:vertAlign w:val="baseline"/>
                      <w:lang w:val="en-US" w:eastAsia="zh-CN"/>
                    </w:rPr>
                    <w:t>皆</w:t>
                  </w:r>
                  <w:r>
                    <w:rPr>
                      <w:rFonts w:hint="default" w:ascii="Times New Roman" w:hAnsi="Times New Roman" w:eastAsia="宋体" w:cs="Times New Roman"/>
                      <w:color w:val="auto"/>
                      <w:sz w:val="21"/>
                      <w:szCs w:val="21"/>
                      <w:u w:val="none"/>
                      <w:vertAlign w:val="baseline"/>
                      <w:lang w:eastAsia="zh-CN"/>
                    </w:rPr>
                    <w:t>未超过临界量</w:t>
                  </w:r>
                  <w:r>
                    <w:rPr>
                      <w:rFonts w:hint="default" w:ascii="Times New Roman" w:hAnsi="Times New Roman" w:eastAsia="宋体" w:cs="Times New Roman"/>
                      <w:color w:val="auto"/>
                      <w:sz w:val="21"/>
                      <w:szCs w:val="21"/>
                      <w:u w:val="none"/>
                      <w:lang w:eastAsia="zh-CN"/>
                    </w:rPr>
                    <w:t>，</w:t>
                  </w:r>
                  <w:r>
                    <w:rPr>
                      <w:rFonts w:hint="eastAsia" w:cs="Times New Roman"/>
                      <w:color w:val="auto"/>
                      <w:sz w:val="21"/>
                      <w:szCs w:val="21"/>
                      <w:u w:val="none"/>
                      <w:lang w:val="en-US" w:eastAsia="zh-CN"/>
                    </w:rPr>
                    <w:t>项目环境风险物质数量与临界量比值</w:t>
                  </w:r>
                  <w:r>
                    <w:rPr>
                      <w:rFonts w:hint="default" w:ascii="Times New Roman" w:hAnsi="Times New Roman" w:eastAsia="宋体" w:cs="Times New Roman"/>
                      <w:color w:val="auto"/>
                      <w:sz w:val="21"/>
                      <w:szCs w:val="21"/>
                      <w:u w:val="none"/>
                      <w:lang w:val="en-US" w:eastAsia="zh-CN"/>
                    </w:rPr>
                    <w:t>Q＜1。</w:t>
                  </w:r>
                </w:p>
              </w:tc>
              <w:tc>
                <w:tcPr>
                  <w:tcW w:w="570" w:type="pct"/>
                  <w:tcBorders>
                    <w:right w:val="nil"/>
                  </w:tcBorders>
                  <w:noWrap w:val="0"/>
                  <w:vAlign w:val="center"/>
                </w:tcPr>
                <w:p w14:paraId="100EABCD">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7D96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tcBorders>
                  <w:noWrap w:val="0"/>
                  <w:vAlign w:val="center"/>
                </w:tcPr>
                <w:p w14:paraId="0E1BD51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生态</w:t>
                  </w:r>
                </w:p>
              </w:tc>
              <w:tc>
                <w:tcPr>
                  <w:tcW w:w="2191" w:type="pct"/>
                  <w:noWrap w:val="0"/>
                  <w:vAlign w:val="center"/>
                </w:tcPr>
                <w:p w14:paraId="1FEFBB3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取水口下游500米范围内有重要水生生物的自然产卵场、索饵场、越冬场和洄游通道的新增河道取水的污染类建设项目</w:t>
                  </w:r>
                </w:p>
              </w:tc>
              <w:tc>
                <w:tcPr>
                  <w:tcW w:w="1494" w:type="pct"/>
                  <w:noWrap w:val="0"/>
                  <w:vAlign w:val="center"/>
                </w:tcPr>
                <w:p w14:paraId="43AB678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right w:val="nil"/>
                  </w:tcBorders>
                  <w:noWrap w:val="0"/>
                  <w:vAlign w:val="center"/>
                </w:tcPr>
                <w:p w14:paraId="416AB098">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r w14:paraId="67F6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tcBorders>
                    <w:left w:val="nil"/>
                    <w:bottom w:val="single" w:color="auto" w:sz="12" w:space="0"/>
                  </w:tcBorders>
                  <w:noWrap w:val="0"/>
                  <w:vAlign w:val="center"/>
                </w:tcPr>
                <w:p w14:paraId="223A738B">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海洋</w:t>
                  </w:r>
                </w:p>
              </w:tc>
              <w:tc>
                <w:tcPr>
                  <w:tcW w:w="2191" w:type="pct"/>
                  <w:tcBorders>
                    <w:bottom w:val="single" w:color="auto" w:sz="12" w:space="0"/>
                  </w:tcBorders>
                  <w:noWrap w:val="0"/>
                  <w:vAlign w:val="center"/>
                </w:tcPr>
                <w:p w14:paraId="04354604">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u w:val="none"/>
                      <w:lang w:val="en-US" w:eastAsia="zh-CN" w:bidi="ar"/>
                    </w:rPr>
                    <w:t>直接向海排放污染物的海洋工程建设项目</w:t>
                  </w:r>
                </w:p>
              </w:tc>
              <w:tc>
                <w:tcPr>
                  <w:tcW w:w="1494" w:type="pct"/>
                  <w:tcBorders>
                    <w:bottom w:val="single" w:color="auto" w:sz="12" w:space="0"/>
                  </w:tcBorders>
                  <w:noWrap w:val="0"/>
                  <w:vAlign w:val="center"/>
                </w:tcPr>
                <w:p w14:paraId="5B99DAF2">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本项目不涉及</w:t>
                  </w:r>
                </w:p>
              </w:tc>
              <w:tc>
                <w:tcPr>
                  <w:tcW w:w="570" w:type="pct"/>
                  <w:tcBorders>
                    <w:bottom w:val="single" w:color="auto" w:sz="12" w:space="0"/>
                    <w:right w:val="nil"/>
                  </w:tcBorders>
                  <w:noWrap w:val="0"/>
                  <w:vAlign w:val="center"/>
                </w:tcPr>
                <w:p w14:paraId="66CABE81">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eastAsia="zh-CN"/>
                    </w:rPr>
                    <w:t>否</w:t>
                  </w:r>
                </w:p>
              </w:tc>
            </w:tr>
          </w:tbl>
          <w:p w14:paraId="74F1473A">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08621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34" w:type="pct"/>
            <w:noWrap w:val="0"/>
            <w:vAlign w:val="center"/>
          </w:tcPr>
          <w:p w14:paraId="50E486A0">
            <w:pPr>
              <w:keepLines w:val="0"/>
              <w:pageBreakBefore w:val="0"/>
              <w:wordWrap/>
              <w:topLinePunct w:val="0"/>
              <w:autoSpaceDE w:val="0"/>
              <w:autoSpaceDN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规划情况</w:t>
            </w:r>
          </w:p>
        </w:tc>
        <w:tc>
          <w:tcPr>
            <w:tcW w:w="4565" w:type="pct"/>
            <w:gridSpan w:val="5"/>
            <w:noWrap w:val="0"/>
            <w:vAlign w:val="center"/>
          </w:tcPr>
          <w:p w14:paraId="1911DF5A">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eastAsia="zh-CN"/>
              </w:rPr>
            </w:pPr>
            <w:r>
              <w:rPr>
                <w:rFonts w:hint="eastAsia" w:cs="Times New Roman"/>
                <w:b/>
                <w:bCs/>
                <w:color w:val="auto"/>
                <w:kern w:val="0"/>
                <w:sz w:val="24"/>
                <w:szCs w:val="24"/>
                <w:u w:val="none"/>
                <w:lang w:eastAsia="zh-CN"/>
              </w:rPr>
              <w:t>一、</w:t>
            </w:r>
            <w:r>
              <w:rPr>
                <w:rFonts w:hint="default" w:ascii="Times New Roman" w:hAnsi="Times New Roman" w:eastAsia="宋体" w:cs="Times New Roman"/>
                <w:b/>
                <w:bCs/>
                <w:color w:val="auto"/>
                <w:kern w:val="0"/>
                <w:sz w:val="24"/>
                <w:szCs w:val="24"/>
                <w:u w:val="none"/>
                <w:lang w:val="en-US" w:eastAsia="zh-CN" w:bidi="ar"/>
              </w:rPr>
              <w:t>《福清融侨经济技术开发区总体规划</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2018-2035年</w:t>
            </w:r>
            <w:r>
              <w:rPr>
                <w:rFonts w:hint="eastAsia"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w:t>
            </w:r>
          </w:p>
          <w:p w14:paraId="7FF9FDE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规划名称：《福清融侨经济技术开发区总体规划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w:t>
            </w:r>
          </w:p>
          <w:p w14:paraId="4D19DA1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②审批机关：福清市人民政府</w:t>
            </w:r>
          </w:p>
          <w:p w14:paraId="6B8DF9BB">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③审批文件名称及文号：《福清市人民政府关于同意融侨经济技术开发区总体规划</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2018-2035年</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编制范围的批复》</w:t>
            </w:r>
            <w:r>
              <w:rPr>
                <w:rFonts w:hint="eastAsia"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融政综〔2019〕189号</w:t>
            </w:r>
            <w:r>
              <w:rPr>
                <w:rFonts w:hint="eastAsia" w:cs="Times New Roman"/>
                <w:b w:val="0"/>
                <w:color w:val="auto"/>
                <w:kern w:val="0"/>
                <w:sz w:val="24"/>
                <w:szCs w:val="24"/>
                <w:u w:val="none"/>
                <w:lang w:val="en-US" w:eastAsia="zh-CN" w:bidi="ar"/>
              </w:rPr>
              <w:t>）</w:t>
            </w:r>
          </w:p>
          <w:p w14:paraId="7ABA47B9">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ascii="Times New Roman" w:hAnsi="Times New Roman" w:eastAsia="宋体" w:cs="Times New Roman"/>
                <w:b/>
                <w:bCs/>
                <w:color w:val="auto"/>
                <w:kern w:val="0"/>
                <w:sz w:val="24"/>
                <w:szCs w:val="24"/>
                <w:u w:val="none"/>
                <w:lang w:val="en-US" w:eastAsia="zh-CN" w:bidi="ar"/>
              </w:rPr>
              <w:t>二、</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7902F8A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0B1C6F70">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4BAAB201">
            <w:pPr>
              <w:keepLines w:val="0"/>
              <w:pageBreakBefore w:val="0"/>
              <w:widowControl/>
              <w:wordWrap/>
              <w:topLinePunct w:val="0"/>
              <w:autoSpaceDE/>
              <w:autoSpaceDN/>
              <w:bidi w:val="0"/>
              <w:adjustRightInd/>
              <w:snapToGrid/>
              <w:spacing w:line="360" w:lineRule="auto"/>
              <w:ind w:left="0" w:right="0" w:firstLine="0" w:firstLineChars="0"/>
              <w:jc w:val="left"/>
              <w:rPr>
                <w:rFonts w:hint="default"/>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12D11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noWrap w:val="0"/>
            <w:vAlign w:val="center"/>
          </w:tcPr>
          <w:p w14:paraId="7E50365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2B0F0C0E">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65" w:type="pct"/>
            <w:gridSpan w:val="5"/>
            <w:noWrap w:val="0"/>
            <w:vAlign w:val="center"/>
          </w:tcPr>
          <w:p w14:paraId="377D96BD">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文件名称：福清融侨经济技术开发区总体规划（2018-2035年）环境影响报告书</w:t>
            </w:r>
          </w:p>
          <w:p w14:paraId="3D79FF5B">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②审查机关：</w:t>
            </w:r>
            <w:r>
              <w:rPr>
                <w:rFonts w:hint="eastAsia" w:cs="Times New Roman"/>
                <w:b w:val="0"/>
                <w:color w:val="auto"/>
                <w:kern w:val="0"/>
                <w:sz w:val="24"/>
                <w:szCs w:val="24"/>
                <w:u w:val="none"/>
                <w:lang w:val="en-US" w:eastAsia="zh-CN" w:bidi="ar"/>
              </w:rPr>
              <w:t>中华人民共和国</w:t>
            </w:r>
            <w:r>
              <w:rPr>
                <w:rFonts w:hint="default" w:ascii="Times New Roman" w:hAnsi="Times New Roman" w:eastAsia="宋体" w:cs="Times New Roman"/>
                <w:b w:val="0"/>
                <w:color w:val="auto"/>
                <w:kern w:val="0"/>
                <w:sz w:val="24"/>
                <w:szCs w:val="24"/>
                <w:u w:val="none"/>
                <w:lang w:val="en-US" w:eastAsia="zh-CN" w:bidi="ar"/>
              </w:rPr>
              <w:t>生态环境部</w:t>
            </w:r>
          </w:p>
          <w:p w14:paraId="41F1F18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color w:val="auto"/>
                <w:kern w:val="0"/>
                <w:sz w:val="24"/>
                <w:szCs w:val="24"/>
                <w:u w:val="none"/>
                <w:lang w:val="en-US" w:eastAsia="zh-CN" w:bidi="ar"/>
              </w:rPr>
              <w:t>审批文件名称及文号：关于《</w:t>
            </w:r>
            <w:r>
              <w:rPr>
                <w:rFonts w:hint="default" w:ascii="Times New Roman" w:hAnsi="Times New Roman" w:eastAsia="宋体" w:cs="Times New Roman"/>
                <w:b w:val="0"/>
                <w:color w:val="auto"/>
                <w:kern w:val="0"/>
                <w:sz w:val="24"/>
                <w:szCs w:val="24"/>
                <w:u w:val="none"/>
                <w:lang w:val="en-US" w:eastAsia="zh-CN" w:bidi="ar"/>
              </w:rPr>
              <w:t>福清融侨经济技术开发区总体规划（2018-2035 年）环境影响报告书</w:t>
            </w:r>
            <w:r>
              <w:rPr>
                <w:rFonts w:hint="default" w:ascii="Times New Roman" w:hAnsi="Times New Roman" w:eastAsia="宋体" w:cs="Times New Roman"/>
                <w:color w:val="auto"/>
                <w:kern w:val="0"/>
                <w:sz w:val="24"/>
                <w:szCs w:val="24"/>
                <w:u w:val="none"/>
                <w:lang w:val="en-US" w:eastAsia="zh-CN" w:bidi="ar"/>
              </w:rPr>
              <w:t>》的审查意见</w:t>
            </w:r>
            <w:r>
              <w:rPr>
                <w:rFonts w:hint="eastAsia"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环审</w:t>
            </w:r>
            <w:r>
              <w:rPr>
                <w:rFonts w:hint="eastAsia" w:cs="Times New Roman"/>
                <w:color w:val="auto"/>
                <w:kern w:val="0"/>
                <w:sz w:val="24"/>
                <w:szCs w:val="24"/>
                <w:u w:val="none"/>
                <w:lang w:val="en-US" w:eastAsia="zh-CN" w:bidi="ar"/>
              </w:rPr>
              <w:t>〔2020〕80号）</w:t>
            </w:r>
          </w:p>
        </w:tc>
      </w:tr>
      <w:tr w14:paraId="2A0A7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434" w:type="pct"/>
            <w:noWrap w:val="0"/>
            <w:vAlign w:val="center"/>
          </w:tcPr>
          <w:p w14:paraId="01078B0F">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65" w:type="pct"/>
            <w:gridSpan w:val="5"/>
            <w:noWrap w:val="0"/>
            <w:vAlign w:val="center"/>
          </w:tcPr>
          <w:p w14:paraId="4F9B250A">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color w:val="auto"/>
                <w:sz w:val="24"/>
                <w:szCs w:val="24"/>
                <w:highlight w:val="none"/>
                <w:u w:val="none"/>
                <w:lang w:val="en-US" w:eastAsia="zh-CN"/>
              </w:rPr>
              <w:t>一</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b/>
                <w:bCs/>
                <w:color w:val="auto"/>
                <w:sz w:val="24"/>
                <w:szCs w:val="24"/>
                <w:u w:val="none"/>
                <w:lang w:val="en-US" w:eastAsia="zh-CN"/>
              </w:rPr>
              <w:t>与《福清融侨经济技术开发区总体规划</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2018-2035年</w:t>
            </w:r>
            <w:r>
              <w:rPr>
                <w:rFonts w:hint="eastAsia"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》符合性分析</w:t>
            </w:r>
          </w:p>
          <w:p w14:paraId="562D6351">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b w:val="0"/>
                <w:bCs w:val="0"/>
                <w:i w:val="0"/>
                <w:iCs w:val="0"/>
                <w:color w:val="auto"/>
                <w:sz w:val="24"/>
                <w:szCs w:val="24"/>
                <w:u w:val="none"/>
                <w:lang w:val="en-US" w:eastAsia="zh-CN"/>
              </w:rPr>
            </w:pPr>
            <w:r>
              <w:rPr>
                <w:rFonts w:hint="default" w:ascii="Times New Roman" w:hAnsi="Times New Roman" w:eastAsia="宋体" w:cs="Times New Roman"/>
                <w:color w:val="auto"/>
                <w:sz w:val="24"/>
                <w:szCs w:val="24"/>
                <w:highlight w:val="none"/>
                <w:u w:val="none"/>
                <w:lang w:val="en-US" w:eastAsia="zh-CN"/>
              </w:rPr>
              <w:t>根据总体规划内容可知，开发区</w:t>
            </w:r>
            <w:r>
              <w:rPr>
                <w:rFonts w:hint="default" w:ascii="Times New Roman" w:hAnsi="Times New Roman" w:eastAsia="宋体" w:cs="Times New Roman"/>
                <w:color w:val="auto"/>
                <w:sz w:val="24"/>
                <w:szCs w:val="24"/>
                <w:u w:val="none"/>
                <w:lang w:val="en-US" w:eastAsia="zh-CN"/>
              </w:rPr>
              <w:t>为理顺与中心城区的发展关系，建立健全</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多规合一</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体制机制，突出开发区核心产业优势，强调龙头企业引领，通过</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组团式</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布局，着力营造融侨经济技术开发区</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现代生态开发区</w:t>
            </w:r>
            <w:r>
              <w:rPr>
                <w:rFonts w:hint="default" w:ascii="宋体" w:hAnsi="宋体" w:eastAsia="宋体" w:cs="宋体"/>
                <w:color w:val="auto"/>
                <w:sz w:val="24"/>
                <w:szCs w:val="24"/>
                <w:u w:val="none"/>
                <w:lang w:val="en-US" w:eastAsia="zh-CN"/>
              </w:rPr>
              <w:t>”的</w:t>
            </w:r>
            <w:r>
              <w:rPr>
                <w:rFonts w:hint="default" w:ascii="Times New Roman" w:hAnsi="Times New Roman" w:eastAsia="宋体" w:cs="Times New Roman"/>
                <w:color w:val="auto"/>
                <w:sz w:val="24"/>
                <w:szCs w:val="24"/>
                <w:u w:val="none"/>
                <w:lang w:val="en-US" w:eastAsia="zh-CN"/>
              </w:rPr>
              <w:t>空间特色，规划整体形成</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一区三园多组团</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的空间结构。</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一区</w:t>
            </w:r>
            <w:r>
              <w:rPr>
                <w:rFonts w:hint="default" w:ascii="宋体" w:hAnsi="宋体" w:eastAsia="宋体" w:cs="宋体"/>
                <w:color w:val="auto"/>
                <w:sz w:val="24"/>
                <w:szCs w:val="24"/>
                <w:u w:val="none"/>
                <w:lang w:val="en-US" w:eastAsia="zh-CN"/>
              </w:rPr>
              <w:t>”</w:t>
            </w:r>
            <w:r>
              <w:rPr>
                <w:rFonts w:hint="eastAsia" w:cs="Times New Roman"/>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融侨经济技术开发区。利用国家级开发区品牌，充分释放</w:t>
            </w:r>
            <w:r>
              <w:rPr>
                <w:rFonts w:hint="default" w:ascii="宋体" w:hAnsi="宋体" w:eastAsia="宋体" w:cs="宋体"/>
                <w:color w:val="auto"/>
                <w:sz w:val="24"/>
                <w:szCs w:val="24"/>
                <w:u w:val="none"/>
                <w:lang w:val="en-US" w:eastAsia="zh-CN"/>
              </w:rPr>
              <w:t>“五区叠加、一区毗邻”政</w:t>
            </w:r>
            <w:r>
              <w:rPr>
                <w:rFonts w:hint="default" w:ascii="Times New Roman" w:hAnsi="Times New Roman" w:eastAsia="宋体" w:cs="Times New Roman"/>
                <w:color w:val="auto"/>
                <w:sz w:val="24"/>
                <w:szCs w:val="24"/>
                <w:u w:val="none"/>
                <w:lang w:val="en-US" w:eastAsia="zh-CN"/>
              </w:rPr>
              <w:t>策优势，以空间转型引领开发区的新一轮跨越发展。</w:t>
            </w:r>
            <w:r>
              <w:rPr>
                <w:rFonts w:hint="default" w:ascii="宋体" w:hAnsi="宋体" w:eastAsia="宋体" w:cs="宋体"/>
                <w:color w:val="auto"/>
                <w:sz w:val="24"/>
                <w:szCs w:val="24"/>
                <w:u w:val="none"/>
                <w:lang w:val="en-US" w:eastAsia="zh-CN"/>
              </w:rPr>
              <w:t>“三园”</w:t>
            </w:r>
            <w:r>
              <w:rPr>
                <w:rFonts w:hint="eastAsia" w:ascii="宋体" w:hAnsi="宋体" w:cs="宋体"/>
                <w:color w:val="auto"/>
                <w:sz w:val="24"/>
                <w:szCs w:val="24"/>
                <w:u w:val="none"/>
                <w:lang w:val="en-US" w:eastAsia="zh-CN"/>
              </w:rPr>
              <w:t>即</w:t>
            </w:r>
            <w:r>
              <w:rPr>
                <w:rFonts w:hint="default" w:ascii="Times New Roman" w:hAnsi="Times New Roman" w:eastAsia="宋体" w:cs="Times New Roman"/>
                <w:color w:val="auto"/>
                <w:sz w:val="24"/>
                <w:szCs w:val="24"/>
                <w:u w:val="none"/>
                <w:lang w:val="en-US" w:eastAsia="zh-CN"/>
              </w:rPr>
              <w:t>中心产业园、城北产业园和南部产业园。其中中心产业园：重点发展电子信息、精密汽车部件等产业，配套创新研发、文化会展、商务金融、经贸交流等具有高附加值的现代服务业功能，打造成为开发区内电子信息、先进制造业核心产业基地，</w:t>
            </w:r>
            <w:r>
              <w:rPr>
                <w:rFonts w:hint="default" w:ascii="宋体" w:hAnsi="宋体" w:eastAsia="宋体" w:cs="宋体"/>
                <w:color w:val="auto"/>
                <w:sz w:val="24"/>
                <w:szCs w:val="24"/>
                <w:u w:val="none"/>
                <w:lang w:val="en-US" w:eastAsia="zh-CN"/>
              </w:rPr>
              <w:t>“双创”平</w:t>
            </w:r>
            <w:r>
              <w:rPr>
                <w:rFonts w:hint="default" w:ascii="Times New Roman" w:hAnsi="Times New Roman" w:eastAsia="宋体" w:cs="Times New Roman"/>
                <w:color w:val="auto"/>
                <w:sz w:val="24"/>
                <w:szCs w:val="24"/>
                <w:u w:val="none"/>
                <w:lang w:val="en-US" w:eastAsia="zh-CN"/>
              </w:rPr>
              <w:t>台、现代服务业建设核心区，形成福清市极具影响力、辐射力和竞争力的大福</w:t>
            </w:r>
            <w:r>
              <w:rPr>
                <w:rFonts w:hint="default" w:ascii="宋体" w:hAnsi="宋体" w:eastAsia="宋体" w:cs="宋体"/>
                <w:color w:val="auto"/>
                <w:sz w:val="24"/>
                <w:szCs w:val="24"/>
                <w:u w:val="none"/>
                <w:lang w:val="en-US" w:eastAsia="zh-CN"/>
              </w:rPr>
              <w:t>清“副中心”。</w:t>
            </w:r>
            <w:r>
              <w:rPr>
                <w:rFonts w:hint="default" w:ascii="Times New Roman" w:hAnsi="Times New Roman" w:eastAsia="宋体" w:cs="Times New Roman"/>
                <w:b w:val="0"/>
                <w:bCs w:val="0"/>
                <w:i w:val="0"/>
                <w:iCs w:val="0"/>
                <w:color w:val="auto"/>
                <w:sz w:val="24"/>
                <w:szCs w:val="24"/>
                <w:u w:val="none"/>
                <w:lang w:val="en-US" w:eastAsia="zh-CN"/>
              </w:rPr>
              <w:t>城北产业园：依托京东方等电子信息龙头企业优势，以电子信息、光学、机械电气为主导</w:t>
            </w:r>
            <w:r>
              <w:rPr>
                <w:rFonts w:hint="eastAsia" w:cs="Times New Roman"/>
                <w:b w:val="0"/>
                <w:bCs w:val="0"/>
                <w:i w:val="0"/>
                <w:iCs w:val="0"/>
                <w:color w:val="auto"/>
                <w:sz w:val="24"/>
                <w:szCs w:val="24"/>
                <w:u w:val="none"/>
                <w:lang w:val="en-US" w:eastAsia="zh-CN"/>
              </w:rPr>
              <w:t>，以</w:t>
            </w:r>
            <w:r>
              <w:rPr>
                <w:rFonts w:hint="default" w:ascii="Times New Roman" w:hAnsi="Times New Roman" w:eastAsia="宋体" w:cs="Times New Roman"/>
                <w:b w:val="0"/>
                <w:bCs w:val="0"/>
                <w:i w:val="0"/>
                <w:iCs w:val="0"/>
                <w:color w:val="auto"/>
                <w:sz w:val="24"/>
                <w:szCs w:val="24"/>
                <w:u w:val="none"/>
                <w:lang w:val="en-US" w:eastAsia="zh-CN"/>
              </w:rPr>
              <w:t>科技研发为支撑，突出转型升级、创新驱动、品牌带动和对台合作，建成高聚集效应、高技术水平、高带动力的高端科技创新产业园。南部产业园：依托龙头企业的强劲动力，以及沈海高速、324国道的交通区位，重点发展与电子信息、精密汽车部件、光学相关配套上下游产业，通过校企联合、企业自主创新等方式推动园区内产业转型升级。</w:t>
            </w:r>
          </w:p>
          <w:p w14:paraId="7A909A19">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本规划分为核心区和协调区2个层次。其中：</w:t>
            </w:r>
          </w:p>
          <w:p w14:paraId="67CF0572">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核心区</w:t>
            </w:r>
            <w:r>
              <w:rPr>
                <w:rFonts w:hint="eastAsia" w:cs="Times New Roman"/>
                <w:color w:val="auto"/>
                <w:sz w:val="24"/>
                <w:szCs w:val="24"/>
                <w:highlight w:val="none"/>
                <w:u w:val="none"/>
                <w:lang w:val="en-US" w:eastAsia="zh-CN"/>
              </w:rPr>
              <w:t>即</w:t>
            </w:r>
            <w:r>
              <w:rPr>
                <w:rFonts w:hint="default" w:ascii="Times New Roman" w:hAnsi="Times New Roman" w:eastAsia="宋体" w:cs="Times New Roman"/>
                <w:color w:val="auto"/>
                <w:sz w:val="24"/>
                <w:szCs w:val="24"/>
                <w:highlight w:val="none"/>
                <w:u w:val="none"/>
                <w:lang w:val="en-US" w:eastAsia="zh-CN"/>
              </w:rPr>
              <w:t>国家批复的融侨经济技术开发区范围。土地面积9.19平方公里，其中宏路中心区6.4平方公里，洪宽工业村2.79平方公里。</w:t>
            </w:r>
          </w:p>
          <w:p w14:paraId="6D4BF0F1">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协调区：考虑到开发区与福清城区一体化发展，结合开发区委托代管范围</w:t>
            </w:r>
            <w:r>
              <w:rPr>
                <w:rFonts w:hint="eastAsia" w:cs="Times New Roman"/>
                <w:color w:val="auto"/>
                <w:sz w:val="24"/>
                <w:szCs w:val="24"/>
                <w:highlight w:val="none"/>
                <w:u w:val="none"/>
                <w:lang w:val="en-US" w:eastAsia="zh-CN"/>
              </w:rPr>
              <w:t>，以</w:t>
            </w:r>
            <w:r>
              <w:rPr>
                <w:rFonts w:hint="default" w:ascii="Times New Roman" w:hAnsi="Times New Roman" w:eastAsia="宋体" w:cs="Times New Roman"/>
                <w:color w:val="auto"/>
                <w:sz w:val="24"/>
                <w:szCs w:val="24"/>
                <w:highlight w:val="none"/>
                <w:u w:val="none"/>
                <w:lang w:val="en-US" w:eastAsia="zh-CN"/>
              </w:rPr>
              <w:t>规划《福清市城市总体规划（2017-2035）》为依据，进一步将规划范围向外围扩展。协调区西至福厦高速，东依福长高速，北邻作坊村，南靠纵一路环线，土地面积53.2平方公里。本规划深度按协调区进行控制。</w:t>
            </w:r>
          </w:p>
          <w:p w14:paraId="7454A65E">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根据《福清融侨经济技术开发区总体规划</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2018-2035年</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产业发展-第二十二条构建</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3+1</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的产业体系：</w:t>
            </w:r>
          </w:p>
          <w:p w14:paraId="5CB7F14F">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en-US" w:eastAsia="zh-CN"/>
              </w:rPr>
              <w:t>三大支柱产业</w:t>
            </w:r>
          </w:p>
          <w:p w14:paraId="12FA16FB">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电子信息产业：显示科技、云计算、</w:t>
            </w:r>
            <w:r>
              <w:rPr>
                <w:rFonts w:hint="default" w:ascii="Times New Roman" w:hAnsi="Times New Roman" w:eastAsia="宋体" w:cs="Times New Roman"/>
                <w:b/>
                <w:bCs/>
                <w:color w:val="auto"/>
                <w:sz w:val="24"/>
                <w:szCs w:val="24"/>
                <w:highlight w:val="none"/>
                <w:u w:val="none"/>
                <w:lang w:val="en-US" w:eastAsia="zh-CN"/>
              </w:rPr>
              <w:t>电子元器件</w:t>
            </w:r>
            <w:r>
              <w:rPr>
                <w:rFonts w:hint="default" w:ascii="Times New Roman" w:hAnsi="Times New Roman" w:eastAsia="宋体" w:cs="Times New Roman"/>
                <w:color w:val="auto"/>
                <w:sz w:val="24"/>
                <w:szCs w:val="24"/>
                <w:highlight w:val="none"/>
                <w:u w:val="none"/>
                <w:lang w:val="en-US" w:eastAsia="zh-CN"/>
              </w:rPr>
              <w:t>、光电科技、计算机与智能终端设备等。</w:t>
            </w:r>
          </w:p>
          <w:p w14:paraId="46DA6161">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精密汽车部件产业：汽车电气电子装置、动力传动装置、汽车轴承、新能源动力电池等。</w:t>
            </w:r>
          </w:p>
          <w:p w14:paraId="6E793AFE">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光学产业：光学部件、光通讯技术、电子光学、虚拟现实装置等。</w:t>
            </w:r>
          </w:p>
          <w:p w14:paraId="4710D4DF">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在三大支柱产业基础之上，完善与其相关的配套产业。</w:t>
            </w:r>
          </w:p>
          <w:p w14:paraId="00380F4B">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w:t>
            </w:r>
            <w:r>
              <w:rPr>
                <w:rFonts w:hint="default" w:ascii="Times New Roman" w:hAnsi="Times New Roman" w:eastAsia="宋体" w:cs="Times New Roman"/>
                <w:color w:val="auto"/>
                <w:sz w:val="24"/>
                <w:szCs w:val="24"/>
                <w:highlight w:val="none"/>
                <w:u w:val="none"/>
                <w:lang w:val="en-US" w:eastAsia="zh-CN"/>
              </w:rPr>
              <w:t>一项新兴产业</w:t>
            </w:r>
          </w:p>
          <w:p w14:paraId="3EFE5814">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现代服务业：金融商务、总部经济、科技研发、文化创意、物流展销都市型产业与服务型制造业。</w:t>
            </w:r>
          </w:p>
          <w:p w14:paraId="2E921780">
            <w:pPr>
              <w:pStyle w:val="3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b w:val="0"/>
                <w:bCs w:val="0"/>
                <w:color w:val="FF0000"/>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本项目位于</w:t>
            </w:r>
            <w:r>
              <w:rPr>
                <w:rFonts w:hint="default" w:ascii="Times New Roman" w:hAnsi="Times New Roman" w:eastAsia="宋体" w:cs="Times New Roman"/>
                <w:color w:val="auto"/>
                <w:sz w:val="24"/>
                <w:szCs w:val="24"/>
                <w:highlight w:val="none"/>
              </w:rPr>
              <w:t>福清融侨经济技术开发区（</w:t>
            </w:r>
            <w:r>
              <w:rPr>
                <w:rFonts w:hint="eastAsia" w:ascii="Times New Roman" w:hAnsi="Times New Roman" w:eastAsia="宋体" w:cs="Times New Roman"/>
                <w:color w:val="auto"/>
                <w:sz w:val="24"/>
                <w:szCs w:val="24"/>
                <w:highlight w:val="none"/>
                <w:lang w:val="en-US" w:eastAsia="zh-CN"/>
              </w:rPr>
              <w:t>购置</w:t>
            </w:r>
            <w:r>
              <w:rPr>
                <w:rFonts w:hint="default" w:ascii="Times New Roman" w:hAnsi="Times New Roman" w:eastAsia="宋体" w:cs="Times New Roman"/>
                <w:color w:val="auto"/>
                <w:sz w:val="24"/>
                <w:szCs w:val="24"/>
                <w:highlight w:val="none"/>
              </w:rPr>
              <w:t>均和云谷·福清科技港</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#厂房</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附图一</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kern w:val="2"/>
                <w:sz w:val="24"/>
                <w:szCs w:val="24"/>
                <w:highlight w:val="none"/>
                <w:lang w:val="en-US" w:eastAsia="zh-CN" w:bidi="ar-SA"/>
              </w:rPr>
              <w:t>根据福清融侨经济技术开发区对主导产业发展方向的定位，对照《国民经济行业分类》（GB/T4754-2017），主导行业涉及国民经济类别主要包括</w:t>
            </w:r>
            <w:r>
              <w:rPr>
                <w:rFonts w:hint="eastAsia" w:ascii="Times New Roman" w:hAnsi="Times New Roman" w:eastAsia="宋体" w:cs="Times New Roman"/>
                <w:b/>
                <w:bCs/>
                <w:color w:val="auto"/>
                <w:kern w:val="2"/>
                <w:sz w:val="24"/>
                <w:szCs w:val="24"/>
                <w:highlight w:val="none"/>
                <w:lang w:val="en-US" w:eastAsia="zh-CN" w:bidi="ar-SA"/>
              </w:rPr>
              <w:t>C29、</w:t>
            </w:r>
            <w:r>
              <w:rPr>
                <w:rFonts w:hint="eastAsia" w:ascii="Times New Roman" w:hAnsi="Times New Roman" w:eastAsia="宋体" w:cs="Times New Roman"/>
                <w:color w:val="auto"/>
                <w:kern w:val="2"/>
                <w:sz w:val="24"/>
                <w:szCs w:val="24"/>
                <w:highlight w:val="none"/>
                <w:lang w:val="en-US" w:eastAsia="zh-CN" w:bidi="ar-SA"/>
              </w:rPr>
              <w:t>C304、C33、C34、C35、C36、</w:t>
            </w:r>
            <w:r>
              <w:rPr>
                <w:rFonts w:hint="eastAsia" w:ascii="Times New Roman" w:hAnsi="Times New Roman" w:eastAsia="宋体" w:cs="Times New Roman"/>
                <w:b/>
                <w:bCs/>
                <w:color w:val="auto"/>
                <w:kern w:val="2"/>
                <w:sz w:val="24"/>
                <w:szCs w:val="24"/>
                <w:highlight w:val="none"/>
                <w:lang w:val="en-US" w:eastAsia="zh-CN" w:bidi="ar-SA"/>
              </w:rPr>
              <w:t>C38、C39、</w:t>
            </w:r>
            <w:r>
              <w:rPr>
                <w:rFonts w:hint="eastAsia" w:ascii="Times New Roman" w:hAnsi="Times New Roman" w:eastAsia="宋体" w:cs="Times New Roman"/>
                <w:color w:val="auto"/>
                <w:kern w:val="2"/>
                <w:sz w:val="24"/>
                <w:szCs w:val="24"/>
                <w:highlight w:val="none"/>
                <w:lang w:val="en-US" w:eastAsia="zh-CN" w:bidi="ar-SA"/>
              </w:rPr>
              <w:t>C40，</w:t>
            </w:r>
            <w:r>
              <w:rPr>
                <w:rFonts w:hint="eastAsia"/>
                <w:color w:val="auto"/>
                <w:sz w:val="24"/>
                <w:highlight w:val="none"/>
              </w:rPr>
              <w:t>禁止新建，含电镀工艺、冶炼工艺、电解铝的项目，现有生产能力一定期限内搬迁；包装印刷业禁止使用不符合环保要求的油墨、胶黏剂。</w:t>
            </w:r>
            <w:r>
              <w:rPr>
                <w:rFonts w:hint="eastAsia" w:ascii="Times New Roman" w:hAnsi="Times New Roman" w:eastAsia="宋体" w:cs="Times New Roman"/>
                <w:color w:val="auto"/>
                <w:kern w:val="2"/>
                <w:sz w:val="24"/>
                <w:szCs w:val="24"/>
                <w:highlight w:val="none"/>
                <w:lang w:val="en-US" w:eastAsia="zh-CN" w:bidi="ar-SA"/>
              </w:rPr>
              <w:t>本项目行业类别为“</w:t>
            </w:r>
            <w:r>
              <w:rPr>
                <w:rFonts w:hint="default" w:ascii="Times New Roman" w:hAnsi="Times New Roman" w:eastAsia="宋体" w:cs="Times New Roman"/>
                <w:b w:val="0"/>
                <w:bCs w:val="0"/>
                <w:color w:val="auto"/>
                <w:sz w:val="24"/>
                <w:szCs w:val="24"/>
                <w:highlight w:val="none"/>
                <w:u w:val="none"/>
                <w:lang w:val="en-US" w:eastAsia="zh-CN"/>
              </w:rPr>
              <w:t>C3989 其他电子元件制造</w:t>
            </w:r>
            <w:r>
              <w:rPr>
                <w:rFonts w:hint="eastAsia" w:cs="Times New Roman"/>
                <w:b w:val="0"/>
                <w:bCs w:val="0"/>
                <w:color w:val="auto"/>
                <w:sz w:val="24"/>
                <w:szCs w:val="24"/>
                <w:highlight w:val="none"/>
                <w:u w:val="none"/>
                <w:lang w:val="en-US" w:eastAsia="zh-CN"/>
              </w:rPr>
              <w:t>、C3831 电线、电缆制造、C2929 塑料零件及其他塑料制品制造</w:t>
            </w:r>
            <w:r>
              <w:rPr>
                <w:rFonts w:hint="eastAsia" w:ascii="Times New Roman" w:hAnsi="Times New Roman" w:eastAsia="宋体" w:cs="Times New Roman"/>
                <w:color w:val="auto"/>
                <w:kern w:val="2"/>
                <w:sz w:val="24"/>
                <w:szCs w:val="24"/>
                <w:highlight w:val="none"/>
                <w:lang w:val="en-US" w:eastAsia="zh-CN" w:bidi="ar-SA"/>
              </w:rPr>
              <w:t>”，属于规划区内主导产业。</w:t>
            </w:r>
            <w:r>
              <w:rPr>
                <w:rFonts w:hint="default" w:ascii="Times New Roman" w:hAnsi="Times New Roman" w:eastAsia="宋体" w:cs="Times New Roman"/>
                <w:b w:val="0"/>
                <w:bCs w:val="0"/>
                <w:color w:val="auto"/>
                <w:sz w:val="24"/>
                <w:szCs w:val="24"/>
                <w:highlight w:val="none"/>
                <w:u w:val="none"/>
                <w:lang w:val="en-US" w:eastAsia="zh-CN"/>
              </w:rPr>
              <w:t>因此</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项目的建设符合《福清融侨经济技术开发区总体规划</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2018-2035年</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》有关要求。</w:t>
            </w:r>
          </w:p>
          <w:p w14:paraId="49B58A69">
            <w:pPr>
              <w:pStyle w:val="31"/>
              <w:keepNext w:val="0"/>
              <w:keepLines w:val="0"/>
              <w:pageBreakBefore w:val="0"/>
              <w:numPr>
                <w:ilvl w:val="0"/>
                <w:numId w:val="2"/>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cs="Times New Roman"/>
                <w:b/>
                <w:bCs/>
                <w:color w:val="auto"/>
                <w:sz w:val="24"/>
                <w:szCs w:val="24"/>
                <w:highlight w:val="none"/>
                <w:u w:val="none"/>
                <w:lang w:val="en-US" w:eastAsia="zh-CN"/>
              </w:rPr>
              <w:t>符合性分析</w:t>
            </w:r>
          </w:p>
          <w:p w14:paraId="365B0CC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江阴港城组团、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完善城镇功能、提升空间品质的区域边界”。五组团“城西组团、城北组团、城中组团、城关组团、东部新城组团”的中心城区空间结构，延续“沿江向海、环湾发展”的城市方向，以龙江为带动，推动沿江、向海、环湾有序建设、集约发展，打造具有滨江滨海特色的现代化城区。构建现代产业体系，壮大四大优势产业“电子信息、食品、化工新材料、精密汽车部件”、培养四大新兴产业“氢能源和新能源、高端装备制造、海洋生物医药、互联网与大数据产业”、提升两大传统产业“塑胶产业、纺织产业”、发展两大特色产业“现代服务业、现代农业”、培育千百亿产业集群“三大千亿产业集群+N个百亿项目集群”。</w:t>
            </w:r>
          </w:p>
          <w:p w14:paraId="14151BF8">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eastAsia"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构建现代化产业体系“一带两湾四区”的产业发展格局，形成“四个重点产业园区、多个工业集中区”的产业园区空间布局，加快推进重点产业园区标准化建设，统筹划定工业用地控制线。四区主要为融城现代产业综合区“以电子信息、食品、总部经济、电子商务、文化创意为主”、西部生态产业区“以特色种植、文化旅游为主”、高龙特色产业区“以现代农业、休闲农业、滨海旅游为主”、江阴临港产业区“以化工新材料、现代物流、智能制造、海洋经济为主”。</w:t>
            </w:r>
          </w:p>
          <w:p w14:paraId="0AEFAD9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本项目位于福清融侨经济技术开发区</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购置均和云谷·福清科技港39#厂房）</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位于城北组团。主要生产工业连接器和工业线缆，属于</w:t>
            </w:r>
            <w:r>
              <w:rPr>
                <w:rFonts w:hint="default" w:ascii="Times New Roman" w:hAnsi="Times New Roman" w:eastAsia="宋体" w:cs="Times New Roman"/>
                <w:color w:val="auto"/>
                <w:sz w:val="24"/>
                <w:szCs w:val="24"/>
                <w:highlight w:val="none"/>
                <w:u w:val="none"/>
                <w:lang w:val="en-US" w:eastAsia="zh-CN"/>
              </w:rPr>
              <w:t>电子信息</w:t>
            </w:r>
            <w:r>
              <w:rPr>
                <w:rFonts w:hint="eastAsia" w:cs="Times New Roman"/>
                <w:color w:val="auto"/>
                <w:sz w:val="24"/>
                <w:szCs w:val="24"/>
                <w:highlight w:val="none"/>
                <w:u w:val="none"/>
                <w:lang w:val="en-US" w:eastAsia="zh-CN"/>
              </w:rPr>
              <w:t>产业，符合规划中壮大四大优势产业规划。因此本项目符合</w:t>
            </w:r>
            <w:r>
              <w:rPr>
                <w:rFonts w:hint="default" w:cs="Times New Roman"/>
                <w:color w:val="auto"/>
                <w:sz w:val="24"/>
                <w:szCs w:val="24"/>
                <w:highlight w:val="none"/>
                <w:u w:val="none"/>
                <w:lang w:val="en-US" w:eastAsia="zh-CN"/>
              </w:rPr>
              <w:t>《福清市国土空间总体规划（2021—2035年）》</w:t>
            </w:r>
            <w:r>
              <w:rPr>
                <w:rFonts w:hint="eastAsia" w:cs="Times New Roman"/>
                <w:color w:val="auto"/>
                <w:sz w:val="24"/>
                <w:szCs w:val="24"/>
                <w:highlight w:val="none"/>
                <w:u w:val="none"/>
                <w:lang w:val="en-US" w:eastAsia="zh-CN"/>
              </w:rPr>
              <w:t>有关要求。</w:t>
            </w:r>
          </w:p>
          <w:p w14:paraId="1E78A017">
            <w:pPr>
              <w:pStyle w:val="31"/>
              <w:keepNext w:val="0"/>
              <w:keepLines w:val="0"/>
              <w:pageBreakBefore w:val="0"/>
              <w:numPr>
                <w:ilvl w:val="0"/>
                <w:numId w:val="2"/>
              </w:numPr>
              <w:kinsoku/>
              <w:wordWrap/>
              <w:overflowPunct/>
              <w:topLinePunct w:val="0"/>
              <w:autoSpaceDE/>
              <w:autoSpaceDN/>
              <w:bidi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《福清融侨经济技术开发区总体规划环境影响报告书（2018</w:t>
            </w:r>
            <w:r>
              <w:rPr>
                <w:rFonts w:hint="eastAsia" w:ascii="Times New Roman" w:hAnsi="Times New Roman" w:eastAsia="宋体" w:cs="Times New Roman"/>
                <w:b/>
                <w:bCs/>
                <w:color w:val="auto"/>
                <w:sz w:val="24"/>
                <w:szCs w:val="24"/>
                <w:highlight w:val="none"/>
                <w:u w:val="none"/>
                <w:lang w:val="en-US" w:eastAsia="zh-CN"/>
              </w:rPr>
              <w:t>—</w:t>
            </w:r>
            <w:r>
              <w:rPr>
                <w:rFonts w:hint="default" w:ascii="Times New Roman" w:hAnsi="Times New Roman" w:eastAsia="宋体" w:cs="Times New Roman"/>
                <w:b/>
                <w:bCs/>
                <w:color w:val="auto"/>
                <w:sz w:val="24"/>
                <w:szCs w:val="24"/>
                <w:highlight w:val="none"/>
                <w:u w:val="none"/>
                <w:lang w:val="en-US" w:eastAsia="zh-CN"/>
              </w:rPr>
              <w:t>2035年）》符合性分析</w:t>
            </w:r>
          </w:p>
          <w:p w14:paraId="7C6412D3">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工业企业准入产业为电子信息、精密汽车部件、光学三大产业</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。本项目产品为</w:t>
            </w:r>
            <w:r>
              <w:rPr>
                <w:rFonts w:hint="eastAsia" w:ascii="Times New Roman" w:hAnsi="Times New Roman" w:cs="Times New Roman"/>
                <w:color w:val="auto"/>
                <w:sz w:val="24"/>
                <w:szCs w:val="24"/>
                <w:highlight w:val="none"/>
                <w:u w:val="none"/>
                <w:lang w:val="en-US" w:eastAsia="zh-CN"/>
              </w:rPr>
              <w:t>工业连接器和工业线缆</w:t>
            </w:r>
            <w:r>
              <w:rPr>
                <w:rFonts w:hint="default" w:ascii="Times New Roman" w:hAnsi="Times New Roman" w:eastAsia="宋体" w:cs="Times New Roman"/>
                <w:color w:val="auto"/>
                <w:sz w:val="24"/>
                <w:szCs w:val="24"/>
                <w:highlight w:val="none"/>
                <w:u w:val="none"/>
                <w:lang w:val="en-US" w:eastAsia="zh-CN"/>
              </w:rPr>
              <w:t>加工制</w:t>
            </w:r>
            <w:r>
              <w:rPr>
                <w:rFonts w:hint="default" w:ascii="Times New Roman" w:hAnsi="Times New Roman" w:eastAsia="宋体" w:cs="Times New Roman"/>
                <w:b w:val="0"/>
                <w:bCs w:val="0"/>
                <w:color w:val="auto"/>
                <w:sz w:val="24"/>
                <w:szCs w:val="24"/>
                <w:highlight w:val="none"/>
                <w:u w:val="none"/>
                <w:lang w:val="en-US" w:eastAsia="zh-CN"/>
              </w:rPr>
              <w:t>造，国民经济代码为C3989 其他电子元件制造；C3831 电线、电缆制造；C2929 塑料零件及其他塑料制品制造，项目涉及的行业（计算机、通信和其他电子设备制造业</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电气机械和器材制造业</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橡胶和塑料制品业）均属于规划区主导行业</w:t>
            </w:r>
            <w:r>
              <w:rPr>
                <w:rFonts w:hint="eastAsia"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C</w:t>
            </w:r>
            <w:r>
              <w:rPr>
                <w:rFonts w:hint="eastAsia" w:ascii="Times New Roman" w:hAnsi="Times New Roman" w:cs="Times New Roman"/>
                <w:b w:val="0"/>
                <w:bCs w:val="0"/>
                <w:color w:val="auto"/>
                <w:sz w:val="24"/>
                <w:szCs w:val="24"/>
                <w:highlight w:val="none"/>
                <w:u w:val="none"/>
                <w:lang w:val="en-US" w:eastAsia="zh-CN"/>
              </w:rPr>
              <w:t>39、</w:t>
            </w:r>
            <w:r>
              <w:rPr>
                <w:rFonts w:hint="default" w:ascii="Times New Roman" w:hAnsi="Times New Roman" w:eastAsia="宋体" w:cs="Times New Roman"/>
                <w:b w:val="0"/>
                <w:bCs w:val="0"/>
                <w:color w:val="auto"/>
                <w:sz w:val="24"/>
                <w:szCs w:val="24"/>
                <w:highlight w:val="none"/>
                <w:u w:val="none"/>
                <w:lang w:val="en-US" w:eastAsia="zh-CN"/>
              </w:rPr>
              <w:t>C3</w:t>
            </w:r>
            <w:r>
              <w:rPr>
                <w:rFonts w:hint="eastAsia" w:ascii="Times New Roman" w:hAnsi="Times New Roman" w:cs="Times New Roman"/>
                <w:b w:val="0"/>
                <w:bCs w:val="0"/>
                <w:color w:val="auto"/>
                <w:sz w:val="24"/>
                <w:szCs w:val="24"/>
                <w:highlight w:val="none"/>
                <w:u w:val="none"/>
                <w:lang w:val="en-US" w:eastAsia="zh-CN"/>
              </w:rPr>
              <w:t>8、C29</w:t>
            </w:r>
            <w:r>
              <w:rPr>
                <w:rFonts w:hint="eastAsia" w:cs="Times New Roman"/>
                <w:b w:val="0"/>
                <w:bCs w:val="0"/>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因此，应遵循福清融侨经济开发区的产业准入要求，根据前文分析，本项目为</w:t>
            </w:r>
            <w:r>
              <w:rPr>
                <w:rFonts w:hint="eastAsia" w:ascii="Times New Roman" w:hAnsi="Times New Roman" w:cs="Times New Roman"/>
                <w:color w:val="auto"/>
                <w:sz w:val="24"/>
                <w:szCs w:val="24"/>
                <w:highlight w:val="none"/>
                <w:u w:val="none"/>
                <w:lang w:val="en-US" w:eastAsia="zh-CN"/>
              </w:rPr>
              <w:t>工业连接器和工业线缆</w:t>
            </w:r>
            <w:r>
              <w:rPr>
                <w:rFonts w:hint="default" w:ascii="Times New Roman" w:hAnsi="Times New Roman" w:eastAsia="宋体" w:cs="Times New Roman"/>
                <w:color w:val="auto"/>
                <w:sz w:val="24"/>
                <w:szCs w:val="24"/>
                <w:highlight w:val="none"/>
                <w:u w:val="none"/>
                <w:lang w:val="en-US" w:eastAsia="zh-CN"/>
              </w:rPr>
              <w:t>加工制造，属于</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电子信息</w:t>
            </w:r>
            <w:r>
              <w:rPr>
                <w:rFonts w:hint="eastAsia" w:ascii="Times New Roman" w:hAnsi="Times New Roman" w:cs="Times New Roman"/>
                <w:color w:val="000000" w:themeColor="text1"/>
                <w:sz w:val="24"/>
                <w:szCs w:val="24"/>
                <w:highlight w:val="none"/>
                <w:u w:val="none"/>
                <w:lang w:val="en-US" w:eastAsia="zh-CN"/>
                <w14:textFill>
                  <w14:solidFill>
                    <w14:schemeClr w14:val="tx1"/>
                  </w14:solidFill>
                </w14:textFill>
              </w:rPr>
              <w:t>产业</w:t>
            </w:r>
            <w:r>
              <w:rPr>
                <w:rFonts w:hint="default" w:ascii="Times New Roman" w:hAnsi="Times New Roman" w:eastAsia="宋体" w:cs="Times New Roman"/>
                <w:color w:val="auto"/>
                <w:sz w:val="24"/>
                <w:szCs w:val="24"/>
                <w:highlight w:val="none"/>
                <w:u w:val="none"/>
                <w:lang w:val="en-US" w:eastAsia="zh-CN"/>
              </w:rPr>
              <w:t>，符合福清融侨经济开发区准入产业。</w:t>
            </w:r>
          </w:p>
          <w:p w14:paraId="7F21585C">
            <w:pPr>
              <w:pStyle w:val="31"/>
              <w:keepNext w:val="0"/>
              <w:keepLines w:val="0"/>
              <w:pageBreakBefore w:val="0"/>
              <w:numPr>
                <w:ilvl w:val="0"/>
                <w:numId w:val="0"/>
              </w:numPr>
              <w:kinsoku/>
              <w:wordWrap/>
              <w:overflowPunct/>
              <w:topLinePunct w:val="0"/>
              <w:autoSpaceDE/>
              <w:autoSpaceDN/>
              <w:bidi w:val="0"/>
              <w:spacing w:line="360" w:lineRule="auto"/>
              <w:ind w:leftChars="200" w:right="0" w:rightChars="0"/>
              <w:jc w:val="left"/>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cs="Times New Roman"/>
                <w:b/>
                <w:bCs/>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与规划环评及审查意见符合性分析</w:t>
            </w:r>
          </w:p>
          <w:p w14:paraId="726FC683">
            <w:pPr>
              <w:pStyle w:val="31"/>
              <w:keepNext w:val="0"/>
              <w:keepLines w:val="0"/>
              <w:pageBreakBefore w:val="0"/>
              <w:kinsoku/>
              <w:wordWrap/>
              <w:overflowPunct/>
              <w:topLinePunct w:val="0"/>
              <w:autoSpaceDE/>
              <w:autoSpaceDN/>
              <w:bidi w:val="0"/>
              <w:spacing w:line="360" w:lineRule="auto"/>
              <w:ind w:left="0" w:right="0" w:firstLine="480" w:firstLineChars="200"/>
              <w:jc w:val="left"/>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《福清融侨经济技术开发区总体规划</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2018-2035年</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环境影响报告书》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，本项目与规划区主导产业环境准入清单符合性分析详见表1.1-2。</w:t>
            </w:r>
          </w:p>
          <w:p w14:paraId="1249C9C4">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表1.1-2 本项目与规划区主导产业环境准入清单符合性分析表</w:t>
            </w:r>
          </w:p>
          <w:tbl>
            <w:tblPr>
              <w:tblStyle w:val="23"/>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3147"/>
              <w:gridCol w:w="3240"/>
              <w:gridCol w:w="1032"/>
            </w:tblGrid>
            <w:tr w14:paraId="11983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noWrap w:val="0"/>
                  <w:vAlign w:val="center"/>
                </w:tcPr>
                <w:p w14:paraId="4C40C8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类别</w:t>
                  </w:r>
                </w:p>
                <w:p w14:paraId="52328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名称</w:t>
                  </w:r>
                </w:p>
              </w:tc>
              <w:tc>
                <w:tcPr>
                  <w:tcW w:w="1946" w:type="pct"/>
                  <w:noWrap w:val="0"/>
                  <w:vAlign w:val="center"/>
                </w:tcPr>
                <w:p w14:paraId="7D6CE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空间布局</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约束</w:t>
                  </w:r>
                </w:p>
              </w:tc>
              <w:tc>
                <w:tcPr>
                  <w:tcW w:w="2004" w:type="pct"/>
                  <w:noWrap w:val="0"/>
                  <w:vAlign w:val="center"/>
                </w:tcPr>
                <w:p w14:paraId="1FA2F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0E60CC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05D3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restart"/>
                  <w:noWrap w:val="0"/>
                  <w:vAlign w:val="center"/>
                </w:tcPr>
                <w:p w14:paraId="01C6BC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计算机、通信和其他电子设备制造业</w:t>
                  </w:r>
                </w:p>
              </w:tc>
              <w:tc>
                <w:tcPr>
                  <w:tcW w:w="1946" w:type="pct"/>
                  <w:noWrap w:val="0"/>
                  <w:vAlign w:val="center"/>
                </w:tcPr>
                <w:p w14:paraId="04BD768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w:t>
                  </w:r>
                </w:p>
                <w:p w14:paraId="78B06E9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涉及开炼、密炼、硫化工艺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36337B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2774D1B0">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09972BD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14:textFill>
                        <w14:solidFill>
                          <w14:schemeClr w14:val="tx1"/>
                        </w14:solidFill>
                      </w14:textFill>
                    </w:rPr>
                    <w:t>废旧塑料再生现有生产能力允许企业在一定期限内采取措施改造升级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2004" w:type="pct"/>
                  <w:noWrap w:val="0"/>
                  <w:vAlign w:val="center"/>
                </w:tcPr>
                <w:p w14:paraId="32728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开炼、密炼、硫化工艺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0C5F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w:t>
                  </w:r>
                  <w:r>
                    <w:rPr>
                      <w:rFonts w:hint="default" w:ascii="Times New Roman" w:hAnsi="Times New Roman" w:eastAsia="宋体" w:cs="Times New Roman"/>
                      <w:color w:val="000000" w:themeColor="text1"/>
                      <w:sz w:val="21"/>
                      <w:szCs w:val="21"/>
                      <w:highlight w:val="none"/>
                      <w14:textFill>
                        <w14:solidFill>
                          <w14:schemeClr w14:val="tx1"/>
                        </w14:solidFill>
                      </w14:textFill>
                    </w:rPr>
                    <w:t>采用煤、油、生物质等非清洁能源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61EAAC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再生橡胶制造、橡胶加工、橡胶制品翻新</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C3FD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w:t>
                  </w:r>
                  <w:r>
                    <w:rPr>
                      <w:rFonts w:hint="default" w:ascii="Times New Roman" w:hAnsi="Times New Roman" w:eastAsia="宋体" w:cs="Times New Roman"/>
                      <w:color w:val="000000" w:themeColor="text1"/>
                      <w:sz w:val="21"/>
                      <w:szCs w:val="21"/>
                      <w:highlight w:val="none"/>
                      <w14:textFill>
                        <w14:solidFill>
                          <w14:schemeClr w14:val="tx1"/>
                        </w14:solidFill>
                      </w14:textFill>
                    </w:rPr>
                    <w:t>废旧塑料再生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w:t>
                  </w:r>
                </w:p>
              </w:tc>
              <w:tc>
                <w:tcPr>
                  <w:tcW w:w="638" w:type="pct"/>
                  <w:noWrap w:val="0"/>
                  <w:vAlign w:val="center"/>
                </w:tcPr>
                <w:p w14:paraId="0E888C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60DB3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000F8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2DB3B2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环境风险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防控</w:t>
                  </w:r>
                </w:p>
              </w:tc>
              <w:tc>
                <w:tcPr>
                  <w:tcW w:w="2004" w:type="pct"/>
                  <w:noWrap w:val="0"/>
                  <w:vAlign w:val="center"/>
                </w:tcPr>
                <w:p w14:paraId="75993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A21A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39554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111E0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946" w:type="pct"/>
                  <w:noWrap w:val="0"/>
                  <w:vAlign w:val="center"/>
                </w:tcPr>
                <w:p w14:paraId="59392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必须规范配套应急池，建设企业、园区和周边水系三级环境风险防控工程，确保有效拦截、降污和倒流；受园区排污影响的周边水系应建设应急闸门，防止泄漏物和消防水等排入外环境。</w:t>
                  </w:r>
                </w:p>
                <w:p w14:paraId="53824D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开发区内污水处理设施应采取必要的防渗处理，不得污染地下水环境。</w:t>
                  </w:r>
                </w:p>
              </w:tc>
              <w:tc>
                <w:tcPr>
                  <w:tcW w:w="2004" w:type="pct"/>
                  <w:noWrap w:val="0"/>
                  <w:vAlign w:val="center"/>
                </w:tcPr>
                <w:p w14:paraId="014D0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园区将严格按照要求，统一建设事故应急池，</w:t>
                  </w:r>
                  <w:r>
                    <w:rPr>
                      <w:rFonts w:hint="default" w:ascii="Times New Roman" w:hAnsi="Times New Roman" w:eastAsia="宋体" w:cs="Times New Roman"/>
                      <w:color w:val="000000" w:themeColor="text1"/>
                      <w:sz w:val="21"/>
                      <w:szCs w:val="21"/>
                      <w:highlight w:val="none"/>
                      <w14:textFill>
                        <w14:solidFill>
                          <w14:schemeClr w14:val="tx1"/>
                        </w14:solidFill>
                      </w14:textFill>
                    </w:rPr>
                    <w:t>建设企业、园区和周边水系三级环境风险防控工程，确保有效拦截、降污和</w:t>
                  </w:r>
                  <w:r>
                    <w:rPr>
                      <w:rFonts w:hint="eastAsia" w:cs="Times New Roman"/>
                      <w:color w:val="000000" w:themeColor="text1"/>
                      <w:sz w:val="21"/>
                      <w:szCs w:val="21"/>
                      <w:highlight w:val="none"/>
                      <w:lang w:eastAsia="zh-CN"/>
                      <w14:textFill>
                        <w14:solidFill>
                          <w14:schemeClr w14:val="tx1"/>
                        </w14:solidFill>
                      </w14:textFill>
                    </w:rPr>
                    <w:t>导流</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574AEC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3B597B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0637E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604D6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F89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污染物排放管</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控</w:t>
                  </w:r>
                </w:p>
              </w:tc>
              <w:tc>
                <w:tcPr>
                  <w:tcW w:w="2004" w:type="pct"/>
                  <w:noWrap w:val="0"/>
                  <w:vAlign w:val="center"/>
                </w:tcPr>
                <w:p w14:paraId="609835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本项目</w:t>
                  </w:r>
                </w:p>
              </w:tc>
              <w:tc>
                <w:tcPr>
                  <w:tcW w:w="638" w:type="pct"/>
                  <w:noWrap w:val="0"/>
                  <w:vAlign w:val="center"/>
                </w:tcPr>
                <w:p w14:paraId="60E17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14:paraId="6E250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vMerge w:val="continue"/>
                  <w:noWrap w:val="0"/>
                  <w:vAlign w:val="center"/>
                </w:tcPr>
                <w:p w14:paraId="4280A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946" w:type="pct"/>
                  <w:noWrap w:val="0"/>
                  <w:vAlign w:val="center"/>
                </w:tcPr>
                <w:p w14:paraId="69361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新、改、扩建项目新增大气污染物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现阶段指SO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排放量实行1.5 倍削减替代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不含使用天然气、液化石油气等作为燃料的非火电锅炉和工业炉窑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05F55C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新、改、扩建项目新增VOCs 排放量实行倍量削减替代。</w:t>
                  </w:r>
                </w:p>
                <w:p w14:paraId="3CF0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工业企业废水全部纳管进入</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污水处理厂</w:t>
                  </w:r>
                  <w:r>
                    <w:rPr>
                      <w:rFonts w:hint="default" w:ascii="Times New Roman" w:hAnsi="Times New Roman" w:eastAsia="宋体" w:cs="Times New Roman"/>
                      <w:color w:val="000000" w:themeColor="text1"/>
                      <w:sz w:val="21"/>
                      <w:szCs w:val="21"/>
                      <w:highlight w:val="none"/>
                      <w14:textFill>
                        <w14:solidFill>
                          <w14:schemeClr w14:val="tx1"/>
                        </w14:solidFill>
                      </w14:textFill>
                    </w:rPr>
                    <w:t>集中处理后达标排放。</w:t>
                  </w:r>
                </w:p>
              </w:tc>
              <w:tc>
                <w:tcPr>
                  <w:tcW w:w="2004" w:type="pct"/>
                  <w:noWrap w:val="0"/>
                  <w:vAlign w:val="center"/>
                </w:tcPr>
                <w:p w14:paraId="2B3450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w:t>
                  </w: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等污染物排放。</w:t>
                  </w:r>
                </w:p>
                <w:p w14:paraId="60700A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S</w:t>
                  </w:r>
                  <w:r>
                    <w:rPr>
                      <w:rFonts w:hint="default" w:ascii="Times New Roman" w:hAnsi="Times New Roman" w:eastAsia="宋体" w:cs="Times New Roman"/>
                      <w:color w:val="000000" w:themeColor="text1"/>
                      <w:sz w:val="21"/>
                      <w:szCs w:val="21"/>
                      <w:highlight w:val="none"/>
                      <w14:textFill>
                        <w14:solidFill>
                          <w14:schemeClr w14:val="tx1"/>
                        </w14:solidFill>
                      </w14:textFill>
                    </w:rPr>
                    <w:t>拟实行区域内倍量替代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7F467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生活污水</w:t>
                  </w:r>
                  <w:r>
                    <w:rPr>
                      <w:rFonts w:hint="default" w:ascii="Times New Roman" w:hAnsi="Times New Roman" w:eastAsia="宋体" w:cs="Times New Roman"/>
                      <w:snapToGrid w:val="0"/>
                      <w:color w:val="000000" w:themeColor="text1"/>
                      <w:kern w:val="18"/>
                      <w:sz w:val="21"/>
                      <w:szCs w:val="21"/>
                      <w:highlight w:val="none"/>
                      <w:lang w:val="en-US" w:eastAsia="zh-CN"/>
                      <w14:textFill>
                        <w14:solidFill>
                          <w14:schemeClr w14:val="tx1"/>
                        </w14:solidFill>
                      </w14:textFill>
                    </w:rPr>
                    <w:t>依托厂内已建的</w:t>
                  </w:r>
                  <w: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t>化粪池处理达标后排入市政污水管网，送往福清市融元污水处理厂集中处理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638" w:type="pct"/>
                  <w:noWrap w:val="0"/>
                  <w:vAlign w:val="center"/>
                </w:tcPr>
                <w:p w14:paraId="64D18F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bl>
          <w:p w14:paraId="65B35B3E">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14:paraId="0A086C99">
            <w:pPr>
              <w:adjustRightInd w:val="0"/>
              <w:snapToGrid w:val="0"/>
              <w:spacing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表1.1-3 本项目与规划环评审查意见的符合性分析</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3639"/>
              <w:gridCol w:w="2727"/>
              <w:gridCol w:w="951"/>
            </w:tblGrid>
            <w:tr w14:paraId="53AD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434DE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序号</w:t>
                  </w:r>
                </w:p>
              </w:tc>
              <w:tc>
                <w:tcPr>
                  <w:tcW w:w="2251" w:type="pct"/>
                  <w:noWrap w:val="0"/>
                  <w:vAlign w:val="center"/>
                </w:tcPr>
                <w:p w14:paraId="52AC7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规划环评审查意见要求</w:t>
                  </w:r>
                </w:p>
              </w:tc>
              <w:tc>
                <w:tcPr>
                  <w:tcW w:w="1687" w:type="pct"/>
                  <w:noWrap w:val="0"/>
                  <w:vAlign w:val="center"/>
                </w:tcPr>
                <w:p w14:paraId="21859B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本项目内容</w:t>
                  </w:r>
                </w:p>
              </w:tc>
              <w:tc>
                <w:tcPr>
                  <w:tcW w:w="588" w:type="pct"/>
                  <w:noWrap w:val="0"/>
                  <w:vAlign w:val="center"/>
                </w:tcPr>
                <w:p w14:paraId="2720A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符合性</w:t>
                  </w:r>
                </w:p>
              </w:tc>
            </w:tr>
            <w:tr w14:paraId="0C434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E70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2251" w:type="pct"/>
                  <w:noWrap w:val="0"/>
                  <w:vAlign w:val="center"/>
                </w:tcPr>
                <w:p w14:paraId="0323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坚持绿色发展和协调发展理念，加强《规划》引导。落实国家、区域发展战略，坚持生态优先、高效集约发展，以环境质量改善为核心，进一步优化《规划》范围、布局、发展规模和产业结构等，做好与省市国土空间规划和“三线一单”（生态保护红线、环境质量底线、资源利用上线和生态环境准入清单</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的协调衔接。</w:t>
                  </w:r>
                </w:p>
              </w:tc>
              <w:tc>
                <w:tcPr>
                  <w:tcW w:w="1687" w:type="pct"/>
                  <w:noWrap w:val="0"/>
                  <w:vAlign w:val="center"/>
                </w:tcPr>
                <w:p w14:paraId="4809E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本项目主要从事</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工业连接器和工业线缆制造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等，属于开发区主导行业，项目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符合园区产业发展定位</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符合国土空间规划和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三线一单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88" w:type="pct"/>
                  <w:noWrap w:val="0"/>
                  <w:vAlign w:val="center"/>
                </w:tcPr>
                <w:p w14:paraId="76186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14:paraId="1B4E6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0A0AC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251" w:type="pct"/>
                  <w:noWrap w:val="0"/>
                  <w:vAlign w:val="center"/>
                </w:tcPr>
                <w:p w14:paraId="134C2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着力推动开发区结构调整和转型升级。落实《报告书》提出的现有重污染企业和用地布局不合理企业的搬迁、淘汰进度，强化拟退出污染企业存续期间环境管控和风险防控，合理安排重污染企业腾退及周边土地开发时序，做好腾退企业遗留场地的土壤环境调查和风险评估，确保土地安全利用。促进开发区产业转型升级与生态环境保护、人居环境安全相协调。</w:t>
                  </w:r>
                </w:p>
              </w:tc>
              <w:tc>
                <w:tcPr>
                  <w:tcW w:w="1687" w:type="pct"/>
                  <w:noWrap w:val="0"/>
                  <w:vAlign w:val="center"/>
                </w:tcPr>
                <w:p w14:paraId="53FC3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项目不属于重污染企业，利用均和云谷·福清科技港已建厂房作为生产经营场所，属于工业厂房，符合用地规划。</w:t>
                  </w:r>
                </w:p>
              </w:tc>
              <w:tc>
                <w:tcPr>
                  <w:tcW w:w="588" w:type="pct"/>
                  <w:noWrap w:val="0"/>
                  <w:vAlign w:val="center"/>
                </w:tcPr>
                <w:p w14:paraId="78BF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6F61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noWrap w:val="0"/>
                  <w:vAlign w:val="center"/>
                </w:tcPr>
                <w:p w14:paraId="6A9F9E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251" w:type="pct"/>
                  <w:noWrap w:val="0"/>
                  <w:vAlign w:val="center"/>
                </w:tcPr>
                <w:p w14:paraId="70938B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严格空间管控，优化区内空间布局。做好《规划》控制和生态隔离带建设，加强对开发区内及周边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的保护，严禁不符合管控要求的各类开发建设活动，严禁占用现有自然水体等生态空间。结合福清市国土空间规划最新结果，进一步优化园区范围和空间布局，避让永久基本农田。</w:t>
                  </w:r>
                </w:p>
              </w:tc>
              <w:tc>
                <w:tcPr>
                  <w:tcW w:w="1687" w:type="pct"/>
                  <w:noWrap w:val="0"/>
                  <w:vAlign w:val="center"/>
                </w:tcPr>
                <w:p w14:paraId="1C7CB5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项目周边最近的环境</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保护目标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西南侧约</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177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处的下田村</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有一定隔离带；项目用地不涉及闽江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调水工程新局调节库水源地、石竹山风景名胜区等敏感区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，不占用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自然水体等生态空间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永久基本农田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30561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1DEFF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9" w:hRule="atLeast"/>
              </w:trPr>
              <w:tc>
                <w:tcPr>
                  <w:tcW w:w="472" w:type="pct"/>
                  <w:noWrap w:val="0"/>
                  <w:vAlign w:val="center"/>
                </w:tcPr>
                <w:p w14:paraId="75043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251" w:type="pct"/>
                  <w:noWrap w:val="0"/>
                  <w:vAlign w:val="center"/>
                </w:tcPr>
                <w:p w14:paraId="34851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守环境质量底线，强化污染物排放总量管控。根据国家和福建省关于大气、水、土壤污染防治相关要求和区域“三线一单”成果，衔接龙江流域水环境综合整治结果，制定开发区污染减排方案及污染物总量管控要求，严格重金属总量管控。采取有效措施减少主要污染物和特征污染物的排放量，确保区域环境质量持续改善，促进产业发展与城市发展、生态环境保护相协调。</w:t>
                  </w:r>
                </w:p>
              </w:tc>
              <w:tc>
                <w:tcPr>
                  <w:tcW w:w="1687" w:type="pct"/>
                  <w:noWrap w:val="0"/>
                  <w:vAlign w:val="center"/>
                </w:tcPr>
                <w:p w14:paraId="5FA4CF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VOCs拟采用1套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二级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活性炭吸附装置处理后排放，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废气排放源强较低，对周边环境影响较小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项目厂区已实现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雨污分流</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，项目不涉及生产废水排放，生活污水依托厂区内现有的排水管网排入市政污水管网送往</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集中处理</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auto"/>
                      <w:sz w:val="21"/>
                      <w:szCs w:val="21"/>
                      <w:u w:val="none"/>
                      <w:lang w:val="en-US" w:eastAsia="zh-CN"/>
                    </w:rPr>
                    <w:t>冷却水循环使用不外排；喷粉前清洗水经过自建废水处理设施处理后回用于清洗工序，不外排</w:t>
                  </w:r>
                  <w:r>
                    <w:rPr>
                      <w:rFonts w:hint="eastAsia" w:cs="Times New Roman"/>
                      <w:color w:val="auto"/>
                      <w:sz w:val="21"/>
                      <w:szCs w:val="21"/>
                      <w:u w:val="none"/>
                      <w:lang w:val="en-US" w:eastAsia="zh-CN"/>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项目不涉及重金属等污染物，</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项目将依法依规做好一般工业固体废物和危险废物的分类收集、利用、处理处置工作</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0181D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520B2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0" w:hRule="atLeast"/>
              </w:trPr>
              <w:tc>
                <w:tcPr>
                  <w:tcW w:w="472" w:type="pct"/>
                  <w:noWrap w:val="0"/>
                  <w:vAlign w:val="center"/>
                </w:tcPr>
                <w:p w14:paraId="16C10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251" w:type="pct"/>
                  <w:noWrap w:val="0"/>
                  <w:vAlign w:val="center"/>
                </w:tcPr>
                <w:p w14:paraId="42FBE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严格入区项目生态环境准入，推动高质量发展。落实《报告书》生态环境准入要求，强化现有及入区企业挥发性有机物排放控制，禁止新增排放涉重金属污染物项目入区，禁止与主导产业不相关且污染物排放量大的项目入区。落实《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》关于禁止大气污染型建设项目入区的要求。执行最严格的行业废水、废气排放控制指标，引进项目的生产工艺、设备，以及单位产品能耗、污染物排放和资源利用效率等均需达到同行业国际先进水平。</w:t>
                  </w:r>
                </w:p>
              </w:tc>
              <w:tc>
                <w:tcPr>
                  <w:tcW w:w="1687" w:type="pct"/>
                  <w:noWrap w:val="0"/>
                  <w:vAlign w:val="center"/>
                </w:tcPr>
                <w:p w14:paraId="03107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项目排放的VOC</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拟实行区域内倍量替代；</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项目符合园区产业规划，不属于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《福州市环境总体规划</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2030</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》关于禁止大气污染型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项目；项目严格执行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行业废水、废气排放控制指标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项目生产工艺、技术装备、污染治理水平以及单位产品能耗、物耗等</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可以</w:t>
                  </w:r>
                  <w:r>
                    <w:rPr>
                      <w:rFonts w:hint="eastAsia" w:cs="Times New Roman"/>
                      <w:color w:val="000000" w:themeColor="text1"/>
                      <w:sz w:val="21"/>
                      <w:szCs w:val="21"/>
                      <w:highlight w:val="none"/>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同行业国际先进水平</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88" w:type="pct"/>
                  <w:noWrap w:val="0"/>
                  <w:vAlign w:val="center"/>
                </w:tcPr>
                <w:p w14:paraId="519A9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4E20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0625B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251" w:type="pct"/>
                  <w:noWrap w:val="0"/>
                  <w:vAlign w:val="center"/>
                </w:tcPr>
                <w:p w14:paraId="410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强生态环境保护，统筹考虑区内污染防治、生态恢复与建设、环境风险防范、环境管理等事宜。严格落实《报告书》及重点风险企业突发环境事件应急预案提出的各项要求，从环境风险防控角度，加强京东方一期、二期工程周边用地规划控制。建立健全区域环境风险防范体系，建立应急响应联动机制，提升开发区环境风险防控和应急响应能力，保障区域环境安全。</w:t>
                  </w:r>
                </w:p>
              </w:tc>
              <w:tc>
                <w:tcPr>
                  <w:tcW w:w="1687" w:type="pct"/>
                  <w:noWrap w:val="0"/>
                  <w:vAlign w:val="center"/>
                </w:tcPr>
                <w:p w14:paraId="5878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本项目将严格落实环境风险事故防范措施，并做好与园区的应急联动。</w:t>
                  </w:r>
                </w:p>
              </w:tc>
              <w:tc>
                <w:tcPr>
                  <w:tcW w:w="588" w:type="pct"/>
                  <w:noWrap w:val="0"/>
                  <w:vAlign w:val="center"/>
                </w:tcPr>
                <w:p w14:paraId="6FA29C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14:paraId="0CA489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53A17C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251" w:type="pct"/>
                  <w:noWrap w:val="0"/>
                  <w:vAlign w:val="center"/>
                </w:tcPr>
                <w:p w14:paraId="6B3F0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完善环境监测体系，明确实施时限、责任主体等。根据开发区的功能分区、产业布局、重点企业分布、特征污染物的排放种类和状况、环境敏感目标分布等情况，建立包括环境空气、地表水、地下水、土壤、底泥等环境要素的监控体系，强化阳下污水处理厂排放口附近底泥重金属的定期监测与管理。</w:t>
                  </w:r>
                </w:p>
              </w:tc>
              <w:tc>
                <w:tcPr>
                  <w:tcW w:w="1687" w:type="pct"/>
                  <w:noWrap w:val="0"/>
                  <w:vAlign w:val="center"/>
                </w:tcPr>
                <w:p w14:paraId="7F82D0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项目根据环境监测计划做好厂区内的跟踪监测与管理，并根据监测结果及时采取相应措施。</w:t>
                  </w:r>
                </w:p>
              </w:tc>
              <w:tc>
                <w:tcPr>
                  <w:tcW w:w="588" w:type="pct"/>
                  <w:noWrap w:val="0"/>
                  <w:vAlign w:val="center"/>
                </w:tcPr>
                <w:p w14:paraId="12F877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14:paraId="2F57ED0C">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u w:val="none"/>
                <w:lang w:eastAsia="zh-CN"/>
              </w:rPr>
            </w:pPr>
          </w:p>
        </w:tc>
      </w:tr>
      <w:tr w14:paraId="2ED0D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34" w:type="pct"/>
            <w:noWrap w:val="0"/>
            <w:vAlign w:val="center"/>
          </w:tcPr>
          <w:p w14:paraId="3E19EBB2">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65" w:type="pct"/>
            <w:gridSpan w:val="5"/>
            <w:noWrap w:val="0"/>
            <w:vAlign w:val="center"/>
          </w:tcPr>
          <w:p w14:paraId="6262179C">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2"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2"/>
          </w:p>
          <w:p w14:paraId="190B62E9">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auto"/>
                <w:spacing w:val="0"/>
                <w:sz w:val="24"/>
                <w:szCs w:val="24"/>
                <w:highlight w:val="none"/>
                <w:u w:val="none"/>
                <w:lang w:val="en-US" w:eastAsia="zh-CN"/>
              </w:rPr>
              <w:t>工业连接器和工业线缆</w:t>
            </w:r>
            <w:r>
              <w:rPr>
                <w:rFonts w:hint="default" w:ascii="Times New Roman" w:hAnsi="Times New Roman" w:eastAsia="宋体" w:cs="Times New Roman"/>
                <w:color w:val="auto"/>
                <w:spacing w:val="0"/>
                <w:sz w:val="24"/>
                <w:szCs w:val="24"/>
                <w:highlight w:val="none"/>
                <w:u w:val="none"/>
                <w:lang w:eastAsia="zh-CN"/>
              </w:rPr>
              <w:t>加工生产</w:t>
            </w:r>
            <w:r>
              <w:rPr>
                <w:rFonts w:hint="default" w:ascii="Times New Roman" w:hAnsi="Times New Roman" w:eastAsia="宋体" w:cs="Times New Roman"/>
                <w:color w:val="auto"/>
                <w:spacing w:val="0"/>
                <w:sz w:val="24"/>
                <w:szCs w:val="24"/>
                <w:highlight w:val="none"/>
                <w:u w:val="none"/>
              </w:rPr>
              <w:t>，</w:t>
            </w:r>
            <w:r>
              <w:rPr>
                <w:rFonts w:hint="eastAsia" w:cs="Times New Roman"/>
                <w:color w:val="auto"/>
                <w:spacing w:val="0"/>
                <w:sz w:val="24"/>
                <w:szCs w:val="24"/>
                <w:highlight w:val="none"/>
                <w:u w:val="none"/>
                <w:lang w:val="en-US" w:eastAsia="zh-CN"/>
              </w:rPr>
              <w:t>项目所采用的生产工艺、所使用的生产加工设备均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ascii="Times New Roman" w:hAnsi="Times New Roman" w:eastAsia="宋体" w:cs="Times New Roman"/>
                <w:color w:val="auto"/>
                <w:spacing w:val="0"/>
                <w:sz w:val="24"/>
                <w:szCs w:val="24"/>
                <w:highlight w:val="none"/>
                <w:u w:val="none"/>
                <w:lang w:val="en-US" w:eastAsia="zh-CN"/>
              </w:rPr>
              <w:t>5</w:t>
            </w:r>
            <w:r>
              <w:rPr>
                <w:rFonts w:hint="default" w:ascii="Times New Roman" w:hAnsi="Times New Roman" w:eastAsia="宋体" w:cs="Times New Roman"/>
                <w:color w:val="auto"/>
                <w:spacing w:val="0"/>
                <w:sz w:val="24"/>
                <w:szCs w:val="24"/>
                <w:highlight w:val="none"/>
                <w:u w:val="none"/>
                <w:lang w:val="en-US" w:eastAsia="zh-CN"/>
              </w:rPr>
              <w:t>年</w:t>
            </w:r>
            <w:r>
              <w:rPr>
                <w:rFonts w:hint="eastAsia" w:cs="Times New Roman"/>
                <w:color w:val="auto"/>
                <w:spacing w:val="0"/>
                <w:sz w:val="24"/>
                <w:szCs w:val="24"/>
                <w:highlight w:val="none"/>
                <w:u w:val="none"/>
                <w:lang w:val="en-US" w:eastAsia="zh-CN"/>
              </w:rPr>
              <w:t>10</w:t>
            </w:r>
            <w:r>
              <w:rPr>
                <w:rFonts w:hint="default" w:ascii="Times New Roman" w:hAnsi="Times New Roman" w:eastAsia="宋体" w:cs="Times New Roman"/>
                <w:color w:val="auto"/>
                <w:spacing w:val="0"/>
                <w:sz w:val="24"/>
                <w:szCs w:val="24"/>
                <w:highlight w:val="none"/>
                <w:u w:val="none"/>
                <w:lang w:val="en-US" w:eastAsia="zh-CN"/>
              </w:rPr>
              <w:t>月</w:t>
            </w:r>
            <w:r>
              <w:rPr>
                <w:rFonts w:hint="eastAsia" w:cs="Times New Roman"/>
                <w:color w:val="auto"/>
                <w:spacing w:val="0"/>
                <w:sz w:val="24"/>
                <w:szCs w:val="24"/>
                <w:highlight w:val="none"/>
                <w:u w:val="none"/>
                <w:lang w:val="en-US" w:eastAsia="zh-CN"/>
              </w:rPr>
              <w:t>24</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default" w:ascii="Times New Roman" w:hAnsi="Times New Roman" w:eastAsia="宋体" w:cs="Times New Roman"/>
                <w:color w:val="auto"/>
                <w:spacing w:val="0"/>
                <w:sz w:val="24"/>
                <w:szCs w:val="24"/>
                <w:highlight w:val="none"/>
                <w:u w:val="none"/>
                <w:lang w:eastAsia="zh-CN"/>
              </w:rPr>
              <w:t>福清市发展和改革局</w:t>
            </w:r>
            <w:r>
              <w:rPr>
                <w:rFonts w:hint="default" w:ascii="Times New Roman" w:hAnsi="Times New Roman" w:eastAsia="宋体" w:cs="Times New Roman"/>
                <w:color w:val="auto"/>
                <w:spacing w:val="0"/>
                <w:sz w:val="24"/>
                <w:szCs w:val="24"/>
                <w:highlight w:val="none"/>
                <w:u w:val="none"/>
              </w:rPr>
              <w:t>的备案(</w:t>
            </w:r>
            <w:r>
              <w:rPr>
                <w:rFonts w:hint="default" w:ascii="Times New Roman" w:hAnsi="Times New Roman" w:eastAsia="宋体" w:cs="Times New Roman"/>
                <w:color w:val="auto"/>
                <w:sz w:val="24"/>
                <w:szCs w:val="24"/>
                <w:highlight w:val="none"/>
                <w:u w:val="none"/>
                <w:lang w:eastAsia="zh-CN"/>
              </w:rPr>
              <w:t>闽发改备</w:t>
            </w:r>
            <w:r>
              <w:rPr>
                <w:rFonts w:hint="eastAsia" w:cs="Times New Roman"/>
                <w:color w:val="auto"/>
                <w:sz w:val="24"/>
                <w:szCs w:val="24"/>
                <w:highlight w:val="none"/>
                <w:u w:val="none"/>
                <w:lang w:eastAsia="zh-CN"/>
              </w:rPr>
              <w:t>〔2025〕A060387</w:t>
            </w:r>
            <w:r>
              <w:rPr>
                <w:rFonts w:hint="default" w:ascii="Times New Roman" w:hAnsi="Times New Roman" w:eastAsia="宋体" w:cs="Times New Roman"/>
                <w:color w:val="auto"/>
                <w:sz w:val="24"/>
                <w:szCs w:val="24"/>
                <w:highlight w:val="none"/>
                <w:u w:val="none"/>
                <w:lang w:eastAsia="zh-CN"/>
              </w:rPr>
              <w:t>号，</w:t>
            </w:r>
            <w:r>
              <w:rPr>
                <w:rFonts w:hint="eastAsia" w:cs="Times New Roman"/>
                <w:color w:val="auto"/>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四</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0B009C1B">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3" w:name="_Toc26906"/>
            <w:r>
              <w:rPr>
                <w:rFonts w:hint="eastAsia" w:ascii="Times New Roman" w:cs="Times New Roman"/>
                <w:b/>
                <w:color w:val="auto"/>
                <w:sz w:val="24"/>
                <w:szCs w:val="24"/>
                <w:highlight w:val="none"/>
                <w:u w:val="none"/>
                <w:lang w:val="en-US" w:eastAsia="zh-CN"/>
              </w:rPr>
              <w:t>2.国土空间规划</w:t>
            </w:r>
            <w:r>
              <w:rPr>
                <w:rFonts w:hint="default" w:ascii="Times New Roman" w:hAnsi="Times New Roman" w:eastAsia="宋体" w:cs="Times New Roman"/>
                <w:b/>
                <w:color w:val="auto"/>
                <w:sz w:val="24"/>
                <w:szCs w:val="24"/>
                <w:highlight w:val="none"/>
                <w:u w:val="none"/>
                <w:lang w:val="en-US" w:eastAsia="zh-CN"/>
              </w:rPr>
              <w:t>符合性分析</w:t>
            </w:r>
            <w:bookmarkEnd w:id="13"/>
          </w:p>
          <w:p w14:paraId="655B9E2C">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rPr>
            </w:pPr>
            <w:r>
              <w:rPr>
                <w:rFonts w:hint="eastAsia" w:cs="Times New Roman"/>
                <w:color w:val="auto"/>
                <w:spacing w:val="0"/>
                <w:sz w:val="24"/>
                <w:szCs w:val="24"/>
                <w:highlight w:val="none"/>
                <w:u w:val="none"/>
                <w:lang w:eastAsia="zh-CN"/>
              </w:rPr>
              <w:t>根据</w:t>
            </w:r>
            <w:r>
              <w:rPr>
                <w:rFonts w:hint="default" w:cs="Times New Roman"/>
                <w:color w:val="auto"/>
                <w:sz w:val="24"/>
                <w:szCs w:val="24"/>
                <w:highlight w:val="none"/>
                <w:u w:val="none"/>
                <w:lang w:val="en-US" w:eastAsia="zh-CN"/>
              </w:rPr>
              <w:t>《福清市国土空间总体规划（2021—2035年）》</w:t>
            </w:r>
            <w:r>
              <w:rPr>
                <w:rFonts w:hint="default" w:ascii="Times New Roman" w:hAnsi="Times New Roman" w:eastAsia="宋体" w:cs="Times New Roman"/>
                <w:color w:val="auto"/>
                <w:spacing w:val="0"/>
                <w:sz w:val="24"/>
                <w:szCs w:val="24"/>
                <w:highlight w:val="none"/>
                <w:u w:val="none"/>
                <w:lang w:eastAsia="zh-CN"/>
              </w:rPr>
              <w:t>本项目位于</w:t>
            </w:r>
            <w:r>
              <w:rPr>
                <w:rFonts w:hint="eastAsia" w:cs="Times New Roman"/>
                <w:color w:val="auto"/>
                <w:sz w:val="24"/>
                <w:szCs w:val="24"/>
                <w:highlight w:val="none"/>
                <w:u w:val="none"/>
                <w:lang w:val="en-US" w:eastAsia="zh-CN"/>
              </w:rPr>
              <w:t>福清融侨经济技术开发区（购置均和云谷·福清科技港39#厂房）</w:t>
            </w:r>
            <w:r>
              <w:rPr>
                <w:rFonts w:hint="default" w:ascii="Times New Roman" w:hAnsi="Times New Roman" w:eastAsia="宋体" w:cs="Times New Roman"/>
                <w:color w:val="auto"/>
                <w:spacing w:val="0"/>
                <w:sz w:val="24"/>
                <w:szCs w:val="24"/>
                <w:highlight w:val="none"/>
                <w:u w:val="none"/>
                <w:lang w:eastAsia="zh-CN"/>
              </w:rPr>
              <w:t>内，根据</w:t>
            </w:r>
            <w:r>
              <w:rPr>
                <w:rFonts w:hint="eastAsia" w:ascii="Times New Roman" w:hAnsi="Times New Roman" w:eastAsia="宋体" w:cs="Times New Roman"/>
                <w:color w:val="auto"/>
                <w:spacing w:val="0"/>
                <w:sz w:val="24"/>
                <w:szCs w:val="24"/>
                <w:highlight w:val="none"/>
                <w:u w:val="none"/>
                <w:lang w:eastAsia="zh-CN"/>
              </w:rPr>
              <w:t>业主</w:t>
            </w:r>
            <w:r>
              <w:rPr>
                <w:rFonts w:hint="default" w:ascii="Times New Roman" w:hAnsi="Times New Roman" w:eastAsia="宋体" w:cs="Times New Roman"/>
                <w:color w:val="auto"/>
                <w:spacing w:val="0"/>
                <w:sz w:val="24"/>
                <w:szCs w:val="24"/>
                <w:highlight w:val="none"/>
                <w:u w:val="none"/>
                <w:lang w:eastAsia="zh-CN"/>
              </w:rPr>
              <w:t>提供的</w:t>
            </w:r>
            <w:r>
              <w:rPr>
                <w:rFonts w:hint="eastAsia" w:ascii="Times New Roman" w:hAnsi="Times New Roman" w:eastAsia="宋体" w:cs="Times New Roman"/>
                <w:color w:val="auto"/>
                <w:spacing w:val="0"/>
                <w:sz w:val="24"/>
                <w:szCs w:val="24"/>
                <w:highlight w:val="none"/>
                <w:u w:val="none"/>
                <w:lang w:val="en-US" w:eastAsia="zh-CN"/>
              </w:rPr>
              <w:t>均和产业发展（福清）有限公司不动产权证（闽（2022）福清市不动产权第0015820号）</w:t>
            </w:r>
            <w:r>
              <w:rPr>
                <w:rFonts w:hint="eastAsia" w:cs="Times New Roman"/>
                <w:color w:val="auto"/>
                <w:spacing w:val="0"/>
                <w:sz w:val="24"/>
                <w:szCs w:val="24"/>
                <w:highlight w:val="none"/>
                <w:u w:val="none"/>
                <w:lang w:val="en-US" w:eastAsia="zh-CN"/>
              </w:rPr>
              <w:t>（厂房购置合同</w:t>
            </w:r>
            <w:r>
              <w:rPr>
                <w:rFonts w:hint="default" w:ascii="Times New Roman" w:hAnsi="Times New Roman" w:eastAsia="宋体" w:cs="Times New Roman"/>
                <w:color w:val="auto"/>
                <w:spacing w:val="0"/>
                <w:sz w:val="24"/>
                <w:szCs w:val="24"/>
                <w:highlight w:val="none"/>
                <w:u w:val="none"/>
                <w:lang w:val="en-US" w:eastAsia="zh-CN"/>
              </w:rPr>
              <w:t>详见</w:t>
            </w:r>
            <w:r>
              <w:rPr>
                <w:rFonts w:hint="default" w:ascii="Times New Roman" w:hAnsi="Times New Roman" w:eastAsia="宋体" w:cs="Times New Roman"/>
                <w:b/>
                <w:bCs/>
                <w:color w:val="auto"/>
                <w:spacing w:val="0"/>
                <w:sz w:val="24"/>
                <w:szCs w:val="24"/>
                <w:highlight w:val="none"/>
                <w:u w:val="none"/>
                <w:lang w:val="en-US" w:eastAsia="zh-CN"/>
              </w:rPr>
              <w:t>附件</w:t>
            </w:r>
            <w:r>
              <w:rPr>
                <w:rFonts w:hint="eastAsia" w:cs="Times New Roman"/>
                <w:b/>
                <w:bCs/>
                <w:color w:val="auto"/>
                <w:spacing w:val="0"/>
                <w:sz w:val="24"/>
                <w:szCs w:val="24"/>
                <w:highlight w:val="none"/>
                <w:u w:val="none"/>
                <w:lang w:val="en-US" w:eastAsia="zh-CN"/>
              </w:rPr>
              <w:t>五</w:t>
            </w:r>
            <w:r>
              <w:rPr>
                <w:rFonts w:hint="eastAsia" w:cs="Times New Roman"/>
                <w:b w:val="0"/>
                <w:bCs w:val="0"/>
                <w:color w:val="auto"/>
                <w:spacing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val="en-US" w:eastAsia="zh-CN"/>
              </w:rPr>
              <w:t>，该厂区用地为工业用地，厂房为工业厂房</w:t>
            </w:r>
            <w:r>
              <w:rPr>
                <w:rFonts w:hint="default" w:ascii="Times New Roman" w:hAnsi="Times New Roman" w:eastAsia="宋体" w:cs="Times New Roman"/>
                <w:color w:val="auto"/>
                <w:sz w:val="24"/>
                <w:szCs w:val="24"/>
              </w:rPr>
              <w:t>。根据福清市自然资源和规划局审定的均和云谷福清科技港总平面</w:t>
            </w:r>
            <w:r>
              <w:rPr>
                <w:rFonts w:hint="eastAsia" w:cs="Times New Roman"/>
                <w:color w:val="auto"/>
                <w:sz w:val="24"/>
                <w:szCs w:val="24"/>
                <w:lang w:eastAsia="zh-CN"/>
              </w:rPr>
              <w:t>布置</w:t>
            </w:r>
            <w:r>
              <w:rPr>
                <w:rFonts w:hint="default" w:ascii="Times New Roman" w:hAnsi="Times New Roman" w:eastAsia="宋体" w:cs="Times New Roman"/>
                <w:color w:val="auto"/>
                <w:sz w:val="24"/>
                <w:szCs w:val="24"/>
              </w:rPr>
              <w:t>图及均和产业发展（福清）有限公司规划条件核实意见书（</w:t>
            </w:r>
            <w:r>
              <w:rPr>
                <w:rFonts w:hint="eastAsia" w:ascii="Times New Roman" w:hAnsi="Times New Roman" w:eastAsia="宋体" w:cs="Times New Roman"/>
                <w:color w:val="auto"/>
                <w:sz w:val="24"/>
                <w:szCs w:val="24"/>
                <w:lang w:val="en-US" w:eastAsia="zh-CN"/>
              </w:rPr>
              <w:t>整区</w:t>
            </w:r>
            <w:r>
              <w:rPr>
                <w:rFonts w:hint="default" w:ascii="Times New Roman" w:hAnsi="Times New Roman" w:eastAsia="宋体" w:cs="Times New Roman"/>
                <w:color w:val="auto"/>
                <w:sz w:val="24"/>
                <w:szCs w:val="24"/>
              </w:rPr>
              <w:t>）（编号：融规核〔202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112</w:t>
            </w:r>
            <w:r>
              <w:rPr>
                <w:rFonts w:hint="default" w:ascii="Times New Roman" w:hAnsi="Times New Roman" w:eastAsia="宋体" w:cs="Times New Roman"/>
                <w:color w:val="auto"/>
                <w:sz w:val="24"/>
                <w:szCs w:val="24"/>
              </w:rPr>
              <w:t>号）可知，项目位于均和云谷福清科技港</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#厂房，</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#厂房构筑物主要经济技术指标均通过规划部门审核审定。</w:t>
            </w:r>
            <w:r>
              <w:rPr>
                <w:rFonts w:hint="default" w:ascii="Times New Roman" w:hAnsi="Times New Roman" w:eastAsia="宋体" w:cs="Times New Roman"/>
                <w:color w:val="auto"/>
                <w:spacing w:val="0"/>
                <w:sz w:val="24"/>
                <w:szCs w:val="24"/>
                <w:highlight w:val="none"/>
                <w:u w:val="none"/>
                <w:lang w:eastAsia="zh-CN"/>
              </w:rPr>
              <w:t>本项目从事</w:t>
            </w:r>
            <w:r>
              <w:rPr>
                <w:rFonts w:hint="eastAsia" w:cs="Times New Roman"/>
                <w:color w:val="auto"/>
                <w:spacing w:val="0"/>
                <w:sz w:val="24"/>
                <w:szCs w:val="24"/>
                <w:highlight w:val="none"/>
                <w:u w:val="none"/>
                <w:lang w:eastAsia="zh-CN"/>
              </w:rPr>
              <w:t>工业连接器和工业线缆</w:t>
            </w:r>
            <w:r>
              <w:rPr>
                <w:rFonts w:hint="default" w:ascii="Times New Roman" w:hAnsi="Times New Roman" w:eastAsia="宋体" w:cs="Times New Roman"/>
                <w:color w:val="auto"/>
                <w:spacing w:val="0"/>
                <w:sz w:val="24"/>
                <w:szCs w:val="24"/>
                <w:highlight w:val="none"/>
                <w:u w:val="none"/>
                <w:lang w:eastAsia="zh-CN"/>
              </w:rPr>
              <w:t>的加工，属于工业企业，因此，项目选址符合</w:t>
            </w:r>
            <w:r>
              <w:rPr>
                <w:rFonts w:hint="eastAsia" w:cs="Times New Roman"/>
                <w:color w:val="auto"/>
                <w:spacing w:val="0"/>
                <w:sz w:val="24"/>
                <w:szCs w:val="24"/>
                <w:highlight w:val="none"/>
                <w:u w:val="none"/>
                <w:lang w:eastAsia="zh-CN"/>
              </w:rPr>
              <w:t>国土空间规划</w:t>
            </w:r>
            <w:r>
              <w:rPr>
                <w:rFonts w:hint="default" w:ascii="Times New Roman" w:hAnsi="Times New Roman" w:eastAsia="宋体" w:cs="Times New Roman"/>
                <w:color w:val="auto"/>
                <w:spacing w:val="0"/>
                <w:sz w:val="24"/>
                <w:szCs w:val="24"/>
                <w:highlight w:val="none"/>
                <w:u w:val="none"/>
                <w:lang w:eastAsia="zh-CN"/>
              </w:rPr>
              <w:t>。</w:t>
            </w:r>
          </w:p>
          <w:p w14:paraId="330FEADD">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4" w:name="_Toc12021"/>
            <w:r>
              <w:rPr>
                <w:rFonts w:hint="eastAsia" w:ascii="Times New Roman" w:cs="Times New Roman"/>
                <w:b/>
                <w:color w:val="auto"/>
                <w:sz w:val="24"/>
                <w:szCs w:val="24"/>
                <w:highlight w:val="none"/>
                <w:u w:val="none"/>
                <w:lang w:val="en-US" w:eastAsia="zh-CN"/>
              </w:rPr>
              <w:t>3.</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三线一单</w:t>
            </w:r>
            <w:r>
              <w:rPr>
                <w:rFonts w:hint="eastAsia" w:ascii="Times New Roman" w:hAnsi="Times New Roman" w:eastAsia="宋体" w:cs="Times New Roman"/>
                <w:b/>
                <w:color w:val="auto"/>
                <w:sz w:val="24"/>
                <w:szCs w:val="24"/>
                <w:highlight w:val="none"/>
                <w:u w:val="none"/>
                <w:lang w:val="en-US" w:eastAsia="zh-CN"/>
              </w:rPr>
              <w:t>”</w:t>
            </w:r>
            <w:r>
              <w:rPr>
                <w:rFonts w:hint="default" w:ascii="Times New Roman" w:hAnsi="Times New Roman" w:eastAsia="宋体" w:cs="Times New Roman"/>
                <w:b/>
                <w:color w:val="auto"/>
                <w:sz w:val="24"/>
                <w:szCs w:val="24"/>
                <w:highlight w:val="none"/>
                <w:u w:val="none"/>
                <w:lang w:val="en-US" w:eastAsia="zh-CN"/>
              </w:rPr>
              <w:t>控制要求的符合性分析</w:t>
            </w:r>
            <w:bookmarkEnd w:id="14"/>
          </w:p>
          <w:p w14:paraId="46466856">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根据《关于以改善环境质量为核心加强环境影响评价管理的通知》</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环评〔2016〕150号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即：</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生态保护红线、环境质量底线、资源利用上线和生态环境准入清单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，项目建设应强化</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三线一单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约束作用。</w:t>
            </w:r>
          </w:p>
          <w:p w14:paraId="33F2D65E">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1</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生态保护红线</w:t>
            </w:r>
          </w:p>
          <w:p w14:paraId="6E62CDB0">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对照《福建省生态保护红线划定方案》及其调整方案</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z w:val="24"/>
                <w:szCs w:val="24"/>
                <w:u w:val="none"/>
                <w:lang w:val="en-GB"/>
              </w:rPr>
              <w:t>《福清市生态功能区划》</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val="en-GB"/>
              </w:rPr>
              <w:t>2003年</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，本项目位于</w:t>
            </w:r>
            <w:r>
              <w:rPr>
                <w:rFonts w:hint="eastAsia" w:ascii="Times New Roman" w:hAnsi="Times New Roman" w:cs="Times New Roman"/>
                <w:color w:val="auto"/>
                <w:sz w:val="24"/>
                <w:szCs w:val="24"/>
                <w:highlight w:val="none"/>
                <w:u w:val="none"/>
                <w:lang w:val="en-US" w:eastAsia="zh-CN"/>
              </w:rPr>
              <w:t>福清融侨经济技术开发区（购置均和云谷·福清科技港39#厂房）</w:t>
            </w:r>
            <w:r>
              <w:rPr>
                <w:rFonts w:hint="default" w:ascii="Times New Roman" w:hAnsi="Times New Roman" w:eastAsia="宋体" w:cs="Times New Roman"/>
                <w:color w:val="auto"/>
                <w:spacing w:val="0"/>
                <w:sz w:val="24"/>
                <w:szCs w:val="24"/>
                <w:highlight w:val="none"/>
                <w:u w:val="none"/>
                <w:lang w:eastAsia="zh-CN"/>
              </w:rPr>
              <w:t>内</w:t>
            </w:r>
            <w:r>
              <w:rPr>
                <w:rFonts w:hint="default" w:ascii="Times New Roman" w:hAnsi="Times New Roman" w:eastAsia="宋体" w:cs="Times New Roman"/>
                <w:color w:val="auto"/>
                <w:spacing w:val="0"/>
                <w:w w:val="100"/>
                <w:position w:val="0"/>
                <w:sz w:val="24"/>
                <w:szCs w:val="24"/>
                <w:u w:val="none"/>
              </w:rPr>
              <w:t>。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4C109043">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2</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环境质量底线</w:t>
            </w:r>
          </w:p>
          <w:p w14:paraId="340F55DB">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eastAsia" w:ascii="Times New Roman" w:hAnsi="Times New Roman" w:eastAsia="宋体" w:cs="Times New Roman"/>
                <w:color w:val="auto"/>
                <w:spacing w:val="0"/>
                <w:sz w:val="24"/>
                <w:szCs w:val="24"/>
                <w:highlight w:val="none"/>
                <w:u w:val="none"/>
                <w:lang w:eastAsia="zh-CN"/>
              </w:rPr>
            </w:pPr>
            <w:r>
              <w:rPr>
                <w:rFonts w:hint="default" w:ascii="Times New Roman" w:hAnsi="Times New Roman" w:eastAsia="宋体" w:cs="Times New Roman"/>
                <w:color w:val="auto"/>
                <w:spacing w:val="0"/>
                <w:sz w:val="24"/>
                <w:szCs w:val="24"/>
                <w:highlight w:val="none"/>
                <w:u w:val="none"/>
                <w:lang w:eastAsia="zh-CN"/>
              </w:rPr>
              <w:t>项目所在区域环境质量底线：环境空气质量目标为《环境空气质量标准》（GB3095-2012）及修改单中的二级</w:t>
            </w:r>
            <w:r>
              <w:rPr>
                <w:rFonts w:hint="eastAsia" w:ascii="Times New Roman" w:hAnsi="Times New Roman" w:eastAsia="宋体" w:cs="Times New Roman"/>
                <w:color w:val="auto"/>
                <w:spacing w:val="0"/>
                <w:sz w:val="24"/>
                <w:szCs w:val="24"/>
                <w:highlight w:val="none"/>
                <w:u w:val="none"/>
                <w:lang w:eastAsia="zh-CN"/>
              </w:rPr>
              <w:t>标准</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周边罗汉溪地表水环境质量目标为《地表水环境质量标准》（</w:t>
            </w:r>
            <w:r>
              <w:rPr>
                <w:rFonts w:hint="default" w:ascii="Times New Roman" w:hAnsi="Times New Roman" w:eastAsia="宋体" w:cs="Times New Roman"/>
                <w:color w:val="auto"/>
                <w:spacing w:val="0"/>
                <w:sz w:val="24"/>
                <w:szCs w:val="24"/>
                <w:highlight w:val="none"/>
                <w:u w:val="none"/>
                <w:lang w:eastAsia="zh-CN"/>
              </w:rPr>
              <w:t>GB3838-2002</w:t>
            </w:r>
            <w:r>
              <w:rPr>
                <w:rFonts w:hint="eastAsia" w:ascii="Times New Roman" w:hAnsi="Times New Roman" w:eastAsia="宋体" w:cs="Times New Roman"/>
                <w:color w:val="auto"/>
                <w:spacing w:val="0"/>
                <w:sz w:val="24"/>
                <w:szCs w:val="24"/>
                <w:highlight w:val="none"/>
                <w:u w:val="none"/>
                <w:lang w:eastAsia="zh-CN"/>
              </w:rPr>
              <w:t>）中Ⅳ类水质标准</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3010BDB1">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本项目运营期冷却水循环使用不外排；喷粉前清洗水经过自建废水处理设施处理后回用于清洗工序，不外排；生活污水经化粪池预处理后，排入市政污水管网纳入福清市融元污水处理厂</w:t>
            </w:r>
            <w:r>
              <w:rPr>
                <w:rFonts w:hint="eastAsia" w:ascii="Times New Roman" w:hAnsi="Times New Roman" w:eastAsia="宋体" w:cs="Times New Roman"/>
                <w:color w:val="auto"/>
                <w:spacing w:val="0"/>
                <w:sz w:val="24"/>
                <w:szCs w:val="24"/>
                <w:highlight w:val="none"/>
                <w:u w:val="none"/>
                <w:lang w:eastAsia="zh-CN"/>
              </w:rPr>
              <w:t>进行集中</w:t>
            </w:r>
            <w:r>
              <w:rPr>
                <w:rFonts w:hint="default" w:ascii="Times New Roman" w:hAnsi="Times New Roman" w:eastAsia="宋体" w:cs="Times New Roman"/>
                <w:color w:val="auto"/>
                <w:spacing w:val="0"/>
                <w:sz w:val="24"/>
                <w:szCs w:val="24"/>
                <w:highlight w:val="none"/>
                <w:u w:val="none"/>
                <w:lang w:eastAsia="zh-CN"/>
              </w:rPr>
              <w:t>处理</w:t>
            </w:r>
            <w:r>
              <w:rPr>
                <w:rFonts w:hint="eastAsia" w:ascii="Times New Roman" w:hAnsi="Times New Roman" w:eastAsia="宋体" w:cs="Times New Roman"/>
                <w:color w:val="auto"/>
                <w:spacing w:val="0"/>
                <w:sz w:val="24"/>
                <w:szCs w:val="24"/>
                <w:highlight w:val="none"/>
                <w:u w:val="none"/>
                <w:lang w:eastAsia="zh-CN"/>
              </w:rPr>
              <w:t>。产生的废水均不直接进入水体，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6711E3D9">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3</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资源利用上线：项目用电为区域集中供应，项目的水、气等资源利用不会突破区域的资源利用上线。本项目使用电能作为主要消耗能源，电能属于清洁能源。</w:t>
            </w:r>
            <w:r>
              <w:rPr>
                <w:rFonts w:hint="eastAsia"/>
                <w:color w:val="000000"/>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000000"/>
                <w:szCs w:val="21"/>
                <w:lang w:eastAsia="zh-CN"/>
              </w:rPr>
              <w:t>上限</w:t>
            </w:r>
          </w:p>
          <w:p w14:paraId="0BC2C29F">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rPr>
            </w:pPr>
            <w:r>
              <w:rPr>
                <w:rFonts w:hint="eastAsia" w:ascii="Times New Roman" w:hAnsi="Times New Roman" w:cs="Times New Roman"/>
                <w:color w:val="auto"/>
                <w:spacing w:val="0"/>
                <w:w w:val="100"/>
                <w:position w:val="0"/>
                <w:sz w:val="24"/>
                <w:szCs w:val="24"/>
                <w:u w:val="none"/>
                <w:lang w:eastAsia="zh-CN"/>
              </w:rPr>
              <w:t>（</w:t>
            </w:r>
            <w:r>
              <w:rPr>
                <w:rFonts w:hint="eastAsia" w:ascii="Times New Roman" w:hAnsi="Times New Roman" w:cs="Times New Roman"/>
                <w:color w:val="auto"/>
                <w:spacing w:val="0"/>
                <w:w w:val="100"/>
                <w:position w:val="0"/>
                <w:sz w:val="24"/>
                <w:szCs w:val="24"/>
                <w:u w:val="none"/>
                <w:lang w:val="en-US" w:eastAsia="zh-CN"/>
              </w:rPr>
              <w:t>4</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环境准入负面清单</w:t>
            </w:r>
          </w:p>
          <w:p w14:paraId="446B924E">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u w:val="none"/>
                <w:lang w:eastAsia="zh-CN"/>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；项目无行业准入条件；不属于《福建省人民政府关于加强重点流域水环境</w:t>
            </w:r>
            <w:r>
              <w:rPr>
                <w:rFonts w:hint="default" w:ascii="Times New Roman" w:hAnsi="Times New Roman" w:eastAsia="宋体" w:cs="Times New Roman"/>
                <w:color w:val="auto"/>
                <w:spacing w:val="0"/>
                <w:w w:val="100"/>
                <w:position w:val="0"/>
                <w:sz w:val="24"/>
                <w:szCs w:val="24"/>
                <w:u w:val="none"/>
                <w:lang w:eastAsia="zh-CN"/>
              </w:rPr>
              <w:t>综合</w:t>
            </w:r>
            <w:r>
              <w:rPr>
                <w:rFonts w:hint="default" w:ascii="Times New Roman" w:hAnsi="Times New Roman" w:eastAsia="宋体" w:cs="Times New Roman"/>
                <w:color w:val="auto"/>
                <w:spacing w:val="0"/>
                <w:w w:val="100"/>
                <w:position w:val="0"/>
                <w:sz w:val="24"/>
                <w:szCs w:val="24"/>
                <w:u w:val="none"/>
              </w:rPr>
              <w:t>整治的意见》中禁止的产业；满足《福建省工业建设项目投资强度控制指标》相关要求；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项目符合国家产业政策，符合《福建省人民政府关于实施</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三线一单</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生态环境分区管控的通知</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闽政〔2020〕12号</w:t>
            </w:r>
            <w:r>
              <w:rPr>
                <w:rFonts w:hint="eastAsia" w:ascii="Times New Roman" w:hAnsi="Times New Roman" w:cs="Times New Roman"/>
                <w:color w:val="auto"/>
                <w:sz w:val="24"/>
                <w:szCs w:val="24"/>
                <w:u w:val="none"/>
                <w:lang w:eastAsia="zh-CN"/>
              </w:rPr>
              <w:t>）</w:t>
            </w:r>
            <w:r>
              <w:rPr>
                <w:rFonts w:hint="default" w:ascii="Times New Roman" w:hAnsi="Times New Roman" w:eastAsia="宋体" w:cs="Times New Roman"/>
                <w:color w:val="auto"/>
                <w:sz w:val="24"/>
                <w:szCs w:val="24"/>
                <w:u w:val="none"/>
                <w:lang w:eastAsia="zh-CN"/>
              </w:rPr>
              <w:t>》全省生态环境总体准入要求及</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GB" w:eastAsia="zh-CN"/>
              </w:rPr>
              <w:t>福州市人民政府关于实施“</w:t>
            </w:r>
            <w:r>
              <w:rPr>
                <w:rFonts w:hint="default" w:ascii="Times New Roman" w:hAnsi="Times New Roman" w:eastAsia="宋体" w:cs="Times New Roman"/>
                <w:color w:val="auto"/>
                <w:spacing w:val="0"/>
                <w:w w:val="100"/>
                <w:position w:val="0"/>
                <w:sz w:val="24"/>
                <w:szCs w:val="24"/>
                <w:u w:val="none"/>
                <w:lang w:val="en-GB" w:eastAsia="zh-CN"/>
              </w:rPr>
              <w:t>三线一单”生态分区管控的通知</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榕政综〔2021〕178号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福州市生态环境局关于发布福州市2024年生产环境分区管控动态更新成果的通知</w:t>
            </w:r>
            <w:r>
              <w:rPr>
                <w:rFonts w:hint="default" w:ascii="Times New Roman" w:hAnsi="Times New Roman" w:eastAsia="宋体" w:cs="Times New Roman"/>
                <w:color w:val="auto"/>
                <w:spacing w:val="0"/>
                <w:w w:val="100"/>
                <w:position w:val="0"/>
                <w:sz w:val="24"/>
                <w:szCs w:val="24"/>
                <w:u w:val="none"/>
                <w:lang w:val="en-US" w:eastAsia="zh-CN"/>
              </w:rPr>
              <w:t>》</w:t>
            </w:r>
            <w:r>
              <w:rPr>
                <w:rFonts w:hint="eastAsia" w:ascii="Times New Roman" w:hAnsi="Times New Roman" w:cs="Times New Roman"/>
                <w:color w:val="auto"/>
                <w:spacing w:val="0"/>
                <w:w w:val="100"/>
                <w:position w:val="0"/>
                <w:sz w:val="24"/>
                <w:szCs w:val="24"/>
                <w:u w:val="none"/>
                <w:lang w:val="en-US" w:eastAsia="zh-CN"/>
              </w:rPr>
              <w:t>（榕环保综</w:t>
            </w:r>
            <w:r>
              <w:rPr>
                <w:rFonts w:hint="default" w:ascii="Times New Roman" w:hAnsi="Times New Roman" w:eastAsia="宋体" w:cs="Times New Roman"/>
                <w:color w:val="auto"/>
                <w:spacing w:val="0"/>
                <w:w w:val="100"/>
                <w:position w:val="0"/>
                <w:sz w:val="24"/>
                <w:szCs w:val="24"/>
                <w:u w:val="none"/>
              </w:rPr>
              <w:t>〔202</w:t>
            </w:r>
            <w:r>
              <w:rPr>
                <w:rFonts w:hint="eastAsia" w:ascii="Times New Roman" w:hAnsi="Times New Roman" w:cs="Times New Roman"/>
                <w:color w:val="auto"/>
                <w:spacing w:val="0"/>
                <w:w w:val="100"/>
                <w:position w:val="0"/>
                <w:sz w:val="24"/>
                <w:szCs w:val="24"/>
                <w:u w:val="none"/>
                <w:lang w:val="en-US" w:eastAsia="zh-CN"/>
              </w:rPr>
              <w:t>5</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val="en-US" w:eastAsia="zh-CN"/>
              </w:rPr>
              <w:t>1号）</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2020年版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eastAsia="zh-CN"/>
              </w:rPr>
              <w:t>中禁止准入类的项目。</w:t>
            </w:r>
          </w:p>
          <w:p w14:paraId="7D0D9B12">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5" w:name="_Toc24656"/>
            <w:r>
              <w:rPr>
                <w:rFonts w:hint="eastAsia" w:ascii="Times New Roman" w:cs="Times New Roman"/>
                <w:b/>
                <w:color w:val="auto"/>
                <w:sz w:val="24"/>
                <w:szCs w:val="24"/>
                <w:highlight w:val="none"/>
                <w:u w:val="none"/>
                <w:lang w:val="en-US" w:eastAsia="zh-CN"/>
              </w:rPr>
              <w:t>4.</w:t>
            </w:r>
            <w:bookmarkEnd w:id="15"/>
            <w:r>
              <w:rPr>
                <w:rFonts w:hint="default" w:ascii="Times New Roman" w:hAnsi="Times New Roman" w:eastAsia="宋体" w:cs="Times New Roman"/>
                <w:b/>
                <w:color w:val="auto"/>
                <w:sz w:val="24"/>
                <w:szCs w:val="24"/>
                <w:highlight w:val="none"/>
                <w:u w:val="none"/>
                <w:lang w:val="en-US" w:eastAsia="zh-CN"/>
              </w:rPr>
              <w:t>与省、市生态环境分区</w:t>
            </w:r>
            <w:r>
              <w:rPr>
                <w:rFonts w:hint="eastAsia" w:ascii="Times New Roman" w:cs="Times New Roman"/>
                <w:b/>
                <w:color w:val="auto"/>
                <w:sz w:val="24"/>
                <w:szCs w:val="24"/>
                <w:highlight w:val="none"/>
                <w:u w:val="none"/>
                <w:lang w:val="en-US" w:eastAsia="zh-CN"/>
              </w:rPr>
              <w:t>管控</w:t>
            </w:r>
            <w:r>
              <w:rPr>
                <w:rFonts w:hint="default" w:ascii="Times New Roman" w:hAnsi="Times New Roman" w:eastAsia="宋体" w:cs="Times New Roman"/>
                <w:b/>
                <w:color w:val="auto"/>
                <w:sz w:val="24"/>
                <w:szCs w:val="24"/>
                <w:highlight w:val="none"/>
                <w:u w:val="none"/>
                <w:lang w:val="en-US" w:eastAsia="zh-CN"/>
              </w:rPr>
              <w:t>要求的符合性分析</w:t>
            </w:r>
          </w:p>
          <w:p w14:paraId="6ACDE8FD">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sz w:val="24"/>
                <w:szCs w:val="24"/>
                <w:lang w:val="en-US" w:eastAsia="zh-CN"/>
              </w:rPr>
              <w:t>根据《福建省人民政府关于实施“三线一单”生态环境分区管控的通知》（闽政〔2020〕12号）《中共福建省委办公厅 福建省人民政府办公厅关于加强生态环境分区管控的实施意见》（2024年11月10日）和《福州市生态环境局关于发布福州市2024年生态环境分区管控动态更新成果的通知》（榕环保综〔2025〕1号）以及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w:t>
            </w:r>
            <w:r>
              <w:rPr>
                <w:rFonts w:hint="default" w:ascii="Times New Roman" w:hAnsi="Times New Roman"/>
                <w:sz w:val="24"/>
                <w:szCs w:val="24"/>
                <w:lang w:val="en-US" w:eastAsia="zh-CN"/>
              </w:rPr>
              <w:t>号：FQGK1762155433064。</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ascii="Times New Roman" w:hAnsi="Times New Roman" w:cs="Times New Roman"/>
                <w:color w:val="auto"/>
                <w:sz w:val="24"/>
                <w:szCs w:val="24"/>
                <w:highlight w:val="none"/>
                <w:u w:val="none"/>
                <w:lang w:val="en-US" w:eastAsia="zh-CN"/>
              </w:rPr>
              <w:t>福清融侨经济技术开发区（购置均和云谷·福清科技港39#厂房）</w:t>
            </w:r>
            <w:r>
              <w:rPr>
                <w:rFonts w:hint="default" w:ascii="Times New Roman" w:hAnsi="Times New Roman" w:eastAsia="宋体" w:cs="Times New Roman"/>
                <w:color w:val="auto"/>
                <w:sz w:val="24"/>
                <w:szCs w:val="24"/>
                <w:highlight w:val="none"/>
                <w:lang w:val="en-US" w:eastAsia="zh-CN"/>
              </w:rPr>
              <w:t>，在</w:t>
            </w:r>
            <w:r>
              <w:rPr>
                <w:rFonts w:hint="eastAsia" w:ascii="Times New Roman" w:hAnsi="Times New Roman" w:cs="Times New Roman"/>
                <w:color w:val="auto"/>
                <w:sz w:val="24"/>
                <w:szCs w:val="24"/>
                <w:highlight w:val="none"/>
                <w:lang w:val="en-US" w:eastAsia="zh-CN"/>
              </w:rPr>
              <w:t>福清融侨经济开发区（工业园区）内且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其他电子元件制造</w:t>
            </w:r>
            <w:r>
              <w:rPr>
                <w:rFonts w:hint="default" w:ascii="Times New Roman" w:hAnsi="Times New Roman" w:eastAsia="宋体"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sz w:val="24"/>
                <w:szCs w:val="24"/>
              </w:rPr>
              <w:t>与重点管控单元（环境管控单元编码</w:t>
            </w:r>
            <w:r>
              <w:rPr>
                <w:rFonts w:hint="eastAsia" w:ascii="Times New Roman" w:hAnsi="Times New Roman"/>
                <w:sz w:val="24"/>
                <w:szCs w:val="24"/>
                <w:lang w:val="en-US" w:eastAsia="zh-CN"/>
              </w:rPr>
              <w:t>：ZH35018120008</w:t>
            </w:r>
            <w:r>
              <w:rPr>
                <w:rFonts w:hint="default" w:ascii="Times New Roman" w:hAnsi="Times New Roman"/>
                <w:sz w:val="24"/>
                <w:szCs w:val="24"/>
                <w:lang w:val="en-US" w:eastAsia="zh-CN"/>
              </w:rPr>
              <w:t>）</w:t>
            </w:r>
            <w:r>
              <w:rPr>
                <w:rFonts w:hint="default" w:ascii="Times New Roman" w:hAnsi="Times New Roman" w:eastAsia="宋体" w:cs="Times New Roman"/>
                <w:sz w:val="24"/>
                <w:szCs w:val="24"/>
                <w:highlight w:val="none"/>
              </w:rPr>
              <w:t>准入要求符合性分析见表1</w:t>
            </w:r>
            <w:r>
              <w:rPr>
                <w:rFonts w:hint="default" w:ascii="Times New Roman" w:hAnsi="Times New Roman" w:eastAsia="宋体" w:cs="Times New Roman"/>
                <w:sz w:val="24"/>
                <w:szCs w:val="24"/>
                <w:highlight w:val="none"/>
                <w:lang w:val="en-US" w:eastAsia="zh-CN"/>
              </w:rPr>
              <w:t>.1-</w:t>
            </w:r>
            <w:r>
              <w:rPr>
                <w:rFonts w:hint="default" w:ascii="Times New Roman" w:hAnsi="Times New Roman" w:eastAsia="宋体" w:cs="Times New Roman"/>
                <w:sz w:val="24"/>
                <w:szCs w:val="24"/>
                <w:highlight w:val="none"/>
              </w:rPr>
              <w:t>4。福建省生态环境分区管控数据应用平台查询结果截图详见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sz w:val="24"/>
                <w:szCs w:val="24"/>
                <w:highlight w:val="none"/>
              </w:rPr>
              <w:t>，福建省生态环境分区管控综</w:t>
            </w:r>
            <w:r>
              <w:rPr>
                <w:rFonts w:hint="default" w:ascii="Times New Roman" w:hAnsi="Times New Roman" w:eastAsia="宋体" w:cs="Times New Roman"/>
                <w:b w:val="0"/>
                <w:bCs w:val="0"/>
                <w:sz w:val="24"/>
                <w:szCs w:val="24"/>
                <w:highlight w:val="none"/>
              </w:rPr>
              <w:t>合查询报告详见</w:t>
            </w:r>
            <w:r>
              <w:rPr>
                <w:rFonts w:hint="default" w:ascii="Times New Roman" w:hAnsi="Times New Roman" w:eastAsia="宋体" w:cs="Times New Roman"/>
                <w:b/>
                <w:bCs/>
                <w:sz w:val="24"/>
                <w:szCs w:val="24"/>
                <w:highlight w:val="none"/>
              </w:rPr>
              <w:t>附图</w:t>
            </w:r>
            <w:r>
              <w:rPr>
                <w:rFonts w:hint="eastAsia" w:ascii="Times New Roman" w:hAnsi="Times New Roman" w:cs="Times New Roman"/>
                <w:b/>
                <w:bCs/>
                <w:sz w:val="24"/>
                <w:szCs w:val="24"/>
                <w:highlight w:val="none"/>
                <w:lang w:val="en-US" w:eastAsia="zh-CN"/>
              </w:rPr>
              <w:t>七</w:t>
            </w:r>
            <w:r>
              <w:rPr>
                <w:rFonts w:hint="default" w:ascii="Times New Roman" w:hAnsi="Times New Roman" w:eastAsia="宋体" w:cs="Times New Roman"/>
                <w:color w:val="auto"/>
                <w:spacing w:val="0"/>
                <w:w w:val="100"/>
                <w:position w:val="0"/>
                <w:sz w:val="24"/>
                <w:szCs w:val="24"/>
                <w:u w:val="none"/>
              </w:rPr>
              <w:t>。</w:t>
            </w:r>
          </w:p>
        </w:tc>
      </w:tr>
    </w:tbl>
    <w:p w14:paraId="7CFDD7CA">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706575BF">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8" w:charSpace="0"/>
        </w:sectPr>
      </w:pPr>
    </w:p>
    <w:tbl>
      <w:tblPr>
        <w:tblStyle w:val="23"/>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839"/>
      </w:tblGrid>
      <w:tr w14:paraId="7B4E2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3" w:hRule="atLeast"/>
          <w:jc w:val="center"/>
        </w:trPr>
        <w:tc>
          <w:tcPr>
            <w:tcW w:w="272" w:type="pct"/>
            <w:noWrap w:val="0"/>
            <w:vAlign w:val="center"/>
          </w:tcPr>
          <w:p w14:paraId="388D30E6">
            <w:pPr>
              <w:rPr>
                <w:rFonts w:hint="default"/>
              </w:rPr>
            </w:pPr>
          </w:p>
        </w:tc>
        <w:tc>
          <w:tcPr>
            <w:tcW w:w="4727" w:type="pct"/>
            <w:noWrap w:val="0"/>
            <w:vAlign w:val="center"/>
          </w:tcPr>
          <w:p w14:paraId="6F8EFC0A">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 xml:space="preserve"> 与</w:t>
            </w:r>
            <w:r>
              <w:rPr>
                <w:rFonts w:hint="eastAsia" w:cs="Times New Roman"/>
                <w:b/>
                <w:bCs/>
                <w:color w:val="auto"/>
                <w:kern w:val="0"/>
                <w:sz w:val="24"/>
                <w:szCs w:val="24"/>
                <w:u w:val="none"/>
                <w:lang w:val="en-US" w:eastAsia="zh-CN"/>
              </w:rPr>
              <w:t>全省生态环境总体准入要求的符合性分析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624"/>
              <w:gridCol w:w="6970"/>
              <w:gridCol w:w="2941"/>
              <w:gridCol w:w="884"/>
            </w:tblGrid>
            <w:tr w14:paraId="33196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75" w:type="pct"/>
                  <w:tcBorders>
                    <w:tl2br w:val="nil"/>
                    <w:tr2bl w:val="nil"/>
                  </w:tcBorders>
                  <w:noWrap w:val="0"/>
                  <w:vAlign w:val="center"/>
                </w:tcPr>
                <w:p w14:paraId="3ED9D4F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3008" w:type="pct"/>
                  <w:gridSpan w:val="2"/>
                  <w:tcBorders>
                    <w:tl2br w:val="nil"/>
                    <w:tr2bl w:val="nil"/>
                  </w:tcBorders>
                  <w:noWrap w:val="0"/>
                  <w:vAlign w:val="center"/>
                </w:tcPr>
                <w:p w14:paraId="5C2A032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165" w:type="pct"/>
                  <w:tcBorders>
                    <w:tl2br w:val="nil"/>
                    <w:tr2bl w:val="nil"/>
                  </w:tcBorders>
                  <w:noWrap w:val="0"/>
                  <w:vAlign w:val="center"/>
                </w:tcPr>
                <w:p w14:paraId="18E18D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50" w:type="pct"/>
                  <w:tcBorders>
                    <w:tl2br w:val="nil"/>
                    <w:tr2bl w:val="nil"/>
                  </w:tcBorders>
                  <w:noWrap w:val="0"/>
                  <w:vAlign w:val="center"/>
                </w:tcPr>
                <w:p w14:paraId="690D250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70AAA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475" w:type="pct"/>
                  <w:vMerge w:val="restart"/>
                  <w:tcBorders>
                    <w:tl2br w:val="nil"/>
                    <w:tr2bl w:val="nil"/>
                  </w:tcBorders>
                  <w:noWrap w:val="0"/>
                  <w:vAlign w:val="center"/>
                </w:tcPr>
                <w:p w14:paraId="7EB4F41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7" w:type="pct"/>
                  <w:vMerge w:val="restart"/>
                  <w:tcBorders>
                    <w:tl2br w:val="nil"/>
                    <w:tr2bl w:val="nil"/>
                  </w:tcBorders>
                  <w:noWrap w:val="0"/>
                  <w:vAlign w:val="center"/>
                </w:tcPr>
                <w:p w14:paraId="5F68B17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61" w:type="pct"/>
                  <w:tcBorders>
                    <w:tl2br w:val="nil"/>
                    <w:tr2bl w:val="nil"/>
                  </w:tcBorders>
                  <w:noWrap w:val="0"/>
                  <w:vAlign w:val="center"/>
                </w:tcPr>
                <w:p w14:paraId="3BA0E3B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1.石化、汽车、船舶、冶金、水泥、制浆造纸、印染等重点产业，要符合全省规划布局要求。</w:t>
                  </w:r>
                </w:p>
              </w:tc>
              <w:tc>
                <w:tcPr>
                  <w:tcW w:w="1165" w:type="pct"/>
                  <w:vMerge w:val="restart"/>
                  <w:tcBorders>
                    <w:tl2br w:val="nil"/>
                    <w:tr2bl w:val="nil"/>
                  </w:tcBorders>
                  <w:noWrap w:val="0"/>
                  <w:vAlign w:val="center"/>
                </w:tcPr>
                <w:p w14:paraId="7F59139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主要从事</w:t>
                  </w:r>
                  <w:r>
                    <w:rPr>
                      <w:rFonts w:hint="eastAsia" w:cs="Times New Roman"/>
                      <w:color w:val="auto"/>
                      <w:sz w:val="21"/>
                      <w:szCs w:val="21"/>
                      <w:u w:val="none"/>
                      <w:lang w:val="en-US" w:eastAsia="zh-CN"/>
                    </w:rPr>
                    <w:t>工业连接器和工业线缆</w:t>
                  </w:r>
                  <w:r>
                    <w:rPr>
                      <w:rFonts w:hint="default" w:ascii="Times New Roman" w:hAnsi="Times New Roman" w:eastAsia="宋体" w:cs="Times New Roman"/>
                      <w:color w:val="auto"/>
                      <w:sz w:val="21"/>
                      <w:szCs w:val="21"/>
                      <w:u w:val="none"/>
                      <w:lang w:val="en-US" w:eastAsia="zh-CN"/>
                    </w:rPr>
                    <w:t>加工</w:t>
                  </w:r>
                  <w:r>
                    <w:rPr>
                      <w:rFonts w:hint="default" w:ascii="Times New Roman" w:hAnsi="Times New Roman" w:eastAsia="宋体" w:cs="Times New Roman"/>
                      <w:color w:val="auto"/>
                      <w:sz w:val="21"/>
                      <w:szCs w:val="21"/>
                      <w:u w:val="none"/>
                    </w:rPr>
                    <w:t>，不在空间布局约束范围中</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项目周边水环境质量达标。生活污水经化粪池处理后接入市政管网汇入</w:t>
                  </w:r>
                  <w:r>
                    <w:rPr>
                      <w:rFonts w:hint="default" w:ascii="Times New Roman" w:hAnsi="Times New Roman" w:eastAsia="宋体" w:cs="Times New Roman"/>
                      <w:color w:val="auto"/>
                      <w:sz w:val="21"/>
                      <w:szCs w:val="21"/>
                      <w:u w:val="none"/>
                      <w:lang w:val="en-US" w:eastAsia="zh-CN"/>
                    </w:rPr>
                    <w:t>污水处理</w:t>
                  </w:r>
                  <w:r>
                    <w:rPr>
                      <w:rFonts w:hint="default" w:ascii="Times New Roman" w:hAnsi="Times New Roman" w:eastAsia="宋体" w:cs="Times New Roman"/>
                      <w:color w:val="auto"/>
                      <w:sz w:val="21"/>
                      <w:szCs w:val="21"/>
                      <w:u w:val="none"/>
                      <w:lang w:eastAsia="zh-CN"/>
                    </w:rPr>
                    <w:t>厂</w:t>
                  </w:r>
                  <w:r>
                    <w:rPr>
                      <w:rFonts w:hint="eastAsia" w:cs="Times New Roman"/>
                      <w:color w:val="auto"/>
                      <w:sz w:val="21"/>
                      <w:szCs w:val="21"/>
                      <w:u w:val="none"/>
                      <w:lang w:eastAsia="zh-CN"/>
                    </w:rPr>
                    <w:t>。</w:t>
                  </w:r>
                  <w:r>
                    <w:rPr>
                      <w:rFonts w:hint="eastAsia" w:cs="Times New Roman"/>
                      <w:color w:val="auto"/>
                      <w:sz w:val="21"/>
                      <w:szCs w:val="21"/>
                      <w:u w:val="none"/>
                      <w:lang w:val="en-US" w:eastAsia="zh-CN"/>
                    </w:rPr>
                    <w:t>与空间布局约束不冲突。</w:t>
                  </w:r>
                </w:p>
              </w:tc>
              <w:tc>
                <w:tcPr>
                  <w:tcW w:w="350" w:type="pct"/>
                  <w:vMerge w:val="restart"/>
                  <w:tcBorders>
                    <w:tl2br w:val="nil"/>
                    <w:tr2bl w:val="nil"/>
                  </w:tcBorders>
                  <w:noWrap w:val="0"/>
                  <w:vAlign w:val="center"/>
                </w:tcPr>
                <w:p w14:paraId="0F6C998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25533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75" w:type="pct"/>
                  <w:vMerge w:val="continue"/>
                  <w:tcBorders>
                    <w:tl2br w:val="nil"/>
                    <w:tr2bl w:val="nil"/>
                  </w:tcBorders>
                  <w:noWrap w:val="0"/>
                  <w:vAlign w:val="center"/>
                </w:tcPr>
                <w:p w14:paraId="3D794CF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3841D48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4048EF2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2.严控钢铁、水泥、平板玻璃等产能过剩行业新增产能，新增产能应实施产能等量或减量置换。</w:t>
                  </w:r>
                </w:p>
              </w:tc>
              <w:tc>
                <w:tcPr>
                  <w:tcW w:w="1165" w:type="pct"/>
                  <w:vMerge w:val="continue"/>
                  <w:tcBorders>
                    <w:tl2br w:val="nil"/>
                    <w:tr2bl w:val="nil"/>
                  </w:tcBorders>
                  <w:noWrap w:val="0"/>
                  <w:vAlign w:val="center"/>
                </w:tcPr>
                <w:p w14:paraId="6121EE7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33EAFBC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3B8A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6E57D99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4130BC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9A740A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3.除列入国家规划的大型煤电和符合相关要求的等容量替代项目，以及以供热为主的热电联产项目外，原则上不再建设新的煤电项目。</w:t>
                  </w:r>
                </w:p>
              </w:tc>
              <w:tc>
                <w:tcPr>
                  <w:tcW w:w="1165" w:type="pct"/>
                  <w:vMerge w:val="continue"/>
                  <w:tcBorders>
                    <w:tl2br w:val="nil"/>
                    <w:tr2bl w:val="nil"/>
                  </w:tcBorders>
                  <w:noWrap w:val="0"/>
                  <w:vAlign w:val="center"/>
                </w:tcPr>
                <w:p w14:paraId="7F837A3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AABD39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B6B78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75" w:type="pct"/>
                  <w:vMerge w:val="continue"/>
                  <w:tcBorders>
                    <w:tl2br w:val="nil"/>
                    <w:tr2bl w:val="nil"/>
                  </w:tcBorders>
                  <w:noWrap w:val="0"/>
                  <w:vAlign w:val="center"/>
                </w:tcPr>
                <w:p w14:paraId="237086B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212C42F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28148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165" w:type="pct"/>
                  <w:vMerge w:val="continue"/>
                  <w:tcBorders>
                    <w:tl2br w:val="nil"/>
                    <w:tr2bl w:val="nil"/>
                  </w:tcBorders>
                  <w:noWrap w:val="0"/>
                  <w:vAlign w:val="center"/>
                </w:tcPr>
                <w:p w14:paraId="2C63CDB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55E899D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8A0A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75" w:type="pct"/>
                  <w:vMerge w:val="continue"/>
                  <w:tcBorders>
                    <w:tl2br w:val="nil"/>
                    <w:tr2bl w:val="nil"/>
                  </w:tcBorders>
                  <w:noWrap w:val="0"/>
                  <w:vAlign w:val="center"/>
                </w:tcPr>
                <w:p w14:paraId="4D11A74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011A2A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B8E2A5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5.禁止在水环境质量不能稳定达标的区域内，建设新增相应不达标污染物指标排放量的工业项目。</w:t>
                  </w:r>
                </w:p>
              </w:tc>
              <w:tc>
                <w:tcPr>
                  <w:tcW w:w="1165" w:type="pct"/>
                  <w:vMerge w:val="continue"/>
                  <w:tcBorders>
                    <w:tl2br w:val="nil"/>
                    <w:tr2bl w:val="nil"/>
                  </w:tcBorders>
                  <w:noWrap w:val="0"/>
                  <w:vAlign w:val="center"/>
                </w:tcPr>
                <w:p w14:paraId="613E1DD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50" w:type="pct"/>
                  <w:vMerge w:val="continue"/>
                  <w:tcBorders>
                    <w:tl2br w:val="nil"/>
                    <w:tr2bl w:val="nil"/>
                  </w:tcBorders>
                  <w:noWrap w:val="0"/>
                  <w:vAlign w:val="center"/>
                </w:tcPr>
                <w:p w14:paraId="0260A69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140B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75" w:type="pct"/>
                  <w:vMerge w:val="continue"/>
                  <w:tcBorders>
                    <w:tl2br w:val="nil"/>
                    <w:tr2bl w:val="nil"/>
                  </w:tcBorders>
                  <w:noWrap w:val="0"/>
                  <w:vAlign w:val="center"/>
                </w:tcPr>
                <w:p w14:paraId="0F073E1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45D5CB6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13D90BE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6.禁止在通风廊道和主导风向的上风向布局大气重污染企业，推进建成区大气重污染企业搬迁或升级改造、环境风险企业搬迁或关闭退出。</w:t>
                  </w:r>
                </w:p>
              </w:tc>
              <w:tc>
                <w:tcPr>
                  <w:tcW w:w="1165" w:type="pct"/>
                  <w:vMerge w:val="continue"/>
                  <w:tcBorders>
                    <w:tl2br w:val="nil"/>
                    <w:tr2bl w:val="nil"/>
                  </w:tcBorders>
                  <w:noWrap w:val="0"/>
                  <w:vAlign w:val="center"/>
                </w:tcPr>
                <w:p w14:paraId="583195B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78A148C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758A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475" w:type="pct"/>
                  <w:vMerge w:val="continue"/>
                  <w:tcBorders>
                    <w:tl2br w:val="nil"/>
                    <w:tr2bl w:val="nil"/>
                  </w:tcBorders>
                  <w:noWrap w:val="0"/>
                  <w:vAlign w:val="center"/>
                </w:tcPr>
                <w:p w14:paraId="6BE260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E665E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0D1599B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65" w:type="pct"/>
                  <w:vMerge w:val="continue"/>
                  <w:tcBorders>
                    <w:tl2br w:val="nil"/>
                    <w:tr2bl w:val="nil"/>
                  </w:tcBorders>
                  <w:noWrap w:val="0"/>
                  <w:vAlign w:val="center"/>
                </w:tcPr>
                <w:p w14:paraId="5A47BE73">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50" w:type="pct"/>
                  <w:vMerge w:val="continue"/>
                  <w:tcBorders>
                    <w:tl2br w:val="nil"/>
                    <w:tr2bl w:val="nil"/>
                  </w:tcBorders>
                  <w:noWrap w:val="0"/>
                  <w:vAlign w:val="center"/>
                </w:tcPr>
                <w:p w14:paraId="18501DC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0695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75" w:type="pct"/>
                  <w:vMerge w:val="continue"/>
                  <w:tcBorders>
                    <w:tl2br w:val="nil"/>
                    <w:tr2bl w:val="nil"/>
                  </w:tcBorders>
                  <w:noWrap w:val="0"/>
                  <w:vAlign w:val="center"/>
                </w:tcPr>
                <w:p w14:paraId="3342F06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3752E2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61" w:type="pct"/>
                  <w:tcBorders>
                    <w:tl2br w:val="nil"/>
                    <w:tr2bl w:val="nil"/>
                  </w:tcBorders>
                  <w:noWrap w:val="0"/>
                  <w:vAlign w:val="center"/>
                </w:tcPr>
                <w:p w14:paraId="2D444A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vertAlign w:val="baseline"/>
                      <w:lang w:val="en-US" w:eastAsia="zh-CN"/>
                    </w:rPr>
                    <w:t>1.建设项目新增的主要污染物（含VOCs）排放量应按要求实行等量或倍量替代。重点行业建设项目新增的主要污染物排放量应同时</w:t>
                  </w:r>
                  <w:r>
                    <w:rPr>
                      <w:rFonts w:hint="eastAsia"/>
                      <w:vertAlign w:val="baseline"/>
                      <w:lang w:val="en-US" w:eastAsia="zh-CN"/>
                    </w:rPr>
                    <w:t>满足《关于加强重点行业建设项目区域削减措施监督管理的通知》（环办环评〔2020〕36号）的要求。涉及新增总磷排放的建设项目应符合相关削减替代要求。新、改、扩建重点行业［2］建设项目要符合“闽环保固体〔2022〕17号”文件要求</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涉及</w:t>
                  </w:r>
                  <w:r>
                    <w:rPr>
                      <w:rFonts w:hint="default" w:ascii="Times New Roman" w:hAnsi="Times New Roman" w:eastAsia="宋体" w:cs="Times New Roman"/>
                      <w:color w:val="auto"/>
                      <w:sz w:val="21"/>
                      <w:szCs w:val="21"/>
                      <w:u w:val="none"/>
                    </w:rPr>
                    <w:t>新增VOCs排放项目，VOCs排放实行区域内等量替代，福州、厦门、漳州、泉州、莆田、宁德等6个重点控制区可实施倍量替代。</w:t>
                  </w:r>
                </w:p>
              </w:tc>
              <w:tc>
                <w:tcPr>
                  <w:tcW w:w="1165" w:type="pct"/>
                  <w:tcBorders>
                    <w:tl2br w:val="nil"/>
                    <w:tr2bl w:val="nil"/>
                  </w:tcBorders>
                  <w:noWrap w:val="0"/>
                  <w:vAlign w:val="center"/>
                </w:tcPr>
                <w:p w14:paraId="2BFAA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w:t>
                  </w:r>
                  <w:r>
                    <w:rPr>
                      <w:rFonts w:hint="default" w:ascii="Times New Roman" w:hAnsi="Times New Roman" w:eastAsia="宋体" w:cs="Times New Roman"/>
                      <w:color w:val="auto"/>
                      <w:kern w:val="0"/>
                      <w:sz w:val="21"/>
                      <w:szCs w:val="21"/>
                      <w:u w:val="none"/>
                      <w:vertAlign w:val="baseline"/>
                      <w:lang w:val="en-US" w:eastAsia="zh-CN"/>
                    </w:rPr>
                    <w:t>1.2</w:t>
                  </w:r>
                  <w:r>
                    <w:rPr>
                      <w:rFonts w:hint="default" w:ascii="Times New Roman" w:hAnsi="Times New Roman" w:eastAsia="宋体" w:cs="Times New Roman"/>
                      <w:color w:val="auto"/>
                      <w:kern w:val="0"/>
                      <w:sz w:val="21"/>
                      <w:szCs w:val="21"/>
                      <w:u w:val="none"/>
                      <w:vertAlign w:val="baseline"/>
                    </w:rPr>
                    <w:t>倍量替代</w:t>
                  </w:r>
                </w:p>
              </w:tc>
              <w:tc>
                <w:tcPr>
                  <w:tcW w:w="350" w:type="pct"/>
                  <w:vMerge w:val="restart"/>
                  <w:tcBorders>
                    <w:tl2br w:val="nil"/>
                    <w:tr2bl w:val="nil"/>
                  </w:tcBorders>
                  <w:noWrap w:val="0"/>
                  <w:vAlign w:val="center"/>
                </w:tcPr>
                <w:p w14:paraId="1F6A79C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135C7F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475" w:type="pct"/>
                  <w:vMerge w:val="continue"/>
                  <w:tcBorders>
                    <w:tl2br w:val="nil"/>
                    <w:tr2bl w:val="nil"/>
                  </w:tcBorders>
                  <w:noWrap w:val="0"/>
                  <w:vAlign w:val="center"/>
                </w:tcPr>
                <w:p w14:paraId="266AD45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D8BADA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65A585C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w:t>
                  </w:r>
                  <w:r>
                    <w:rPr>
                      <w:rFonts w:hint="eastAsia"/>
                      <w:vertAlign w:val="superscript"/>
                      <w:lang w:val="en-US" w:eastAsia="zh-CN"/>
                    </w:rPr>
                    <w:t>［2］［4］</w:t>
                  </w:r>
                  <w:r>
                    <w:rPr>
                      <w:rFonts w:hint="eastAsia"/>
                      <w:vertAlign w:val="baseline"/>
                      <w:lang w:val="en-US" w:eastAsia="zh-CN"/>
                    </w:rPr>
                    <w:t>。</w:t>
                  </w:r>
                </w:p>
              </w:tc>
              <w:tc>
                <w:tcPr>
                  <w:tcW w:w="1165" w:type="pct"/>
                  <w:tcBorders>
                    <w:tl2br w:val="nil"/>
                    <w:tr2bl w:val="nil"/>
                  </w:tcBorders>
                  <w:noWrap w:val="0"/>
                  <w:vAlign w:val="center"/>
                </w:tcPr>
                <w:p w14:paraId="1AB4FB3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50" w:type="pct"/>
                  <w:vMerge w:val="continue"/>
                  <w:tcBorders>
                    <w:tl2br w:val="nil"/>
                    <w:tr2bl w:val="nil"/>
                  </w:tcBorders>
                  <w:noWrap w:val="0"/>
                  <w:vAlign w:val="center"/>
                </w:tcPr>
                <w:p w14:paraId="49BC78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2F53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vMerge w:val="continue"/>
                  <w:tcBorders>
                    <w:tl2br w:val="nil"/>
                    <w:tr2bl w:val="nil"/>
                  </w:tcBorders>
                  <w:noWrap w:val="0"/>
                  <w:vAlign w:val="center"/>
                </w:tcPr>
                <w:p w14:paraId="1785F6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7BC14A4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0427B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vertAlign w:val="baseline"/>
                      <w:lang w:val="en-US" w:eastAsia="zh-CN"/>
                    </w:rPr>
                    <w:t>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w:t>
                  </w:r>
                </w:p>
              </w:tc>
              <w:tc>
                <w:tcPr>
                  <w:tcW w:w="1165" w:type="pct"/>
                  <w:tcBorders>
                    <w:tl2br w:val="nil"/>
                    <w:tr2bl w:val="nil"/>
                  </w:tcBorders>
                  <w:noWrap w:val="0"/>
                  <w:vAlign w:val="center"/>
                </w:tcPr>
                <w:p w14:paraId="7902A3F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z w:val="21"/>
                      <w:szCs w:val="21"/>
                      <w:u w:val="none"/>
                      <w:lang w:val="en-US" w:eastAsia="zh-CN"/>
                    </w:rPr>
                    <w:t>本项目运营期冷却水循环使用不外排；喷粉前清洗水经过自建废水处理设施处理后回用于清洗工序，不外排；生活污水经化粪池预处理后，排入市政污水管网纳入福清市融元污水处理厂进行集中</w:t>
                  </w:r>
                  <w:r>
                    <w:rPr>
                      <w:rFonts w:hint="default" w:ascii="Times New Roman" w:hAnsi="Times New Roman" w:eastAsia="宋体" w:cs="Times New Roman"/>
                      <w:color w:val="auto"/>
                      <w:sz w:val="21"/>
                      <w:szCs w:val="21"/>
                      <w:u w:val="none"/>
                      <w:lang w:val="en-US" w:eastAsia="zh-CN"/>
                    </w:rPr>
                    <w:t>处理</w:t>
                  </w:r>
                  <w:r>
                    <w:rPr>
                      <w:rFonts w:hint="eastAsia" w:ascii="Times New Roman" w:hAnsi="Times New Roman" w:eastAsia="宋体" w:cs="Times New Roman"/>
                      <w:color w:val="auto"/>
                      <w:sz w:val="21"/>
                      <w:szCs w:val="21"/>
                      <w:u w:val="none"/>
                      <w:lang w:val="en-US" w:eastAsia="zh-CN"/>
                    </w:rPr>
                    <w:t>。</w:t>
                  </w:r>
                </w:p>
              </w:tc>
              <w:tc>
                <w:tcPr>
                  <w:tcW w:w="350" w:type="pct"/>
                  <w:vMerge w:val="continue"/>
                  <w:tcBorders>
                    <w:tl2br w:val="nil"/>
                    <w:tr2bl w:val="nil"/>
                  </w:tcBorders>
                  <w:noWrap w:val="0"/>
                  <w:vAlign w:val="center"/>
                </w:tcPr>
                <w:p w14:paraId="1E31652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1871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475" w:type="pct"/>
                  <w:vMerge w:val="continue"/>
                  <w:tcBorders>
                    <w:tl2br w:val="nil"/>
                    <w:tr2bl w:val="nil"/>
                  </w:tcBorders>
                  <w:noWrap w:val="0"/>
                  <w:vAlign w:val="center"/>
                </w:tcPr>
                <w:p w14:paraId="452B377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37A7A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5E220F2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4.优化调整货物运输方式，提升铁路货运比例，推进钢铁、电力、电解铝、焦化等重点工业企业和工业园区货物由公路运输转向铁路运输。</w:t>
                  </w:r>
                </w:p>
              </w:tc>
              <w:tc>
                <w:tcPr>
                  <w:tcW w:w="1165" w:type="pct"/>
                  <w:vMerge w:val="restart"/>
                  <w:tcBorders>
                    <w:tl2br w:val="nil"/>
                    <w:tr2bl w:val="nil"/>
                  </w:tcBorders>
                  <w:noWrap w:val="0"/>
                  <w:vAlign w:val="center"/>
                </w:tcPr>
                <w:p w14:paraId="1F9E986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vertAlign w:val="baseline"/>
                      <w:lang w:val="en-US" w:eastAsia="zh-CN"/>
                    </w:rPr>
                    <w:t>钢铁、电力、电解铝、焦化、石化、涂料、纺织印染、橡胶、医药等重点工业企业</w:t>
                  </w:r>
                </w:p>
              </w:tc>
              <w:tc>
                <w:tcPr>
                  <w:tcW w:w="350" w:type="pct"/>
                  <w:vMerge w:val="continue"/>
                  <w:tcBorders>
                    <w:tl2br w:val="nil"/>
                    <w:tr2bl w:val="nil"/>
                  </w:tcBorders>
                  <w:noWrap w:val="0"/>
                  <w:vAlign w:val="center"/>
                </w:tcPr>
                <w:p w14:paraId="76BCC8B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0A202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543866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628E2F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61" w:type="pct"/>
                  <w:tcBorders>
                    <w:tl2br w:val="nil"/>
                    <w:tr2bl w:val="nil"/>
                  </w:tcBorders>
                  <w:noWrap w:val="0"/>
                  <w:vAlign w:val="center"/>
                </w:tcPr>
                <w:p w14:paraId="79AD1EB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5.加强石化、涂料、纺织印染、橡胶、医药等行业新污染物环境风险管控。</w:t>
                  </w:r>
                </w:p>
              </w:tc>
              <w:tc>
                <w:tcPr>
                  <w:tcW w:w="1165" w:type="pct"/>
                  <w:vMerge w:val="continue"/>
                  <w:tcBorders>
                    <w:tl2br w:val="nil"/>
                    <w:tr2bl w:val="nil"/>
                  </w:tcBorders>
                  <w:noWrap w:val="0"/>
                  <w:vAlign w:val="center"/>
                </w:tcPr>
                <w:p w14:paraId="5E84F4D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715DB53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442B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75" w:type="pct"/>
                  <w:vMerge w:val="continue"/>
                  <w:tcBorders>
                    <w:tl2br w:val="nil"/>
                    <w:tr2bl w:val="nil"/>
                  </w:tcBorders>
                  <w:noWrap w:val="0"/>
                  <w:vAlign w:val="center"/>
                </w:tcPr>
                <w:p w14:paraId="3C3EB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restart"/>
                  <w:tcBorders>
                    <w:tl2br w:val="nil"/>
                    <w:tr2bl w:val="nil"/>
                  </w:tcBorders>
                  <w:noWrap w:val="0"/>
                  <w:vAlign w:val="center"/>
                </w:tcPr>
                <w:p w14:paraId="5344AE6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5D955C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B4501A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1.实施能源消耗总量和强度双控。</w:t>
                  </w:r>
                </w:p>
              </w:tc>
              <w:tc>
                <w:tcPr>
                  <w:tcW w:w="1165" w:type="pct"/>
                  <w:vMerge w:val="restart"/>
                  <w:tcBorders>
                    <w:tl2br w:val="nil"/>
                    <w:tr2bl w:val="nil"/>
                  </w:tcBorders>
                  <w:noWrap w:val="0"/>
                  <w:vAlign w:val="center"/>
                </w:tcPr>
                <w:p w14:paraId="36BB9CB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default" w:ascii="Times New Roman" w:hAnsi="Times New Roman" w:cs="Times New Roman"/>
                      <w:color w:val="auto"/>
                      <w:kern w:val="0"/>
                      <w:sz w:val="21"/>
                      <w:szCs w:val="21"/>
                      <w:highlight w:val="none"/>
                      <w:vertAlign w:val="baseline"/>
                      <w:lang w:val="en-US" w:eastAsia="zh-CN"/>
                    </w:rPr>
                    <w:t>，</w:t>
                  </w:r>
                  <w:r>
                    <w:rPr>
                      <w:rFonts w:hint="eastAsia" w:cs="Times New Roman"/>
                      <w:color w:val="auto"/>
                      <w:kern w:val="0"/>
                      <w:sz w:val="21"/>
                      <w:szCs w:val="21"/>
                      <w:highlight w:val="none"/>
                      <w:vertAlign w:val="baseline"/>
                      <w:lang w:val="en-US" w:eastAsia="zh-CN"/>
                    </w:rPr>
                    <w:t>属于清洁能源，</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eastAsia="宋体" w:cs="Times New Roman"/>
                      <w:b w:val="0"/>
                      <w:bCs w:val="0"/>
                      <w:color w:val="auto"/>
                      <w:sz w:val="21"/>
                      <w:szCs w:val="21"/>
                      <w:highlight w:val="none"/>
                      <w:lang w:eastAsia="zh-CN"/>
                    </w:rPr>
                    <w:t>；</w:t>
                  </w:r>
                </w:p>
              </w:tc>
              <w:tc>
                <w:tcPr>
                  <w:tcW w:w="350" w:type="pct"/>
                  <w:vMerge w:val="restart"/>
                  <w:tcBorders>
                    <w:tl2br w:val="nil"/>
                    <w:tr2bl w:val="nil"/>
                  </w:tcBorders>
                  <w:noWrap w:val="0"/>
                  <w:vAlign w:val="center"/>
                </w:tcPr>
                <w:p w14:paraId="4F5605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17C7F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4C4A315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59FAE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091A04B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2.强化产业园区单位土地面积投资强度和效用指标的刚性约束，提高土地利用效率。</w:t>
                  </w:r>
                </w:p>
              </w:tc>
              <w:tc>
                <w:tcPr>
                  <w:tcW w:w="1165" w:type="pct"/>
                  <w:vMerge w:val="continue"/>
                  <w:tcBorders>
                    <w:tl2br w:val="nil"/>
                    <w:tr2bl w:val="nil"/>
                  </w:tcBorders>
                  <w:noWrap w:val="0"/>
                  <w:vAlign w:val="center"/>
                </w:tcPr>
                <w:p w14:paraId="22F42DA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4F3F4B5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40CD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475" w:type="pct"/>
                  <w:vMerge w:val="continue"/>
                  <w:tcBorders>
                    <w:tl2br w:val="nil"/>
                    <w:tr2bl w:val="nil"/>
                  </w:tcBorders>
                  <w:noWrap w:val="0"/>
                  <w:vAlign w:val="center"/>
                </w:tcPr>
                <w:p w14:paraId="3485B49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6BBBA1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347DFC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165" w:type="pct"/>
                  <w:vMerge w:val="continue"/>
                  <w:tcBorders>
                    <w:tl2br w:val="nil"/>
                    <w:tr2bl w:val="nil"/>
                  </w:tcBorders>
                  <w:noWrap w:val="0"/>
                  <w:vAlign w:val="center"/>
                </w:tcPr>
                <w:p w14:paraId="14EE692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3A90DF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B800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544648F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375CC8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7FEAE4B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165" w:type="pct"/>
                  <w:vMerge w:val="continue"/>
                  <w:tcBorders>
                    <w:tl2br w:val="nil"/>
                    <w:tr2bl w:val="nil"/>
                  </w:tcBorders>
                  <w:noWrap w:val="0"/>
                  <w:vAlign w:val="center"/>
                </w:tcPr>
                <w:p w14:paraId="45A9F73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7B390FD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C4F5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75" w:type="pct"/>
                  <w:vMerge w:val="continue"/>
                  <w:tcBorders>
                    <w:tl2br w:val="nil"/>
                    <w:tr2bl w:val="nil"/>
                  </w:tcBorders>
                  <w:noWrap w:val="0"/>
                  <w:vAlign w:val="center"/>
                </w:tcPr>
                <w:p w14:paraId="2F50DBE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7" w:type="pct"/>
                  <w:vMerge w:val="continue"/>
                  <w:tcBorders>
                    <w:tl2br w:val="nil"/>
                    <w:tr2bl w:val="nil"/>
                  </w:tcBorders>
                  <w:noWrap w:val="0"/>
                  <w:vAlign w:val="center"/>
                </w:tcPr>
                <w:p w14:paraId="17A3E2C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61" w:type="pct"/>
                  <w:tcBorders>
                    <w:tl2br w:val="nil"/>
                    <w:tr2bl w:val="nil"/>
                  </w:tcBorders>
                  <w:noWrap w:val="0"/>
                  <w:vAlign w:val="center"/>
                </w:tcPr>
                <w:p w14:paraId="2446205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vertAlign w:val="baseline"/>
                      <w:lang w:val="en-US" w:eastAsia="zh-CN"/>
                    </w:rPr>
                  </w:pPr>
                  <w:r>
                    <w:rPr>
                      <w:rFonts w:hint="eastAsia"/>
                      <w:vertAlign w:val="baseline"/>
                      <w:lang w:val="en-US" w:eastAsia="zh-CN"/>
                    </w:rPr>
                    <w:t>5.落实“闽环保大气〔2023〕5号”文件要求，按照“提气、转电、控煤”的发展思路，推动陶瓷行业进一步优化用能结构，实现能源消费清洁低碳化。</w:t>
                  </w:r>
                </w:p>
              </w:tc>
              <w:tc>
                <w:tcPr>
                  <w:tcW w:w="1165" w:type="pct"/>
                  <w:vMerge w:val="continue"/>
                  <w:tcBorders>
                    <w:tl2br w:val="nil"/>
                    <w:tr2bl w:val="nil"/>
                  </w:tcBorders>
                  <w:noWrap w:val="0"/>
                  <w:vAlign w:val="center"/>
                </w:tcPr>
                <w:p w14:paraId="7263F0D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50" w:type="pct"/>
                  <w:vMerge w:val="continue"/>
                  <w:tcBorders>
                    <w:tl2br w:val="nil"/>
                    <w:tr2bl w:val="nil"/>
                  </w:tcBorders>
                  <w:noWrap w:val="0"/>
                  <w:vAlign w:val="center"/>
                </w:tcPr>
                <w:p w14:paraId="1AFD715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485E1B1D">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 xml:space="preserve"> </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01"/>
              <w:gridCol w:w="7390"/>
              <w:gridCol w:w="2716"/>
              <w:gridCol w:w="891"/>
            </w:tblGrid>
            <w:tr w14:paraId="5931C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8" w:hRule="atLeast"/>
              </w:trPr>
              <w:tc>
                <w:tcPr>
                  <w:tcW w:w="285" w:type="pct"/>
                  <w:tcBorders>
                    <w:tl2br w:val="nil"/>
                    <w:tr2bl w:val="nil"/>
                  </w:tcBorders>
                  <w:vAlign w:val="center"/>
                </w:tcPr>
                <w:p w14:paraId="3223401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3284" w:type="pct"/>
                  <w:gridSpan w:val="2"/>
                  <w:tcBorders>
                    <w:tl2br w:val="nil"/>
                    <w:tr2bl w:val="nil"/>
                  </w:tcBorders>
                  <w:vAlign w:val="center"/>
                </w:tcPr>
                <w:p w14:paraId="41300C5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076" w:type="pct"/>
                  <w:tcBorders>
                    <w:tl2br w:val="nil"/>
                    <w:tr2bl w:val="nil"/>
                  </w:tcBorders>
                  <w:vAlign w:val="center"/>
                </w:tcPr>
                <w:p w14:paraId="1375B47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353" w:type="pct"/>
                  <w:tcBorders>
                    <w:tl2br w:val="nil"/>
                    <w:tr2bl w:val="nil"/>
                  </w:tcBorders>
                  <w:vAlign w:val="center"/>
                </w:tcPr>
                <w:p w14:paraId="0D28D6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0BB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1E9983C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7" w:type="pct"/>
                  <w:tcBorders>
                    <w:tl2br w:val="nil"/>
                    <w:tr2bl w:val="nil"/>
                  </w:tcBorders>
                  <w:vAlign w:val="center"/>
                </w:tcPr>
                <w:p w14:paraId="13A6746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359E02A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076" w:type="pct"/>
                  <w:tcBorders>
                    <w:tl2br w:val="nil"/>
                    <w:tr2bl w:val="nil"/>
                  </w:tcBorders>
                  <w:vAlign w:val="center"/>
                </w:tcPr>
                <w:p w14:paraId="10D371B5">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u w:val="none"/>
                      <w:vertAlign w:val="baseline"/>
                      <w:lang w:val="en-US"/>
                    </w:rPr>
                  </w:pPr>
                  <w:r>
                    <w:rPr>
                      <w:rFonts w:hint="eastAsia"/>
                      <w:color w:val="auto"/>
                      <w:u w:val="none"/>
                      <w:vertAlign w:val="baseline"/>
                      <w:lang w:val="en-US" w:eastAsia="zh-CN"/>
                    </w:rPr>
                    <w:t>本项目不属于危险化学品生产企业，不属于有色金属、印染、原料药制造、化工等企业；本项目位于</w:t>
                  </w:r>
                  <w:r>
                    <w:rPr>
                      <w:rFonts w:hint="eastAsia"/>
                      <w:color w:val="auto"/>
                      <w:sz w:val="21"/>
                      <w:szCs w:val="21"/>
                      <w:u w:val="none"/>
                      <w:lang w:eastAsia="zh-CN"/>
                    </w:rPr>
                    <w:t>福清融侨经济技术开发区内。</w:t>
                  </w:r>
                </w:p>
              </w:tc>
              <w:tc>
                <w:tcPr>
                  <w:tcW w:w="353" w:type="pct"/>
                  <w:tcBorders>
                    <w:tl2br w:val="nil"/>
                    <w:tr2bl w:val="nil"/>
                  </w:tcBorders>
                  <w:vAlign w:val="center"/>
                </w:tcPr>
                <w:p w14:paraId="3A0614B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145E1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23E69FA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7" w:type="pct"/>
                  <w:tcBorders>
                    <w:tl2br w:val="nil"/>
                    <w:tr2bl w:val="nil"/>
                  </w:tcBorders>
                  <w:vAlign w:val="center"/>
                </w:tcPr>
                <w:p w14:paraId="46AFB48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927" w:type="pct"/>
                  <w:tcBorders>
                    <w:tl2br w:val="nil"/>
                    <w:tr2bl w:val="nil"/>
                  </w:tcBorders>
                  <w:vAlign w:val="center"/>
                </w:tcPr>
                <w:p w14:paraId="2D83ADA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在城市建成区新建大气污染型项目，二氧化硫、氮氧化物排放量应实行倍量削减替代。</w:t>
                  </w:r>
                </w:p>
              </w:tc>
              <w:tc>
                <w:tcPr>
                  <w:tcW w:w="1076" w:type="pct"/>
                  <w:tcBorders>
                    <w:tl2br w:val="nil"/>
                    <w:tr2bl w:val="nil"/>
                  </w:tcBorders>
                  <w:vAlign w:val="center"/>
                </w:tcPr>
                <w:p w14:paraId="7D94A08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u w:val="none"/>
                      <w:lang w:val="en-US" w:eastAsia="zh-CN" w:bidi="ar"/>
                    </w:rPr>
                    <w:t>本项目不涉及</w:t>
                  </w:r>
                  <w:r>
                    <w:rPr>
                      <w:rFonts w:hint="eastAsia"/>
                      <w:color w:val="auto"/>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eastAsia" w:ascii="Times New Roman" w:hAnsi="Times New Roman" w:cs="Times New Roman"/>
                      <w:color w:val="auto"/>
                      <w:sz w:val="21"/>
                      <w:szCs w:val="21"/>
                      <w:u w:val="none"/>
                      <w:lang w:eastAsia="zh-CN"/>
                    </w:rPr>
                    <w:t>。</w:t>
                  </w:r>
                </w:p>
              </w:tc>
              <w:tc>
                <w:tcPr>
                  <w:tcW w:w="353" w:type="pct"/>
                  <w:tcBorders>
                    <w:tl2br w:val="nil"/>
                    <w:tr2bl w:val="nil"/>
                  </w:tcBorders>
                  <w:vAlign w:val="center"/>
                </w:tcPr>
                <w:p w14:paraId="597E47D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6D20D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restart"/>
                  <w:tcBorders>
                    <w:tl2br w:val="nil"/>
                    <w:tr2bl w:val="nil"/>
                  </w:tcBorders>
                  <w:vAlign w:val="center"/>
                </w:tcPr>
                <w:p w14:paraId="08255D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7" w:type="pct"/>
                  <w:vMerge w:val="restart"/>
                  <w:tcBorders>
                    <w:tl2br w:val="nil"/>
                    <w:tr2bl w:val="nil"/>
                  </w:tcBorders>
                  <w:vAlign w:val="center"/>
                </w:tcPr>
                <w:p w14:paraId="47E3DE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927" w:type="pct"/>
                  <w:tcBorders>
                    <w:tl2br w:val="nil"/>
                    <w:tr2bl w:val="nil"/>
                  </w:tcBorders>
                  <w:vAlign w:val="center"/>
                </w:tcPr>
                <w:p w14:paraId="3D17BE7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一、优先保护单元中的生态保护红线</w:t>
                  </w:r>
                </w:p>
                <w:p w14:paraId="7A8C2D1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56C9E4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宋体" w:hAnsi="宋体" w:eastAsia="宋体" w:cs="宋体"/>
                      <w:vertAlign w:val="baseline"/>
                      <w:lang w:val="en-US" w:eastAsia="zh-CN"/>
                    </w:rPr>
                    <w:t>（</w:t>
                  </w:r>
                  <w:r>
                    <w:rPr>
                      <w:rFonts w:hint="default" w:ascii="Times New Roman" w:hAnsi="Times New Roman" w:eastAsia="宋体" w:cs="Times New Roman"/>
                      <w:vertAlign w:val="baseline"/>
                      <w:lang w:val="en-US" w:eastAsia="zh-CN"/>
                    </w:rPr>
                    <w:t>1</w:t>
                  </w:r>
                  <w:r>
                    <w:rPr>
                      <w:rFonts w:hint="eastAsia" w:ascii="宋体" w:hAnsi="宋体" w:eastAsia="宋体" w:cs="宋体"/>
                      <w:vertAlign w:val="baseline"/>
                      <w:lang w:val="en-US" w:eastAsia="zh-CN"/>
                    </w:rPr>
                    <w:t>）</w:t>
                  </w:r>
                  <w:r>
                    <w:rPr>
                      <w:rFonts w:hint="eastAsia" w:ascii="Times New Roman" w:hAnsi="Times New Roman" w:eastAsia="宋体" w:cs="Times New Roman"/>
                      <w:vertAlign w:val="baseline"/>
                      <w:lang w:val="en-US" w:eastAsia="zh-CN"/>
                    </w:rPr>
                    <w:t>管护巡护、保护执法、科学研究、调查监测、测绘导航、防灾减灾救灾、军事国防、疫情防控等活动及相关的必要设施</w:t>
                  </w:r>
                  <w:r>
                    <w:rPr>
                      <w:rFonts w:hint="eastAsia" w:cs="Times New Roman"/>
                      <w:vertAlign w:val="baseline"/>
                      <w:lang w:val="en-US" w:eastAsia="zh-CN"/>
                    </w:rPr>
                    <w:t>修缮</w:t>
                  </w:r>
                  <w:r>
                    <w:rPr>
                      <w:rFonts w:hint="eastAsia" w:ascii="Times New Roman" w:hAnsi="Times New Roman" w:eastAsia="宋体" w:cs="Times New Roman"/>
                      <w:vertAlign w:val="baseline"/>
                      <w:lang w:val="en-US" w:eastAsia="zh-CN"/>
                    </w:rPr>
                    <w:t>。</w:t>
                  </w:r>
                </w:p>
                <w:p w14:paraId="2F38FC3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r>
                    <w:rPr>
                      <w:rFonts w:hint="eastAsia" w:ascii="Times New Roman" w:hAnsi="Times New Roman" w:eastAsia="宋体" w:cs="Times New Roman"/>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2C1F1D7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r>
                    <w:rPr>
                      <w:rFonts w:hint="eastAsia" w:ascii="Times New Roman" w:hAnsi="Times New Roman" w:eastAsia="宋体" w:cs="Times New Roman"/>
                      <w:vertAlign w:val="baseline"/>
                      <w:lang w:val="en-US" w:eastAsia="zh-CN"/>
                    </w:rPr>
                    <w:t>经依法批准的考古调查发掘、古生物化石调查发掘、标本采集和文物保护活动。</w:t>
                  </w:r>
                </w:p>
                <w:p w14:paraId="6A69C8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（4）按规定对人工商品林进行抚育采伐，或以提升森林质量、优化栖息地、建设生物防火隔离带等为目的的树种更新，依法开展的竹林采伐经营。</w:t>
                  </w:r>
                </w:p>
                <w:p w14:paraId="61FDE5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（5）不破坏生态功能的适度参观旅游、科普宣教及符合相关规划的配套性服务设施和相关的必要公共设施建设及维护。</w:t>
                  </w:r>
                </w:p>
                <w:p w14:paraId="3237C9F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55B96C4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2B17C15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（8）依据县级以上国土空间规划和生态保护修复专项规划开展的生态修复。</w:t>
                  </w:r>
                </w:p>
                <w:p w14:paraId="62E8DC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（9）法律法规规定允许的其他人为活动。</w:t>
                  </w:r>
                </w:p>
                <w:p w14:paraId="278A25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60BDF7A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（1）党中央、国务院发布文件或批准规划中明确具体名称的项目和国务院批准的项目。</w:t>
                  </w:r>
                </w:p>
                <w:p w14:paraId="0DDBC4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（2）中央军委及其有关部门批准的军事国防项目。</w:t>
                  </w:r>
                </w:p>
                <w:p w14:paraId="5D2C537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（3）国家级规划（指国务院及其有关部门正式颁布）明确的交通、水利项目。</w:t>
                  </w:r>
                </w:p>
                <w:p w14:paraId="18536F2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（4）国家级规划明确的电网项目，国家级规划明确的且符合国家产业政策的能源矿产勘查开采、油气管线、水电、核电项目。</w:t>
                  </w:r>
                </w:p>
                <w:p w14:paraId="1D78858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（5）为贯彻落实党中央、国务院重大决策部署</w:t>
                  </w:r>
                  <w:r>
                    <w:rPr>
                      <w:rFonts w:hint="eastAsia" w:cs="Times New Roman"/>
                      <w:vertAlign w:val="baseline"/>
                      <w:lang w:val="en-US" w:eastAsia="zh-CN"/>
                    </w:rPr>
                    <w:t>，由</w:t>
                  </w:r>
                  <w:r>
                    <w:rPr>
                      <w:rFonts w:hint="eastAsia" w:ascii="Times New Roman" w:hAnsi="Times New Roman" w:eastAsia="宋体" w:cs="Times New Roman"/>
                      <w:vertAlign w:val="baseline"/>
                      <w:lang w:val="en-US" w:eastAsia="zh-CN"/>
                    </w:rPr>
                    <w:t>国务院投资主管部门或国务院投资主管部门会同有关部门确认的交通、能源、水利等基础设施项目。</w:t>
                  </w:r>
                </w:p>
                <w:p w14:paraId="1F5840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（6）按照国家重大项目用地保障工作机制要求，国家发展改革委会同有关部门确认的需中央加大建设用地保障力度，确实难以避让的国家重大项目。</w:t>
                  </w:r>
                </w:p>
              </w:tc>
              <w:tc>
                <w:tcPr>
                  <w:tcW w:w="1076" w:type="pct"/>
                  <w:tcBorders>
                    <w:tl2br w:val="nil"/>
                    <w:tr2bl w:val="nil"/>
                  </w:tcBorders>
                  <w:vAlign w:val="center"/>
                </w:tcPr>
                <w:p w14:paraId="7FE719D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374B5FA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D35E57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3" w:type="pct"/>
                  <w:tcBorders>
                    <w:tl2br w:val="nil"/>
                    <w:tr2bl w:val="nil"/>
                  </w:tcBorders>
                  <w:vAlign w:val="center"/>
                </w:tcPr>
                <w:p w14:paraId="6A40166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2019D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069FEC0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3EFAD49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766DF5B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vertAlign w:val="baseline"/>
                      <w:lang w:val="en-US" w:eastAsia="zh-CN"/>
                    </w:rPr>
                  </w:pPr>
                  <w:r>
                    <w:rPr>
                      <w:rFonts w:hint="eastAsia" w:ascii="Times New Roman" w:hAnsi="Times New Roman" w:eastAsia="宋体" w:cs="Times New Roman"/>
                      <w:b/>
                      <w:bCs/>
                      <w:vertAlign w:val="baseline"/>
                      <w:lang w:val="en-US" w:eastAsia="zh-CN"/>
                    </w:rPr>
                    <w:t>二、优先保护单元中的一般生态空间</w:t>
                  </w:r>
                </w:p>
                <w:p w14:paraId="43DF2CF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一般生态空间以保护和修复生态环境、提供生态产品和服务为首要任务，因地制宜地发展不影响主体功能定位的适宜产业。</w:t>
                  </w:r>
                </w:p>
                <w:p w14:paraId="3A26F8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一般生态空间内未纳入生态保护红线的饮用水水源保护区等各类法定保护地，其管控要求依照相关法律法规执行。</w:t>
                  </w:r>
                </w:p>
                <w:p w14:paraId="5628C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076" w:type="pct"/>
                  <w:tcBorders>
                    <w:tl2br w:val="nil"/>
                    <w:tr2bl w:val="nil"/>
                  </w:tcBorders>
                  <w:vAlign w:val="center"/>
                </w:tcPr>
                <w:p w14:paraId="266D053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本项目位于福清市重点管控单元1</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1A074B28">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6EF68CB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水泥厂、矿山开发等生产性设施项目</w:t>
                  </w:r>
                </w:p>
              </w:tc>
              <w:tc>
                <w:tcPr>
                  <w:tcW w:w="353" w:type="pct"/>
                  <w:tcBorders>
                    <w:tl2br w:val="nil"/>
                    <w:tr2bl w:val="nil"/>
                  </w:tcBorders>
                  <w:vAlign w:val="center"/>
                </w:tcPr>
                <w:p w14:paraId="005FFD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3023D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0E9FBEA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vMerge w:val="continue"/>
                  <w:tcBorders>
                    <w:tl2br w:val="nil"/>
                    <w:tr2bl w:val="nil"/>
                  </w:tcBorders>
                  <w:vAlign w:val="center"/>
                </w:tcPr>
                <w:p w14:paraId="68FA84D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927" w:type="pct"/>
                  <w:tcBorders>
                    <w:tl2br w:val="nil"/>
                    <w:tr2bl w:val="nil"/>
                  </w:tcBorders>
                  <w:vAlign w:val="center"/>
                </w:tcPr>
                <w:p w14:paraId="041FD0A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b/>
                      <w:bCs/>
                      <w:vertAlign w:val="baseline"/>
                      <w:lang w:val="en-US" w:eastAsia="zh-CN"/>
                    </w:rPr>
                    <w:t>三、其它要求</w:t>
                  </w:r>
                </w:p>
                <w:p w14:paraId="5145879A">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1.</w:t>
                  </w:r>
                  <w:r>
                    <w:rPr>
                      <w:rFonts w:hint="eastAsia" w:ascii="Times New Roman" w:hAnsi="Times New Roman" w:eastAsia="宋体" w:cs="Times New Roman"/>
                      <w:vertAlign w:val="baseline"/>
                      <w:lang w:val="en-US" w:eastAsia="zh-CN"/>
                    </w:rPr>
                    <w:t>福州市石化中上游项目重点在福州江阴港城经济区、可门港经济区化工新材料产业园布局。</w:t>
                  </w:r>
                </w:p>
                <w:p w14:paraId="7E719A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2.</w:t>
                  </w:r>
                  <w:r>
                    <w:rPr>
                      <w:rFonts w:hint="eastAsia" w:ascii="Times New Roman" w:hAnsi="Times New Roman" w:eastAsia="宋体" w:cs="Times New Roman"/>
                      <w:vertAlign w:val="baseline"/>
                      <w:lang w:val="en-US" w:eastAsia="zh-CN"/>
                    </w:rPr>
                    <w:t>禁止在闽江马尾罗星塔以上流域范围新、扩建制革项目，严控新（扩）建植物制浆、印染、合成革及人造革、电镀项目。</w:t>
                  </w:r>
                </w:p>
                <w:p w14:paraId="7BCE79D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3.</w:t>
                  </w:r>
                  <w:r>
                    <w:rPr>
                      <w:rFonts w:hint="eastAsia" w:ascii="Times New Roman" w:hAnsi="Times New Roman" w:eastAsia="宋体" w:cs="Times New Roman"/>
                      <w:vertAlign w:val="baseline"/>
                      <w:lang w:val="en-US" w:eastAsia="zh-CN"/>
                    </w:rPr>
                    <w:t>禁止在通风廊道和主导风向的上风向布局大气重污染企业，推进建成区大气重污染企业搬迁或升级改造、环境风险企业搬迁或关闭退出。</w:t>
                  </w:r>
                </w:p>
                <w:p w14:paraId="567BC77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4.</w:t>
                  </w:r>
                  <w:r>
                    <w:rPr>
                      <w:rFonts w:hint="eastAsia" w:ascii="Times New Roman" w:hAnsi="Times New Roman" w:eastAsia="宋体" w:cs="Times New Roman"/>
                      <w:vertAlign w:val="baseline"/>
                      <w:lang w:val="en-US" w:eastAsia="zh-CN"/>
                    </w:rPr>
                    <w:t>禁止新、改、扩建生产高VOCs含量有机溶剂型涂料、油墨和胶黏剂的项目。</w:t>
                  </w:r>
                </w:p>
                <w:p w14:paraId="3BC457C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5.</w:t>
                  </w:r>
                  <w:r>
                    <w:rPr>
                      <w:rFonts w:hint="eastAsia" w:ascii="Times New Roman" w:hAnsi="Times New Roman" w:eastAsia="宋体" w:cs="Times New Roman"/>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2E7083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6.</w:t>
                  </w:r>
                  <w:r>
                    <w:rPr>
                      <w:rFonts w:hint="eastAsia" w:ascii="Times New Roman" w:hAnsi="Times New Roman" w:eastAsia="宋体" w:cs="Times New Roman"/>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A504F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7.</w:t>
                  </w:r>
                  <w:r>
                    <w:rPr>
                      <w:rFonts w:hint="eastAsia" w:ascii="Times New Roman" w:hAnsi="Times New Roman" w:eastAsia="宋体" w:cs="Times New Roman"/>
                      <w:vertAlign w:val="baseline"/>
                      <w:lang w:val="en-US" w:eastAsia="zh-CN"/>
                    </w:rPr>
                    <w:t>禁止在流域上游新建、扩建重污染企业和项目。</w:t>
                  </w:r>
                </w:p>
                <w:p w14:paraId="151E145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8.</w:t>
                  </w:r>
                  <w:r>
                    <w:rPr>
                      <w:rFonts w:hint="eastAsia" w:ascii="Times New Roman" w:hAnsi="Times New Roman" w:eastAsia="宋体" w:cs="Times New Roman"/>
                      <w:vertAlign w:val="baseline"/>
                      <w:lang w:val="en-US" w:eastAsia="zh-CN"/>
                    </w:rPr>
                    <w:t>重要敏感水体及富营养化湖库生态缓冲带除相关政府部门批准的科学研究活动外，禁止其它可能对保护区构成危害或不良影响的大规模生产、建设活动。</w:t>
                  </w:r>
                </w:p>
                <w:p w14:paraId="1849465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vertAlign w:val="baseline"/>
                      <w:lang w:val="en-US" w:eastAsia="zh-CN"/>
                    </w:rPr>
                  </w:pPr>
                  <w:r>
                    <w:rPr>
                      <w:rFonts w:hint="eastAsia" w:cs="Times New Roman"/>
                      <w:vertAlign w:val="baseline"/>
                      <w:lang w:val="en-US" w:eastAsia="zh-CN"/>
                    </w:rPr>
                    <w:t>9.</w:t>
                  </w:r>
                  <w:r>
                    <w:rPr>
                      <w:rFonts w:hint="eastAsia" w:ascii="Times New Roman" w:hAnsi="Times New Roman" w:eastAsia="宋体" w:cs="Times New Roman"/>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2A4F28E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vertAlign w:val="baseline"/>
                      <w:lang w:val="en-US" w:eastAsia="zh-CN"/>
                    </w:rPr>
                  </w:pPr>
                  <w:r>
                    <w:rPr>
                      <w:rFonts w:hint="eastAsia" w:cs="Times New Roman"/>
                      <w:vertAlign w:val="baseline"/>
                      <w:lang w:val="en-US" w:eastAsia="zh-CN"/>
                    </w:rPr>
                    <w:t>10.</w:t>
                  </w:r>
                  <w:r>
                    <w:rPr>
                      <w:rFonts w:hint="eastAsia" w:ascii="Times New Roman" w:hAnsi="Times New Roman" w:eastAsia="宋体" w:cs="Times New Roman"/>
                      <w:vertAlign w:val="baseline"/>
                      <w:lang w:val="en-US" w:eastAsia="zh-CN"/>
                    </w:rPr>
                    <w:t>单元内涉及永久基本农田的，应按照《福建省基本农田保护条例》（2010年修正本）、《国土资源部关于全面实行永久共本农田特殊保护的通知》（国土资规〔2018〕1号）、《中共中央国务院关于加强耕地保护和改进占补平衡的意见》（2017年1月9日）等相关文件要求进</w:t>
                  </w:r>
                  <w:r>
                    <w:rPr>
                      <w:rFonts w:hint="eastAsia" w:cs="Times New Roman"/>
                      <w:vertAlign w:val="baseline"/>
                      <w:lang w:val="en-US" w:eastAsia="zh-CN"/>
                    </w:rPr>
                    <w:t>行严</w:t>
                  </w:r>
                  <w:r>
                    <w:rPr>
                      <w:rFonts w:hint="eastAsia" w:ascii="Times New Roman" w:hAnsi="Times New Roman" w:eastAsia="宋体" w:cs="Times New Roman"/>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76" w:type="pct"/>
                  <w:tcBorders>
                    <w:tl2br w:val="nil"/>
                    <w:tr2bl w:val="nil"/>
                  </w:tcBorders>
                  <w:vAlign w:val="center"/>
                </w:tcPr>
                <w:p w14:paraId="28B695F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本项目不属于石化植物制浆、印染、合成革及人造革、电镀项目，不涉及油墨、涂料、胶粘剂的使用，不属于陶瓷企业。不属于煤电、钢铁、建材、石化、化工等“两高”项目；</w:t>
                  </w:r>
                </w:p>
                <w:p w14:paraId="73A0168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vertAlign w:val="baseline"/>
                      <w:lang w:val="en-US" w:eastAsia="zh-CN"/>
                    </w:rPr>
                    <w:t>高VOCs含量有机溶剂型涂料、油墨和胶黏剂的项目；</w:t>
                  </w:r>
                </w:p>
                <w:p w14:paraId="5F012DF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353" w:type="pct"/>
                  <w:tcBorders>
                    <w:tl2br w:val="nil"/>
                    <w:tr2bl w:val="nil"/>
                  </w:tcBorders>
                  <w:vAlign w:val="center"/>
                </w:tcPr>
                <w:p w14:paraId="7B37AE2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74D2B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5419CA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382B8D5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vertAlign w:val="baseline"/>
                      <w:lang w:val="en-US" w:eastAsia="zh-CN"/>
                    </w:rPr>
                    <w:t>污染物排放管控</w:t>
                  </w:r>
                </w:p>
              </w:tc>
              <w:tc>
                <w:tcPr>
                  <w:tcW w:w="2927" w:type="pct"/>
                  <w:tcBorders>
                    <w:tl2br w:val="nil"/>
                    <w:tr2bl w:val="nil"/>
                  </w:tcBorders>
                  <w:vAlign w:val="center"/>
                </w:tcPr>
                <w:p w14:paraId="55AC3CA4">
                  <w:pPr>
                    <w:keepNext w:val="0"/>
                    <w:keepLines w:val="0"/>
                    <w:pageBreakBefore w:val="0"/>
                    <w:widowControl w:val="0"/>
                    <w:numPr>
                      <w:ilvl w:val="0"/>
                      <w:numId w:val="3"/>
                    </w:numPr>
                    <w:kinsoku/>
                    <w:wordWrap/>
                    <w:overflowPunct/>
                    <w:topLinePunct w:val="0"/>
                    <w:autoSpaceDE/>
                    <w:autoSpaceDN/>
                    <w:bidi w:val="0"/>
                    <w:adjustRightInd/>
                    <w:snapToGrid/>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以新带老</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、削减存量，努力实现区域、企业自身总量平衡。总量指标来源、审核和监督管理按照“榕环保综〔2017〕90号</w:t>
                  </w:r>
                  <w:r>
                    <w:rPr>
                      <w:rFonts w:hint="eastAsia"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等相关文件执行。</w:t>
                  </w:r>
                </w:p>
                <w:p w14:paraId="7ADC2657">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30DADCA6">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严格控制新建、改建、扩建钢铁、水泥、平板玻璃、有色金属冶炼、化工等工业项目。新改扩建钢铁、火电项目</w:t>
                  </w:r>
                  <w:r>
                    <w:rPr>
                      <w:rFonts w:hint="eastAsia" w:cs="Times New Roman"/>
                      <w:b w:val="0"/>
                      <w:bCs w:val="0"/>
                      <w:vertAlign w:val="baseline"/>
                      <w:lang w:val="en-US" w:eastAsia="zh-CN"/>
                    </w:rPr>
                    <w:t>应当</w:t>
                  </w:r>
                  <w:r>
                    <w:rPr>
                      <w:rFonts w:hint="default" w:ascii="Times New Roman" w:hAnsi="Times New Roman" w:eastAsia="宋体" w:cs="Times New Roman"/>
                      <w:b w:val="0"/>
                      <w:bCs w:val="0"/>
                      <w:vertAlign w:val="baseline"/>
                      <w:lang w:val="en-US" w:eastAsia="zh-CN"/>
                    </w:rPr>
                    <w:t>执行超低排放限值，有色项目应当执行大气污染物特别排放限值。重点控制区新建化工、石化应当执行大气污染物特别排放限值。</w:t>
                  </w:r>
                </w:p>
                <w:p w14:paraId="2FB83B5D">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氟化工、印染、电镀等行业企业实行水污染物特别排放限值。</w:t>
                  </w:r>
                </w:p>
                <w:p w14:paraId="4E34CE47">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7CE3D29">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每小时35（含）—65蒸吨燃煤锅炉和位于县级及以上城市建成区内保留的燃煤、燃油、燃生物质锅炉，原则上2024年底前必须全面实现超低排放。</w:t>
                  </w:r>
                </w:p>
                <w:p w14:paraId="7B045073">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水泥行业新改扩建项目严格对照超低排放、能效标杆水平建设实施；现有项目超低排放改造应按文件（闽环规〔2023〕2号）的时限要求分步推进，2025年底前全面完成［3］［4］。</w:t>
                  </w:r>
                </w:p>
                <w:p w14:paraId="7218591F">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76" w:type="pct"/>
                  <w:tcBorders>
                    <w:tl2br w:val="nil"/>
                    <w:tr2bl w:val="nil"/>
                  </w:tcBorders>
                  <w:vAlign w:val="center"/>
                </w:tcPr>
                <w:p w14:paraId="0D6F1C6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37D7899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2.本项目新增VOCs排放，区域内实行倍量替代；</w:t>
                  </w:r>
                </w:p>
                <w:p w14:paraId="3069433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644B8583">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23EAC476">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222E853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6.本项目不设置锅炉，不燃煤、燃油、生物质和其他使用高污染燃料的锅炉；</w:t>
                  </w:r>
                </w:p>
                <w:p w14:paraId="5FB08D0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3FA0617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353" w:type="pct"/>
                  <w:tcBorders>
                    <w:tl2br w:val="nil"/>
                    <w:tr2bl w:val="nil"/>
                  </w:tcBorders>
                  <w:vAlign w:val="center"/>
                </w:tcPr>
                <w:p w14:paraId="12A4F24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3B4B3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5" w:type="pct"/>
                  <w:vMerge w:val="continue"/>
                  <w:tcBorders>
                    <w:tl2br w:val="nil"/>
                    <w:tr2bl w:val="nil"/>
                  </w:tcBorders>
                  <w:vAlign w:val="center"/>
                </w:tcPr>
                <w:p w14:paraId="441AC07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7" w:type="pct"/>
                  <w:tcBorders>
                    <w:tl2br w:val="nil"/>
                    <w:tr2bl w:val="nil"/>
                  </w:tcBorders>
                  <w:vAlign w:val="center"/>
                </w:tcPr>
                <w:p w14:paraId="672893E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资源开发效率要求</w:t>
                  </w:r>
                </w:p>
              </w:tc>
              <w:tc>
                <w:tcPr>
                  <w:tcW w:w="2927" w:type="pct"/>
                  <w:tcBorders>
                    <w:tl2br w:val="nil"/>
                    <w:tr2bl w:val="nil"/>
                  </w:tcBorders>
                  <w:vAlign w:val="center"/>
                </w:tcPr>
                <w:p w14:paraId="3DD595C9">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B8B9C95">
                  <w:pPr>
                    <w:keepNext w:val="0"/>
                    <w:keepLines w:val="0"/>
                    <w:pageBreakBefore w:val="0"/>
                    <w:widowControl w:val="0"/>
                    <w:numPr>
                      <w:ilvl w:val="0"/>
                      <w:numId w:val="4"/>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vertAlign w:val="baseline"/>
                      <w:lang w:val="en-US" w:eastAsia="zh-CN"/>
                    </w:rPr>
                  </w:pPr>
                  <w:r>
                    <w:rPr>
                      <w:rFonts w:hint="default" w:ascii="Times New Roman" w:hAnsi="Times New Roman" w:eastAsia="宋体" w:cs="Times New Roman"/>
                      <w:b w:val="0"/>
                      <w:bCs w:val="0"/>
                      <w:vertAlign w:val="baseline"/>
                      <w:lang w:val="en-US" w:eastAsia="zh-CN"/>
                    </w:rPr>
                    <w:t>按照</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提气、转电、控煤</w:t>
                  </w:r>
                  <w:r>
                    <w:rPr>
                      <w:rFonts w:hint="eastAsia" w:ascii="Times New Roman" w:hAnsi="Times New Roman" w:eastAsia="宋体" w:cs="Times New Roman"/>
                      <w:b w:val="0"/>
                      <w:bCs w:val="0"/>
                      <w:vertAlign w:val="baseline"/>
                      <w:lang w:val="en-US" w:eastAsia="zh-CN"/>
                    </w:rPr>
                    <w:t>”</w:t>
                  </w:r>
                  <w:r>
                    <w:rPr>
                      <w:rFonts w:hint="default" w:ascii="Times New Roman" w:hAnsi="Times New Roman" w:eastAsia="宋体" w:cs="Times New Roman"/>
                      <w:b w:val="0"/>
                      <w:bCs w:val="0"/>
                      <w:vertAlign w:val="baseline"/>
                      <w:lang w:val="en-US" w:eastAsia="zh-CN"/>
                    </w:rPr>
                    <w:t>的发展思路，推动陶瓷行业进一步优化用能结构，实现能源消费清洁低碳化。</w:t>
                  </w:r>
                </w:p>
              </w:tc>
              <w:tc>
                <w:tcPr>
                  <w:tcW w:w="1076" w:type="pct"/>
                  <w:tcBorders>
                    <w:tl2br w:val="nil"/>
                    <w:tr2bl w:val="nil"/>
                  </w:tcBorders>
                  <w:vAlign w:val="center"/>
                </w:tcPr>
                <w:p w14:paraId="59EEF79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本项目不设置锅炉，不燃煤、燃油、生物质和其他使用高污染燃料的锅炉；</w:t>
                  </w:r>
                </w:p>
                <w:p w14:paraId="45E48FF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353" w:type="pct"/>
                  <w:tcBorders>
                    <w:tl2br w:val="nil"/>
                    <w:tr2bl w:val="nil"/>
                  </w:tcBorders>
                  <w:vAlign w:val="center"/>
                </w:tcPr>
                <w:p w14:paraId="667A011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6A5689AF">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085"/>
              <w:gridCol w:w="758"/>
              <w:gridCol w:w="692"/>
              <w:gridCol w:w="5611"/>
              <w:gridCol w:w="2071"/>
              <w:gridCol w:w="725"/>
            </w:tblGrid>
            <w:tr w14:paraId="50531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1C7966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30" w:type="pct"/>
                  <w:tcBorders>
                    <w:tl2br w:val="nil"/>
                    <w:tr2bl w:val="nil"/>
                  </w:tcBorders>
                  <w:vAlign w:val="center"/>
                </w:tcPr>
                <w:p w14:paraId="025F7BF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300" w:type="pct"/>
                  <w:tcBorders>
                    <w:tl2br w:val="nil"/>
                    <w:tr2bl w:val="nil"/>
                  </w:tcBorders>
                  <w:vAlign w:val="center"/>
                </w:tcPr>
                <w:p w14:paraId="616E0CF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496" w:type="pct"/>
                  <w:gridSpan w:val="2"/>
                  <w:tcBorders>
                    <w:tl2br w:val="nil"/>
                    <w:tr2bl w:val="nil"/>
                  </w:tcBorders>
                  <w:vAlign w:val="center"/>
                </w:tcPr>
                <w:p w14:paraId="49A70DB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820" w:type="pct"/>
                  <w:tcBorders>
                    <w:tl2br w:val="nil"/>
                    <w:tr2bl w:val="nil"/>
                  </w:tcBorders>
                  <w:vAlign w:val="center"/>
                </w:tcPr>
                <w:p w14:paraId="3B1A335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07DEB05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7DE9A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5F51BE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sz w:val="21"/>
                      <w:szCs w:val="21"/>
                      <w:vertAlign w:val="baseline"/>
                      <w:lang w:val="en-US" w:eastAsia="zh-CN"/>
                    </w:rPr>
                    <w:t>ZH35018120008</w:t>
                  </w:r>
                </w:p>
              </w:tc>
              <w:tc>
                <w:tcPr>
                  <w:tcW w:w="430" w:type="pct"/>
                  <w:vMerge w:val="restart"/>
                  <w:tcBorders>
                    <w:tl2br w:val="nil"/>
                    <w:tr2bl w:val="nil"/>
                  </w:tcBorders>
                  <w:vAlign w:val="center"/>
                </w:tcPr>
                <w:p w14:paraId="14F7078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福清市重点管控单元1</w:t>
                  </w:r>
                </w:p>
              </w:tc>
              <w:tc>
                <w:tcPr>
                  <w:tcW w:w="300" w:type="pct"/>
                  <w:vMerge w:val="restart"/>
                  <w:tcBorders>
                    <w:tl2br w:val="nil"/>
                    <w:tr2bl w:val="nil"/>
                  </w:tcBorders>
                  <w:vAlign w:val="center"/>
                </w:tcPr>
                <w:p w14:paraId="78E6EA0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66980AE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221" w:type="pct"/>
                  <w:tcBorders>
                    <w:tl2br w:val="nil"/>
                    <w:tr2bl w:val="nil"/>
                  </w:tcBorders>
                  <w:vAlign w:val="center"/>
                </w:tcPr>
                <w:p w14:paraId="31AF72B3">
                  <w:pPr>
                    <w:keepNext w:val="0"/>
                    <w:keepLines w:val="0"/>
                    <w:pageBreakBefore w:val="0"/>
                    <w:widowControl w:val="0"/>
                    <w:numPr>
                      <w:ilvl w:val="0"/>
                      <w:numId w:val="5"/>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71876145">
                  <w:pPr>
                    <w:keepNext w:val="0"/>
                    <w:keepLines w:val="0"/>
                    <w:pageBreakBefore w:val="0"/>
                    <w:widowControl w:val="0"/>
                    <w:numPr>
                      <w:ilvl w:val="0"/>
                      <w:numId w:val="5"/>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严格控制包装印刷、工业涂装、制鞋等高VOCs排放的项目建设，相关新建项目必须进入工业园区。</w:t>
                  </w:r>
                </w:p>
                <w:p w14:paraId="3917B65D">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sz w:val="21"/>
                      <w:szCs w:val="21"/>
                      <w:vertAlign w:val="baseline"/>
                      <w:lang w:val="en-US" w:eastAsia="zh-CN"/>
                    </w:rPr>
                  </w:pPr>
                  <w:r>
                    <w:rPr>
                      <w:rFonts w:hint="eastAsia" w:cs="Times New Roman"/>
                      <w:b w:val="0"/>
                      <w:bCs w:val="0"/>
                      <w:sz w:val="21"/>
                      <w:szCs w:val="21"/>
                      <w:vertAlign w:val="baseline"/>
                      <w:lang w:val="en-US" w:eastAsia="zh-CN"/>
                    </w:rPr>
                    <w:t>3.</w:t>
                  </w:r>
                  <w:r>
                    <w:rPr>
                      <w:rFonts w:hint="default" w:ascii="Times New Roman" w:hAnsi="Times New Roman" w:eastAsia="宋体" w:cs="Times New Roman"/>
                      <w:b w:val="0"/>
                      <w:bCs w:val="0"/>
                      <w:sz w:val="21"/>
                      <w:szCs w:val="21"/>
                      <w:vertAlign w:val="baseline"/>
                      <w:lang w:val="en-US" w:eastAsia="zh-CN"/>
                    </w:rPr>
                    <w:t>禁止开发利用未经评估和无害化处理的列入建设用地污染地块名录及开发利用负面清单的土地。</w:t>
                  </w:r>
                </w:p>
              </w:tc>
              <w:tc>
                <w:tcPr>
                  <w:tcW w:w="820" w:type="pct"/>
                  <w:tcBorders>
                    <w:tl2br w:val="nil"/>
                    <w:tr2bl w:val="nil"/>
                  </w:tcBorders>
                  <w:vAlign w:val="center"/>
                </w:tcPr>
                <w:p w14:paraId="6D1F45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lang w:val="en-US" w:eastAsia="zh-CN"/>
                    </w:rPr>
                    <w:t>本项目不属于危险化学品生产企业，不属于有色金属、印染、原料药制造、化工等企业；本项目位于</w:t>
                  </w:r>
                  <w:r>
                    <w:rPr>
                      <w:rFonts w:hint="default" w:ascii="Times New Roman" w:hAnsi="Times New Roman" w:eastAsia="宋体" w:cs="Times New Roman"/>
                      <w:color w:val="auto"/>
                      <w:sz w:val="21"/>
                      <w:szCs w:val="21"/>
                      <w:u w:val="none"/>
                      <w:lang w:eastAsia="zh-CN"/>
                    </w:rPr>
                    <w:t>福清融侨经济技术开发区内。</w:t>
                  </w:r>
                </w:p>
              </w:tc>
              <w:tc>
                <w:tcPr>
                  <w:tcW w:w="287" w:type="pct"/>
                  <w:tcBorders>
                    <w:tl2br w:val="nil"/>
                    <w:tr2bl w:val="nil"/>
                  </w:tcBorders>
                  <w:vAlign w:val="center"/>
                </w:tcPr>
                <w:p w14:paraId="20326DB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38BDF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76B1CBC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3E552B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51FBE8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D0CE6D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221" w:type="pct"/>
                  <w:tcBorders>
                    <w:tl2br w:val="nil"/>
                    <w:tr2bl w:val="nil"/>
                  </w:tcBorders>
                  <w:vAlign w:val="center"/>
                </w:tcPr>
                <w:p w14:paraId="24D477B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落实新增二氧化硫、氮氧化物和VOCs排放总量控制要求。</w:t>
                  </w:r>
                </w:p>
              </w:tc>
              <w:tc>
                <w:tcPr>
                  <w:tcW w:w="820" w:type="pct"/>
                  <w:tcBorders>
                    <w:tl2br w:val="nil"/>
                    <w:tr2bl w:val="nil"/>
                  </w:tcBorders>
                  <w:vAlign w:val="center"/>
                </w:tcPr>
                <w:p w14:paraId="04B0849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66DCB17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253A4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3086E1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45B5045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5778E0B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29800BE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221" w:type="pct"/>
                  <w:tcBorders>
                    <w:tl2br w:val="nil"/>
                    <w:tr2bl w:val="nil"/>
                  </w:tcBorders>
                  <w:vAlign w:val="center"/>
                </w:tcPr>
                <w:p w14:paraId="726B0D75">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20" w:type="pct"/>
                  <w:tcBorders>
                    <w:tl2br w:val="nil"/>
                    <w:tr2bl w:val="nil"/>
                  </w:tcBorders>
                  <w:vAlign w:val="center"/>
                </w:tcPr>
                <w:p w14:paraId="2ED55BA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rPr>
                    <w:t>不涉及</w:t>
                  </w:r>
                </w:p>
              </w:tc>
              <w:tc>
                <w:tcPr>
                  <w:tcW w:w="287" w:type="pct"/>
                  <w:tcBorders>
                    <w:tl2br w:val="nil"/>
                    <w:tr2bl w:val="nil"/>
                  </w:tcBorders>
                  <w:vAlign w:val="center"/>
                </w:tcPr>
                <w:p w14:paraId="2B33632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60A44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2AC50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30" w:type="pct"/>
                  <w:vMerge w:val="continue"/>
                  <w:tcBorders>
                    <w:tl2br w:val="nil"/>
                    <w:tr2bl w:val="nil"/>
                  </w:tcBorders>
                  <w:vAlign w:val="center"/>
                </w:tcPr>
                <w:p w14:paraId="23C8C9B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00" w:type="pct"/>
                  <w:vMerge w:val="continue"/>
                  <w:tcBorders>
                    <w:tl2br w:val="nil"/>
                    <w:tr2bl w:val="nil"/>
                  </w:tcBorders>
                  <w:vAlign w:val="center"/>
                </w:tcPr>
                <w:p w14:paraId="677754C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3C2D6E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221" w:type="pct"/>
                  <w:tcBorders>
                    <w:tl2br w:val="nil"/>
                    <w:tr2bl w:val="nil"/>
                  </w:tcBorders>
                  <w:vAlign w:val="center"/>
                </w:tcPr>
                <w:p w14:paraId="4889C75F">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820" w:type="pct"/>
                  <w:tcBorders>
                    <w:tl2br w:val="nil"/>
                    <w:tr2bl w:val="nil"/>
                  </w:tcBorders>
                  <w:vAlign w:val="center"/>
                </w:tcPr>
                <w:p w14:paraId="0817751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kern w:val="0"/>
                      <w:sz w:val="21"/>
                      <w:szCs w:val="21"/>
                      <w:u w:val="none"/>
                      <w:lang w:val="en-US" w:eastAsia="zh-CN" w:bidi="ar"/>
                    </w:rPr>
                  </w:pPr>
                  <w:r>
                    <w:t>项目用电作为能源，未使用高污染燃料</w:t>
                  </w:r>
                  <w:r>
                    <w:rPr>
                      <w:rFonts w:hint="eastAsia"/>
                      <w:lang w:eastAsia="zh-CN"/>
                    </w:rPr>
                    <w:t>。</w:t>
                  </w:r>
                </w:p>
              </w:tc>
              <w:tc>
                <w:tcPr>
                  <w:tcW w:w="287" w:type="pct"/>
                  <w:tcBorders>
                    <w:tl2br w:val="nil"/>
                    <w:tr2bl w:val="nil"/>
                  </w:tcBorders>
                  <w:vAlign w:val="center"/>
                </w:tcPr>
                <w:p w14:paraId="175B904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64B7E231">
            <w:pPr>
              <w:pStyle w:val="15"/>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473B0AD0">
      <w:pPr>
        <w:jc w:val="both"/>
        <w:rPr>
          <w:rFonts w:hint="eastAsia" w:eastAsia="楷体_GB2312" w:cs="Times New Roman"/>
          <w:color w:val="auto"/>
          <w:sz w:val="36"/>
          <w:szCs w:val="36"/>
          <w:u w:val="none"/>
          <w:lang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646"/>
      </w:tblGrid>
      <w:tr w14:paraId="2E80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 w:type="pct"/>
          </w:tcPr>
          <w:p w14:paraId="657FFD95">
            <w:pPr>
              <w:pStyle w:val="11"/>
              <w:rPr>
                <w:rFonts w:hint="eastAsia"/>
                <w:vertAlign w:val="baseline"/>
                <w:lang w:eastAsia="zh-CN"/>
              </w:rPr>
            </w:pPr>
          </w:p>
        </w:tc>
        <w:tc>
          <w:tcPr>
            <w:tcW w:w="4653" w:type="pct"/>
          </w:tcPr>
          <w:p w14:paraId="7D7B2EB1">
            <w:pPr>
              <w:pStyle w:val="35"/>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根据上述分析，本项目与《福建省人民政府关于实施“三线一单”生态环境分区管控的通知》（闽政〔2020〕12号）、《中共福建省委办公厅 福建省人民政府办公厅关于加强生态环境分区管控的实施意见》（2024年11月10日）、《福州市生态环境局关于发布福州市2024年生态环境分区管控动态更新成果的通知》（榕环保综〔2025〕1号）中的相关规定是符合的。</w:t>
            </w:r>
          </w:p>
          <w:p w14:paraId="1F982FA9">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平面布局合理性分析</w:t>
            </w:r>
          </w:p>
          <w:p w14:paraId="20F0DF21">
            <w:pPr>
              <w:pStyle w:val="36"/>
              <w:keepNext w:val="0"/>
              <w:keepLines w:val="0"/>
              <w:pageBreakBefore w:val="0"/>
              <w:kinsoku/>
              <w:wordWrap/>
              <w:overflowPunct/>
              <w:topLinePunct w:val="0"/>
              <w:bidi w:val="0"/>
              <w:spacing w:line="360" w:lineRule="auto"/>
              <w:ind w:firstLine="48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eastAsia" w:cs="Times New Roman"/>
                <w:color w:val="auto"/>
                <w:sz w:val="24"/>
                <w:szCs w:val="24"/>
                <w:highlight w:val="none"/>
                <w:lang w:val="en-US" w:eastAsia="zh-CN"/>
              </w:rPr>
              <w:t>购置</w:t>
            </w:r>
            <w:r>
              <w:rPr>
                <w:rFonts w:hint="eastAsia" w:cs="Times New Roman"/>
                <w:color w:val="auto"/>
                <w:sz w:val="24"/>
                <w:szCs w:val="24"/>
                <w:u w:val="none"/>
                <w:lang w:val="en-US" w:eastAsia="zh-CN"/>
              </w:rPr>
              <w:t>福清市阳下街道均和云谷·福清科技港39号厂房</w:t>
            </w:r>
            <w:r>
              <w:rPr>
                <w:rFonts w:hint="eastAsia" w:ascii="宋体" w:hAnsi="宋体" w:eastAsia="宋体" w:cs="宋体"/>
                <w:color w:val="auto"/>
                <w:sz w:val="24"/>
                <w:szCs w:val="24"/>
                <w:u w:val="none"/>
                <w:lang w:val="en-US" w:eastAsia="zh-CN"/>
              </w:rPr>
              <w:t>作为生产场所，合计面积</w:t>
            </w:r>
            <w:r>
              <w:rPr>
                <w:rFonts w:hint="eastAsia" w:ascii="Times New Roman" w:hAnsi="Times New Roman" w:cs="宋体"/>
                <w:color w:val="auto"/>
                <w:sz w:val="24"/>
                <w:szCs w:val="24"/>
                <w:u w:val="none"/>
                <w:lang w:val="en-US" w:eastAsia="zh-CN"/>
              </w:rPr>
              <w:t>4188.94</w:t>
            </w:r>
            <w:r>
              <w:rPr>
                <w:rFonts w:hint="eastAsia" w:ascii="Times New Roman" w:hAnsi="Times New Roman" w:eastAsia="宋体" w:cs="宋体"/>
                <w:color w:val="auto"/>
                <w:sz w:val="24"/>
                <w:szCs w:val="24"/>
                <w:u w:val="none"/>
                <w:lang w:val="en-US" w:eastAsia="zh-CN"/>
              </w:rPr>
              <w:t>m</w:t>
            </w:r>
            <w:r>
              <w:rPr>
                <w:rFonts w:hint="eastAsia" w:ascii="Times New Roman" w:hAnsi="Times New Roman" w:eastAsia="宋体" w:cs="宋体"/>
                <w:color w:val="auto"/>
                <w:sz w:val="24"/>
                <w:szCs w:val="24"/>
                <w:u w:val="none"/>
                <w:vertAlign w:val="superscript"/>
                <w:lang w:val="en-US" w:eastAsia="zh-CN"/>
              </w:rPr>
              <w:t>2</w:t>
            </w:r>
            <w:r>
              <w:rPr>
                <w:rFonts w:hint="eastAsia" w:ascii="宋体" w:hAnsi="宋体" w:eastAsia="宋体" w:cs="宋体"/>
                <w:color w:val="auto"/>
                <w:sz w:val="24"/>
                <w:szCs w:val="24"/>
                <w:highlight w:val="none"/>
                <w:u w:val="none"/>
                <w:lang w:val="en-US" w:eastAsia="zh-CN"/>
              </w:rPr>
              <w:t>（</w:t>
            </w:r>
            <w:r>
              <w:rPr>
                <w:rFonts w:hint="eastAsia" w:ascii="宋体" w:hAnsi="宋体" w:cs="宋体"/>
                <w:color w:val="auto"/>
                <w:sz w:val="24"/>
                <w:szCs w:val="24"/>
                <w:highlight w:val="none"/>
                <w:u w:val="none"/>
                <w:lang w:val="en-US" w:eastAsia="zh-CN"/>
              </w:rPr>
              <w:t>厂房</w:t>
            </w:r>
            <w:r>
              <w:rPr>
                <w:rFonts w:hint="eastAsia" w:ascii="宋体" w:hAnsi="宋体" w:eastAsia="宋体" w:cs="宋体"/>
                <w:color w:val="auto"/>
                <w:sz w:val="24"/>
                <w:szCs w:val="24"/>
                <w:highlight w:val="none"/>
                <w:u w:val="none"/>
                <w:lang w:val="en-US" w:eastAsia="zh-CN"/>
              </w:rPr>
              <w:t>购置合同详见</w:t>
            </w:r>
            <w:r>
              <w:rPr>
                <w:rFonts w:hint="eastAsia" w:ascii="宋体" w:hAnsi="宋体" w:eastAsia="宋体" w:cs="宋体"/>
                <w:b/>
                <w:bCs/>
                <w:color w:val="auto"/>
                <w:sz w:val="24"/>
                <w:szCs w:val="24"/>
                <w:highlight w:val="none"/>
                <w:u w:val="none"/>
                <w:lang w:val="en-US" w:eastAsia="zh-CN"/>
              </w:rPr>
              <w:t>附件</w:t>
            </w:r>
            <w:r>
              <w:rPr>
                <w:rFonts w:hint="eastAsia" w:ascii="宋体" w:hAnsi="宋体" w:cs="宋体"/>
                <w:b/>
                <w:bCs/>
                <w:color w:val="auto"/>
                <w:sz w:val="24"/>
                <w:szCs w:val="24"/>
                <w:highlight w:val="none"/>
                <w:u w:val="none"/>
                <w:lang w:val="en-US" w:eastAsia="zh-CN"/>
              </w:rPr>
              <w:t>五</w:t>
            </w:r>
            <w:r>
              <w:rPr>
                <w:rFonts w:hint="eastAsia" w:ascii="宋体" w:hAnsi="宋体" w:eastAsia="宋体" w:cs="宋体"/>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rPr>
              <w:t>厂区内厂房布置简单，</w:t>
            </w:r>
            <w:r>
              <w:rPr>
                <w:rFonts w:hint="eastAsia" w:cs="Times New Roman"/>
                <w:color w:val="auto"/>
                <w:sz w:val="24"/>
                <w:szCs w:val="24"/>
                <w:highlight w:val="none"/>
                <w:lang w:val="en-US" w:eastAsia="zh-CN"/>
              </w:rPr>
              <w:t>一层为注塑、粉碎、烘干、仓库等，二层为喷粉、组装等，三层为包胶、线束组装。</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default" w:ascii="Times New Roman" w:hAnsi="Times New Roman" w:eastAsia="宋体" w:cs="Times New Roman"/>
                <w:color w:val="auto"/>
                <w:sz w:val="24"/>
                <w:szCs w:val="24"/>
                <w:highlight w:val="none"/>
              </w:rPr>
              <w:t>。</w:t>
            </w:r>
          </w:p>
          <w:p w14:paraId="528A92B9">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与周边相容性分析</w:t>
            </w:r>
          </w:p>
          <w:p w14:paraId="2FBE4674">
            <w:pPr>
              <w:widowControl/>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u w:val="none"/>
                <w:lang w:eastAsia="zh-CN"/>
              </w:rPr>
              <w:t>本项目位于</w:t>
            </w:r>
            <w:r>
              <w:rPr>
                <w:rFonts w:hint="eastAsia" w:cs="Times New Roman"/>
                <w:color w:val="auto"/>
                <w:sz w:val="24"/>
                <w:szCs w:val="24"/>
                <w:highlight w:val="none"/>
                <w:u w:val="none"/>
                <w:lang w:val="en-US" w:eastAsia="zh-CN"/>
              </w:rPr>
              <w:t>福清融侨经济技术开发区（购置均和云谷·福清科技港39#厂房），</w:t>
            </w:r>
            <w:r>
              <w:rPr>
                <w:rFonts w:hint="eastAsia" w:ascii="Times New Roman" w:hAnsi="Times New Roman" w:eastAsia="宋体" w:cs="Times New Roman"/>
                <w:color w:val="auto"/>
                <w:sz w:val="24"/>
                <w:lang w:val="en-US" w:eastAsia="zh-CN"/>
              </w:rPr>
              <w:t>根据调查项目厂址不位于自然保护区、风景名胜区、饮用水水源保护区和其他需要特别保护等法律法规禁止开发建设的区域，用地为工业用地，与区域内土地利用规划不冲突。</w:t>
            </w:r>
            <w:r>
              <w:rPr>
                <w:rFonts w:hint="default" w:ascii="Times New Roman" w:hAnsi="Times New Roman" w:eastAsia="宋体" w:cs="Times New Roman"/>
                <w:color w:val="auto"/>
                <w:sz w:val="24"/>
                <w:lang w:val="en-US" w:eastAsia="zh-CN"/>
              </w:rPr>
              <w:t>根据现场勘查，</w:t>
            </w:r>
            <w:r>
              <w:rPr>
                <w:rFonts w:hint="eastAsia" w:ascii="Times New Roman" w:hAnsi="Times New Roman" w:eastAsia="宋体" w:cs="Times New Roman"/>
                <w:color w:val="auto"/>
                <w:sz w:val="24"/>
                <w:lang w:val="en-US" w:eastAsia="zh-CN"/>
              </w:rPr>
              <w:t>项目</w:t>
            </w:r>
            <w:r>
              <w:rPr>
                <w:rFonts w:hint="eastAsia"/>
                <w:color w:val="auto"/>
                <w:sz w:val="24"/>
                <w:lang w:val="en-US" w:eastAsia="zh-CN"/>
              </w:rPr>
              <w:t>厂界外50米范围内不存在声环境保护目标，厂界</w:t>
            </w:r>
            <w:r>
              <w:rPr>
                <w:rFonts w:hint="eastAsia" w:ascii="Times New Roman" w:hAnsi="Times New Roman" w:eastAsia="宋体" w:cs="Times New Roman"/>
                <w:color w:val="auto"/>
                <w:sz w:val="24"/>
                <w:lang w:val="en-US" w:eastAsia="zh-CN"/>
              </w:rPr>
              <w:t>外500米范围内距离项目最近的西南侧约</w:t>
            </w:r>
            <w:r>
              <w:rPr>
                <w:rFonts w:hint="eastAsia" w:cs="Times New Roman"/>
                <w:color w:val="auto"/>
                <w:sz w:val="24"/>
                <w:lang w:val="en-US" w:eastAsia="zh-CN"/>
              </w:rPr>
              <w:t>177</w:t>
            </w:r>
            <w:r>
              <w:rPr>
                <w:rFonts w:hint="eastAsia" w:ascii="Times New Roman" w:hAnsi="Times New Roman" w:eastAsia="宋体" w:cs="Times New Roman"/>
                <w:color w:val="auto"/>
                <w:sz w:val="24"/>
                <w:lang w:val="en-US" w:eastAsia="zh-CN"/>
              </w:rPr>
              <w:t>m的下田村居民点，</w:t>
            </w:r>
            <w:r>
              <w:rPr>
                <w:rFonts w:hint="default" w:ascii="Times New Roman" w:hAnsi="Times New Roman" w:eastAsia="宋体" w:cs="Times New Roman"/>
                <w:color w:val="auto"/>
                <w:sz w:val="24"/>
                <w:lang w:eastAsia="zh-CN"/>
              </w:rPr>
              <w:t>周边</w:t>
            </w:r>
            <w:r>
              <w:rPr>
                <w:rFonts w:hint="eastAsia" w:cs="Times New Roman"/>
                <w:color w:val="auto"/>
                <w:sz w:val="24"/>
                <w:lang w:eastAsia="zh-CN"/>
              </w:rPr>
              <w:t>分布以工业企业为主</w:t>
            </w:r>
            <w:r>
              <w:rPr>
                <w:rFonts w:hint="eastAsia" w:ascii="Times New Roman" w:hAnsi="Times New Roman" w:eastAsia="宋体" w:cs="Times New Roman"/>
                <w:color w:val="auto"/>
                <w:sz w:val="24"/>
                <w:lang w:val="en-US" w:eastAsia="zh-CN"/>
              </w:rPr>
              <w:t>等</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highlight w:val="none"/>
                <w:lang w:eastAsia="zh-CN"/>
              </w:rPr>
              <w:t>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二</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eastAsia="zh-CN"/>
              </w:rPr>
              <w:t>建设单位在</w:t>
            </w:r>
            <w:r>
              <w:rPr>
                <w:rFonts w:hint="eastAsia" w:cs="Times New Roman"/>
                <w:color w:val="auto"/>
                <w:sz w:val="24"/>
                <w:lang w:eastAsia="zh-CN"/>
              </w:rPr>
              <w:t>切实落实</w:t>
            </w:r>
            <w:r>
              <w:rPr>
                <w:rFonts w:hint="default" w:ascii="Times New Roman" w:hAnsi="Times New Roman" w:eastAsia="宋体" w:cs="Times New Roman"/>
                <w:color w:val="auto"/>
                <w:sz w:val="24"/>
                <w:lang w:eastAsia="zh-CN"/>
              </w:rPr>
              <w:t>本评价提出的各项污染治理措施的前提下，可实现污染物达标排放</w:t>
            </w:r>
            <w:r>
              <w:rPr>
                <w:rFonts w:hint="eastAsia" w:cs="Times New Roman"/>
                <w:color w:val="auto"/>
                <w:sz w:val="24"/>
                <w:lang w:eastAsia="zh-CN"/>
              </w:rPr>
              <w:t>且</w:t>
            </w:r>
            <w:r>
              <w:rPr>
                <w:rFonts w:hint="default" w:ascii="Times New Roman" w:hAnsi="Times New Roman" w:eastAsia="宋体" w:cs="Times New Roman"/>
                <w:color w:val="auto"/>
                <w:sz w:val="24"/>
                <w:lang w:eastAsia="zh-CN"/>
              </w:rPr>
              <w:t>各污染物排放源强较低，运营期产生的</w:t>
            </w:r>
            <w:r>
              <w:rPr>
                <w:rFonts w:hint="eastAsia" w:cs="Times New Roman"/>
                <w:color w:val="auto"/>
                <w:sz w:val="24"/>
                <w:lang w:eastAsia="zh-CN"/>
              </w:rPr>
              <w:t>“</w:t>
            </w:r>
            <w:r>
              <w:rPr>
                <w:rFonts w:hint="default" w:ascii="Times New Roman" w:hAnsi="Times New Roman" w:eastAsia="宋体" w:cs="Times New Roman"/>
                <w:color w:val="auto"/>
                <w:sz w:val="24"/>
                <w:lang w:eastAsia="zh-CN"/>
              </w:rPr>
              <w:t>三废</w:t>
            </w:r>
            <w:r>
              <w:rPr>
                <w:rFonts w:hint="eastAsia" w:cs="Times New Roman"/>
                <w:color w:val="auto"/>
                <w:sz w:val="24"/>
                <w:lang w:eastAsia="zh-CN"/>
              </w:rPr>
              <w:t>”</w:t>
            </w:r>
            <w:r>
              <w:rPr>
                <w:rFonts w:hint="default" w:ascii="Times New Roman" w:hAnsi="Times New Roman" w:eastAsia="宋体" w:cs="Times New Roman"/>
                <w:color w:val="auto"/>
                <w:sz w:val="24"/>
                <w:lang w:eastAsia="zh-CN"/>
              </w:rPr>
              <w:t>及噪声对周边环境影响不明显，因此，项目建设与周边环境基本相容。</w:t>
            </w:r>
          </w:p>
          <w:p w14:paraId="765B522C">
            <w:pPr>
              <w:widowControl/>
              <w:numPr>
                <w:ilvl w:val="0"/>
                <w:numId w:val="0"/>
              </w:numPr>
              <w:spacing w:line="360" w:lineRule="auto"/>
              <w:ind w:firstLine="482" w:firstLineChars="200"/>
              <w:jc w:val="left"/>
              <w:rPr>
                <w:b/>
                <w:bCs/>
                <w:color w:val="auto"/>
                <w:sz w:val="24"/>
              </w:rPr>
            </w:pPr>
            <w:r>
              <w:rPr>
                <w:rFonts w:hint="eastAsia"/>
                <w:b/>
                <w:bCs/>
                <w:color w:val="auto"/>
                <w:sz w:val="24"/>
                <w:lang w:val="en-US" w:eastAsia="zh-CN"/>
              </w:rPr>
              <w:t>7.</w:t>
            </w:r>
            <w:r>
              <w:rPr>
                <w:b/>
                <w:bCs/>
                <w:color w:val="auto"/>
                <w:sz w:val="24"/>
              </w:rPr>
              <w:t>与挥发性有机物污染防治相关政策符合性分析</w:t>
            </w:r>
          </w:p>
          <w:p w14:paraId="2CD9E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auto"/>
                <w:sz w:val="24"/>
                <w:szCs w:val="24"/>
                <w:highlight w:val="none"/>
                <w:u w:val="none"/>
                <w:lang w:val="en-US" w:eastAsia="zh-CN" w:bidi="ar"/>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1.1-5</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1.1-5的分析可知，本项目建设符合国家及地方的</w:t>
            </w:r>
            <w:r>
              <w:rPr>
                <w:rFonts w:hint="eastAsia" w:cs="宋体"/>
                <w:color w:val="auto"/>
                <w:sz w:val="24"/>
                <w:szCs w:val="24"/>
                <w:highlight w:val="none"/>
                <w:u w:val="none"/>
                <w:lang w:bidi="ar"/>
              </w:rPr>
              <w:t>挥发性有机物污染防治政策相关内容</w:t>
            </w:r>
            <w:r>
              <w:rPr>
                <w:rFonts w:hint="eastAsia" w:cs="宋体"/>
                <w:color w:val="auto"/>
                <w:sz w:val="24"/>
                <w:szCs w:val="24"/>
                <w:highlight w:val="none"/>
                <w:u w:val="none"/>
                <w:lang w:eastAsia="zh-CN" w:bidi="ar"/>
              </w:rPr>
              <w:t>的要求。</w:t>
            </w:r>
          </w:p>
          <w:p w14:paraId="0605C47A">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黑体" w:cs="Times New Roman"/>
                <w:color w:val="auto"/>
                <w:sz w:val="24"/>
                <w:highlight w:val="none"/>
                <w:u w:val="none"/>
              </w:rPr>
            </w:pPr>
            <w:r>
              <w:rPr>
                <w:rFonts w:hint="eastAsia" w:ascii="Times New Roman" w:hAnsi="Times New Roman" w:eastAsia="宋体" w:cs="Times New Roman"/>
                <w:b/>
                <w:bCs/>
                <w:color w:val="auto"/>
                <w:sz w:val="24"/>
                <w:szCs w:val="24"/>
                <w:highlight w:val="none"/>
                <w:lang w:val="en-US" w:eastAsia="zh-CN"/>
              </w:rPr>
              <w:t>表1.1-5 挥发性有机物污染防治政策相关内容</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4088"/>
              <w:gridCol w:w="2648"/>
              <w:gridCol w:w="423"/>
            </w:tblGrid>
            <w:tr w14:paraId="04B19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52" w:type="pct"/>
                  <w:tcBorders>
                    <w:tl2br w:val="nil"/>
                    <w:tr2bl w:val="nil"/>
                  </w:tcBorders>
                  <w:vAlign w:val="center"/>
                </w:tcPr>
                <w:p w14:paraId="029C8AA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相关文件名称</w:t>
                  </w:r>
                </w:p>
              </w:tc>
              <w:tc>
                <w:tcPr>
                  <w:tcW w:w="2425" w:type="pct"/>
                  <w:tcBorders>
                    <w:tl2br w:val="nil"/>
                    <w:tr2bl w:val="nil"/>
                  </w:tcBorders>
                  <w:vAlign w:val="center"/>
                </w:tcPr>
                <w:p w14:paraId="752A422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相关内容</w:t>
                  </w:r>
                </w:p>
              </w:tc>
              <w:tc>
                <w:tcPr>
                  <w:tcW w:w="1571" w:type="pct"/>
                  <w:tcBorders>
                    <w:tl2br w:val="nil"/>
                    <w:tr2bl w:val="nil"/>
                  </w:tcBorders>
                  <w:vAlign w:val="center"/>
                </w:tcPr>
                <w:p w14:paraId="369F465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本项目内容</w:t>
                  </w:r>
                </w:p>
              </w:tc>
              <w:tc>
                <w:tcPr>
                  <w:tcW w:w="250" w:type="pct"/>
                  <w:tcBorders>
                    <w:tl2br w:val="nil"/>
                    <w:tr2bl w:val="nil"/>
                  </w:tcBorders>
                  <w:vAlign w:val="center"/>
                </w:tcPr>
                <w:p w14:paraId="5D5B2CE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符合性</w:t>
                  </w:r>
                </w:p>
              </w:tc>
            </w:tr>
            <w:tr w14:paraId="243CB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2C40EDA1">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福建省“十四五”空气质量改善规划</w:t>
                  </w:r>
                  <w:r>
                    <w:rPr>
                      <w:rFonts w:hint="eastAsia" w:ascii="Times New Roman" w:hAnsi="Times New Roman" w:eastAsia="宋体" w:cs="Times New Roman"/>
                      <w:color w:val="auto"/>
                      <w:sz w:val="21"/>
                      <w:szCs w:val="21"/>
                      <w:lang w:eastAsia="zh-CN"/>
                    </w:rPr>
                    <w:t>》</w:t>
                  </w:r>
                </w:p>
                <w:p w14:paraId="4812D95C">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2022年1月</w:t>
                  </w:r>
                  <w:r>
                    <w:rPr>
                      <w:rFonts w:hint="eastAsia" w:cs="Times New Roman"/>
                      <w:color w:val="auto"/>
                      <w:sz w:val="21"/>
                      <w:szCs w:val="21"/>
                      <w:lang w:val="en-US" w:eastAsia="zh-CN"/>
                    </w:rPr>
                    <w:t>）</w:t>
                  </w:r>
                </w:p>
              </w:tc>
              <w:tc>
                <w:tcPr>
                  <w:tcW w:w="2425" w:type="pct"/>
                  <w:tcBorders>
                    <w:tl2br w:val="nil"/>
                    <w:tr2bl w:val="nil"/>
                  </w:tcBorders>
                  <w:shd w:val="clear" w:color="auto" w:fill="auto"/>
                  <w:vAlign w:val="center"/>
                </w:tcPr>
                <w:p w14:paraId="0C394461">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rPr>
                    <w:t>推广使用水性、高固体分、无溶剂、粉末等低VOCs含量涂料，</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电缆桥架</w:t>
                  </w:r>
                  <w:r>
                    <w:rPr>
                      <w:rFonts w:hint="eastAsia" w:ascii="Times New Roman" w:hAnsi="Times New Roman" w:eastAsia="宋体" w:cs="Times New Roman"/>
                      <w:color w:val="auto"/>
                      <w:sz w:val="21"/>
                      <w:szCs w:val="21"/>
                    </w:rPr>
                    <w:t>制造、</w:t>
                  </w:r>
                  <w:r>
                    <w:rPr>
                      <w:rFonts w:hint="eastAsia" w:ascii="Times New Roman" w:hAnsi="Times New Roman" w:eastAsia="宋体" w:cs="Times New Roman"/>
                      <w:b w:val="0"/>
                      <w:bCs w:val="0"/>
                      <w:color w:val="auto"/>
                      <w:sz w:val="21"/>
                      <w:szCs w:val="21"/>
                    </w:rPr>
                    <w:t>汽车零部件</w:t>
                  </w:r>
                  <w:r>
                    <w:rPr>
                      <w:rFonts w:hint="eastAsia" w:ascii="Times New Roman" w:hAnsi="Times New Roman" w:eastAsia="宋体" w:cs="Times New Roman"/>
                      <w:color w:val="auto"/>
                      <w:sz w:val="21"/>
                      <w:szCs w:val="21"/>
                    </w:rPr>
                    <w:t>、工程机械使用比例达到50%以上；</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严格执行涂料、油墨、胶粘剂、清洗剂VOCs含量限值标准，加大抽检力度，确保生产、销售、进口、使用符合标准的产品。严格涉VOCs建设项目环境影响评价，VOCs排放实行区域内等量替代，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auto"/>
                      <w:sz w:val="21"/>
                      <w:szCs w:val="21"/>
                    </w:rPr>
                    <w:t>福州</w:t>
                  </w:r>
                  <w:r>
                    <w:rPr>
                      <w:rFonts w:hint="eastAsia" w:ascii="Times New Roman" w:hAnsi="Times New Roman" w:eastAsia="宋体" w:cs="Times New Roman"/>
                      <w:color w:val="auto"/>
                      <w:sz w:val="21"/>
                      <w:szCs w:val="21"/>
                    </w:rPr>
                    <w:t>、厦门、漳州、泉州、莆田、宁德实施VOCs倍量替代。</w:t>
                  </w:r>
                </w:p>
              </w:tc>
              <w:tc>
                <w:tcPr>
                  <w:tcW w:w="1571" w:type="pct"/>
                  <w:vMerge w:val="restart"/>
                  <w:tcBorders>
                    <w:tl2br w:val="nil"/>
                    <w:tr2bl w:val="nil"/>
                  </w:tcBorders>
                  <w:vAlign w:val="center"/>
                </w:tcPr>
                <w:p w14:paraId="1633BE4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b w:val="0"/>
                      <w:bCs w:val="0"/>
                      <w:color w:val="auto"/>
                      <w:sz w:val="21"/>
                      <w:szCs w:val="21"/>
                      <w:lang w:eastAsia="zh-CN"/>
                    </w:rPr>
                  </w:pPr>
                  <w:r>
                    <w:rPr>
                      <w:rFonts w:hint="eastAsia" w:ascii="Times New Roman" w:hAnsi="Times New Roman" w:cs="Times New Roman"/>
                      <w:b w:val="0"/>
                      <w:bCs w:val="0"/>
                      <w:sz w:val="21"/>
                      <w:szCs w:val="21"/>
                      <w:vertAlign w:val="baseline"/>
                      <w:lang w:val="en-US" w:eastAsia="zh-CN"/>
                    </w:rPr>
                    <w:t>本项目属于</w:t>
                  </w:r>
                  <w:r>
                    <w:rPr>
                      <w:rFonts w:hint="eastAsia" w:cs="Times New Roman"/>
                      <w:b w:val="0"/>
                      <w:bCs w:val="0"/>
                      <w:sz w:val="21"/>
                      <w:szCs w:val="21"/>
                      <w:vertAlign w:val="baseline"/>
                      <w:lang w:val="en-US" w:eastAsia="zh-CN"/>
                    </w:rPr>
                    <w:t>工业连接器和工业线缆</w:t>
                  </w:r>
                  <w:r>
                    <w:rPr>
                      <w:rFonts w:hint="eastAsia" w:ascii="Times New Roman" w:hAnsi="Times New Roman" w:cs="Times New Roman"/>
                      <w:b w:val="0"/>
                      <w:bCs w:val="0"/>
                      <w:sz w:val="21"/>
                      <w:szCs w:val="21"/>
                      <w:vertAlign w:val="baseline"/>
                      <w:lang w:val="en-US" w:eastAsia="zh-CN"/>
                    </w:rPr>
                    <w:t>制造。生产过程中不涉及涂料使用，注塑</w:t>
                  </w:r>
                  <w:r>
                    <w:rPr>
                      <w:rFonts w:hint="eastAsia" w:cs="Times New Roman"/>
                      <w:b w:val="0"/>
                      <w:bCs w:val="0"/>
                      <w:sz w:val="21"/>
                      <w:szCs w:val="21"/>
                      <w:vertAlign w:val="baseline"/>
                      <w:lang w:val="en-US" w:eastAsia="zh-CN"/>
                    </w:rPr>
                    <w:t>、包胶、除油、烘烤</w:t>
                  </w:r>
                  <w:r>
                    <w:rPr>
                      <w:rFonts w:hint="eastAsia" w:ascii="Times New Roman" w:hAnsi="Times New Roman" w:cs="Times New Roman"/>
                      <w:b w:val="0"/>
                      <w:bCs w:val="0"/>
                      <w:sz w:val="21"/>
                      <w:szCs w:val="21"/>
                      <w:vertAlign w:val="baseline"/>
                      <w:lang w:val="en-US" w:eastAsia="zh-CN"/>
                    </w:rPr>
                    <w:t>所产生VOCs的排放量较小，</w:t>
                  </w:r>
                  <w:r>
                    <w:rPr>
                      <w:rFonts w:hint="eastAsia" w:cs="Times New Roman"/>
                      <w:color w:val="auto"/>
                      <w:kern w:val="2"/>
                      <w:sz w:val="21"/>
                      <w:szCs w:val="21"/>
                      <w:lang w:val="en-US" w:eastAsia="zh-CN" w:bidi="ar-SA"/>
                    </w:rPr>
                    <w:t>无</w:t>
                  </w:r>
                  <w:r>
                    <w:rPr>
                      <w:rFonts w:hint="default" w:ascii="Times New Roman" w:hAnsi="Times New Roman" w:cs="Times New Roman"/>
                      <w:color w:val="auto"/>
                      <w:kern w:val="2"/>
                      <w:sz w:val="21"/>
                      <w:szCs w:val="21"/>
                      <w:lang w:val="en-US" w:eastAsia="zh-CN" w:bidi="ar-SA"/>
                    </w:rPr>
                    <w:t>需</w:t>
                  </w:r>
                  <w:r>
                    <w:rPr>
                      <w:rFonts w:hint="default" w:ascii="Times New Roman" w:hAnsi="Times New Roman" w:cs="Times New Roman"/>
                      <w:b w:val="0"/>
                      <w:bCs w:val="0"/>
                      <w:color w:val="auto"/>
                      <w:sz w:val="21"/>
                      <w:szCs w:val="21"/>
                    </w:rPr>
                    <w:t>安装VOCs在线监控设备</w:t>
                  </w:r>
                  <w:r>
                    <w:rPr>
                      <w:rFonts w:hint="eastAsia" w:ascii="Times New Roman" w:hAnsi="Times New Roman" w:cs="Times New Roman"/>
                      <w:b w:val="0"/>
                      <w:bCs w:val="0"/>
                      <w:color w:val="auto"/>
                      <w:sz w:val="21"/>
                      <w:szCs w:val="21"/>
                      <w:lang w:eastAsia="zh-CN"/>
                    </w:rPr>
                    <w:t>；</w:t>
                  </w:r>
                </w:p>
                <w:p w14:paraId="6BBCCEC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color w:val="auto"/>
                      <w:sz w:val="21"/>
                      <w:szCs w:val="21"/>
                      <w:lang w:val="en-US" w:eastAsia="zh-CN"/>
                    </w:rPr>
                    <w:t>项目建设位置位于</w:t>
                  </w:r>
                  <w:r>
                    <w:rPr>
                      <w:rFonts w:hint="eastAsia" w:cs="Times New Roman"/>
                      <w:b w:val="0"/>
                      <w:bCs w:val="0"/>
                      <w:color w:val="auto"/>
                      <w:sz w:val="21"/>
                      <w:szCs w:val="21"/>
                      <w:lang w:val="en-US" w:eastAsia="zh-CN"/>
                    </w:rPr>
                    <w:t>福清融侨经济技术开发区（购置均和云谷·福清科技港39#厂房）</w:t>
                  </w:r>
                  <w:r>
                    <w:rPr>
                      <w:rFonts w:hint="eastAsia" w:ascii="Times New Roman" w:hAnsi="Times New Roman" w:eastAsia="宋体" w:cs="Times New Roman"/>
                      <w:b w:val="0"/>
                      <w:bCs w:val="0"/>
                      <w:color w:val="auto"/>
                      <w:sz w:val="21"/>
                      <w:szCs w:val="21"/>
                      <w:lang w:val="en-US" w:eastAsia="zh-CN"/>
                    </w:rPr>
                    <w:t>，生产过</w:t>
                  </w:r>
                  <w:r>
                    <w:rPr>
                      <w:rFonts w:hint="eastAsia" w:cs="Times New Roman"/>
                      <w:b w:val="0"/>
                      <w:bCs w:val="0"/>
                      <w:color w:val="auto"/>
                      <w:sz w:val="21"/>
                      <w:szCs w:val="21"/>
                      <w:lang w:val="en-US" w:eastAsia="zh-CN"/>
                    </w:rPr>
                    <w:t>程中</w:t>
                  </w:r>
                  <w:r>
                    <w:rPr>
                      <w:rFonts w:hint="default" w:ascii="Times New Roman" w:hAnsi="Times New Roman" w:cs="Times New Roman"/>
                      <w:color w:val="auto"/>
                      <w:sz w:val="21"/>
                      <w:szCs w:val="21"/>
                    </w:rPr>
                    <w:t>排放的VOC</w:t>
                  </w:r>
                  <w:r>
                    <w:rPr>
                      <w:rFonts w:hint="eastAsia" w:ascii="Times New Roman" w:hAnsi="Times New Roman" w:cs="Times New Roman"/>
                      <w:color w:val="auto"/>
                      <w:sz w:val="21"/>
                      <w:szCs w:val="21"/>
                      <w:vertAlign w:val="subscript"/>
                      <w:lang w:val="en-US" w:eastAsia="zh-CN"/>
                    </w:rPr>
                    <w:t>s</w:t>
                  </w:r>
                  <w:r>
                    <w:rPr>
                      <w:rFonts w:hint="default" w:ascii="Times New Roman" w:hAnsi="Times New Roman" w:cs="Times New Roman"/>
                      <w:color w:val="auto"/>
                      <w:sz w:val="21"/>
                      <w:szCs w:val="21"/>
                    </w:rPr>
                    <w:t>由建设单位向生态环境主管部门申请倍量削减替代</w:t>
                  </w:r>
                </w:p>
              </w:tc>
              <w:tc>
                <w:tcPr>
                  <w:tcW w:w="250" w:type="pct"/>
                  <w:vMerge w:val="restart"/>
                  <w:tcBorders>
                    <w:tl2br w:val="nil"/>
                    <w:tr2bl w:val="nil"/>
                  </w:tcBorders>
                  <w:vAlign w:val="center"/>
                </w:tcPr>
                <w:p w14:paraId="5B05A0F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34EC0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6E32594D">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2022年度福州市蓝天碧海净土保卫战行动计划通知</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lang w:eastAsia="zh-CN"/>
                    </w:rPr>
                    <w:t>榕环委办</w:t>
                  </w:r>
                  <w:r>
                    <w:rPr>
                      <w:rFonts w:hint="eastAsia" w:ascii="Times New Roman" w:hAnsi="Times New Roman" w:cs="Times New Roman"/>
                      <w:color w:val="auto"/>
                      <w:sz w:val="21"/>
                      <w:szCs w:val="21"/>
                      <w:lang w:eastAsia="zh-CN"/>
                    </w:rPr>
                    <w:t>〔2022〕49号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637BCD35">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四是严格涉VOCs建设项目环境影响评价审批。新、改、扩建涉VOCs排放项目，应使用低</w:t>
                  </w:r>
                  <w:r>
                    <w:rPr>
                      <w:rFonts w:hint="eastAsia" w:cs="Times New Roman"/>
                      <w:color w:val="auto"/>
                      <w:sz w:val="21"/>
                      <w:szCs w:val="21"/>
                      <w:lang w:eastAsia="zh-CN"/>
                    </w:rPr>
                    <w:t>（</w:t>
                  </w:r>
                  <w:r>
                    <w:rPr>
                      <w:rFonts w:hint="default" w:ascii="Times New Roman" w:hAnsi="Times New Roman" w:cs="Times New Roman"/>
                      <w:color w:val="auto"/>
                      <w:sz w:val="21"/>
                      <w:szCs w:val="21"/>
                    </w:rPr>
                    <w:t>无</w:t>
                  </w:r>
                  <w:r>
                    <w:rPr>
                      <w:rFonts w:hint="eastAsia" w:cs="Times New Roman"/>
                      <w:color w:val="auto"/>
                      <w:sz w:val="21"/>
                      <w:szCs w:val="21"/>
                      <w:lang w:eastAsia="zh-CN"/>
                    </w:rPr>
                    <w:t>）</w:t>
                  </w:r>
                  <w:r>
                    <w:rPr>
                      <w:rFonts w:hint="default" w:ascii="Times New Roman" w:hAnsi="Times New Roman" w:cs="Times New Roman"/>
                      <w:color w:val="auto"/>
                      <w:sz w:val="21"/>
                      <w:szCs w:val="21"/>
                    </w:rPr>
                    <w:t>VOCs涂料、粘胶剂等，实施新建项目VOCs排放区域内1.2及以上倍量替代。VOCs年排放量大于5吨的新建项目投运前应安装VOCs在线监控设备，并接入市生态云平台。</w:t>
                  </w:r>
                </w:p>
              </w:tc>
              <w:tc>
                <w:tcPr>
                  <w:tcW w:w="1571" w:type="pct"/>
                  <w:vMerge w:val="continue"/>
                  <w:tcBorders>
                    <w:tl2br w:val="nil"/>
                    <w:tr2bl w:val="nil"/>
                  </w:tcBorders>
                  <w:vAlign w:val="center"/>
                </w:tcPr>
                <w:p w14:paraId="40193E96">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2A9EC989">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3A985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50931ECA">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福州市“十四五”生态环境保护规划</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榕政办〔2021〕123 号</w:t>
                  </w:r>
                  <w:r>
                    <w:rPr>
                      <w:rFonts w:hint="eastAsia" w:cs="Times New Roman"/>
                      <w:color w:val="auto"/>
                      <w:sz w:val="21"/>
                      <w:szCs w:val="21"/>
                      <w:lang w:eastAsia="zh-CN"/>
                    </w:rPr>
                    <w:t>）</w:t>
                  </w:r>
                </w:p>
              </w:tc>
              <w:tc>
                <w:tcPr>
                  <w:tcW w:w="2425" w:type="pct"/>
                  <w:tcBorders>
                    <w:tl2br w:val="nil"/>
                    <w:tr2bl w:val="nil"/>
                  </w:tcBorders>
                  <w:shd w:val="clear" w:color="auto" w:fill="auto"/>
                  <w:vAlign w:val="center"/>
                </w:tcPr>
                <w:p w14:paraId="13369EDE">
                  <w:pPr>
                    <w:pStyle w:val="37"/>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强化挥发性有机物整治。</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rPr>
                    <w:t>实行挥发性有机物排放倍量替代。加大涉VOCs企业源头替代力度，推广使用低</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无</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VOCs原辅材料替代，禁止生产高VOCs含量有机溶剂型涂料、油墨和胶黏剂的新、改、扩建项目，推进重点企业“油改水”治理，提高有机溶剂回收率。”</w:t>
                  </w:r>
                </w:p>
              </w:tc>
              <w:tc>
                <w:tcPr>
                  <w:tcW w:w="1571" w:type="pct"/>
                  <w:vMerge w:val="continue"/>
                  <w:tcBorders>
                    <w:tl2br w:val="nil"/>
                    <w:tr2bl w:val="nil"/>
                  </w:tcBorders>
                  <w:vAlign w:val="center"/>
                </w:tcPr>
                <w:p w14:paraId="1A30F1EB">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p>
              </w:tc>
              <w:tc>
                <w:tcPr>
                  <w:tcW w:w="250" w:type="pct"/>
                  <w:vMerge w:val="continue"/>
                  <w:tcBorders>
                    <w:tl2br w:val="nil"/>
                    <w:tr2bl w:val="nil"/>
                  </w:tcBorders>
                  <w:vAlign w:val="center"/>
                </w:tcPr>
                <w:p w14:paraId="60381A2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7541B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shd w:val="clear" w:color="auto" w:fill="auto"/>
                  <w:vAlign w:val="center"/>
                </w:tcPr>
                <w:p w14:paraId="10DC34DA">
                  <w:pPr>
                    <w:pStyle w:val="37"/>
                    <w:adjustRightInd w:val="0"/>
                    <w:snapToGrid w:val="0"/>
                    <w:spacing w:line="340" w:lineRule="exact"/>
                    <w:jc w:val="center"/>
                    <w:rPr>
                      <w:rFonts w:hint="eastAsia" w:ascii="Times New Roman" w:hAnsi="Times New Roman" w:eastAsia="宋体" w:cs="Times New Roman"/>
                      <w:kern w:val="2"/>
                      <w:sz w:val="21"/>
                      <w:szCs w:val="24"/>
                      <w:lang w:val="en-US" w:eastAsia="zh-CN" w:bidi="ar-SA"/>
                    </w:rPr>
                  </w:pPr>
                  <w:r>
                    <w:rPr>
                      <w:rFonts w:hint="eastAsia"/>
                    </w:rPr>
                    <w:t>榕环保综</w:t>
                  </w:r>
                  <w:r>
                    <w:rPr>
                      <w:rFonts w:hint="eastAsia"/>
                      <w:lang w:eastAsia="zh-CN"/>
                    </w:rPr>
                    <w:t>〔2021〕100号</w:t>
                  </w:r>
                  <w:r>
                    <w:rPr>
                      <w:rFonts w:hint="eastAsia"/>
                    </w:rPr>
                    <w:t>《关于开展福州市重点行业挥发性有机物综合治理工作（VOCs2.0）》</w:t>
                  </w:r>
                </w:p>
              </w:tc>
              <w:tc>
                <w:tcPr>
                  <w:tcW w:w="2425" w:type="pct"/>
                  <w:tcBorders>
                    <w:tl2br w:val="nil"/>
                    <w:tr2bl w:val="nil"/>
                  </w:tcBorders>
                  <w:shd w:val="clear" w:color="auto" w:fill="auto"/>
                  <w:vAlign w:val="center"/>
                </w:tcPr>
                <w:p w14:paraId="6A0AA2B4">
                  <w:pPr>
                    <w:pStyle w:val="38"/>
                    <w:jc w:val="both"/>
                    <w:rPr>
                      <w:color w:val="auto"/>
                      <w:highlight w:val="none"/>
                    </w:rPr>
                  </w:pPr>
                  <w:r>
                    <w:rPr>
                      <w:rFonts w:hint="eastAsia"/>
                      <w:color w:val="auto"/>
                      <w:highlight w:val="none"/>
                    </w:rPr>
                    <w:t>（三）严格审批，加强管控</w:t>
                  </w:r>
                </w:p>
                <w:p w14:paraId="62F7FC1C">
                  <w:pPr>
                    <w:pStyle w:val="37"/>
                    <w:adjustRightInd w:val="0"/>
                    <w:snapToGrid w:val="0"/>
                    <w:spacing w:line="340" w:lineRule="exact"/>
                    <w:jc w:val="both"/>
                    <w:rPr>
                      <w:rFonts w:hint="eastAsia" w:ascii="Times New Roman" w:hAnsi="Times New Roman" w:eastAsia="宋体" w:cs="Times New Roman"/>
                      <w:kern w:val="2"/>
                      <w:sz w:val="21"/>
                      <w:szCs w:val="24"/>
                      <w:lang w:val="en-US" w:eastAsia="zh-CN" w:bidi="ar-SA"/>
                    </w:rPr>
                  </w:pPr>
                  <w:r>
                    <w:rPr>
                      <w:rFonts w:hint="eastAsia"/>
                      <w:color w:val="auto"/>
                      <w:highlight w:val="none"/>
                    </w:rPr>
                    <w:t>1.严格涉挥发性有机物建设项目环境影响评价审批。新、改、扩建排放挥发性有机物的建设项目实行</w:t>
                  </w:r>
                  <w:r>
                    <w:rPr>
                      <w:rFonts w:hint="eastAsia"/>
                      <w:color w:val="auto"/>
                      <w:highlight w:val="none"/>
                      <w:shd w:val="clear" w:color="auto" w:fill="FFFFFF"/>
                    </w:rPr>
                    <w:t>倍量</w:t>
                  </w:r>
                  <w:r>
                    <w:rPr>
                      <w:rFonts w:hint="eastAsia"/>
                      <w:color w:val="auto"/>
                      <w:highlight w:val="none"/>
                    </w:rPr>
                    <w:t>替代。鼓励使用低（无）挥发性有机物含量的原辅材料</w:t>
                  </w:r>
                </w:p>
              </w:tc>
              <w:tc>
                <w:tcPr>
                  <w:tcW w:w="1571" w:type="pct"/>
                  <w:vMerge w:val="continue"/>
                  <w:tcBorders>
                    <w:tl2br w:val="nil"/>
                    <w:tr2bl w:val="nil"/>
                  </w:tcBorders>
                  <w:vAlign w:val="center"/>
                </w:tcPr>
                <w:p w14:paraId="1B5270D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rPr>
                  </w:pPr>
                </w:p>
              </w:tc>
              <w:tc>
                <w:tcPr>
                  <w:tcW w:w="250" w:type="pct"/>
                  <w:vMerge w:val="continue"/>
                  <w:tcBorders>
                    <w:tl2br w:val="nil"/>
                    <w:tr2bl w:val="nil"/>
                  </w:tcBorders>
                  <w:vAlign w:val="center"/>
                </w:tcPr>
                <w:p w14:paraId="073EC99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p>
              </w:tc>
            </w:tr>
            <w:tr w14:paraId="064AF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497729C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color w:val="auto"/>
                      <w:highlight w:val="none"/>
                    </w:rPr>
                    <w:t>《福建省2020年挥发性有机物治理攻坚实施方案》的通知</w:t>
                  </w:r>
                  <w:r>
                    <w:rPr>
                      <w:rFonts w:hint="eastAsia"/>
                      <w:color w:val="auto"/>
                      <w:highlight w:val="none"/>
                    </w:rPr>
                    <w:t>（</w:t>
                  </w:r>
                  <w:r>
                    <w:rPr>
                      <w:color w:val="auto"/>
                      <w:highlight w:val="none"/>
                    </w:rPr>
                    <w:t>闽环保大气〔2020〕6号</w:t>
                  </w:r>
                  <w:r>
                    <w:rPr>
                      <w:rFonts w:hint="eastAsia"/>
                      <w:color w:val="auto"/>
                      <w:highlight w:val="none"/>
                    </w:rPr>
                    <w:t>）</w:t>
                  </w:r>
                </w:p>
              </w:tc>
              <w:tc>
                <w:tcPr>
                  <w:tcW w:w="2425" w:type="pct"/>
                  <w:tcBorders>
                    <w:tl2br w:val="nil"/>
                    <w:tr2bl w:val="nil"/>
                  </w:tcBorders>
                  <w:shd w:val="clear" w:color="auto" w:fill="auto"/>
                  <w:vAlign w:val="center"/>
                </w:tcPr>
                <w:p w14:paraId="06A2BDAD">
                  <w:pPr>
                    <w:pStyle w:val="38"/>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大力推进源头替代，有效减少VOCs产生；</w:t>
                  </w:r>
                </w:p>
                <w:p w14:paraId="7C3B7D3E">
                  <w:pPr>
                    <w:pStyle w:val="38"/>
                    <w:jc w:val="both"/>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highlight w:val="none"/>
                    </w:rPr>
                    <w:t>（</w:t>
                  </w:r>
                  <w:r>
                    <w:rPr>
                      <w:color w:val="auto"/>
                      <w:highlight w:val="none"/>
                    </w:rPr>
                    <w:t>渣、液</w:t>
                  </w:r>
                  <w:r>
                    <w:rPr>
                      <w:rFonts w:hint="eastAsia"/>
                      <w:color w:val="auto"/>
                      <w:highlight w:val="none"/>
                    </w:rPr>
                    <w:t>）</w:t>
                  </w:r>
                  <w:r>
                    <w:rPr>
                      <w:color w:val="auto"/>
                      <w:highlight w:val="none"/>
                    </w:rPr>
                    <w:t>、废吸附剂等通过加盖、封装等方式密闭，妥善存放，集中清运，交有资质的单位处置，不得随意丢弃；</w:t>
                  </w:r>
                </w:p>
                <w:p w14:paraId="1F8256A6">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w:t>
                  </w:r>
                  <w:r>
                    <w:rPr>
                      <w:color w:val="auto"/>
                      <w:highlight w:val="none"/>
                    </w:rPr>
                    <w:t>3</w:t>
                  </w:r>
                  <w:r>
                    <w:rPr>
                      <w:rFonts w:hint="eastAsia"/>
                      <w:color w:val="auto"/>
                      <w:highlight w:val="none"/>
                    </w:rPr>
                    <w:t>）</w:t>
                  </w:r>
                  <w:r>
                    <w:rPr>
                      <w:color w:val="auto"/>
                      <w:highlight w:val="none"/>
                    </w:rPr>
                    <w:t>聚焦治污设施</w:t>
                  </w:r>
                  <w:r>
                    <w:rPr>
                      <w:rFonts w:hint="eastAsia"/>
                      <w:color w:val="auto"/>
                      <w:highlight w:val="none"/>
                    </w:rPr>
                    <w:t>“</w:t>
                  </w:r>
                  <w:r>
                    <w:rPr>
                      <w:color w:val="auto"/>
                      <w:highlight w:val="none"/>
                    </w:rPr>
                    <w:t>三率</w:t>
                  </w:r>
                  <w:r>
                    <w:rPr>
                      <w:rFonts w:hint="eastAsia"/>
                      <w:color w:val="auto"/>
                      <w:highlight w:val="none"/>
                    </w:rPr>
                    <w:t>”</w:t>
                  </w:r>
                  <w:r>
                    <w:rPr>
                      <w:color w:val="auto"/>
                      <w:highlight w:val="none"/>
                    </w:rPr>
                    <w:t>，提升综合治理效率</w:t>
                  </w:r>
                  <w:r>
                    <w:rPr>
                      <w:color w:val="auto"/>
                      <w:highlight w:val="none"/>
                      <w:shd w:val="clear" w:color="auto" w:fill="FFFFFF"/>
                    </w:rPr>
                    <w:t>。.</w:t>
                  </w:r>
                  <w:r>
                    <w:rPr>
                      <w:color w:val="auto"/>
                      <w:highlight w:val="none"/>
                    </w:rPr>
                    <w:t>....</w:t>
                  </w:r>
                  <w:r>
                    <w:rPr>
                      <w:color w:val="auto"/>
                      <w:highlight w:val="none"/>
                      <w:shd w:val="clear" w:color="auto" w:fill="FFFFFF"/>
                    </w:rPr>
                    <w:t>.</w:t>
                  </w:r>
                  <w:r>
                    <w:rPr>
                      <w:color w:val="auto"/>
                      <w:highlight w:val="none"/>
                    </w:rPr>
                    <w:t>除恶臭异味治理外，一般不采用低温等离子、光催化、光氧化等技术。优先采用密闭设备、在密闭空间中操作或采用全密闭集气罩收集方式；</w:t>
                  </w:r>
                  <w:r>
                    <w:rPr>
                      <w:rFonts w:hint="eastAsia"/>
                      <w:color w:val="auto"/>
                      <w:highlight w:val="none"/>
                      <w:lang w:eastAsia="zh-CN"/>
                    </w:rPr>
                    <w:t>……</w:t>
                  </w:r>
                  <w:r>
                    <w:rPr>
                      <w:color w:val="auto"/>
                      <w:highlight w:val="none"/>
                    </w:rPr>
                    <w:t>采用活性炭吸附技术的，应选择碘值不低于800毫克/克的活性炭，并按设计要求足量添加</w:t>
                  </w:r>
                  <w:r>
                    <w:rPr>
                      <w:rFonts w:hint="eastAsia"/>
                      <w:color w:val="auto"/>
                      <w:highlight w:val="none"/>
                      <w:lang w:eastAsia="zh-CN"/>
                    </w:rPr>
                    <w:t>及</w:t>
                  </w:r>
                  <w:r>
                    <w:rPr>
                      <w:color w:val="auto"/>
                      <w:highlight w:val="none"/>
                    </w:rPr>
                    <w:t>时更换。</w:t>
                  </w:r>
                </w:p>
              </w:tc>
              <w:tc>
                <w:tcPr>
                  <w:tcW w:w="1571" w:type="pct"/>
                  <w:tcBorders>
                    <w:tl2br w:val="nil"/>
                    <w:tr2bl w:val="nil"/>
                  </w:tcBorders>
                  <w:shd w:val="clear" w:color="auto" w:fill="auto"/>
                  <w:vAlign w:val="center"/>
                </w:tcPr>
                <w:p w14:paraId="17E157A5">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（1）项目使用P</w:t>
                  </w:r>
                  <w:r>
                    <w:rPr>
                      <w:rFonts w:hint="eastAsia"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U</w:t>
                  </w:r>
                  <w:r>
                    <w:rPr>
                      <w:rFonts w:hint="eastAsia" w:ascii="Times New Roman" w:hAnsi="Times New Roman" w:eastAsia="宋体" w:cs="Times New Roman"/>
                      <w:color w:val="auto"/>
                      <w:kern w:val="2"/>
                      <w:sz w:val="21"/>
                      <w:szCs w:val="21"/>
                      <w:highlight w:val="none"/>
                      <w:lang w:val="en-US" w:eastAsia="zh-CN" w:bidi="ar-SA"/>
                    </w:rPr>
                    <w:t>颗粒作为原料，VOCs含量低；常温下不产生VOCs。</w:t>
                  </w:r>
                </w:p>
                <w:p w14:paraId="6C8D2579">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U</w:t>
                  </w:r>
                  <w:r>
                    <w:rPr>
                      <w:rFonts w:hint="eastAsia" w:ascii="Times New Roman" w:hAnsi="Times New Roman" w:eastAsia="宋体" w:cs="Times New Roman"/>
                      <w:color w:val="auto"/>
                      <w:kern w:val="2"/>
                      <w:sz w:val="21"/>
                      <w:szCs w:val="21"/>
                      <w:highlight w:val="none"/>
                      <w:lang w:val="en-US" w:eastAsia="zh-CN" w:bidi="ar-SA"/>
                    </w:rPr>
                    <w:t>塑料颗粒采用密闭袋装暂存</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项目设备加热过程为密闭；注塑机配套顶吸式半密闭集气罩收集有机废气，收集效率80%，拟将更换的废活性炭当作危险废物，</w:t>
                  </w:r>
                  <w:r>
                    <w:rPr>
                      <w:rFonts w:hint="default" w:ascii="Times New Roman" w:hAnsi="Times New Roman" w:eastAsia="宋体" w:cs="Times New Roman"/>
                      <w:color w:val="auto"/>
                      <w:kern w:val="2"/>
                      <w:sz w:val="21"/>
                      <w:szCs w:val="21"/>
                      <w:highlight w:val="none"/>
                      <w:lang w:val="en-US" w:eastAsia="zh-CN" w:bidi="ar-SA"/>
                    </w:rPr>
                    <w:t>密闭暂存于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，定期委托有资质单位统一处置；（3）本项目将</w:t>
                  </w:r>
                  <w:r>
                    <w:rPr>
                      <w:rFonts w:hint="default" w:ascii="Times New Roman" w:hAnsi="Times New Roman" w:eastAsia="宋体" w:cs="Times New Roman"/>
                      <w:color w:val="auto"/>
                      <w:kern w:val="2"/>
                      <w:sz w:val="21"/>
                      <w:szCs w:val="21"/>
                      <w:highlight w:val="none"/>
                      <w:lang w:val="en-US" w:eastAsia="zh-CN" w:bidi="ar-SA"/>
                    </w:rPr>
                    <w:t>产生的VOCs收集</w:t>
                  </w:r>
                  <w:r>
                    <w:rPr>
                      <w:rFonts w:hint="eastAsia" w:ascii="Times New Roman" w:hAnsi="Times New Roman" w:eastAsia="宋体" w:cs="Times New Roman"/>
                      <w:color w:val="auto"/>
                      <w:kern w:val="2"/>
                      <w:sz w:val="21"/>
                      <w:szCs w:val="21"/>
                      <w:highlight w:val="none"/>
                      <w:lang w:val="en-US" w:eastAsia="zh-CN" w:bidi="ar-SA"/>
                    </w:rPr>
                    <w:t>后通过1套</w:t>
                  </w:r>
                  <w:r>
                    <w:rPr>
                      <w:rFonts w:hint="eastAsia" w:cs="Times New Roman"/>
                      <w:color w:val="auto"/>
                      <w:kern w:val="2"/>
                      <w:sz w:val="21"/>
                      <w:szCs w:val="21"/>
                      <w:highlight w:val="none"/>
                      <w:lang w:val="en-US" w:eastAsia="zh-CN" w:bidi="ar-SA"/>
                    </w:rPr>
                    <w:t>二级</w:t>
                  </w:r>
                  <w:r>
                    <w:rPr>
                      <w:rFonts w:hint="eastAsia" w:ascii="Times New Roman" w:hAnsi="Times New Roman" w:eastAsia="宋体" w:cs="Times New Roman"/>
                      <w:color w:val="auto"/>
                      <w:kern w:val="2"/>
                      <w:sz w:val="21"/>
                      <w:szCs w:val="21"/>
                      <w:highlight w:val="none"/>
                      <w:lang w:val="en-US" w:eastAsia="zh-CN" w:bidi="ar-SA"/>
                    </w:rPr>
                    <w:t>活性炭吸附装置</w:t>
                  </w:r>
                  <w:r>
                    <w:rPr>
                      <w:rFonts w:hint="default" w:ascii="Times New Roman" w:hAnsi="Times New Roman" w:eastAsia="宋体" w:cs="Times New Roman"/>
                      <w:color w:val="auto"/>
                      <w:kern w:val="2"/>
                      <w:sz w:val="21"/>
                      <w:szCs w:val="21"/>
                      <w:highlight w:val="none"/>
                      <w:lang w:val="en-US" w:eastAsia="zh-CN" w:bidi="ar-SA"/>
                    </w:rPr>
                    <w:t>处理后</w:t>
                  </w:r>
                  <w:r>
                    <w:rPr>
                      <w:rFonts w:hint="eastAsia" w:cs="Times New Roman"/>
                      <w:color w:val="auto"/>
                      <w:kern w:val="2"/>
                      <w:sz w:val="21"/>
                      <w:szCs w:val="21"/>
                      <w:highlight w:val="none"/>
                      <w:lang w:val="en-US" w:eastAsia="zh-CN" w:bidi="ar-SA"/>
                    </w:rPr>
                    <w:t>通过15m排气筒</w:t>
                  </w:r>
                  <w:r>
                    <w:rPr>
                      <w:rFonts w:hint="default" w:ascii="Times New Roman" w:hAnsi="Times New Roman" w:eastAsia="宋体" w:cs="Times New Roman"/>
                      <w:color w:val="auto"/>
                      <w:kern w:val="2"/>
                      <w:sz w:val="21"/>
                      <w:szCs w:val="21"/>
                      <w:highlight w:val="none"/>
                      <w:lang w:val="en-US" w:eastAsia="zh-CN" w:bidi="ar-SA"/>
                    </w:rPr>
                    <w:t>排放</w:t>
                  </w:r>
                  <w:r>
                    <w:rPr>
                      <w:rFonts w:hint="eastAsia" w:ascii="Times New Roman" w:hAnsi="Times New Roman" w:eastAsia="宋体" w:cs="Times New Roman"/>
                      <w:color w:val="auto"/>
                      <w:kern w:val="2"/>
                      <w:sz w:val="21"/>
                      <w:szCs w:val="21"/>
                      <w:highlight w:val="none"/>
                      <w:lang w:val="en-US" w:eastAsia="zh-CN" w:bidi="ar-SA"/>
                    </w:rPr>
                    <w:t>，</w:t>
                  </w:r>
                  <w:r>
                    <w:rPr>
                      <w:color w:val="000000"/>
                      <w:szCs w:val="21"/>
                    </w:rPr>
                    <w:t>项目生产设备除进出料口全部密闭，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250" w:type="pct"/>
                  <w:tcBorders>
                    <w:tl2br w:val="nil"/>
                    <w:tr2bl w:val="nil"/>
                  </w:tcBorders>
                  <w:vAlign w:val="center"/>
                </w:tcPr>
                <w:p w14:paraId="229F8A1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5DAE1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11F0C09A">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lang w:val="en-US" w:eastAsia="zh-CN"/>
                    </w:rPr>
                    <w:t>《福建省重点行业挥发性有机物排放控制要求</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试行</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的通知》</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闽环保大气〔2017〕9号</w:t>
                  </w:r>
                  <w:r>
                    <w:rPr>
                      <w:rFonts w:hint="eastAsia" w:cs="Times New Roman"/>
                      <w:color w:val="auto"/>
                      <w:sz w:val="21"/>
                      <w:szCs w:val="21"/>
                      <w:lang w:val="en-US" w:eastAsia="zh-CN"/>
                    </w:rPr>
                    <w:t>）</w:t>
                  </w:r>
                </w:p>
              </w:tc>
              <w:tc>
                <w:tcPr>
                  <w:tcW w:w="2425" w:type="pct"/>
                  <w:tcBorders>
                    <w:tl2br w:val="nil"/>
                    <w:tr2bl w:val="nil"/>
                  </w:tcBorders>
                  <w:vAlign w:val="center"/>
                </w:tcPr>
                <w:p w14:paraId="4733427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工艺过程控制要求</w:t>
                  </w:r>
                </w:p>
                <w:p w14:paraId="3B3D8AA3">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含VOCs物料应储存于密闭容器中。盛装含VOCs物料的容器应存放于储存室内，或至少设置遮阳挡雨等设施</w:t>
                  </w:r>
                  <w:r>
                    <w:rPr>
                      <w:rFonts w:hint="eastAsia" w:ascii="Times New Roman" w:hAnsi="Times New Roman" w:eastAsia="宋体" w:cs="Times New Roman"/>
                      <w:b w:val="0"/>
                      <w:bCs w:val="0"/>
                      <w:sz w:val="21"/>
                      <w:szCs w:val="21"/>
                      <w:vertAlign w:val="baseline"/>
                      <w:lang w:val="en-US" w:eastAsia="zh-CN"/>
                    </w:rPr>
                    <w:t>。</w:t>
                  </w:r>
                </w:p>
                <w:p w14:paraId="7B6505E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w:t>
                  </w:r>
                  <w:r>
                    <w:rPr>
                      <w:rFonts w:hint="default" w:ascii="Times New Roman" w:hAnsi="Times New Roman" w:eastAsia="宋体" w:cs="Times New Roman"/>
                      <w:b w:val="0"/>
                      <w:bCs w:val="0"/>
                      <w:sz w:val="21"/>
                      <w:szCs w:val="21"/>
                      <w:vertAlign w:val="baseline"/>
                      <w:lang w:val="en-US" w:eastAsia="zh-CN"/>
                    </w:rPr>
                    <w:t>其他控制要求</w:t>
                  </w:r>
                </w:p>
                <w:p w14:paraId="445FE9C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产生有废气</w:t>
                  </w:r>
                  <w:r>
                    <w:rPr>
                      <w:rFonts w:hint="eastAsia" w:ascii="Times New Roman" w:hAnsi="Times New Roman" w:eastAsia="宋体" w:cs="Times New Roman"/>
                      <w:b w:val="0"/>
                      <w:bCs w:val="0"/>
                      <w:sz w:val="21"/>
                      <w:szCs w:val="21"/>
                      <w:vertAlign w:val="baseline"/>
                      <w:lang w:val="en-US" w:eastAsia="zh-CN"/>
                    </w:rPr>
                    <w:t>的</w:t>
                  </w:r>
                  <w:r>
                    <w:rPr>
                      <w:rFonts w:hint="default" w:ascii="Times New Roman" w:hAnsi="Times New Roman" w:eastAsia="宋体" w:cs="Times New Roman"/>
                      <w:b w:val="0"/>
                      <w:bCs w:val="0"/>
                      <w:sz w:val="21"/>
                      <w:szCs w:val="21"/>
                      <w:vertAlign w:val="baseline"/>
                      <w:lang w:val="en-US" w:eastAsia="zh-CN"/>
                    </w:rPr>
                    <w:t>生产工艺和装置均设有收集系统和净化处理装置；所有产生VOCs的生产车间</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或生产设施</w:t>
                  </w:r>
                  <w:r>
                    <w:rPr>
                      <w:rFonts w:hint="eastAsia"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均进行密闭，无露天和敞开式涂装、流平、干燥作业；不能完全密闭的部位设置软帘阻隔设施，减少废气排放；更换的VOCs吸附剂的废弃物等，产生后马上密闭，存放在不透气的容器内，贮存、转移期间保持密闭；密闭式局部收集的逸散的VOCs废气收集率达到80%以上</w:t>
                  </w:r>
                  <w:r>
                    <w:rPr>
                      <w:rFonts w:hint="eastAsia" w:ascii="Times New Roman" w:hAnsi="Times New Roman" w:eastAsia="宋体" w:cs="Times New Roman"/>
                      <w:b w:val="0"/>
                      <w:bCs w:val="0"/>
                      <w:sz w:val="21"/>
                      <w:szCs w:val="21"/>
                      <w:vertAlign w:val="baseline"/>
                      <w:lang w:val="en-US" w:eastAsia="zh-CN"/>
                    </w:rPr>
                    <w:t>。</w:t>
                  </w:r>
                </w:p>
              </w:tc>
              <w:tc>
                <w:tcPr>
                  <w:tcW w:w="1571" w:type="pct"/>
                  <w:tcBorders>
                    <w:tl2br w:val="nil"/>
                    <w:tr2bl w:val="nil"/>
                  </w:tcBorders>
                  <w:vAlign w:val="center"/>
                </w:tcPr>
                <w:p w14:paraId="06B77C40">
                  <w:pPr>
                    <w:keepNext w:val="0"/>
                    <w:keepLines w:val="0"/>
                    <w:pageBreakBefore w:val="0"/>
                    <w:widowControl/>
                    <w:numPr>
                      <w:ilvl w:val="0"/>
                      <w:numId w:val="6"/>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项目含VOCs的原辅料均放置在原辅料仓库。</w:t>
                  </w:r>
                </w:p>
                <w:p w14:paraId="445F943D">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（2）项目注塑</w:t>
                  </w:r>
                  <w:r>
                    <w:rPr>
                      <w:rFonts w:hint="eastAsia" w:cs="Times New Roman"/>
                      <w:b w:val="0"/>
                      <w:bCs w:val="0"/>
                      <w:sz w:val="21"/>
                      <w:szCs w:val="21"/>
                      <w:vertAlign w:val="baseline"/>
                      <w:lang w:val="en-US" w:eastAsia="zh-CN"/>
                    </w:rPr>
                    <w:t>、包胶、除油、烘烤</w:t>
                  </w:r>
                  <w:r>
                    <w:rPr>
                      <w:rFonts w:hint="eastAsia" w:ascii="Times New Roman" w:hAnsi="Times New Roman" w:eastAsia="宋体" w:cs="Times New Roman"/>
                      <w:b w:val="0"/>
                      <w:bCs w:val="0"/>
                      <w:sz w:val="21"/>
                      <w:szCs w:val="21"/>
                      <w:vertAlign w:val="baseline"/>
                      <w:lang w:val="en-US" w:eastAsia="zh-CN"/>
                    </w:rPr>
                    <w:t>过程中所产生的VOCs经集气罩收集后通过一套“</w:t>
                  </w:r>
                  <w:r>
                    <w:rPr>
                      <w:rFonts w:hint="eastAsia" w:ascii="Times New Roman" w:hAnsi="Times New Roman" w:eastAsia="宋体" w:cs="Times New Roman"/>
                      <w:b w:val="0"/>
                      <w:bCs w:val="0"/>
                      <w:sz w:val="21"/>
                      <w:szCs w:val="21"/>
                      <w:highlight w:val="none"/>
                      <w:vertAlign w:val="baseline"/>
                      <w:lang w:val="en-US" w:eastAsia="zh-CN"/>
                    </w:rPr>
                    <w:t>二级活性炭吸附装置+15m排气筒排放”，拟将更换的废活性炭</w:t>
                  </w:r>
                  <w:r>
                    <w:rPr>
                      <w:rFonts w:hint="eastAsia" w:ascii="Times New Roman" w:hAnsi="Times New Roman" w:cs="Times New Roman"/>
                      <w:color w:val="auto"/>
                      <w:sz w:val="21"/>
                      <w:szCs w:val="21"/>
                      <w:highlight w:val="none"/>
                      <w:lang w:val="en-US" w:eastAsia="zh-CN"/>
                    </w:rPr>
                    <w:t>属于</w:t>
                  </w:r>
                  <w:r>
                    <w:rPr>
                      <w:rFonts w:hint="eastAsia" w:ascii="Times New Roman" w:hAnsi="Times New Roman" w:cs="Times New Roman"/>
                      <w:color w:val="auto"/>
                      <w:sz w:val="21"/>
                      <w:szCs w:val="21"/>
                      <w:lang w:val="en-US" w:eastAsia="zh-CN"/>
                    </w:rPr>
                    <w:t>危险废物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袋装密闭暂存于</w:t>
                  </w:r>
                  <w:r>
                    <w:rPr>
                      <w:rFonts w:hint="eastAsia" w:ascii="Times New Roman" w:hAnsi="Times New Roman" w:cs="Times New Roman"/>
                      <w:color w:val="auto"/>
                      <w:sz w:val="21"/>
                      <w:szCs w:val="21"/>
                      <w:lang w:eastAsia="zh-CN"/>
                    </w:rPr>
                    <w:t>危险废物贮存</w:t>
                  </w:r>
                  <w:r>
                    <w:rPr>
                      <w:rFonts w:hint="eastAsia" w:ascii="Times New Roman" w:hAnsi="Times New Roman" w:cs="Times New Roman"/>
                      <w:color w:val="auto"/>
                      <w:sz w:val="21"/>
                      <w:szCs w:val="21"/>
                      <w:lang w:val="en-US" w:eastAsia="zh-CN"/>
                    </w:rPr>
                    <w:t>间</w:t>
                  </w:r>
                  <w:r>
                    <w:rPr>
                      <w:rFonts w:hint="default" w:ascii="Times New Roman" w:hAnsi="Times New Roman" w:cs="Times New Roman"/>
                      <w:color w:val="auto"/>
                      <w:sz w:val="21"/>
                      <w:szCs w:val="21"/>
                    </w:rPr>
                    <w:t>内</w:t>
                  </w:r>
                  <w:r>
                    <w:rPr>
                      <w:rFonts w:hint="eastAsia" w:ascii="Times New Roman" w:hAnsi="Times New Roman" w:cs="Times New Roman"/>
                      <w:color w:val="auto"/>
                      <w:sz w:val="21"/>
                      <w:szCs w:val="21"/>
                      <w:lang w:val="en-US" w:eastAsia="zh-CN"/>
                    </w:rPr>
                    <w:t>，委托有资质的单位定期处置；</w:t>
                  </w:r>
                  <w:r>
                    <w:rPr>
                      <w:rFonts w:hint="default" w:ascii="Times New Roman" w:hAnsi="Times New Roman" w:cs="Times New Roman"/>
                      <w:color w:val="auto"/>
                      <w:sz w:val="21"/>
                      <w:szCs w:val="21"/>
                      <w:lang w:val="en-US" w:eastAsia="zh-CN"/>
                    </w:rPr>
                    <w:t>VOCs</w:t>
                  </w:r>
                  <w:r>
                    <w:rPr>
                      <w:rFonts w:hint="eastAsia" w:ascii="Times New Roman" w:hAnsi="Times New Roman" w:cs="Times New Roman"/>
                      <w:color w:val="auto"/>
                      <w:sz w:val="21"/>
                      <w:szCs w:val="21"/>
                      <w:lang w:val="en-US" w:eastAsia="zh-CN"/>
                    </w:rPr>
                    <w:t>采用密闭车间集气罩收集，集气效率为</w:t>
                  </w: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0%左右≥</w:t>
                  </w: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eastAsia="zh-CN"/>
                    </w:rPr>
                    <w:t>。</w:t>
                  </w:r>
                </w:p>
              </w:tc>
              <w:tc>
                <w:tcPr>
                  <w:tcW w:w="250" w:type="pct"/>
                  <w:tcBorders>
                    <w:tl2br w:val="nil"/>
                    <w:tr2bl w:val="nil"/>
                  </w:tcBorders>
                  <w:vAlign w:val="center"/>
                </w:tcPr>
                <w:p w14:paraId="5618E97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0FD37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vAlign w:val="center"/>
                </w:tcPr>
                <w:p w14:paraId="7D254BD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color w:val="auto"/>
                      <w:sz w:val="21"/>
                      <w:szCs w:val="21"/>
                    </w:rPr>
                    <w:t>福建省重点行业挥发性有机物污染防治工作方案</w:t>
                  </w:r>
                  <w:r>
                    <w:rPr>
                      <w:rFonts w:hint="eastAsia" w:cs="Times New Roman"/>
                      <w:color w:val="auto"/>
                      <w:sz w:val="21"/>
                      <w:szCs w:val="21"/>
                      <w:lang w:eastAsia="zh-CN"/>
                    </w:rPr>
                    <w:t>（</w:t>
                  </w:r>
                  <w:r>
                    <w:rPr>
                      <w:rFonts w:hint="default" w:ascii="Times New Roman" w:hAnsi="Times New Roman" w:cs="Times New Roman"/>
                      <w:color w:val="auto"/>
                      <w:sz w:val="21"/>
                      <w:szCs w:val="21"/>
                    </w:rPr>
                    <w:t>闽环保大气〔2017〕6号</w:t>
                  </w:r>
                  <w:r>
                    <w:rPr>
                      <w:rFonts w:hint="eastAsia" w:cs="Times New Roman"/>
                      <w:color w:val="auto"/>
                      <w:sz w:val="21"/>
                      <w:szCs w:val="21"/>
                      <w:lang w:eastAsia="zh-CN"/>
                    </w:rPr>
                    <w:t>）</w:t>
                  </w:r>
                </w:p>
              </w:tc>
              <w:tc>
                <w:tcPr>
                  <w:tcW w:w="2425" w:type="pct"/>
                  <w:tcBorders>
                    <w:tl2br w:val="nil"/>
                    <w:tr2bl w:val="nil"/>
                  </w:tcBorders>
                  <w:vAlign w:val="center"/>
                </w:tcPr>
                <w:p w14:paraId="11175FEE">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二、主要任务</w:t>
                  </w:r>
                </w:p>
                <w:p w14:paraId="44405748">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（一）严格环境准入</w:t>
                  </w:r>
                </w:p>
                <w:p w14:paraId="3A417683">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42ADE559">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（二）大力推进清洁生产</w:t>
                  </w:r>
                </w:p>
                <w:p w14:paraId="4E6039A1">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在重点行业大力倡导环境标志产品生产及使用，尤其是水性涂料的生产和使用，从源头控制VOCs排放。</w:t>
                  </w:r>
                </w:p>
                <w:p w14:paraId="7A738B1C">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（三）加快推进重点行业VOCs专项整治</w:t>
                  </w:r>
                </w:p>
                <w:p w14:paraId="5229216E">
                  <w:pPr>
                    <w:keepNext w:val="0"/>
                    <w:keepLines w:val="0"/>
                    <w:pageBreakBefore w:val="0"/>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default"/>
                      <w:color w:val="auto"/>
                      <w:szCs w:val="21"/>
                      <w:highlight w:val="none"/>
                      <w:u w:val="none"/>
                    </w:rPr>
                    <w:t>（2）加强化工企业污染综合整治</w:t>
                  </w:r>
                </w:p>
                <w:p w14:paraId="6733B068">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default"/>
                      <w:color w:val="auto"/>
                      <w:szCs w:val="21"/>
                      <w:highlight w:val="none"/>
                      <w:u w:val="none"/>
                    </w:rPr>
                    <w:t>提升有机化工（含有机化学原料、合成材料、日用化工、涂料、油墨、胶粘剂、染料、化学溶剂、试剂生产等）、医药化工、塑料制品企业装备水平，严格控制跑冒滴漏。原料、中间产品与成品应密闭储存，对于实际蒸汽压大于2.8千帕、容积大于100立方米的有机液体储罐，采用高效密封方式的浮顶罐或安装密闭排气系统进行净化处理。排放VOCs的生产工序要在密闭空间或设备中实施，产生的含VOCs废气需进行净化处理。</w:t>
                  </w:r>
                </w:p>
              </w:tc>
              <w:tc>
                <w:tcPr>
                  <w:tcW w:w="1571" w:type="pct"/>
                  <w:tcBorders>
                    <w:tl2br w:val="nil"/>
                    <w:tr2bl w:val="nil"/>
                  </w:tcBorders>
                  <w:vAlign w:val="center"/>
                </w:tcPr>
                <w:p w14:paraId="07DC1E00">
                  <w:pPr>
                    <w:keepNext w:val="0"/>
                    <w:keepLines w:val="0"/>
                    <w:pageBreakBefore w:val="0"/>
                    <w:widowControl/>
                    <w:suppressLineNumbers w:val="0"/>
                    <w:kinsoku/>
                    <w:wordWrap/>
                    <w:overflowPunct/>
                    <w:topLinePunct w:val="0"/>
                    <w:autoSpaceDE/>
                    <w:autoSpaceDN/>
                    <w:bidi w:val="0"/>
                    <w:adjustRightInd w:val="0"/>
                    <w:spacing w:before="0" w:beforeAutospacing="0" w:after="0" w:afterAutospacing="0" w:line="340" w:lineRule="atLeast"/>
                    <w:ind w:left="0" w:right="0"/>
                    <w:jc w:val="both"/>
                    <w:textAlignment w:val="auto"/>
                    <w:rPr>
                      <w:rFonts w:hint="default"/>
                      <w:color w:val="auto"/>
                      <w:szCs w:val="21"/>
                      <w:highlight w:val="none"/>
                      <w:u w:val="none"/>
                    </w:rPr>
                  </w:pPr>
                  <w:r>
                    <w:rPr>
                      <w:rFonts w:hint="eastAsia"/>
                      <w:color w:val="auto"/>
                      <w:szCs w:val="21"/>
                      <w:highlight w:val="none"/>
                      <w:u w:val="none"/>
                      <w:lang w:val="en-US" w:eastAsia="zh-CN"/>
                    </w:rPr>
                    <w:t>1.本项目从事工业连接器和工业线缆加工生产，属于其他电子元件制造</w:t>
                  </w:r>
                  <w:r>
                    <w:rPr>
                      <w:rFonts w:hint="eastAsia" w:ascii="Times New Roman" w:hAnsi="Times New Roman" w:eastAsia="宋体" w:cs="Times New Roman"/>
                      <w:color w:val="auto"/>
                      <w:sz w:val="21"/>
                      <w:szCs w:val="21"/>
                      <w:u w:val="none"/>
                      <w:lang w:val="en-US" w:eastAsia="zh-CN"/>
                    </w:rPr>
                    <w:t>，不属于文件中限制的</w:t>
                  </w:r>
                  <w:r>
                    <w:rPr>
                      <w:rFonts w:hint="default"/>
                      <w:color w:val="auto"/>
                      <w:szCs w:val="21"/>
                      <w:highlight w:val="none"/>
                      <w:u w:val="none"/>
                    </w:rPr>
                    <w:t>高VOCs排放建设项目</w:t>
                  </w:r>
                  <w:r>
                    <w:rPr>
                      <w:rFonts w:hint="eastAsia"/>
                      <w:color w:val="auto"/>
                      <w:szCs w:val="21"/>
                      <w:highlight w:val="none"/>
                      <w:u w:val="none"/>
                      <w:lang w:eastAsia="zh-CN"/>
                    </w:rPr>
                    <w:t>，本项目原辅材料为塑料</w:t>
                  </w:r>
                  <w:r>
                    <w:rPr>
                      <w:rFonts w:hint="eastAsia"/>
                      <w:color w:val="auto"/>
                      <w:szCs w:val="21"/>
                      <w:highlight w:val="none"/>
                      <w:u w:val="none"/>
                      <w:lang w:val="en-US" w:eastAsia="zh-CN"/>
                    </w:rPr>
                    <w:t>颗粒</w:t>
                  </w:r>
                  <w:r>
                    <w:rPr>
                      <w:rFonts w:hint="eastAsia"/>
                      <w:color w:val="auto"/>
                      <w:szCs w:val="21"/>
                      <w:highlight w:val="none"/>
                      <w:u w:val="none"/>
                      <w:lang w:eastAsia="zh-CN"/>
                    </w:rPr>
                    <w:t>，不涉及高</w:t>
                  </w:r>
                  <w:r>
                    <w:rPr>
                      <w:rFonts w:hint="default"/>
                      <w:color w:val="auto"/>
                      <w:szCs w:val="21"/>
                      <w:highlight w:val="none"/>
                      <w:u w:val="none"/>
                    </w:rPr>
                    <w:t>VOCs含量原辅材料</w:t>
                  </w:r>
                  <w:r>
                    <w:rPr>
                      <w:rFonts w:hint="eastAsia"/>
                      <w:color w:val="auto"/>
                      <w:szCs w:val="21"/>
                      <w:highlight w:val="none"/>
                      <w:u w:val="none"/>
                      <w:lang w:eastAsia="zh-CN"/>
                    </w:rPr>
                    <w:t>且在采取有效的收集措施和治理措施后，通过排气筒达标排放。本项目不涉及</w:t>
                  </w:r>
                  <w:r>
                    <w:rPr>
                      <w:rFonts w:hint="default"/>
                      <w:color w:val="auto"/>
                      <w:szCs w:val="21"/>
                      <w:highlight w:val="none"/>
                      <w:u w:val="none"/>
                    </w:rPr>
                    <w:t>国家及地方明令禁止的落后工艺和设备。</w:t>
                  </w:r>
                </w:p>
                <w:p w14:paraId="04FDE8FA">
                  <w:pPr>
                    <w:pStyle w:val="37"/>
                    <w:widowControl/>
                    <w:numPr>
                      <w:ilvl w:val="0"/>
                      <w:numId w:val="0"/>
                    </w:numPr>
                    <w:adjustRightInd w:val="0"/>
                    <w:spacing w:line="340" w:lineRule="exact"/>
                    <w:jc w:val="both"/>
                    <w:rPr>
                      <w:rFonts w:hint="eastAsia"/>
                    </w:rPr>
                  </w:pPr>
                  <w:r>
                    <w:rPr>
                      <w:rFonts w:hint="eastAsia"/>
                      <w:lang w:val="en-US" w:eastAsia="zh-CN"/>
                    </w:rPr>
                    <w:t>2.</w:t>
                  </w:r>
                  <w:r>
                    <w:rPr>
                      <w:rFonts w:hint="eastAsia"/>
                    </w:rPr>
                    <w:t>本项目使用低VOCs含量原辅材料，</w:t>
                  </w:r>
                  <w:r>
                    <w:rPr>
                      <w:rFonts w:hint="eastAsia"/>
                      <w:bCs/>
                    </w:rPr>
                    <w:t>项目废气经集气装置收集后通过废气处理设施处理后达标排放</w:t>
                  </w:r>
                  <w:r>
                    <w:rPr>
                      <w:rFonts w:hint="eastAsia"/>
                    </w:rPr>
                    <w:t>。</w:t>
                  </w:r>
                </w:p>
                <w:p w14:paraId="515BFB1A">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sz w:val="21"/>
                      <w:szCs w:val="21"/>
                      <w:vertAlign w:val="baseline"/>
                      <w:lang w:val="en-US" w:eastAsia="zh-CN"/>
                    </w:rPr>
                  </w:pPr>
                  <w:r>
                    <w:rPr>
                      <w:rFonts w:hint="eastAsia"/>
                      <w:lang w:val="en-US" w:eastAsia="zh-CN"/>
                    </w:rPr>
                    <w:t>3.</w:t>
                  </w:r>
                  <w:r>
                    <w:rPr>
                      <w:rFonts w:hint="eastAsia"/>
                    </w:rPr>
                    <w:t>本项目废气产生点设备上方设置集气罩，拟将产生的VOCs收集后通过1套</w:t>
                  </w:r>
                  <w:r>
                    <w:rPr>
                      <w:rFonts w:hint="eastAsia"/>
                      <w:color w:val="auto"/>
                    </w:rPr>
                    <w:t>“二级活性炭吸附装置”</w:t>
                  </w:r>
                  <w:r>
                    <w:rPr>
                      <w:rFonts w:hint="eastAsia"/>
                    </w:rPr>
                    <w:t>处理后排放，设计净化效率</w:t>
                  </w:r>
                  <w:r>
                    <w:rPr>
                      <w:rFonts w:hint="eastAsia"/>
                      <w:lang w:val="en-US" w:eastAsia="zh-CN"/>
                    </w:rPr>
                    <w:t>为75</w:t>
                  </w:r>
                  <w:r>
                    <w:rPr>
                      <w:rFonts w:hint="eastAsia"/>
                    </w:rPr>
                    <w:t>%。</w:t>
                  </w:r>
                </w:p>
              </w:tc>
              <w:tc>
                <w:tcPr>
                  <w:tcW w:w="250" w:type="pct"/>
                  <w:tcBorders>
                    <w:tl2br w:val="nil"/>
                    <w:tr2bl w:val="nil"/>
                  </w:tcBorders>
                  <w:vAlign w:val="center"/>
                </w:tcPr>
                <w:p w14:paraId="28F6D1E3">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690D5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restart"/>
                  <w:tcBorders>
                    <w:tl2br w:val="nil"/>
                    <w:tr2bl w:val="nil"/>
                  </w:tcBorders>
                  <w:vAlign w:val="center"/>
                </w:tcPr>
                <w:p w14:paraId="61F03263">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highlight w:val="none"/>
                      <w:lang w:val="en-US" w:eastAsia="zh-CN"/>
                    </w:rPr>
                    <w:t>《挥发性有机物无组织排放控制标准》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GB37822-2019</w:t>
                  </w:r>
                  <w:r>
                    <w:rPr>
                      <w:rFonts w:hint="eastAsia" w:cs="Times New Roman"/>
                      <w:color w:val="auto"/>
                      <w:highlight w:val="none"/>
                      <w:lang w:val="en-US" w:eastAsia="zh-CN"/>
                    </w:rPr>
                    <w:t>）</w:t>
                  </w:r>
                </w:p>
              </w:tc>
              <w:tc>
                <w:tcPr>
                  <w:tcW w:w="2425" w:type="pct"/>
                  <w:tcBorders>
                    <w:tl2br w:val="nil"/>
                    <w:tr2bl w:val="nil"/>
                  </w:tcBorders>
                  <w:vAlign w:val="center"/>
                </w:tcPr>
                <w:p w14:paraId="57E2C571">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5.1.1</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VOCs物料应储存于密闭的容器、包装袋、储罐、储库、料仓中。</w:t>
                  </w:r>
                </w:p>
                <w:p w14:paraId="2EE15EE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1"/>
                      <w:highlight w:val="none"/>
                      <w:u w:val="none"/>
                    </w:rPr>
                  </w:pPr>
                  <w:r>
                    <w:rPr>
                      <w:rFonts w:hint="default" w:ascii="Times New Roman" w:hAnsi="Times New Roman" w:eastAsia="宋体" w:cs="Times New Roman"/>
                      <w:color w:val="auto"/>
                      <w:highlight w:val="none"/>
                      <w:lang w:val="en-US" w:eastAsia="zh-CN"/>
                    </w:rPr>
                    <w:t>5.1.2 盛装VOCs物料的容器或包装袋应存放于室内，或存放于设置有雨棚、遮阳和防渗设施的专用场地。盛装VOCs物料的容器或包装袋在非取用状态时应加盖、封口，保持密闭。</w:t>
                  </w:r>
                </w:p>
              </w:tc>
              <w:tc>
                <w:tcPr>
                  <w:tcW w:w="1571" w:type="pct"/>
                  <w:tcBorders>
                    <w:tl2br w:val="nil"/>
                    <w:tr2bl w:val="nil"/>
                  </w:tcBorders>
                  <w:vAlign w:val="center"/>
                </w:tcPr>
                <w:p w14:paraId="470CE99E">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eastAsia"/>
                      <w:lang w:val="en-US" w:eastAsia="zh-CN"/>
                    </w:rPr>
                  </w:pPr>
                  <w:r>
                    <w:rPr>
                      <w:rFonts w:hint="eastAsia" w:ascii="Times New Roman" w:hAnsi="Times New Roman" w:eastAsia="宋体" w:cs="Times New Roman"/>
                      <w:color w:val="auto"/>
                      <w:kern w:val="2"/>
                      <w:sz w:val="21"/>
                      <w:szCs w:val="21"/>
                      <w:highlight w:val="none"/>
                      <w:lang w:val="en-US" w:eastAsia="zh-CN" w:bidi="ar-SA"/>
                    </w:rPr>
                    <w:t>项目使用P</w:t>
                  </w:r>
                  <w:r>
                    <w:rPr>
                      <w:rFonts w:hint="eastAsia"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U</w:t>
                  </w:r>
                  <w:r>
                    <w:rPr>
                      <w:rFonts w:hint="eastAsia" w:ascii="Times New Roman" w:hAnsi="Times New Roman" w:eastAsia="宋体" w:cs="Times New Roman"/>
                      <w:color w:val="auto"/>
                      <w:kern w:val="2"/>
                      <w:sz w:val="21"/>
                      <w:szCs w:val="21"/>
                      <w:highlight w:val="none"/>
                      <w:lang w:val="en-US" w:eastAsia="zh-CN" w:bidi="ar-SA"/>
                    </w:rPr>
                    <w:t>颗粒作为原料采用密闭包装袋暂存在仓库中，VOCs含量低；常温下不产生VOCs。</w:t>
                  </w:r>
                </w:p>
              </w:tc>
              <w:tc>
                <w:tcPr>
                  <w:tcW w:w="250" w:type="pct"/>
                  <w:tcBorders>
                    <w:tl2br w:val="nil"/>
                    <w:tr2bl w:val="nil"/>
                  </w:tcBorders>
                  <w:vAlign w:val="center"/>
                </w:tcPr>
                <w:p w14:paraId="50A2110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7FDC4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32759F3A">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vAlign w:val="center"/>
                </w:tcPr>
                <w:p w14:paraId="668A6B72">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6.1.1 液态VOC物料应采用密闭管道输送。采用非管道输送方式转移液态VOC物料时，应采用密闭容器、罐车。</w:t>
                  </w:r>
                </w:p>
                <w:p w14:paraId="64832597">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6.1.2 粉状、粒状VOCs物料应采用气力输送设备、管状带式输送机、螺旋输送机等密闭输送方式或者采用密闭的包装袋、容器或罐车进行物料转移。</w:t>
                  </w:r>
                </w:p>
              </w:tc>
              <w:tc>
                <w:tcPr>
                  <w:tcW w:w="1571" w:type="pct"/>
                  <w:tcBorders>
                    <w:tl2br w:val="nil"/>
                    <w:tr2bl w:val="nil"/>
                  </w:tcBorders>
                  <w:vAlign w:val="center"/>
                </w:tcPr>
                <w:p w14:paraId="5484DFAB">
                  <w:pPr>
                    <w:pStyle w:val="38"/>
                    <w:jc w:val="both"/>
                    <w:rPr>
                      <w:rFonts w:hint="eastAsia"/>
                      <w:lang w:val="en-US" w:eastAsia="zh-CN"/>
                    </w:rPr>
                  </w:pPr>
                  <w:r>
                    <w:rPr>
                      <w:rFonts w:hint="eastAsia" w:ascii="Times New Roman" w:hAnsi="Times New Roman" w:eastAsia="宋体" w:cs="Times New Roman"/>
                      <w:color w:val="auto"/>
                      <w:highlight w:val="none"/>
                      <w:lang w:val="en-US" w:eastAsia="zh-CN"/>
                    </w:rPr>
                    <w:t>项目不涉及液态VOC物料。项目</w:t>
                  </w:r>
                  <w:r>
                    <w:rPr>
                      <w:rFonts w:hint="eastAsia" w:cs="Times New Roman"/>
                      <w:color w:val="auto"/>
                      <w:highlight w:val="none"/>
                      <w:lang w:val="en-US" w:eastAsia="zh-CN"/>
                    </w:rPr>
                    <w:t>塑粉、</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U</w:t>
                  </w:r>
                  <w:r>
                    <w:rPr>
                      <w:rFonts w:hint="eastAsia" w:ascii="Times New Roman" w:hAnsi="Times New Roman" w:eastAsia="宋体" w:cs="Times New Roman"/>
                      <w:color w:val="auto"/>
                      <w:highlight w:val="none"/>
                      <w:lang w:val="en-US" w:eastAsia="zh-CN"/>
                    </w:rPr>
                    <w:t>塑料颗粒采用</w:t>
                  </w:r>
                  <w:r>
                    <w:rPr>
                      <w:rFonts w:hint="default" w:ascii="Times New Roman" w:hAnsi="Times New Roman" w:eastAsia="宋体" w:cs="Times New Roman"/>
                      <w:color w:val="auto"/>
                      <w:highlight w:val="none"/>
                      <w:lang w:val="en-US" w:eastAsia="zh-CN"/>
                    </w:rPr>
                    <w:t>密闭的包装袋、进行物料转移</w:t>
                  </w:r>
                </w:p>
              </w:tc>
              <w:tc>
                <w:tcPr>
                  <w:tcW w:w="250" w:type="pct"/>
                  <w:tcBorders>
                    <w:tl2br w:val="nil"/>
                    <w:tr2bl w:val="nil"/>
                  </w:tcBorders>
                  <w:vAlign w:val="center"/>
                </w:tcPr>
                <w:p w14:paraId="6DA3185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742B7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vAlign w:val="center"/>
                </w:tcPr>
                <w:p w14:paraId="29E3402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tcBorders>
                    <w:tl2br w:val="nil"/>
                    <w:tr2bl w:val="nil"/>
                  </w:tcBorders>
                  <w:shd w:val="clear" w:color="auto" w:fill="auto"/>
                  <w:vAlign w:val="center"/>
                </w:tcPr>
                <w:p w14:paraId="0ECB7DEF">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7.3.1 企业应建立台账，记录含VOCs原辅材料和含VOCs产品的名称、使用量、回收量、废弃量、去向以及VOCs含量等信息。台账保存期限不少于3年。</w:t>
                  </w:r>
                </w:p>
                <w:p w14:paraId="6F931859">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7.3.3 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清洗及吹扫过程排气应排至VOCs废气收集处理系统。</w:t>
                  </w:r>
                </w:p>
              </w:tc>
              <w:tc>
                <w:tcPr>
                  <w:tcW w:w="1571" w:type="pct"/>
                  <w:tcBorders>
                    <w:tl2br w:val="nil"/>
                    <w:tr2bl w:val="nil"/>
                  </w:tcBorders>
                  <w:vAlign w:val="center"/>
                </w:tcPr>
                <w:p w14:paraId="41B9F6E0">
                  <w:pPr>
                    <w:pStyle w:val="38"/>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项目将严格按照要求制定</w:t>
                  </w:r>
                  <w:r>
                    <w:rPr>
                      <w:rFonts w:hint="default" w:ascii="Times New Roman" w:hAnsi="Times New Roman" w:eastAsia="宋体" w:cs="Times New Roman"/>
                      <w:color w:val="auto"/>
                      <w:highlight w:val="none"/>
                      <w:lang w:val="en-US" w:eastAsia="zh-CN"/>
                    </w:rPr>
                    <w:t>含VOCs原辅材料</w:t>
                  </w:r>
                  <w:r>
                    <w:rPr>
                      <w:rFonts w:hint="eastAsia" w:ascii="Times New Roman" w:hAnsi="Times New Roman" w:eastAsia="宋体" w:cs="Times New Roman"/>
                      <w:color w:val="auto"/>
                      <w:highlight w:val="none"/>
                      <w:lang w:val="en-US" w:eastAsia="zh-CN"/>
                    </w:rPr>
                    <w:t>购买台账，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p w14:paraId="0B9F672F">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lang w:val="en-US" w:eastAsia="zh-CN"/>
                    </w:rPr>
                  </w:pPr>
                  <w:r>
                    <w:rPr>
                      <w:rFonts w:hint="eastAsia" w:ascii="Times New Roman" w:hAnsi="Times New Roman" w:eastAsia="宋体" w:cs="Times New Roman"/>
                      <w:color w:val="auto"/>
                      <w:highlight w:val="none"/>
                      <w:lang w:val="en-US" w:eastAsia="zh-CN"/>
                    </w:rPr>
                    <w:t>项目VOCs物料为</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A</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PC</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T</w:t>
                  </w:r>
                  <w:r>
                    <w:rPr>
                      <w:rFonts w:hint="eastAsia" w:ascii="Times New Roman" w:hAnsi="Times New Roman" w:eastAsia="宋体" w:cs="Times New Roman"/>
                      <w:color w:val="auto"/>
                      <w:kern w:val="2"/>
                      <w:sz w:val="21"/>
                      <w:szCs w:val="21"/>
                      <w:highlight w:val="none"/>
                      <w:lang w:val="en-US" w:eastAsia="zh-CN" w:bidi="ar-SA"/>
                    </w:rPr>
                    <w:t>P</w:t>
                  </w:r>
                  <w:r>
                    <w:rPr>
                      <w:rFonts w:hint="eastAsia" w:cs="Times New Roman"/>
                      <w:color w:val="auto"/>
                      <w:kern w:val="2"/>
                      <w:sz w:val="21"/>
                      <w:szCs w:val="21"/>
                      <w:highlight w:val="none"/>
                      <w:lang w:val="en-US" w:eastAsia="zh-CN" w:bidi="ar-SA"/>
                    </w:rPr>
                    <w:t>U</w:t>
                  </w:r>
                  <w:r>
                    <w:rPr>
                      <w:rFonts w:hint="eastAsia" w:ascii="Times New Roman" w:hAnsi="Times New Roman" w:eastAsia="宋体" w:cs="Times New Roman"/>
                      <w:color w:val="auto"/>
                      <w:highlight w:val="none"/>
                      <w:lang w:val="en-US" w:eastAsia="zh-CN"/>
                    </w:rPr>
                    <w:t>塑料颗粒，在</w:t>
                  </w:r>
                  <w:r>
                    <w:rPr>
                      <w:rFonts w:hint="default" w:ascii="Times New Roman" w:hAnsi="Times New Roman" w:eastAsia="宋体" w:cs="Times New Roman"/>
                      <w:color w:val="auto"/>
                      <w:highlight w:val="none"/>
                      <w:lang w:val="en-US" w:eastAsia="zh-CN"/>
                    </w:rPr>
                    <w:t>退料过</w:t>
                  </w:r>
                  <w:r>
                    <w:rPr>
                      <w:rFonts w:hint="eastAsia" w:cs="Times New Roman"/>
                      <w:color w:val="auto"/>
                      <w:highlight w:val="none"/>
                      <w:lang w:val="en-US" w:eastAsia="zh-CN"/>
                    </w:rPr>
                    <w:t>程中</w:t>
                  </w:r>
                  <w:r>
                    <w:rPr>
                      <w:rFonts w:hint="default" w:ascii="Times New Roman" w:hAnsi="Times New Roman" w:eastAsia="宋体" w:cs="Times New Roman"/>
                      <w:color w:val="auto"/>
                      <w:highlight w:val="none"/>
                      <w:lang w:val="en-US" w:eastAsia="zh-CN"/>
                    </w:rPr>
                    <w:t>废气</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排至VOCs废气收集处理系统</w:t>
                  </w:r>
                  <w:r>
                    <w:rPr>
                      <w:rFonts w:hint="eastAsia" w:ascii="Times New Roman" w:hAnsi="Times New Roman" w:eastAsia="宋体" w:cs="Times New Roman"/>
                      <w:color w:val="auto"/>
                      <w:highlight w:val="none"/>
                      <w:lang w:val="en-US" w:eastAsia="zh-CN"/>
                    </w:rPr>
                    <w:t>；项目不涉及</w:t>
                  </w:r>
                  <w:r>
                    <w:rPr>
                      <w:rFonts w:hint="default" w:ascii="Times New Roman" w:hAnsi="Times New Roman" w:eastAsia="宋体" w:cs="Times New Roman"/>
                      <w:color w:val="auto"/>
                      <w:highlight w:val="none"/>
                      <w:lang w:val="en-US" w:eastAsia="zh-CN"/>
                    </w:rPr>
                    <w:t>清洗及吹扫过程</w:t>
                  </w:r>
                  <w:r>
                    <w:rPr>
                      <w:rFonts w:hint="eastAsia" w:ascii="Times New Roman" w:hAnsi="Times New Roman" w:eastAsia="宋体" w:cs="Times New Roman"/>
                      <w:color w:val="auto"/>
                      <w:highlight w:val="none"/>
                      <w:lang w:val="en-US" w:eastAsia="zh-CN"/>
                    </w:rPr>
                    <w:t>。</w:t>
                  </w:r>
                </w:p>
              </w:tc>
              <w:tc>
                <w:tcPr>
                  <w:tcW w:w="250" w:type="pct"/>
                  <w:tcBorders>
                    <w:tl2br w:val="nil"/>
                    <w:tr2bl w:val="nil"/>
                  </w:tcBorders>
                  <w:vAlign w:val="center"/>
                </w:tcPr>
                <w:p w14:paraId="338B309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r w14:paraId="15293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vAlign w:val="center"/>
                </w:tcPr>
                <w:p w14:paraId="4CDB6A9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2425" w:type="pct"/>
                  <w:shd w:val="clear" w:color="auto" w:fill="auto"/>
                  <w:vAlign w:val="center"/>
                </w:tcPr>
                <w:p w14:paraId="15EE87F9">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10.1.2 VOCs废气收集处理系统应与生产工艺设备同步运行。VOCs 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生产工艺设备不能停止运行或不能及时停止运行的，应设置废气应急处理设施或采取其他替代措施。</w:t>
                  </w:r>
                </w:p>
                <w:p w14:paraId="0B3E8E82">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10.2.1 企业应考虑生产工艺、操作方式、废气性质、处理方法等因素，对VOCs废气进行分类收集。</w:t>
                  </w:r>
                </w:p>
                <w:p w14:paraId="14C8F3B5">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10.4 记录要求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571" w:type="pct"/>
                  <w:vAlign w:val="center"/>
                </w:tcPr>
                <w:p w14:paraId="7B0F4229">
                  <w:pPr>
                    <w:pStyle w:val="38"/>
                    <w:jc w:val="both"/>
                    <w:rPr>
                      <w:rFonts w:hint="eastAsia"/>
                      <w:lang w:val="en-US" w:eastAsia="zh-CN"/>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废气收集处理系统</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。项目有机废气拟收集后统一通过1套</w:t>
                  </w:r>
                  <w:r>
                    <w:rPr>
                      <w:rFonts w:hint="eastAsia" w:cs="Times New Roman"/>
                      <w:color w:val="auto"/>
                      <w:highlight w:val="none"/>
                      <w:lang w:val="en-US" w:eastAsia="zh-CN"/>
                    </w:rPr>
                    <w:t>二级</w:t>
                  </w:r>
                  <w:r>
                    <w:rPr>
                      <w:rFonts w:hint="eastAsia" w:ascii="Times New Roman" w:hAnsi="Times New Roman" w:eastAsia="宋体" w:cs="Times New Roman"/>
                      <w:color w:val="auto"/>
                      <w:highlight w:val="none"/>
                      <w:lang w:val="en-US" w:eastAsia="zh-CN"/>
                    </w:rPr>
                    <w:t>活性炭吸附装置处理后排放。项目将严格按照要求制定</w:t>
                  </w:r>
                  <w:r>
                    <w:rPr>
                      <w:rFonts w:hint="default" w:ascii="Times New Roman" w:hAnsi="Times New Roman" w:eastAsia="宋体" w:cs="Times New Roman"/>
                      <w:color w:val="auto"/>
                      <w:highlight w:val="none"/>
                      <w:lang w:val="en-US" w:eastAsia="zh-CN"/>
                    </w:rPr>
                    <w:t>废气收集系统、VOCs处理设施</w:t>
                  </w:r>
                  <w:r>
                    <w:rPr>
                      <w:rFonts w:hint="eastAsia" w:ascii="Times New Roman" w:hAnsi="Times New Roman" w:eastAsia="宋体" w:cs="Times New Roman"/>
                      <w:color w:val="auto"/>
                      <w:highlight w:val="none"/>
                      <w:lang w:val="en-US" w:eastAsia="zh-CN"/>
                    </w:rPr>
                    <w:t>运行台账，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250" w:type="pct"/>
                  <w:vAlign w:val="center"/>
                </w:tcPr>
                <w:p w14:paraId="04DF0C1E">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符合</w:t>
                  </w:r>
                </w:p>
              </w:tc>
            </w:tr>
          </w:tbl>
          <w:p w14:paraId="6E256190">
            <w:pPr>
              <w:spacing w:line="360" w:lineRule="auto"/>
              <w:ind w:firstLine="480" w:firstLineChars="200"/>
              <w:jc w:val="left"/>
              <w:rPr>
                <w:rFonts w:hint="eastAsia"/>
                <w:vertAlign w:val="baseline"/>
                <w:lang w:eastAsia="zh-CN"/>
              </w:rPr>
            </w:pPr>
            <w:r>
              <w:rPr>
                <w:rFonts w:hint="eastAsia" w:ascii="Times New Roman" w:hAnsi="Times New Roman" w:eastAsia="宋体" w:cs="Times New Roman"/>
                <w:kern w:val="2"/>
                <w:sz w:val="24"/>
                <w:szCs w:val="24"/>
                <w:lang w:val="en-US" w:eastAsia="zh-CN" w:bidi="ar"/>
              </w:rPr>
              <w:t>根据以上分析，项目产生挥发性有机物可以得到</w:t>
            </w:r>
            <w:r>
              <w:rPr>
                <w:rFonts w:hint="eastAsia" w:cs="Times New Roman"/>
                <w:kern w:val="2"/>
                <w:sz w:val="24"/>
                <w:szCs w:val="24"/>
                <w:lang w:val="en-US" w:eastAsia="zh-CN" w:bidi="ar"/>
              </w:rPr>
              <w:t>有效</w:t>
            </w:r>
            <w:r>
              <w:rPr>
                <w:rFonts w:hint="eastAsia" w:ascii="Times New Roman" w:hAnsi="Times New Roman" w:eastAsia="宋体" w:cs="Times New Roman"/>
                <w:kern w:val="2"/>
                <w:sz w:val="24"/>
                <w:szCs w:val="24"/>
                <w:lang w:val="en-US" w:eastAsia="zh-CN" w:bidi="ar"/>
              </w:rPr>
              <w:t>控制，采取有效治理措施后，符合挥发性有机物污染防治相关政策的要求。</w:t>
            </w:r>
          </w:p>
        </w:tc>
      </w:tr>
    </w:tbl>
    <w:p w14:paraId="20BC26DB">
      <w:pPr>
        <w:rPr>
          <w:rFonts w:hint="eastAsia"/>
          <w:lang w:eastAsia="zh-CN"/>
        </w:rPr>
      </w:pPr>
      <w:r>
        <w:rPr>
          <w:rFonts w:hint="eastAsia"/>
          <w:lang w:eastAsia="zh-CN"/>
        </w:rPr>
        <w:br w:type="page"/>
      </w:r>
    </w:p>
    <w:p w14:paraId="315B59CA">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16" w:name="_Toc30522"/>
      <w:r>
        <w:rPr>
          <w:rFonts w:hint="default" w:ascii="Times New Roman" w:hAnsi="Times New Roman" w:eastAsia="黑体" w:cs="Times New Roman"/>
          <w:snapToGrid w:val="0"/>
          <w:color w:val="auto"/>
          <w:sz w:val="30"/>
          <w:szCs w:val="30"/>
          <w:u w:val="none"/>
          <w:lang w:val="en-US" w:eastAsia="zh-CN"/>
        </w:rPr>
        <w:t>二、建设项目工程分析</w:t>
      </w:r>
      <w:bookmarkEnd w:id="16"/>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835"/>
      </w:tblGrid>
      <w:tr w14:paraId="0F81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5" w:hRule="atLeast"/>
        </w:trPr>
        <w:tc>
          <w:tcPr>
            <w:tcW w:w="244" w:type="pct"/>
            <w:vAlign w:val="center"/>
          </w:tcPr>
          <w:p w14:paraId="098DB3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val="en-US" w:eastAsia="zh-CN"/>
              </w:rPr>
            </w:pPr>
            <w:r>
              <w:rPr>
                <w:rFonts w:hint="default" w:ascii="Times New Roman" w:hAnsi="Times New Roman" w:cs="Times New Roman"/>
                <w:b w:val="0"/>
                <w:bCs w:val="0"/>
                <w:sz w:val="24"/>
                <w:szCs w:val="24"/>
                <w:vertAlign w:val="baseline"/>
                <w:lang w:val="en-US" w:eastAsia="zh-CN"/>
              </w:rPr>
              <w:t>建设内容</w:t>
            </w:r>
          </w:p>
        </w:tc>
        <w:tc>
          <w:tcPr>
            <w:tcW w:w="4755" w:type="pct"/>
            <w:vAlign w:val="center"/>
          </w:tcPr>
          <w:p w14:paraId="5FF44F1B">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7" w:name="_Toc2247"/>
            <w:bookmarkStart w:id="18" w:name="_Toc17663"/>
            <w:bookmarkStart w:id="19" w:name="_Toc9428"/>
            <w:bookmarkStart w:id="20" w:name="_Toc19270"/>
            <w:r>
              <w:rPr>
                <w:rFonts w:hint="default" w:ascii="Times New Roman" w:hAnsi="Times New Roman" w:eastAsia="宋体" w:cs="Times New Roman"/>
                <w:color w:val="auto"/>
                <w:sz w:val="28"/>
                <w:szCs w:val="28"/>
                <w:u w:val="none"/>
                <w:lang w:val="en-US" w:eastAsia="zh-CN"/>
              </w:rPr>
              <w:t>2.1 项目由来</w:t>
            </w:r>
            <w:bookmarkEnd w:id="17"/>
            <w:bookmarkEnd w:id="18"/>
            <w:bookmarkEnd w:id="19"/>
            <w:bookmarkEnd w:id="20"/>
          </w:p>
          <w:p w14:paraId="0DB160E8">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福州市闽侯振兴炜业机械有限公司2012年8月28日，注册地位于福建省福州市闽侯县青口镇宏四村。</w:t>
            </w:r>
            <w:r>
              <w:rPr>
                <w:rFonts w:hint="eastAsia" w:ascii="Times New Roman" w:hAnsi="Times New Roman" w:eastAsia="宋体" w:cs="Times New Roman"/>
                <w:color w:val="auto"/>
                <w:sz w:val="24"/>
                <w:szCs w:val="24"/>
                <w:highlight w:val="none"/>
                <w:u w:val="none"/>
                <w:lang w:val="en-US" w:eastAsia="zh-CN"/>
              </w:rPr>
              <w:t>主要从事模具、治具、检具的设计、制作与加工，以及料架、机械设备、冲压件、台车、五金制品的生产与销售，并兼营机械设备及配件、电器、金属材料的批发与代购代销业等业务。统一社会信用代码为91350121052327451E</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val="en-US" w:eastAsia="zh-CN"/>
              </w:rPr>
              <w:t>法定代表人为包明炜</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26456DFF">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项目拟投资</w:t>
            </w:r>
            <w:r>
              <w:rPr>
                <w:rFonts w:hint="eastAsia" w:cs="Times New Roman"/>
                <w:color w:val="auto"/>
                <w:sz w:val="24"/>
                <w:szCs w:val="24"/>
                <w:highlight w:val="none"/>
                <w:u w:val="none"/>
                <w:lang w:val="en-US" w:eastAsia="zh-CN"/>
              </w:rPr>
              <w:t>1500</w:t>
            </w:r>
            <w:r>
              <w:rPr>
                <w:rFonts w:hint="eastAsia" w:ascii="Times New Roman" w:hAnsi="Times New Roman" w:eastAsia="宋体" w:cs="Times New Roman"/>
                <w:color w:val="auto"/>
                <w:sz w:val="24"/>
                <w:szCs w:val="24"/>
                <w:highlight w:val="none"/>
                <w:u w:val="none"/>
                <w:lang w:val="en-US" w:eastAsia="zh-CN"/>
              </w:rPr>
              <w:t>万元，选址位于</w:t>
            </w:r>
            <w:r>
              <w:rPr>
                <w:rFonts w:hint="eastAsia" w:cs="Times New Roman"/>
                <w:color w:val="auto"/>
                <w:sz w:val="24"/>
                <w:szCs w:val="24"/>
                <w:highlight w:val="none"/>
                <w:u w:val="none"/>
                <w:lang w:val="en-US" w:eastAsia="zh-CN"/>
              </w:rPr>
              <w:t>福清融侨经济技术开发区（购置均和云谷·福清科技港39#厂房）作为生产经营场所，厂房面积4188.94平方米，属于其他电子元件制造，计划年加工工业连接器300万件、6KV以下工业线缆200万件，购置注塑机、破碎机等相关设备，建设1条工业连接器</w:t>
            </w:r>
            <w:r>
              <w:rPr>
                <w:rFonts w:hint="eastAsia" w:ascii="Times New Roman" w:hAnsi="Times New Roman" w:eastAsia="宋体" w:cs="Times New Roman"/>
                <w:color w:val="auto"/>
                <w:sz w:val="24"/>
                <w:szCs w:val="24"/>
                <w:highlight w:val="none"/>
                <w:u w:val="none"/>
                <w:lang w:val="en-US" w:eastAsia="zh-CN"/>
              </w:rPr>
              <w:t>制造生产线</w:t>
            </w:r>
            <w:r>
              <w:rPr>
                <w:rFonts w:hint="eastAsia" w:cs="Times New Roman"/>
                <w:color w:val="auto"/>
                <w:sz w:val="24"/>
                <w:szCs w:val="24"/>
                <w:highlight w:val="none"/>
                <w:u w:val="none"/>
                <w:lang w:val="en-US" w:eastAsia="zh-CN"/>
              </w:rPr>
              <w:t>和1条工业线缆</w:t>
            </w:r>
            <w:r>
              <w:rPr>
                <w:rFonts w:hint="eastAsia" w:ascii="Times New Roman" w:hAnsi="Times New Roman" w:eastAsia="宋体" w:cs="Times New Roman"/>
                <w:color w:val="auto"/>
                <w:sz w:val="24"/>
                <w:szCs w:val="24"/>
                <w:highlight w:val="none"/>
                <w:u w:val="none"/>
                <w:lang w:val="en-US" w:eastAsia="zh-CN"/>
              </w:rPr>
              <w:t>制造生产线</w:t>
            </w:r>
            <w:r>
              <w:rPr>
                <w:rFonts w:hint="eastAsia" w:cs="Times New Roman"/>
                <w:color w:val="auto"/>
                <w:sz w:val="24"/>
                <w:szCs w:val="24"/>
                <w:highlight w:val="none"/>
                <w:u w:val="none"/>
                <w:lang w:val="en-US" w:eastAsia="zh-CN"/>
              </w:rPr>
              <w:t>。该项目于2025年9月</w:t>
            </w:r>
            <w:r>
              <w:rPr>
                <w:rFonts w:hint="eastAsia" w:ascii="Times New Roman" w:hAnsi="Times New Roman" w:eastAsia="宋体" w:cs="Times New Roman"/>
                <w:color w:val="auto"/>
                <w:sz w:val="24"/>
                <w:szCs w:val="24"/>
                <w:u w:val="none"/>
                <w:lang w:val="en-US" w:eastAsia="zh-CN"/>
              </w:rPr>
              <w:t>18日通过了福清市发展和改革局的备案（闽发改备</w:t>
            </w:r>
            <w:r>
              <w:rPr>
                <w:rFonts w:hint="eastAsia"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val="en-US" w:eastAsia="zh-CN"/>
              </w:rPr>
              <w:t>A060387号，</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四</w:t>
            </w:r>
            <w:r>
              <w:rPr>
                <w:rFonts w:hint="eastAsia" w:ascii="Times New Roman" w:hAnsi="Times New Roman" w:eastAsia="宋体" w:cs="Times New Roman"/>
                <w:color w:val="auto"/>
                <w:sz w:val="24"/>
                <w:szCs w:val="24"/>
                <w:highlight w:val="none"/>
                <w:u w:val="none"/>
                <w:lang w:val="en-US" w:eastAsia="zh-CN"/>
              </w:rPr>
              <w:t>）。</w:t>
            </w:r>
          </w:p>
          <w:p w14:paraId="36EC3815">
            <w:pPr>
              <w:pStyle w:val="8"/>
              <w:spacing w:line="360" w:lineRule="auto"/>
              <w:ind w:firstLine="480" w:firstLineChars="200"/>
              <w:rPr>
                <w:rFonts w:hint="default" w:ascii="Times New Roman" w:hAnsi="Times New Roman" w:eastAsia="宋体" w:cs="Times New Roman"/>
                <w:color w:val="auto"/>
                <w:kern w:val="0"/>
                <w:sz w:val="24"/>
                <w:szCs w:val="24"/>
                <w:highlight w:val="none"/>
                <w:u w:val="none"/>
              </w:rPr>
            </w:pPr>
            <w:r>
              <w:rPr>
                <w:rFonts w:hint="default" w:ascii="Times New Roman" w:hAnsi="Times New Roman" w:eastAsia="宋体" w:cs="Times New Roman"/>
                <w:color w:val="auto"/>
                <w:sz w:val="24"/>
                <w:szCs w:val="24"/>
                <w:u w:val="none"/>
                <w:lang w:val="en-US" w:eastAsia="zh-CN"/>
              </w:rPr>
              <w:t>根据《中华人民共和国环境保护法》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2015年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、《中华人民共和国环境影响评价法》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2018年修正</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、《建设项目环境保护管理条例》</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2017年</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的相关规定，项目需要办理环境影响评价手续；根据《建设项目环境影响评价分类管理名录》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规定，</w:t>
            </w:r>
            <w:r>
              <w:rPr>
                <w:rFonts w:hint="eastAsia" w:ascii="Times New Roman" w:hAnsi="Times New Roman" w:eastAsia="宋体" w:cs="Times New Roman"/>
                <w:color w:val="auto"/>
                <w:sz w:val="24"/>
                <w:szCs w:val="24"/>
                <w:u w:val="none"/>
                <w:lang w:val="en-US" w:eastAsia="zh-CN"/>
              </w:rPr>
              <w:t>本项目属《建设项目分类管理名录（2021年本）》中“三十六、计算机、通信和其他电子设备制造业39——电子元件及电子专用材料制造398</w:t>
            </w:r>
            <w:r>
              <w:rPr>
                <w:rFonts w:hint="eastAsia" w:ascii="Times New Roman" w:hAnsi="Times New Roman" w:eastAsia="宋体" w:cs="Times New Roman"/>
                <w:color w:val="auto"/>
                <w:sz w:val="24"/>
                <w:szCs w:val="24"/>
                <w:u w:val="none"/>
                <w:lang w:val="en-US" w:eastAsia="zh-CN"/>
              </w:rPr>
              <w:br w:type="textWrapping"/>
            </w:r>
            <w:r>
              <w:rPr>
                <w:rFonts w:hint="eastAsia" w:ascii="Times New Roman" w:hAnsi="Times New Roman" w:eastAsia="宋体" w:cs="Times New Roman"/>
                <w:color w:val="auto"/>
                <w:sz w:val="24"/>
                <w:szCs w:val="24"/>
                <w:u w:val="none"/>
                <w:lang w:val="en-US" w:eastAsia="zh-CN"/>
              </w:rPr>
              <w:t>三十五、电气机械和器材制造业38——电线、电缆、光缆及电工器材制造383</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二十六、橡胶和塑料制品业 29</w:t>
            </w:r>
            <w:r>
              <w:rPr>
                <w:rFonts w:hint="eastAsia" w:cs="Times New Roman"/>
                <w:color w:val="auto"/>
                <w:sz w:val="24"/>
                <w:szCs w:val="24"/>
                <w:u w:val="none"/>
                <w:lang w:val="en-US" w:eastAsia="zh-CN"/>
              </w:rPr>
              <w:t xml:space="preserve"> </w:t>
            </w:r>
            <w:r>
              <w:rPr>
                <w:rFonts w:hint="eastAsia" w:ascii="Times New Roman" w:hAnsi="Times New Roman" w:eastAsia="宋体" w:cs="Times New Roman"/>
                <w:color w:val="auto"/>
                <w:sz w:val="24"/>
                <w:szCs w:val="24"/>
                <w:u w:val="none"/>
                <w:lang w:val="en-US" w:eastAsia="zh-CN"/>
              </w:rPr>
              <w:t>53 塑料制品业 292”</w:t>
            </w:r>
            <w:r>
              <w:rPr>
                <w:rFonts w:hint="default" w:ascii="Times New Roman" w:hAnsi="Times New Roman" w:eastAsia="宋体" w:cs="Times New Roman"/>
                <w:color w:val="auto"/>
                <w:sz w:val="24"/>
                <w:szCs w:val="24"/>
                <w:highlight w:val="none"/>
                <w:u w:val="none"/>
              </w:rPr>
              <w:t>本项目环评类别为环境影响报告表，详见表2-1。</w:t>
            </w:r>
            <w:r>
              <w:rPr>
                <w:rFonts w:hint="default" w:ascii="Times New Roman" w:hAnsi="Times New Roman" w:eastAsia="宋体" w:cs="Times New Roman"/>
                <w:color w:val="auto"/>
                <w:sz w:val="24"/>
                <w:szCs w:val="24"/>
                <w:highlight w:val="none"/>
                <w:u w:val="none"/>
                <w:lang w:eastAsia="zh-CN"/>
              </w:rPr>
              <w:t>为此，</w:t>
            </w:r>
            <w:r>
              <w:rPr>
                <w:rFonts w:hint="eastAsia" w:ascii="Times New Roman" w:hAnsi="Times New Roman" w:eastAsia="宋体" w:cs="Times New Roman"/>
                <w:color w:val="auto"/>
                <w:sz w:val="24"/>
                <w:szCs w:val="24"/>
                <w:u w:val="none"/>
                <w:lang w:eastAsia="zh-CN"/>
              </w:rPr>
              <w:t>该公司于</w:t>
            </w:r>
            <w:r>
              <w:rPr>
                <w:rFonts w:hint="eastAsia" w:ascii="Times New Roman" w:hAnsi="Times New Roman" w:eastAsia="宋体" w:cs="Times New Roman"/>
                <w:color w:val="auto"/>
                <w:sz w:val="24"/>
                <w:szCs w:val="24"/>
                <w:u w:val="none"/>
                <w:lang w:val="en-US" w:eastAsia="zh-CN"/>
              </w:rPr>
              <w:t>2025</w:t>
            </w:r>
            <w:r>
              <w:rPr>
                <w:rFonts w:hint="eastAsia" w:ascii="Times New Roman" w:hAnsi="Times New Roman" w:eastAsia="宋体" w:cs="Times New Roman"/>
                <w:color w:val="auto"/>
                <w:sz w:val="24"/>
                <w:szCs w:val="24"/>
                <w:u w:val="none"/>
                <w:lang w:eastAsia="zh-CN"/>
              </w:rPr>
              <w:t>年</w:t>
            </w:r>
            <w:r>
              <w:rPr>
                <w:rFonts w:hint="eastAsia" w:cs="Times New Roman"/>
                <w:color w:val="auto"/>
                <w:sz w:val="24"/>
                <w:szCs w:val="24"/>
                <w:u w:val="none"/>
                <w:lang w:val="en-US" w:eastAsia="zh-CN"/>
              </w:rPr>
              <w:t>10</w:t>
            </w:r>
            <w:r>
              <w:rPr>
                <w:rFonts w:hint="eastAsia" w:ascii="Times New Roman" w:hAnsi="Times New Roman" w:eastAsia="宋体" w:cs="Times New Roman"/>
                <w:color w:val="auto"/>
                <w:sz w:val="24"/>
                <w:szCs w:val="24"/>
                <w:u w:val="none"/>
                <w:lang w:eastAsia="zh-CN"/>
              </w:rPr>
              <w:t>月委托</w:t>
            </w:r>
            <w:r>
              <w:rPr>
                <w:rFonts w:hint="eastAsia" w:cs="Times New Roman"/>
                <w:color w:val="auto"/>
                <w:sz w:val="24"/>
                <w:szCs w:val="24"/>
                <w:u w:val="none"/>
                <w:lang w:val="en-US" w:eastAsia="zh-CN"/>
              </w:rPr>
              <w:t>福州朴诚至信</w:t>
            </w:r>
            <w:r>
              <w:rPr>
                <w:rFonts w:hint="eastAsia" w:ascii="Times New Roman" w:hAnsi="Times New Roman" w:eastAsia="宋体" w:cs="Times New Roman"/>
                <w:color w:val="auto"/>
                <w:sz w:val="24"/>
                <w:szCs w:val="24"/>
                <w:highlight w:val="none"/>
                <w:u w:val="none"/>
                <w:lang w:eastAsia="zh-CN"/>
              </w:rPr>
              <w:t>环保科技</w:t>
            </w:r>
            <w:r>
              <w:rPr>
                <w:rFonts w:hint="eastAsia" w:ascii="Times New Roman" w:hAnsi="Times New Roman" w:eastAsia="宋体" w:cs="Times New Roman"/>
                <w:color w:val="auto"/>
                <w:sz w:val="24"/>
                <w:szCs w:val="24"/>
                <w:highlight w:val="none"/>
                <w:u w:val="none"/>
                <w:lang w:val="en-US" w:eastAsia="zh-CN"/>
              </w:rPr>
              <w:t>有限公司</w:t>
            </w:r>
            <w:r>
              <w:rPr>
                <w:rFonts w:hint="eastAsia" w:ascii="Times New Roman" w:hAnsi="Times New Roman" w:eastAsia="宋体" w:cs="Times New Roman"/>
                <w:color w:val="auto"/>
                <w:sz w:val="24"/>
                <w:szCs w:val="24"/>
                <w:u w:val="none"/>
                <w:lang w:eastAsia="zh-CN"/>
              </w:rPr>
              <w:t>编制《</w:t>
            </w:r>
            <w:r>
              <w:rPr>
                <w:rFonts w:hint="eastAsia" w:cs="Times New Roman"/>
                <w:color w:val="auto"/>
                <w:sz w:val="24"/>
                <w:szCs w:val="24"/>
                <w:u w:val="none"/>
                <w:lang w:eastAsia="zh-CN"/>
              </w:rPr>
              <w:t>福州市闽侯振兴炜业机械有限公司年加工工业连接器300万件、6KV以下工业线缆200万件</w:t>
            </w:r>
            <w:r>
              <w:rPr>
                <w:rFonts w:hint="eastAsia" w:ascii="Times New Roman" w:hAnsi="Times New Roman" w:eastAsia="宋体" w:cs="Times New Roman"/>
                <w:color w:val="auto"/>
                <w:sz w:val="24"/>
                <w:szCs w:val="24"/>
                <w:u w:val="none"/>
                <w:lang w:eastAsia="zh-CN"/>
              </w:rPr>
              <w:t>环境影响报告表》</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b w:val="0"/>
                <w:bCs w:val="0"/>
                <w:color w:val="auto"/>
                <w:sz w:val="24"/>
                <w:szCs w:val="24"/>
                <w:highlight w:val="none"/>
                <w:u w:val="none"/>
              </w:rPr>
              <w:t>委托书详见</w:t>
            </w:r>
            <w:r>
              <w:rPr>
                <w:rFonts w:hint="default" w:ascii="Times New Roman" w:hAnsi="Times New Roman" w:eastAsia="宋体" w:cs="Times New Roman"/>
                <w:b/>
                <w:bCs/>
                <w:color w:val="auto"/>
                <w:sz w:val="24"/>
                <w:szCs w:val="24"/>
                <w:highlight w:val="none"/>
                <w:u w:val="none"/>
              </w:rPr>
              <w:t>附件一</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。本环评单位接受委托后，立即派技术人员踏勘现场和收集有关资料，</w:t>
            </w:r>
            <w:r>
              <w:rPr>
                <w:rFonts w:hint="default" w:ascii="Times New Roman" w:hAnsi="Times New Roman" w:eastAsia="宋体" w:cs="Times New Roman"/>
                <w:color w:val="auto"/>
                <w:sz w:val="24"/>
                <w:szCs w:val="24"/>
                <w:u w:val="none"/>
              </w:rPr>
              <w:t>按照</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建设项目环境影响报告表编制技术指南</w:t>
            </w:r>
            <w:r>
              <w:rPr>
                <w:rFonts w:hint="eastAsia" w:cs="Times New Roman"/>
                <w:color w:val="auto"/>
                <w:sz w:val="24"/>
                <w:szCs w:val="24"/>
                <w:u w:val="none"/>
                <w:lang w:eastAsia="zh-CN"/>
              </w:rPr>
              <w:t>（</w:t>
            </w:r>
            <w:r>
              <w:rPr>
                <w:rFonts w:hint="eastAsia" w:ascii="Times New Roman" w:hAnsi="Times New Roman" w:eastAsia="宋体" w:cs="Times New Roman"/>
                <w:color w:val="auto"/>
                <w:sz w:val="24"/>
                <w:szCs w:val="24"/>
                <w:u w:val="none"/>
              </w:rPr>
              <w:t>污染影响类</w:t>
            </w:r>
            <w:r>
              <w:rPr>
                <w:rFonts w:hint="eastAsia" w:cs="Times New Roman"/>
                <w:color w:val="auto"/>
                <w:sz w:val="24"/>
                <w:szCs w:val="24"/>
                <w:u w:val="none"/>
                <w:lang w:eastAsia="zh-CN"/>
              </w:rPr>
              <w:t>）（试行）》</w:t>
            </w:r>
            <w:r>
              <w:rPr>
                <w:rFonts w:hint="default" w:ascii="Times New Roman" w:hAnsi="Times New Roman" w:eastAsia="宋体" w:cs="Times New Roman"/>
                <w:color w:val="auto"/>
                <w:sz w:val="24"/>
                <w:szCs w:val="24"/>
                <w:u w:val="none"/>
              </w:rPr>
              <w:t>及相关技术规范要求，</w:t>
            </w:r>
            <w:r>
              <w:rPr>
                <w:rFonts w:hint="default" w:ascii="Times New Roman" w:hAnsi="Times New Roman" w:eastAsia="宋体" w:cs="Times New Roman"/>
                <w:color w:val="auto"/>
                <w:kern w:val="0"/>
                <w:sz w:val="24"/>
                <w:szCs w:val="24"/>
                <w:highlight w:val="none"/>
                <w:u w:val="none"/>
              </w:rPr>
              <w:t>编制了本环境影响报告表，供建设单位上报</w:t>
            </w:r>
            <w:r>
              <w:rPr>
                <w:rFonts w:hint="default" w:ascii="Times New Roman" w:hAnsi="Times New Roman" w:eastAsia="宋体" w:cs="Times New Roman"/>
                <w:color w:val="auto"/>
                <w:kern w:val="0"/>
                <w:sz w:val="24"/>
                <w:szCs w:val="24"/>
                <w:highlight w:val="none"/>
                <w:u w:val="none"/>
                <w:lang w:eastAsia="zh-CN"/>
              </w:rPr>
              <w:t>生态环境行政主管部门</w:t>
            </w:r>
            <w:r>
              <w:rPr>
                <w:rFonts w:hint="default" w:ascii="Times New Roman" w:hAnsi="Times New Roman" w:eastAsia="宋体" w:cs="Times New Roman"/>
                <w:color w:val="auto"/>
                <w:kern w:val="0"/>
                <w:sz w:val="24"/>
                <w:szCs w:val="24"/>
                <w:highlight w:val="none"/>
                <w:u w:val="none"/>
              </w:rPr>
              <w:t>审批。</w:t>
            </w:r>
          </w:p>
          <w:p w14:paraId="6A8DF5BC">
            <w:pPr>
              <w:rPr>
                <w:rFonts w:hint="default"/>
                <w:lang w:val="en-US" w:eastAsia="zh-CN"/>
              </w:rPr>
            </w:pPr>
          </w:p>
          <w:p w14:paraId="4E45BC49">
            <w:pPr>
              <w:keepNext w:val="0"/>
              <w:keepLines w:val="0"/>
              <w:pageBreakBefore w:val="0"/>
              <w:widowControl w:val="0"/>
              <w:kinsoku/>
              <w:wordWrap/>
              <w:overflowPunct/>
              <w:topLinePunct w:val="0"/>
              <w:autoSpaceDE/>
              <w:autoSpaceDN/>
              <w:bidi w:val="0"/>
              <w:adjustRightInd w:val="0"/>
              <w:snapToGrid w:val="0"/>
              <w:spacing w:before="160" w:beforeLines="50"/>
              <w:jc w:val="center"/>
              <w:textAlignment w:val="auto"/>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eastAsia="宋体" w:cs="Times New Roman"/>
                <w:b/>
                <w:bCs/>
                <w:color w:val="auto"/>
                <w:sz w:val="24"/>
                <w:highlight w:val="none"/>
                <w:u w:val="none"/>
                <w:lang w:val="en-US" w:eastAsia="zh-CN"/>
              </w:rPr>
              <w:t>表2.1-1 建设项目环境影响评价分类管理名录（摘录）</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823"/>
              <w:gridCol w:w="2552"/>
              <w:gridCol w:w="2323"/>
              <w:gridCol w:w="487"/>
            </w:tblGrid>
            <w:tr w14:paraId="3F8ED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3249" w:type="dxa"/>
                  <w:gridSpan w:val="2"/>
                  <w:tcBorders>
                    <w:tl2br w:val="single" w:color="auto" w:sz="2" w:space="0"/>
                  </w:tcBorders>
                  <w:vAlign w:val="center"/>
                </w:tcPr>
                <w:p w14:paraId="4128195D">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环评类别</w:t>
                  </w:r>
                </w:p>
                <w:p w14:paraId="09BADAE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kern w:val="2"/>
                      <w:sz w:val="21"/>
                      <w:szCs w:val="21"/>
                      <w:u w:val="none"/>
                      <w:vertAlign w:val="baseline"/>
                      <w:lang w:val="en-US" w:eastAsia="zh-CN" w:bidi="ar-SA"/>
                    </w:rPr>
                    <w:t>项目类别</w:t>
                  </w:r>
                </w:p>
              </w:tc>
              <w:tc>
                <w:tcPr>
                  <w:tcW w:w="2552" w:type="dxa"/>
                  <w:tcBorders>
                    <w:tl2br w:val="nil"/>
                    <w:tr2bl w:val="nil"/>
                  </w:tcBorders>
                  <w:vAlign w:val="center"/>
                </w:tcPr>
                <w:p w14:paraId="2A68EC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报告书</w:t>
                  </w:r>
                </w:p>
              </w:tc>
              <w:tc>
                <w:tcPr>
                  <w:tcW w:w="2323" w:type="dxa"/>
                  <w:tcBorders>
                    <w:tl2br w:val="nil"/>
                    <w:tr2bl w:val="nil"/>
                  </w:tcBorders>
                  <w:shd w:val="clear" w:color="auto" w:fill="D7D7D7" w:themeFill="background1" w:themeFillShade="D8"/>
                  <w:vAlign w:val="center"/>
                </w:tcPr>
                <w:p w14:paraId="00D494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报告表</w:t>
                  </w:r>
                </w:p>
              </w:tc>
              <w:tc>
                <w:tcPr>
                  <w:tcW w:w="487" w:type="dxa"/>
                  <w:tcBorders>
                    <w:tl2br w:val="nil"/>
                    <w:tr2bl w:val="nil"/>
                  </w:tcBorders>
                  <w:vAlign w:val="center"/>
                </w:tcPr>
                <w:p w14:paraId="2C75AF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登记表</w:t>
                  </w:r>
                </w:p>
              </w:tc>
            </w:tr>
            <w:tr w14:paraId="7AAD0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611" w:type="dxa"/>
                  <w:gridSpan w:val="5"/>
                  <w:tcBorders>
                    <w:tl2br w:val="nil"/>
                    <w:tr2bl w:val="nil"/>
                  </w:tcBorders>
                  <w:shd w:val="clear" w:color="auto" w:fill="D7D7D7" w:themeFill="background1" w:themeFillShade="D8"/>
                  <w:vAlign w:val="center"/>
                </w:tcPr>
                <w:p w14:paraId="3C4EC81A">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color w:val="auto"/>
                      <w:sz w:val="21"/>
                      <w:szCs w:val="21"/>
                      <w:u w:val="none"/>
                      <w:lang w:val="en-US" w:eastAsia="zh-CN"/>
                    </w:rPr>
                    <w:t>三十六、计算机、通信和其他电子设备制造业39</w:t>
                  </w:r>
                </w:p>
              </w:tc>
            </w:tr>
            <w:tr w14:paraId="6CD24C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426" w:type="dxa"/>
                  <w:tcBorders>
                    <w:tl2br w:val="nil"/>
                    <w:tr2bl w:val="nil"/>
                  </w:tcBorders>
                  <w:vAlign w:val="center"/>
                </w:tcPr>
                <w:p w14:paraId="19F98B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81</w:t>
                  </w:r>
                </w:p>
              </w:tc>
              <w:tc>
                <w:tcPr>
                  <w:tcW w:w="2823" w:type="dxa"/>
                  <w:tcBorders>
                    <w:tl2br w:val="nil"/>
                    <w:tr2bl w:val="nil"/>
                  </w:tcBorders>
                  <w:vAlign w:val="center"/>
                </w:tcPr>
                <w:p w14:paraId="4BDF3E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电子元件及电子专用材料制造 398</w:t>
                  </w:r>
                </w:p>
              </w:tc>
              <w:tc>
                <w:tcPr>
                  <w:tcW w:w="2552" w:type="dxa"/>
                  <w:tcBorders>
                    <w:tl2br w:val="nil"/>
                    <w:tr2bl w:val="nil"/>
                  </w:tcBorders>
                  <w:vAlign w:val="center"/>
                </w:tcPr>
                <w:p w14:paraId="2EFF1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半导体材料制造；电子化工材料制造</w:t>
                  </w:r>
                </w:p>
              </w:tc>
              <w:tc>
                <w:tcPr>
                  <w:tcW w:w="2323" w:type="dxa"/>
                  <w:tcBorders>
                    <w:tl2br w:val="nil"/>
                    <w:tr2bl w:val="nil"/>
                  </w:tcBorders>
                  <w:shd w:val="clear" w:color="auto" w:fill="D7D7D7" w:themeFill="background1" w:themeFillShade="D8"/>
                  <w:vAlign w:val="center"/>
                </w:tcPr>
                <w:p w14:paraId="68BCC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印刷电路板制造；电子专用材料制造</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电子化工材料制造除外</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；使用有机溶剂的；有酸洗的以上均不含仅分割、焊接、组装的</w:t>
                  </w:r>
                </w:p>
              </w:tc>
              <w:tc>
                <w:tcPr>
                  <w:tcW w:w="487" w:type="dxa"/>
                  <w:tcBorders>
                    <w:tl2br w:val="nil"/>
                    <w:tr2bl w:val="nil"/>
                  </w:tcBorders>
                  <w:vAlign w:val="center"/>
                </w:tcPr>
                <w:p w14:paraId="786F19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r>
            <w:tr w14:paraId="236F8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611" w:type="dxa"/>
                  <w:gridSpan w:val="5"/>
                  <w:tcBorders>
                    <w:tl2br w:val="nil"/>
                    <w:tr2bl w:val="nil"/>
                  </w:tcBorders>
                  <w:shd w:val="clear" w:color="auto" w:fill="D7D7D7" w:themeFill="background1" w:themeFillShade="D8"/>
                  <w:vAlign w:val="center"/>
                </w:tcPr>
                <w:p w14:paraId="1B6548F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sz w:val="21"/>
                      <w:szCs w:val="21"/>
                      <w:vertAlign w:val="baseline"/>
                      <w:lang w:val="en-US" w:eastAsia="zh-CN"/>
                    </w:rPr>
                  </w:pPr>
                  <w:bookmarkStart w:id="21" w:name="_Toc21852"/>
                  <w:r>
                    <w:rPr>
                      <w:rFonts w:hint="default" w:ascii="Times New Roman" w:hAnsi="Times New Roman" w:eastAsia="宋体" w:cs="Times New Roman"/>
                      <w:b w:val="0"/>
                      <w:bCs w:val="0"/>
                      <w:sz w:val="21"/>
                      <w:szCs w:val="21"/>
                      <w:vertAlign w:val="baseline"/>
                      <w:lang w:val="en-US" w:eastAsia="zh-CN"/>
                    </w:rPr>
                    <w:t>三十五、电气机械和器材制造业38</w:t>
                  </w:r>
                </w:p>
              </w:tc>
            </w:tr>
            <w:tr w14:paraId="2552B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426" w:type="dxa"/>
                  <w:tcBorders>
                    <w:tl2br w:val="nil"/>
                    <w:tr2bl w:val="nil"/>
                  </w:tcBorders>
                  <w:vAlign w:val="center"/>
                </w:tcPr>
                <w:p w14:paraId="33F32C7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77</w:t>
                  </w:r>
                </w:p>
              </w:tc>
              <w:tc>
                <w:tcPr>
                  <w:tcW w:w="2823" w:type="dxa"/>
                  <w:tcBorders>
                    <w:tl2br w:val="nil"/>
                    <w:tr2bl w:val="nil"/>
                  </w:tcBorders>
                  <w:vAlign w:val="center"/>
                </w:tcPr>
                <w:p w14:paraId="7934826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电机制造 381</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输配电及控制设备制造382</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电线、电缆、光缆及电工器材制造383</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电池制造 384</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家用电力器具制造385</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非电力家用器具制造386</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照明器具制造 387</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其他电气机械及器材制造389</w:t>
                  </w:r>
                </w:p>
              </w:tc>
              <w:tc>
                <w:tcPr>
                  <w:tcW w:w="2552" w:type="dxa"/>
                  <w:tcBorders>
                    <w:tl2br w:val="nil"/>
                    <w:tr2bl w:val="nil"/>
                  </w:tcBorders>
                  <w:vAlign w:val="center"/>
                </w:tcPr>
                <w:p w14:paraId="1F92D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铅蓄电池制造</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太阳能电池片生产；有电镀工艺的；年用溶剂型涂料</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含稀释剂</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10吨及以上的</w:t>
                  </w:r>
                </w:p>
              </w:tc>
              <w:tc>
                <w:tcPr>
                  <w:tcW w:w="2323" w:type="dxa"/>
                  <w:tcBorders>
                    <w:tl2br w:val="nil"/>
                    <w:tr2bl w:val="nil"/>
                  </w:tcBorders>
                  <w:shd w:val="clear" w:color="auto" w:fill="D7D7D7" w:themeFill="background1" w:themeFillShade="D8"/>
                  <w:vAlign w:val="center"/>
                </w:tcPr>
                <w:p w14:paraId="3466FE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其他</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仅分割、焊接、组装的除外；年用非溶剂型低V0Cs含量涂料10吨以下的除外</w:t>
                  </w:r>
                  <w:r>
                    <w:rPr>
                      <w:rFonts w:hint="eastAsia" w:cs="Times New Roman"/>
                      <w:b w:val="0"/>
                      <w:bCs w:val="0"/>
                      <w:sz w:val="21"/>
                      <w:szCs w:val="21"/>
                      <w:vertAlign w:val="baseline"/>
                      <w:lang w:val="en-US" w:eastAsia="zh-CN"/>
                    </w:rPr>
                    <w:t>）</w:t>
                  </w:r>
                </w:p>
              </w:tc>
              <w:tc>
                <w:tcPr>
                  <w:tcW w:w="487" w:type="dxa"/>
                  <w:tcBorders>
                    <w:tl2br w:val="nil"/>
                    <w:tr2bl w:val="nil"/>
                  </w:tcBorders>
                  <w:vAlign w:val="center"/>
                </w:tcPr>
                <w:p w14:paraId="799A05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r>
            <w:tr w14:paraId="320AF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611" w:type="dxa"/>
                  <w:gridSpan w:val="5"/>
                  <w:tcBorders>
                    <w:tl2br w:val="nil"/>
                    <w:tr2bl w:val="nil"/>
                  </w:tcBorders>
                  <w:shd w:val="clear" w:color="auto" w:fill="D7D7D7" w:themeFill="background1" w:themeFillShade="D8"/>
                  <w:vAlign w:val="center"/>
                </w:tcPr>
                <w:p w14:paraId="178E68DE">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color w:val="auto"/>
                      <w:sz w:val="21"/>
                      <w:szCs w:val="21"/>
                      <w:u w:val="none"/>
                      <w:lang w:val="en-US" w:eastAsia="zh-CN"/>
                    </w:rPr>
                    <w:t>二十六、橡胶和塑料制品业 29</w:t>
                  </w:r>
                </w:p>
              </w:tc>
            </w:tr>
            <w:tr w14:paraId="5F853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426" w:type="dxa"/>
                  <w:tcBorders>
                    <w:tl2br w:val="nil"/>
                    <w:tr2bl w:val="nil"/>
                  </w:tcBorders>
                  <w:vAlign w:val="center"/>
                </w:tcPr>
                <w:p w14:paraId="0E7A21AF">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53</w:t>
                  </w:r>
                </w:p>
              </w:tc>
              <w:tc>
                <w:tcPr>
                  <w:tcW w:w="2823" w:type="dxa"/>
                  <w:tcBorders>
                    <w:tl2br w:val="nil"/>
                    <w:tr2bl w:val="nil"/>
                  </w:tcBorders>
                  <w:vAlign w:val="center"/>
                </w:tcPr>
                <w:p w14:paraId="3E99E7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塑料制品业 292</w:t>
                  </w:r>
                </w:p>
              </w:tc>
              <w:tc>
                <w:tcPr>
                  <w:tcW w:w="2552" w:type="dxa"/>
                  <w:tcBorders>
                    <w:tl2br w:val="nil"/>
                    <w:tr2bl w:val="nil"/>
                  </w:tcBorders>
                  <w:vAlign w:val="center"/>
                </w:tcPr>
                <w:p w14:paraId="31ED51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以再生塑料为原料生产的；有电镀工艺的；年用溶剂型胶粘剂10吨及以上的；年用溶剂型涂料（含稀释剂）10吨及以上的</w:t>
                  </w:r>
                </w:p>
              </w:tc>
              <w:tc>
                <w:tcPr>
                  <w:tcW w:w="2323" w:type="dxa"/>
                  <w:tcBorders>
                    <w:tl2br w:val="nil"/>
                    <w:tr2bl w:val="nil"/>
                  </w:tcBorders>
                  <w:shd w:val="clear" w:color="auto" w:fill="D7D7D7" w:themeFill="background1" w:themeFillShade="D8"/>
                  <w:vAlign w:val="center"/>
                </w:tcPr>
                <w:p w14:paraId="78E78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其他（年用非溶剂型低VOCs含量涂料10吨以下的除外）</w:t>
                  </w:r>
                </w:p>
              </w:tc>
              <w:tc>
                <w:tcPr>
                  <w:tcW w:w="487" w:type="dxa"/>
                  <w:tcBorders>
                    <w:tl2br w:val="nil"/>
                    <w:tr2bl w:val="nil"/>
                  </w:tcBorders>
                  <w:vAlign w:val="center"/>
                </w:tcPr>
                <w:p w14:paraId="5F6CDA4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w:t>
                  </w:r>
                </w:p>
              </w:tc>
            </w:tr>
          </w:tbl>
          <w:p w14:paraId="07A376F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r>
              <w:rPr>
                <w:rFonts w:hint="eastAsia" w:ascii="Times New Roman" w:hAnsi="Times New Roman" w:eastAsia="宋体" w:cs="Times New Roman"/>
                <w:color w:val="auto"/>
                <w:sz w:val="28"/>
                <w:szCs w:val="28"/>
                <w:u w:val="none"/>
                <w:lang w:val="en-US" w:eastAsia="zh-CN"/>
              </w:rPr>
              <w:t>2.2工程概况</w:t>
            </w:r>
            <w:bookmarkEnd w:id="21"/>
          </w:p>
          <w:p w14:paraId="58874B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2" w:name="_Toc25243"/>
            <w:r>
              <w:rPr>
                <w:rFonts w:hint="default" w:ascii="Times New Roman" w:hAnsi="Times New Roman" w:eastAsia="宋体" w:cs="Times New Roman"/>
                <w:b/>
                <w:bCs/>
                <w:color w:val="auto"/>
                <w:sz w:val="24"/>
                <w:szCs w:val="24"/>
                <w:u w:val="none"/>
                <w:lang w:val="en-US" w:eastAsia="zh-CN"/>
              </w:rPr>
              <w:t>2.2.1 依托企业基本情况</w:t>
            </w:r>
            <w:bookmarkEnd w:id="22"/>
          </w:p>
          <w:p w14:paraId="2973D389">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建设单位购买</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均和产业发展</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w:t>
            </w:r>
            <w:r>
              <w:rPr>
                <w:rFonts w:hint="eastAsia"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投资建设的均和云谷·福清科技港</w:t>
            </w:r>
            <w:r>
              <w:rPr>
                <w:rFonts w:hint="eastAsia" w:cs="Times New Roman"/>
                <w:color w:val="000000" w:themeColor="text1"/>
                <w:sz w:val="24"/>
                <w:szCs w:val="24"/>
                <w:highlight w:val="none"/>
                <w:lang w:val="en-US" w:eastAsia="zh-CN"/>
                <w14:textFill>
                  <w14:solidFill>
                    <w14:schemeClr w14:val="tx1"/>
                  </w14:solidFill>
                </w14:textFill>
              </w:rPr>
              <w:t>39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#楼</w:t>
            </w:r>
            <w:r>
              <w:rPr>
                <w:rFonts w:hint="eastAsia" w:cs="Times New Roman"/>
                <w:color w:val="000000" w:themeColor="text1"/>
                <w:sz w:val="24"/>
                <w:szCs w:val="24"/>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层</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厂房</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购置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合同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五</w:t>
            </w:r>
            <w:r>
              <w:rPr>
                <w:rFonts w:hint="eastAsia" w:cs="Times New Roman"/>
                <w:color w:val="000000" w:themeColor="text1"/>
                <w:sz w:val="24"/>
                <w:szCs w:val="24"/>
                <w:highlight w:val="none"/>
                <w:lang w:val="en-US" w:eastAsia="zh-CN"/>
                <w14:textFill>
                  <w14:solidFill>
                    <w14:schemeClr w14:val="tx1"/>
                  </w14:solidFill>
                </w14:textFill>
              </w:rPr>
              <w:t>）（不动产登记信息查询结果详见</w:t>
            </w:r>
            <w:r>
              <w:rPr>
                <w:rFonts w:hint="eastAsia" w:cs="Times New Roman"/>
                <w:b/>
                <w:bCs/>
                <w:color w:val="000000" w:themeColor="text1"/>
                <w:sz w:val="24"/>
                <w:szCs w:val="24"/>
                <w:highlight w:val="none"/>
                <w:lang w:val="en-US" w:eastAsia="zh-CN"/>
                <w14:textFill>
                  <w14:solidFill>
                    <w14:schemeClr w14:val="tx1"/>
                  </w14:solidFill>
                </w14:textFill>
              </w:rPr>
              <w:t>附件十四</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本次评价利用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第</w:t>
            </w:r>
            <w:r>
              <w:rPr>
                <w:rFonts w:hint="eastAsia" w:cs="Times New Roman"/>
                <w:color w:val="000000" w:themeColor="text1"/>
                <w:sz w:val="24"/>
                <w:szCs w:val="24"/>
                <w:highlight w:val="none"/>
                <w:lang w:val="en-US" w:eastAsia="zh-CN"/>
                <w14:textFill>
                  <w14:solidFill>
                    <w14:schemeClr w14:val="tx1"/>
                  </w14:solidFill>
                </w14:textFill>
              </w:rPr>
              <w:t>一层、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第</w:t>
            </w:r>
            <w:r>
              <w:rPr>
                <w:rFonts w:hint="eastAsia" w:cs="Times New Roman"/>
                <w:color w:val="000000" w:themeColor="text1"/>
                <w:sz w:val="24"/>
                <w:szCs w:val="24"/>
                <w:highlight w:val="none"/>
                <w:lang w:val="en-US" w:eastAsia="zh-CN"/>
                <w14:textFill>
                  <w14:solidFill>
                    <w14:schemeClr w14:val="tx1"/>
                  </w14:solidFill>
                </w14:textFill>
              </w:rPr>
              <w:t>二层、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第</w:t>
            </w:r>
            <w:r>
              <w:rPr>
                <w:rFonts w:hint="eastAsia" w:cs="Times New Roman"/>
                <w:color w:val="000000" w:themeColor="text1"/>
                <w:sz w:val="24"/>
                <w:szCs w:val="24"/>
                <w:highlight w:val="none"/>
                <w:lang w:val="en-US" w:eastAsia="zh-CN"/>
                <w14:textFill>
                  <w14:solidFill>
                    <w14:schemeClr w14:val="tx1"/>
                  </w14:solidFill>
                </w14:textFill>
              </w:rPr>
              <w:t>三层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作为本项目生产经营场所</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无需分割。</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因此本评价在此简单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介绍均和云谷·福清科技港项目的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基本情况。</w:t>
            </w:r>
          </w:p>
          <w:p w14:paraId="43E1B15E">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cs="宋体"/>
                <w:i w:val="0"/>
                <w:iCs w:val="0"/>
                <w:caps w:val="0"/>
                <w:color w:val="000000" w:themeColor="text1"/>
                <w:spacing w:val="0"/>
                <w:sz w:val="24"/>
                <w:szCs w:val="24"/>
                <w:highlight w:val="none"/>
                <w:shd w:val="clear" w:color="auto" w:fill="FFFFFF"/>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均和云谷·福清科技港项目位于福清融侨经济技术开发区（福州市福清市阳下街道上亭村398号），项目总占地面积95657m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，总建筑面积约153451.80m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分四期建设，主要建设41栋标准厂房、1栋综合楼及相应的配套设施；根据规划，均和云谷·福清科技港建设后拟将厂房外售或者外租给相应的企业进行生产，自身不进行生产；因此，该项目未办理相关环保审批手续，由入驻企业根据实际情况，单独办理环保相关审批手续</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。根据福清融侨经济技术开发区管理委员会出具的“关于协助均和云谷</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福清科技港入园企业先行办理环评手续的函”相关内容可知，同意企业办理环评手续</w:t>
            </w:r>
            <w:r>
              <w:rPr>
                <w:rFonts w:hint="eastAsia" w:cs="Times New Roman"/>
                <w:color w:val="000000" w:themeColor="text1"/>
                <w:sz w:val="24"/>
                <w:highlight w:val="none"/>
                <w:lang w:val="en-US" w:eastAsia="zh-CN"/>
                <w14:textFill>
                  <w14:solidFill>
                    <w14:schemeClr w14:val="tx1"/>
                  </w14:solidFill>
                </w14:textFill>
              </w:rPr>
              <w:t>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附件</w:t>
            </w:r>
            <w:r>
              <w:rPr>
                <w:rFonts w:hint="eastAsia" w:cs="Times New Roman"/>
                <w:b/>
                <w:bCs/>
                <w:color w:val="000000" w:themeColor="text1"/>
                <w:sz w:val="24"/>
                <w:highlight w:val="none"/>
                <w:lang w:val="en-US" w:eastAsia="zh-CN"/>
                <w14:textFill>
                  <w14:solidFill>
                    <w14:schemeClr w14:val="tx1"/>
                  </w14:solidFill>
                </w14:textFill>
              </w:rPr>
              <w:t>六</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14:paraId="53D658D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根据现场勘查</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均和云谷·福清科技港内未配套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生产废水处理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设施、废气环保设施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固废暂存间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等可</w:t>
            </w:r>
            <w:r>
              <w:rPr>
                <w:rFonts w:hint="eastAsia" w:cs="Times New Roman"/>
                <w:color w:val="000000" w:themeColor="text1"/>
                <w:sz w:val="24"/>
                <w:szCs w:val="24"/>
                <w:highlight w:val="none"/>
                <w:lang w:eastAsia="zh-CN"/>
                <w14:textFill>
                  <w14:solidFill>
                    <w14:schemeClr w14:val="tx1"/>
                  </w14:solidFill>
                </w14:textFill>
              </w:rPr>
              <w:t>提供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本项目依托的相关环保设施。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本项目废气环保设施、固废暂存间等均由本单位自行建设；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本项目可依托的设施主要为厂区内的现有给水管网、排水管网、供电管网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给水消防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及化粪池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等公用工程设施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目前均和云谷·福清科技港项目污水管网已经接入市政污水管网，将生活污水统一送往</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福清市融元污水处理厂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eastAsia" w:cs="Times New Roman"/>
                <w:color w:val="000000" w:themeColor="text1"/>
                <w:sz w:val="24"/>
                <w:szCs w:val="24"/>
                <w:highlight w:val="none"/>
                <w:lang w:val="en-US" w:eastAsia="zh-CN"/>
                <w14:textFill>
                  <w14:solidFill>
                    <w14:schemeClr w14:val="tx1"/>
                  </w14:solidFill>
                </w14:textFill>
              </w:rPr>
              <w:t>（接管证明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附件</w:t>
            </w:r>
            <w:r>
              <w:rPr>
                <w:rFonts w:hint="eastAsia" w:cs="Times New Roman"/>
                <w:b/>
                <w:bCs/>
                <w:color w:val="000000" w:themeColor="text1"/>
                <w:sz w:val="24"/>
                <w:szCs w:val="24"/>
                <w:highlight w:val="none"/>
                <w:lang w:val="en-US" w:eastAsia="zh-CN"/>
                <w14:textFill>
                  <w14:solidFill>
                    <w14:schemeClr w14:val="tx1"/>
                  </w14:solidFill>
                </w14:textFill>
              </w:rPr>
              <w:t>八</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3A31E8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3" w:name="_Toc15813"/>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2</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项目基本情况</w:t>
            </w:r>
            <w:bookmarkEnd w:id="23"/>
          </w:p>
          <w:p w14:paraId="20637C64">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（1）项目名称：</w:t>
            </w:r>
            <w:r>
              <w:rPr>
                <w:rFonts w:hint="eastAsia" w:cs="Times New Roman"/>
                <w:color w:val="auto"/>
                <w:sz w:val="24"/>
                <w:szCs w:val="24"/>
                <w:u w:val="none"/>
                <w:lang w:eastAsia="zh-CN"/>
              </w:rPr>
              <w:t>福州市闽侯振兴炜业机械有限公司年加工工业连接器300万件、6KV以下工业线缆200万件；</w:t>
            </w:r>
          </w:p>
          <w:p w14:paraId="2FF0EDD3">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eastAsia" w:cs="Times New Roman"/>
                <w:color w:val="auto"/>
                <w:sz w:val="24"/>
                <w:szCs w:val="24"/>
                <w:u w:val="none"/>
                <w:lang w:eastAsia="zh-CN"/>
              </w:rPr>
              <w:t>福州市闽侯振兴炜业机械有限公司；</w:t>
            </w:r>
          </w:p>
          <w:p w14:paraId="533405DA">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（3）建设地点：</w:t>
            </w:r>
            <w:r>
              <w:rPr>
                <w:rFonts w:hint="eastAsia" w:cs="Times New Roman"/>
                <w:color w:val="auto"/>
                <w:sz w:val="24"/>
                <w:szCs w:val="24"/>
                <w:u w:val="none"/>
                <w:lang w:val="en-US" w:eastAsia="zh-CN"/>
              </w:rPr>
              <w:t>福清融侨经济技术开发区（均和云谷·福清科技港39#厂房）</w:t>
            </w:r>
            <w:r>
              <w:rPr>
                <w:rFonts w:hint="eastAsia" w:ascii="宋体" w:hAnsi="宋体" w:cs="宋体"/>
                <w:color w:val="auto"/>
                <w:sz w:val="24"/>
                <w:szCs w:val="24"/>
                <w:u w:val="none"/>
                <w:lang w:val="en-US" w:eastAsia="zh-CN"/>
              </w:rPr>
              <w:t>）；</w:t>
            </w:r>
          </w:p>
          <w:p w14:paraId="61F4E073">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（4）建设性质：新建</w:t>
            </w:r>
            <w:r>
              <w:rPr>
                <w:rFonts w:hint="eastAsia" w:cs="Times New Roman"/>
                <w:color w:val="auto"/>
                <w:sz w:val="24"/>
                <w:szCs w:val="24"/>
                <w:highlight w:val="none"/>
                <w:lang w:val="en-US" w:eastAsia="zh-CN"/>
              </w:rPr>
              <w:t>；</w:t>
            </w:r>
          </w:p>
          <w:p w14:paraId="4DC7B007">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（5）总投资：</w:t>
            </w:r>
            <w:r>
              <w:rPr>
                <w:rFonts w:hint="eastAsia" w:cs="Times New Roman"/>
                <w:color w:val="auto"/>
                <w:sz w:val="24"/>
                <w:szCs w:val="24"/>
                <w:highlight w:val="none"/>
                <w:lang w:val="en-US" w:eastAsia="zh-CN"/>
              </w:rPr>
              <w:t>1500</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万元</w:t>
            </w:r>
            <w:r>
              <w:rPr>
                <w:rFonts w:hint="eastAsia" w:cs="Times New Roman"/>
                <w:color w:val="auto"/>
                <w:sz w:val="24"/>
                <w:szCs w:val="24"/>
                <w:highlight w:val="none"/>
                <w:lang w:val="en-US" w:eastAsia="zh-CN"/>
              </w:rPr>
              <w:t>；</w:t>
            </w:r>
          </w:p>
          <w:p w14:paraId="69A3018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green"/>
                <w:lang w:val="en-US" w:eastAsia="zh-CN"/>
              </w:rPr>
            </w:pPr>
            <w:r>
              <w:rPr>
                <w:rFonts w:hint="eastAsia" w:ascii="Times New Roman" w:hAnsi="Times New Roman" w:eastAsia="宋体" w:cs="Times New Roman"/>
                <w:color w:val="auto"/>
                <w:sz w:val="24"/>
                <w:szCs w:val="24"/>
                <w:highlight w:val="none"/>
                <w:lang w:val="en-US" w:eastAsia="zh-CN"/>
              </w:rPr>
              <w:t>（6）建设规模：年加工工业连接器300万件、6KV以下工业线缆200万件</w:t>
            </w:r>
            <w:r>
              <w:rPr>
                <w:rFonts w:hint="eastAsia" w:cs="Times New Roman"/>
                <w:color w:val="auto"/>
                <w:sz w:val="24"/>
                <w:szCs w:val="24"/>
                <w:highlight w:val="none"/>
                <w:lang w:val="en-US" w:eastAsia="zh-CN"/>
              </w:rPr>
              <w:t>；</w:t>
            </w:r>
          </w:p>
          <w:p w14:paraId="671C56B0">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superscript"/>
                <w:lang w:val="en-US" w:eastAsia="zh-CN"/>
              </w:rPr>
            </w:pPr>
            <w:r>
              <w:rPr>
                <w:rFonts w:hint="eastAsia" w:ascii="Times New Roman" w:hAnsi="Times New Roman" w:eastAsia="宋体" w:cs="Times New Roman"/>
                <w:color w:val="auto"/>
                <w:sz w:val="24"/>
                <w:szCs w:val="24"/>
                <w:highlight w:val="none"/>
                <w:lang w:val="en-US" w:eastAsia="zh-CN"/>
              </w:rPr>
              <w:t>（7）建筑面积：</w:t>
            </w:r>
            <w:r>
              <w:rPr>
                <w:rFonts w:hint="eastAsia" w:cs="Times New Roman"/>
                <w:color w:val="auto"/>
                <w:sz w:val="24"/>
                <w:szCs w:val="24"/>
                <w:highlight w:val="none"/>
                <w:u w:val="none"/>
                <w:lang w:val="en-US" w:eastAsia="zh-CN"/>
              </w:rPr>
              <w:t>4188.94</w:t>
            </w:r>
            <w:r>
              <w:rPr>
                <w:rFonts w:hint="default" w:ascii="Times New Roman" w:hAnsi="Times New Roman" w:eastAsia="宋体" w:cs="Times New Roman"/>
                <w:color w:val="auto"/>
                <w:sz w:val="24"/>
                <w:szCs w:val="24"/>
                <w:highlight w:val="none"/>
                <w:u w:val="none"/>
                <w:lang w:val="en-US" w:eastAsia="zh-CN"/>
              </w:rPr>
              <w:t>m</w:t>
            </w:r>
            <w:r>
              <w:rPr>
                <w:rFonts w:hint="default" w:ascii="Times New Roman" w:hAnsi="Times New Roman" w:eastAsia="宋体"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vertAlign w:val="baseline"/>
                <w:lang w:val="en-US" w:eastAsia="zh-CN"/>
              </w:rPr>
              <w:t>；</w:t>
            </w:r>
          </w:p>
          <w:p w14:paraId="302E05EA">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（8）工作制度：年生产300天，双班制，每班</w:t>
            </w:r>
            <w:r>
              <w:rPr>
                <w:rFonts w:hint="eastAsia" w:cs="Times New Roman"/>
                <w:color w:val="auto"/>
                <w:sz w:val="24"/>
                <w:szCs w:val="24"/>
                <w:highlight w:val="none"/>
                <w:u w:val="none"/>
                <w:vertAlign w:val="baseline"/>
                <w:lang w:val="en-US" w:eastAsia="zh-CN"/>
              </w:rPr>
              <w:t>8</w:t>
            </w:r>
            <w:r>
              <w:rPr>
                <w:rFonts w:hint="eastAsia" w:ascii="Times New Roman" w:hAnsi="Times New Roman" w:eastAsia="宋体" w:cs="Times New Roman"/>
                <w:color w:val="auto"/>
                <w:sz w:val="24"/>
                <w:szCs w:val="24"/>
                <w:highlight w:val="none"/>
                <w:u w:val="none"/>
                <w:vertAlign w:val="baseline"/>
                <w:lang w:val="en-US" w:eastAsia="zh-CN"/>
              </w:rPr>
              <w:t>小时；</w:t>
            </w:r>
          </w:p>
          <w:p w14:paraId="0E3CE887">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（9）劳动定员：职工</w:t>
            </w:r>
            <w:r>
              <w:rPr>
                <w:rFonts w:hint="eastAsia" w:cs="Times New Roman"/>
                <w:color w:val="auto"/>
                <w:sz w:val="24"/>
                <w:szCs w:val="24"/>
                <w:highlight w:val="none"/>
                <w:u w:val="none"/>
                <w:vertAlign w:val="baseline"/>
                <w:lang w:val="en-US" w:eastAsia="zh-CN"/>
              </w:rPr>
              <w:t>70</w:t>
            </w:r>
            <w:r>
              <w:rPr>
                <w:rFonts w:hint="eastAsia" w:ascii="Times New Roman" w:hAnsi="Times New Roman" w:eastAsia="宋体" w:cs="Times New Roman"/>
                <w:color w:val="auto"/>
                <w:sz w:val="24"/>
                <w:szCs w:val="24"/>
                <w:highlight w:val="none"/>
                <w:u w:val="none"/>
                <w:vertAlign w:val="baseline"/>
                <w:lang w:val="en-US" w:eastAsia="zh-CN"/>
              </w:rPr>
              <w:t>人，均不在厂食宿</w:t>
            </w:r>
            <w:r>
              <w:rPr>
                <w:rFonts w:hint="eastAsia" w:cs="Times New Roman"/>
                <w:color w:val="auto"/>
                <w:sz w:val="24"/>
                <w:szCs w:val="24"/>
                <w:highlight w:val="none"/>
                <w:u w:val="none"/>
                <w:vertAlign w:val="baseline"/>
                <w:lang w:val="en-US" w:eastAsia="zh-CN"/>
              </w:rPr>
              <w:t>。</w:t>
            </w:r>
          </w:p>
          <w:p w14:paraId="64FB2AD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4" w:name="_Toc21311"/>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4"/>
          </w:p>
          <w:p w14:paraId="71708223">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项目工程组成及建设内容详见表2.2-1。</w:t>
            </w:r>
          </w:p>
          <w:p w14:paraId="7B2AE862">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表2.2-1 项目工程组成及建设内容一览表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443"/>
              <w:gridCol w:w="1300"/>
              <w:gridCol w:w="4620"/>
              <w:gridCol w:w="1148"/>
            </w:tblGrid>
            <w:tr w14:paraId="17084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41" w:type="pct"/>
                  <w:tcBorders>
                    <w:tl2br w:val="nil"/>
                    <w:tr2bl w:val="nil"/>
                  </w:tcBorders>
                  <w:vAlign w:val="center"/>
                </w:tcPr>
                <w:p w14:paraId="18A352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工程类别</w:t>
                  </w:r>
                </w:p>
              </w:tc>
              <w:tc>
                <w:tcPr>
                  <w:tcW w:w="1011" w:type="pct"/>
                  <w:gridSpan w:val="2"/>
                  <w:tcBorders>
                    <w:tl2br w:val="nil"/>
                    <w:tr2bl w:val="nil"/>
                  </w:tcBorders>
                  <w:vAlign w:val="center"/>
                </w:tcPr>
                <w:p w14:paraId="31CC63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项目组成</w:t>
                  </w:r>
                </w:p>
              </w:tc>
              <w:tc>
                <w:tcPr>
                  <w:tcW w:w="2681" w:type="pct"/>
                  <w:tcBorders>
                    <w:tl2br w:val="nil"/>
                    <w:tr2bl w:val="nil"/>
                  </w:tcBorders>
                  <w:vAlign w:val="center"/>
                </w:tcPr>
                <w:p w14:paraId="21581C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工程规模和内容</w:t>
                  </w:r>
                </w:p>
              </w:tc>
              <w:tc>
                <w:tcPr>
                  <w:tcW w:w="666" w:type="pct"/>
                  <w:tcBorders>
                    <w:tl2br w:val="nil"/>
                    <w:tr2bl w:val="nil"/>
                  </w:tcBorders>
                  <w:vAlign w:val="center"/>
                </w:tcPr>
                <w:p w14:paraId="0F524DD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备注</w:t>
                  </w:r>
                </w:p>
              </w:tc>
            </w:tr>
            <w:tr w14:paraId="5CE49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1" w:type="pct"/>
                  <w:vMerge w:val="restart"/>
                  <w:tcBorders>
                    <w:tl2br w:val="nil"/>
                    <w:tr2bl w:val="nil"/>
                  </w:tcBorders>
                  <w:vAlign w:val="center"/>
                </w:tcPr>
                <w:p w14:paraId="275B81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主体工程</w:t>
                  </w:r>
                </w:p>
              </w:tc>
              <w:tc>
                <w:tcPr>
                  <w:tcW w:w="1011" w:type="pct"/>
                  <w:gridSpan w:val="2"/>
                  <w:tcBorders>
                    <w:tl2br w:val="nil"/>
                    <w:tr2bl w:val="nil"/>
                  </w:tcBorders>
                  <w:vAlign w:val="center"/>
                </w:tcPr>
                <w:p w14:paraId="67744AA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工业连接器生产区</w:t>
                  </w:r>
                </w:p>
              </w:tc>
              <w:tc>
                <w:tcPr>
                  <w:tcW w:w="2681" w:type="pct"/>
                  <w:tcBorders>
                    <w:tl2br w:val="nil"/>
                    <w:tr2bl w:val="nil"/>
                  </w:tcBorders>
                  <w:vAlign w:val="center"/>
                </w:tcPr>
                <w:p w14:paraId="3363C3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工序注塑、粉碎工序位于1层北侧；喷粉、组装位于2层西北侧</w:t>
                  </w:r>
                </w:p>
              </w:tc>
              <w:tc>
                <w:tcPr>
                  <w:tcW w:w="666" w:type="pct"/>
                  <w:vMerge w:val="restart"/>
                  <w:tcBorders>
                    <w:tl2br w:val="nil"/>
                    <w:tr2bl w:val="nil"/>
                  </w:tcBorders>
                  <w:vAlign w:val="center"/>
                </w:tcPr>
                <w:p w14:paraId="341716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53B37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41" w:type="pct"/>
                  <w:vMerge w:val="continue"/>
                  <w:tcBorders>
                    <w:tl2br w:val="nil"/>
                    <w:tr2bl w:val="nil"/>
                  </w:tcBorders>
                  <w:vAlign w:val="center"/>
                </w:tcPr>
                <w:p w14:paraId="50330E5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pPr>
                </w:p>
              </w:tc>
              <w:tc>
                <w:tcPr>
                  <w:tcW w:w="1011" w:type="pct"/>
                  <w:gridSpan w:val="2"/>
                  <w:tcBorders>
                    <w:tl2br w:val="nil"/>
                    <w:tr2bl w:val="nil"/>
                  </w:tcBorders>
                  <w:vAlign w:val="center"/>
                </w:tcPr>
                <w:p w14:paraId="6812AE2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工业线缆生产区</w:t>
                  </w:r>
                </w:p>
              </w:tc>
              <w:tc>
                <w:tcPr>
                  <w:tcW w:w="2681" w:type="pct"/>
                  <w:tcBorders>
                    <w:tl2br w:val="nil"/>
                    <w:tr2bl w:val="nil"/>
                  </w:tcBorders>
                  <w:vAlign w:val="center"/>
                </w:tcPr>
                <w:p w14:paraId="52DD682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位于厂房3层，包胶、包装位于北侧</w:t>
                  </w:r>
                </w:p>
              </w:tc>
              <w:tc>
                <w:tcPr>
                  <w:tcW w:w="666" w:type="pct"/>
                  <w:vMerge w:val="continue"/>
                  <w:tcBorders>
                    <w:tl2br w:val="nil"/>
                    <w:tr2bl w:val="nil"/>
                  </w:tcBorders>
                  <w:vAlign w:val="center"/>
                </w:tcPr>
                <w:p w14:paraId="2CAC393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7F2C2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41" w:type="pct"/>
                  <w:vMerge w:val="restart"/>
                  <w:tcBorders>
                    <w:tl2br w:val="nil"/>
                    <w:tr2bl w:val="nil"/>
                  </w:tcBorders>
                  <w:vAlign w:val="center"/>
                </w:tcPr>
                <w:p w14:paraId="570631A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辅助工程</w:t>
                  </w:r>
                </w:p>
              </w:tc>
              <w:tc>
                <w:tcPr>
                  <w:tcW w:w="1011" w:type="pct"/>
                  <w:gridSpan w:val="2"/>
                  <w:tcBorders>
                    <w:tl2br w:val="nil"/>
                    <w:tr2bl w:val="nil"/>
                  </w:tcBorders>
                  <w:vAlign w:val="center"/>
                </w:tcPr>
                <w:p w14:paraId="1AF8A4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线束物料区</w:t>
                  </w:r>
                </w:p>
              </w:tc>
              <w:tc>
                <w:tcPr>
                  <w:tcW w:w="2681" w:type="pct"/>
                  <w:tcBorders>
                    <w:tl2br w:val="nil"/>
                    <w:tr2bl w:val="nil"/>
                  </w:tcBorders>
                  <w:vAlign w:val="center"/>
                </w:tcPr>
                <w:p w14:paraId="3CB858E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w:t>
                  </w:r>
                  <w:r>
                    <w:rPr>
                      <w:rFonts w:hint="eastAsia" w:cs="Times New Roman"/>
                      <w:color w:val="auto"/>
                      <w:sz w:val="21"/>
                      <w:szCs w:val="21"/>
                      <w:highlight w:val="none"/>
                      <w:vertAlign w:val="baseline"/>
                      <w:lang w:val="en-US" w:eastAsia="zh-CN"/>
                    </w:rPr>
                    <w:t>3</w:t>
                  </w:r>
                  <w:r>
                    <w:rPr>
                      <w:rFonts w:hint="eastAsia" w:ascii="Times New Roman" w:hAnsi="Times New Roman" w:eastAsia="宋体" w:cs="Times New Roman"/>
                      <w:color w:val="auto"/>
                      <w:sz w:val="21"/>
                      <w:szCs w:val="21"/>
                      <w:highlight w:val="none"/>
                      <w:vertAlign w:val="baseline"/>
                      <w:lang w:val="en-US" w:eastAsia="zh-CN"/>
                    </w:rPr>
                    <w:t>层</w:t>
                  </w:r>
                  <w:r>
                    <w:rPr>
                      <w:rFonts w:hint="eastAsia" w:cs="Times New Roman"/>
                      <w:color w:val="auto"/>
                      <w:sz w:val="21"/>
                      <w:szCs w:val="21"/>
                      <w:highlight w:val="none"/>
                      <w:vertAlign w:val="baseline"/>
                      <w:lang w:val="en-US" w:eastAsia="zh-CN"/>
                    </w:rPr>
                    <w:t>南侧</w:t>
                  </w:r>
                  <w:r>
                    <w:rPr>
                      <w:rFonts w:hint="eastAsia" w:ascii="Times New Roman" w:hAnsi="Times New Roman" w:eastAsia="宋体" w:cs="Times New Roman"/>
                      <w:color w:val="auto"/>
                      <w:sz w:val="21"/>
                      <w:szCs w:val="21"/>
                      <w:highlight w:val="none"/>
                      <w:vertAlign w:val="baseline"/>
                      <w:lang w:val="en-US" w:eastAsia="zh-CN"/>
                    </w:rPr>
                    <w:t>，用于</w:t>
                  </w:r>
                  <w:r>
                    <w:rPr>
                      <w:rFonts w:hint="eastAsia" w:cs="Times New Roman"/>
                      <w:color w:val="auto"/>
                      <w:sz w:val="21"/>
                      <w:szCs w:val="21"/>
                      <w:highlight w:val="none"/>
                      <w:vertAlign w:val="baseline"/>
                      <w:lang w:val="en-US" w:eastAsia="zh-CN"/>
                    </w:rPr>
                    <w:t>线束物料</w:t>
                  </w:r>
                  <w:r>
                    <w:rPr>
                      <w:rFonts w:hint="eastAsia" w:ascii="Times New Roman" w:hAnsi="Times New Roman" w:eastAsia="宋体" w:cs="Times New Roman"/>
                      <w:color w:val="auto"/>
                      <w:sz w:val="21"/>
                      <w:szCs w:val="21"/>
                      <w:highlight w:val="none"/>
                      <w:vertAlign w:val="baseline"/>
                      <w:lang w:val="en-US" w:eastAsia="zh-CN"/>
                    </w:rPr>
                    <w:t>堆放</w:t>
                  </w:r>
                </w:p>
              </w:tc>
              <w:tc>
                <w:tcPr>
                  <w:tcW w:w="666" w:type="pct"/>
                  <w:vMerge w:val="restart"/>
                  <w:tcBorders>
                    <w:tl2br w:val="nil"/>
                    <w:tr2bl w:val="nil"/>
                  </w:tcBorders>
                  <w:vAlign w:val="center"/>
                </w:tcPr>
                <w:p w14:paraId="686195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依托已建厂房</w:t>
                  </w:r>
                </w:p>
              </w:tc>
            </w:tr>
            <w:tr w14:paraId="59BAC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41" w:type="pct"/>
                  <w:vMerge w:val="continue"/>
                  <w:tcBorders>
                    <w:tl2br w:val="nil"/>
                    <w:tr2bl w:val="nil"/>
                  </w:tcBorders>
                  <w:vAlign w:val="center"/>
                </w:tcPr>
                <w:p w14:paraId="5C28C19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vAlign w:val="center"/>
                </w:tcPr>
                <w:p w14:paraId="0583AA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重载壳体库存区</w:t>
                  </w:r>
                </w:p>
              </w:tc>
              <w:tc>
                <w:tcPr>
                  <w:tcW w:w="2681" w:type="pct"/>
                  <w:tcBorders>
                    <w:tl2br w:val="nil"/>
                    <w:tr2bl w:val="nil"/>
                  </w:tcBorders>
                  <w:vAlign w:val="center"/>
                </w:tcPr>
                <w:p w14:paraId="02F666A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位于厂房</w:t>
                  </w:r>
                  <w:r>
                    <w:rPr>
                      <w:rFonts w:hint="eastAsia" w:cs="Times New Roman"/>
                      <w:color w:val="auto"/>
                      <w:sz w:val="21"/>
                      <w:szCs w:val="21"/>
                      <w:highlight w:val="none"/>
                      <w:vertAlign w:val="baseline"/>
                      <w:lang w:val="en-US" w:eastAsia="zh-CN"/>
                    </w:rPr>
                    <w:t>2</w:t>
                  </w:r>
                  <w:r>
                    <w:rPr>
                      <w:rFonts w:hint="eastAsia" w:ascii="Times New Roman" w:hAnsi="Times New Roman" w:eastAsia="宋体" w:cs="Times New Roman"/>
                      <w:color w:val="auto"/>
                      <w:sz w:val="21"/>
                      <w:szCs w:val="21"/>
                      <w:highlight w:val="none"/>
                      <w:vertAlign w:val="baseline"/>
                      <w:lang w:val="en-US" w:eastAsia="zh-CN"/>
                    </w:rPr>
                    <w:t>层</w:t>
                  </w:r>
                  <w:r>
                    <w:rPr>
                      <w:rFonts w:hint="eastAsia" w:cs="Times New Roman"/>
                      <w:color w:val="auto"/>
                      <w:sz w:val="21"/>
                      <w:szCs w:val="21"/>
                      <w:highlight w:val="none"/>
                      <w:vertAlign w:val="baseline"/>
                      <w:lang w:val="en-US" w:eastAsia="zh-CN"/>
                    </w:rPr>
                    <w:t>南侧</w:t>
                  </w:r>
                  <w:r>
                    <w:rPr>
                      <w:rFonts w:hint="eastAsia" w:ascii="Times New Roman" w:hAnsi="Times New Roman" w:eastAsia="宋体" w:cs="Times New Roman"/>
                      <w:color w:val="auto"/>
                      <w:sz w:val="21"/>
                      <w:szCs w:val="21"/>
                      <w:highlight w:val="none"/>
                      <w:vertAlign w:val="baseline"/>
                      <w:lang w:val="en-US" w:eastAsia="zh-CN"/>
                    </w:rPr>
                    <w:t>，用于</w:t>
                  </w:r>
                  <w:r>
                    <w:rPr>
                      <w:rFonts w:hint="eastAsia" w:cs="Times New Roman"/>
                      <w:color w:val="auto"/>
                      <w:sz w:val="21"/>
                      <w:szCs w:val="21"/>
                      <w:highlight w:val="none"/>
                      <w:vertAlign w:val="baseline"/>
                      <w:lang w:val="en-US" w:eastAsia="zh-CN"/>
                    </w:rPr>
                    <w:t>重载壳体</w:t>
                  </w:r>
                  <w:r>
                    <w:rPr>
                      <w:rFonts w:hint="eastAsia" w:ascii="Times New Roman" w:hAnsi="Times New Roman" w:eastAsia="宋体" w:cs="Times New Roman"/>
                      <w:color w:val="auto"/>
                      <w:sz w:val="21"/>
                      <w:szCs w:val="21"/>
                      <w:highlight w:val="none"/>
                      <w:vertAlign w:val="baseline"/>
                      <w:lang w:val="en-US" w:eastAsia="zh-CN"/>
                    </w:rPr>
                    <w:t>堆放</w:t>
                  </w:r>
                </w:p>
              </w:tc>
              <w:tc>
                <w:tcPr>
                  <w:tcW w:w="666" w:type="pct"/>
                  <w:vMerge w:val="continue"/>
                  <w:tcBorders>
                    <w:tl2br w:val="nil"/>
                    <w:tr2bl w:val="nil"/>
                  </w:tcBorders>
                  <w:vAlign w:val="center"/>
                </w:tcPr>
                <w:p w14:paraId="028FCC7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B19A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41" w:type="pct"/>
                  <w:vMerge w:val="restart"/>
                  <w:tcBorders>
                    <w:tl2br w:val="nil"/>
                    <w:tr2bl w:val="nil"/>
                  </w:tcBorders>
                  <w:vAlign w:val="center"/>
                </w:tcPr>
                <w:p w14:paraId="1255D78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公用工程</w:t>
                  </w:r>
                </w:p>
              </w:tc>
              <w:tc>
                <w:tcPr>
                  <w:tcW w:w="1011" w:type="pct"/>
                  <w:gridSpan w:val="2"/>
                  <w:tcBorders>
                    <w:tl2br w:val="nil"/>
                    <w:tr2bl w:val="nil"/>
                  </w:tcBorders>
                  <w:shd w:val="clear" w:color="auto" w:fill="auto"/>
                  <w:vAlign w:val="center"/>
                </w:tcPr>
                <w:p w14:paraId="0B2D8EE1">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供水</w:t>
                  </w:r>
                </w:p>
              </w:tc>
              <w:tc>
                <w:tcPr>
                  <w:tcW w:w="2681" w:type="pct"/>
                  <w:tcBorders>
                    <w:tl2br w:val="nil"/>
                    <w:tr2bl w:val="nil"/>
                  </w:tcBorders>
                  <w:vAlign w:val="center"/>
                </w:tcPr>
                <w:p w14:paraId="456B092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olor w:val="000000"/>
                      <w:szCs w:val="21"/>
                    </w:rPr>
                    <w:t>项目生产生活用水由市政生活用水管网直接供给</w:t>
                  </w:r>
                </w:p>
              </w:tc>
              <w:tc>
                <w:tcPr>
                  <w:tcW w:w="666" w:type="pct"/>
                  <w:tcBorders>
                    <w:tl2br w:val="nil"/>
                    <w:tr2bl w:val="nil"/>
                  </w:tcBorders>
                  <w:vAlign w:val="center"/>
                </w:tcPr>
                <w:p w14:paraId="50B23BC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79B1B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41" w:type="pct"/>
                  <w:vMerge w:val="continue"/>
                  <w:tcBorders>
                    <w:tl2br w:val="nil"/>
                    <w:tr2bl w:val="nil"/>
                  </w:tcBorders>
                  <w:vAlign w:val="center"/>
                </w:tcPr>
                <w:p w14:paraId="34540B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shd w:val="clear" w:color="auto" w:fill="auto"/>
                  <w:vAlign w:val="center"/>
                </w:tcPr>
                <w:p w14:paraId="07AF2F9F">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排水</w:t>
                  </w:r>
                </w:p>
              </w:tc>
              <w:tc>
                <w:tcPr>
                  <w:tcW w:w="2681" w:type="pct"/>
                  <w:tcBorders>
                    <w:tl2br w:val="nil"/>
                    <w:tr2bl w:val="nil"/>
                  </w:tcBorders>
                  <w:vAlign w:val="center"/>
                </w:tcPr>
                <w:p w14:paraId="2620C84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项目采用“雨污分流、清污分流”，生产过程中</w:t>
                  </w:r>
                  <w:r>
                    <w:rPr>
                      <w:rFonts w:hint="eastAsia" w:cs="Times New Roman"/>
                      <w:color w:val="auto"/>
                      <w:sz w:val="21"/>
                      <w:szCs w:val="21"/>
                      <w:highlight w:val="none"/>
                      <w:vertAlign w:val="baseline"/>
                      <w:lang w:val="en-US" w:eastAsia="zh-CN"/>
                    </w:rPr>
                    <w:t>冷却水循环使用不外排</w:t>
                  </w:r>
                  <w:r>
                    <w:rPr>
                      <w:rFonts w:hint="eastAsia" w:ascii="Times New Roman" w:hAnsi="Times New Roman" w:eastAsia="宋体" w:cs="Times New Roman"/>
                      <w:color w:val="auto"/>
                      <w:sz w:val="21"/>
                      <w:szCs w:val="21"/>
                      <w:highlight w:val="none"/>
                      <w:vertAlign w:val="baseline"/>
                      <w:lang w:val="en-US" w:eastAsia="zh-CN"/>
                    </w:rPr>
                    <w:t>；职工生活污水经园区内已建化粪池预处理后，接入市政污水管网，纳入福清融元污水处理厂统一处理，尾水排入龙江。</w:t>
                  </w:r>
                </w:p>
              </w:tc>
              <w:tc>
                <w:tcPr>
                  <w:tcW w:w="666" w:type="pct"/>
                  <w:tcBorders>
                    <w:tl2br w:val="nil"/>
                    <w:tr2bl w:val="nil"/>
                  </w:tcBorders>
                  <w:shd w:val="clear" w:color="auto" w:fill="auto"/>
                  <w:vAlign w:val="center"/>
                </w:tcPr>
                <w:p w14:paraId="2D2C4CC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2EB54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41" w:type="pct"/>
                  <w:vMerge w:val="continue"/>
                  <w:tcBorders>
                    <w:tl2br w:val="nil"/>
                    <w:tr2bl w:val="nil"/>
                  </w:tcBorders>
                  <w:vAlign w:val="center"/>
                </w:tcPr>
                <w:p w14:paraId="4EA454E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shd w:val="clear" w:color="auto" w:fill="auto"/>
                  <w:vAlign w:val="center"/>
                </w:tcPr>
                <w:p w14:paraId="21EB020F">
                  <w:pPr>
                    <w:snapToGrid w:val="0"/>
                    <w:spacing w:line="240" w:lineRule="atLeast"/>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Cs w:val="21"/>
                    </w:rPr>
                    <w:t>供电</w:t>
                  </w:r>
                </w:p>
              </w:tc>
              <w:tc>
                <w:tcPr>
                  <w:tcW w:w="2681" w:type="pct"/>
                  <w:tcBorders>
                    <w:tl2br w:val="nil"/>
                    <w:tr2bl w:val="nil"/>
                  </w:tcBorders>
                  <w:vAlign w:val="center"/>
                </w:tcPr>
                <w:p w14:paraId="0840B02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接市政供电系统</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依托厂区内现有的供电系统</w:t>
                  </w:r>
                </w:p>
              </w:tc>
              <w:tc>
                <w:tcPr>
                  <w:tcW w:w="666" w:type="pct"/>
                  <w:tcBorders>
                    <w:tl2br w:val="nil"/>
                    <w:tr2bl w:val="nil"/>
                  </w:tcBorders>
                  <w:vAlign w:val="center"/>
                </w:tcPr>
                <w:p w14:paraId="6C4546C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1AA18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pct"/>
                  <w:vMerge w:val="restart"/>
                  <w:tcBorders>
                    <w:tl2br w:val="nil"/>
                    <w:tr2bl w:val="nil"/>
                  </w:tcBorders>
                  <w:vAlign w:val="center"/>
                </w:tcPr>
                <w:p w14:paraId="0E17E6E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环保工程</w:t>
                  </w:r>
                </w:p>
              </w:tc>
              <w:tc>
                <w:tcPr>
                  <w:tcW w:w="1011" w:type="pct"/>
                  <w:gridSpan w:val="2"/>
                  <w:tcBorders>
                    <w:tl2br w:val="nil"/>
                    <w:tr2bl w:val="nil"/>
                  </w:tcBorders>
                  <w:vAlign w:val="center"/>
                </w:tcPr>
                <w:p w14:paraId="0386721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废水治理</w:t>
                  </w:r>
                </w:p>
              </w:tc>
              <w:tc>
                <w:tcPr>
                  <w:tcW w:w="2681" w:type="pct"/>
                  <w:tcBorders>
                    <w:tl2br w:val="nil"/>
                    <w:tr2bl w:val="nil"/>
                  </w:tcBorders>
                  <w:vAlign w:val="center"/>
                </w:tcPr>
                <w:p w14:paraId="09A16E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运营期</w:t>
                  </w:r>
                  <w:r>
                    <w:rPr>
                      <w:rFonts w:hint="eastAsia" w:cs="Times New Roman"/>
                      <w:color w:val="auto"/>
                      <w:sz w:val="21"/>
                      <w:szCs w:val="21"/>
                      <w:u w:val="none"/>
                      <w:vertAlign w:val="baseline"/>
                      <w:lang w:val="en-US" w:eastAsia="zh-CN"/>
                    </w:rPr>
                    <w:t>冷却水循环使用不外排；</w:t>
                  </w:r>
                </w:p>
                <w:p w14:paraId="28C71D2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喷粉前清洗水经过自建废水处理设施（气浮+A/O+沉淀）处理后回用于清洗工序，不外排；</w:t>
                  </w:r>
                </w:p>
                <w:p w14:paraId="5A01B4B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u w:val="none"/>
                      <w:vertAlign w:val="baseline"/>
                      <w:lang w:eastAsia="zh-CN"/>
                    </w:rPr>
                    <w:t>生活污水经化粪池预处理后，排入</w:t>
                  </w:r>
                  <w:r>
                    <w:rPr>
                      <w:rFonts w:hint="default" w:ascii="Times New Roman" w:hAnsi="Times New Roman" w:eastAsia="宋体" w:cs="Times New Roman"/>
                      <w:color w:val="auto"/>
                      <w:sz w:val="21"/>
                      <w:szCs w:val="21"/>
                      <w:highlight w:val="none"/>
                      <w:u w:val="none"/>
                      <w:vertAlign w:val="baseline"/>
                      <w:lang w:eastAsia="zh-CN"/>
                    </w:rPr>
                    <w:t>市政污水管网纳入福清市</w:t>
                  </w:r>
                  <w:r>
                    <w:rPr>
                      <w:rFonts w:hint="eastAsia" w:cs="Times New Roman"/>
                      <w:color w:val="auto"/>
                      <w:sz w:val="21"/>
                      <w:szCs w:val="21"/>
                      <w:highlight w:val="none"/>
                      <w:u w:val="none"/>
                      <w:vertAlign w:val="baseline"/>
                      <w:lang w:val="en-US" w:eastAsia="zh-CN"/>
                    </w:rPr>
                    <w:t>融元</w:t>
                  </w:r>
                  <w:r>
                    <w:rPr>
                      <w:rFonts w:hint="default" w:ascii="Times New Roman" w:hAnsi="Times New Roman" w:eastAsia="宋体" w:cs="Times New Roman"/>
                      <w:color w:val="auto"/>
                      <w:sz w:val="21"/>
                      <w:szCs w:val="21"/>
                      <w:highlight w:val="none"/>
                      <w:u w:val="none"/>
                      <w:vertAlign w:val="baseline"/>
                      <w:lang w:eastAsia="zh-CN"/>
                    </w:rPr>
                    <w:t>污水处理厂</w:t>
                  </w:r>
                  <w:r>
                    <w:rPr>
                      <w:rFonts w:hint="eastAsia" w:ascii="Times New Roman" w:hAnsi="Times New Roman" w:eastAsia="宋体" w:cs="Times New Roman"/>
                      <w:color w:val="auto"/>
                      <w:sz w:val="21"/>
                      <w:szCs w:val="21"/>
                      <w:highlight w:val="none"/>
                      <w:vertAlign w:val="baseline"/>
                      <w:lang w:val="en-US" w:eastAsia="zh-CN"/>
                    </w:rPr>
                    <w:t>统一处理，尾水排入龙江。</w:t>
                  </w:r>
                </w:p>
              </w:tc>
              <w:tc>
                <w:tcPr>
                  <w:tcW w:w="666" w:type="pct"/>
                  <w:tcBorders>
                    <w:tl2br w:val="nil"/>
                    <w:tr2bl w:val="nil"/>
                  </w:tcBorders>
                  <w:vAlign w:val="center"/>
                </w:tcPr>
                <w:p w14:paraId="2433B9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依托现有化粪池</w:t>
                  </w:r>
                </w:p>
              </w:tc>
            </w:tr>
            <w:tr w14:paraId="76D37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41" w:type="pct"/>
                  <w:vMerge w:val="continue"/>
                  <w:tcBorders>
                    <w:tl2br w:val="nil"/>
                    <w:tr2bl w:val="nil"/>
                  </w:tcBorders>
                  <w:vAlign w:val="center"/>
                </w:tcPr>
                <w:p w14:paraId="1476E58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restart"/>
                  <w:tcBorders>
                    <w:tl2br w:val="nil"/>
                    <w:tr2bl w:val="nil"/>
                  </w:tcBorders>
                  <w:vAlign w:val="center"/>
                </w:tcPr>
                <w:p w14:paraId="31F065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废气治理</w:t>
                  </w:r>
                </w:p>
              </w:tc>
              <w:tc>
                <w:tcPr>
                  <w:tcW w:w="754" w:type="pct"/>
                  <w:tcBorders>
                    <w:tl2br w:val="nil"/>
                    <w:tr2bl w:val="nil"/>
                  </w:tcBorders>
                  <w:vAlign w:val="center"/>
                </w:tcPr>
                <w:p w14:paraId="2293807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非甲烷总烃（VOCs）</w:t>
                  </w:r>
                </w:p>
              </w:tc>
              <w:tc>
                <w:tcPr>
                  <w:tcW w:w="2681" w:type="pct"/>
                  <w:tcBorders>
                    <w:tl2br w:val="nil"/>
                    <w:tr2bl w:val="nil"/>
                  </w:tcBorders>
                  <w:vAlign w:val="center"/>
                </w:tcPr>
                <w:p w14:paraId="5EB355E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注塑</w:t>
                  </w:r>
                  <w:r>
                    <w:rPr>
                      <w:rFonts w:hint="eastAsia" w:cs="Times New Roman"/>
                      <w:color w:val="auto"/>
                      <w:sz w:val="21"/>
                      <w:szCs w:val="21"/>
                      <w:highlight w:val="none"/>
                      <w:vertAlign w:val="baseline"/>
                      <w:lang w:val="en-US" w:eastAsia="zh-CN"/>
                    </w:rPr>
                    <w:t>、包胶、烘烤、除油</w:t>
                  </w:r>
                  <w:r>
                    <w:rPr>
                      <w:rFonts w:hint="eastAsia" w:ascii="Times New Roman" w:hAnsi="Times New Roman" w:eastAsia="宋体" w:cs="Times New Roman"/>
                      <w:color w:val="auto"/>
                      <w:sz w:val="21"/>
                      <w:szCs w:val="21"/>
                      <w:highlight w:val="none"/>
                      <w:vertAlign w:val="baseline"/>
                      <w:lang w:val="en-US" w:eastAsia="zh-CN"/>
                    </w:rPr>
                    <w:t>废气通过集气罩收集后由一套“</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r>
                    <w:rPr>
                      <w:rFonts w:hint="eastAsia" w:cs="Times New Roman"/>
                      <w:color w:val="auto"/>
                      <w:sz w:val="21"/>
                      <w:szCs w:val="21"/>
                      <w:highlight w:val="none"/>
                      <w:vertAlign w:val="baseline"/>
                      <w:lang w:val="en-US" w:eastAsia="zh-CN"/>
                    </w:rPr>
                    <w:t>；</w:t>
                  </w:r>
                </w:p>
              </w:tc>
              <w:tc>
                <w:tcPr>
                  <w:tcW w:w="666" w:type="pct"/>
                  <w:tcBorders>
                    <w:tl2br w:val="nil"/>
                    <w:tr2bl w:val="nil"/>
                  </w:tcBorders>
                  <w:vAlign w:val="center"/>
                </w:tcPr>
                <w:p w14:paraId="769C393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5ADF3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641" w:type="pct"/>
                  <w:vMerge w:val="continue"/>
                  <w:tcBorders>
                    <w:tl2br w:val="nil"/>
                    <w:tr2bl w:val="nil"/>
                  </w:tcBorders>
                  <w:vAlign w:val="center"/>
                </w:tcPr>
                <w:p w14:paraId="545A80D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continue"/>
                  <w:tcBorders>
                    <w:tl2br w:val="nil"/>
                    <w:tr2bl w:val="nil"/>
                  </w:tcBorders>
                  <w:vAlign w:val="center"/>
                </w:tcPr>
                <w:p w14:paraId="0B158B9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4" w:type="pct"/>
                  <w:tcBorders>
                    <w:tl2br w:val="nil"/>
                    <w:tr2bl w:val="nil"/>
                  </w:tcBorders>
                  <w:vAlign w:val="center"/>
                </w:tcPr>
                <w:p w14:paraId="790BFFA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颗粒物</w:t>
                  </w:r>
                </w:p>
              </w:tc>
              <w:tc>
                <w:tcPr>
                  <w:tcW w:w="2681" w:type="pct"/>
                  <w:tcBorders>
                    <w:tl2br w:val="nil"/>
                    <w:tr2bl w:val="nil"/>
                  </w:tcBorders>
                  <w:vAlign w:val="center"/>
                </w:tcPr>
                <w:p w14:paraId="5E41BC1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喷粉废气通过正压收集+滤芯回收系统后接</w:t>
                  </w:r>
                  <w:r>
                    <w:rPr>
                      <w:rFonts w:hint="eastAsia" w:ascii="Times New Roman" w:hAnsi="Times New Roman" w:eastAsia="宋体" w:cs="Times New Roman"/>
                      <w:color w:val="auto"/>
                      <w:sz w:val="21"/>
                      <w:szCs w:val="21"/>
                      <w:highlight w:val="none"/>
                      <w:vertAlign w:val="baseline"/>
                      <w:lang w:val="en-US" w:eastAsia="zh-CN"/>
                    </w:rPr>
                    <w:t>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排放；料头粉碎废气通过移动除尘器处理后无组织排放</w:t>
                  </w:r>
                  <w:r>
                    <w:rPr>
                      <w:rFonts w:hint="eastAsia" w:cs="Times New Roman"/>
                      <w:color w:val="auto"/>
                      <w:sz w:val="21"/>
                      <w:szCs w:val="21"/>
                      <w:highlight w:val="none"/>
                      <w:vertAlign w:val="baseline"/>
                      <w:lang w:val="en-US" w:eastAsia="zh-CN"/>
                    </w:rPr>
                    <w:t>；投料废气通过密闭收集后由</w:t>
                  </w:r>
                  <w:r>
                    <w:rPr>
                      <w:rFonts w:hint="eastAsia" w:ascii="Times New Roman" w:hAnsi="Times New Roman" w:eastAsia="宋体" w:cs="Times New Roman"/>
                      <w:color w:val="auto"/>
                      <w:sz w:val="21"/>
                      <w:szCs w:val="21"/>
                      <w:highlight w:val="none"/>
                      <w:vertAlign w:val="baseline"/>
                      <w:lang w:val="en-US" w:eastAsia="zh-CN"/>
                    </w:rPr>
                    <w:t>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p>
              </w:tc>
              <w:tc>
                <w:tcPr>
                  <w:tcW w:w="666" w:type="pct"/>
                  <w:tcBorders>
                    <w:tl2br w:val="nil"/>
                    <w:tr2bl w:val="nil"/>
                  </w:tcBorders>
                  <w:vAlign w:val="center"/>
                </w:tcPr>
                <w:p w14:paraId="54F4E0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7768F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641" w:type="pct"/>
                  <w:vMerge w:val="continue"/>
                  <w:tcBorders>
                    <w:tl2br w:val="nil"/>
                    <w:tr2bl w:val="nil"/>
                  </w:tcBorders>
                  <w:vAlign w:val="center"/>
                </w:tcPr>
                <w:p w14:paraId="2664B2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011" w:type="pct"/>
                  <w:gridSpan w:val="2"/>
                  <w:tcBorders>
                    <w:tl2br w:val="nil"/>
                    <w:tr2bl w:val="nil"/>
                  </w:tcBorders>
                  <w:vAlign w:val="center"/>
                </w:tcPr>
                <w:p w14:paraId="7B8A9FD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噪声治理</w:t>
                  </w:r>
                </w:p>
              </w:tc>
              <w:tc>
                <w:tcPr>
                  <w:tcW w:w="2681" w:type="pct"/>
                  <w:tcBorders>
                    <w:tl2br w:val="nil"/>
                    <w:tr2bl w:val="nil"/>
                  </w:tcBorders>
                  <w:vAlign w:val="center"/>
                </w:tcPr>
                <w:p w14:paraId="1CB2C9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US" w:eastAsia="zh-CN"/>
                    </w:rPr>
                    <w:t>选用低噪声设备，加强设备的维护管理；对高噪声设备进行基础减振、通过厂房墙体隔</w:t>
                  </w:r>
                  <w:r>
                    <w:rPr>
                      <w:rFonts w:hint="eastAsia" w:cs="Times New Roman"/>
                      <w:color w:val="auto"/>
                      <w:lang w:val="en-US" w:eastAsia="zh-CN"/>
                    </w:rPr>
                    <w:t>声。</w:t>
                  </w:r>
                </w:p>
              </w:tc>
              <w:tc>
                <w:tcPr>
                  <w:tcW w:w="666" w:type="pct"/>
                  <w:tcBorders>
                    <w:tl2br w:val="nil"/>
                    <w:tr2bl w:val="nil"/>
                  </w:tcBorders>
                  <w:vAlign w:val="center"/>
                </w:tcPr>
                <w:p w14:paraId="40B0A7F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521DFC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41" w:type="pct"/>
                  <w:vMerge w:val="continue"/>
                  <w:tcBorders>
                    <w:tl2br w:val="nil"/>
                    <w:tr2bl w:val="nil"/>
                  </w:tcBorders>
                  <w:vAlign w:val="center"/>
                </w:tcPr>
                <w:p w14:paraId="32DA06A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restart"/>
                  <w:tcBorders>
                    <w:tl2br w:val="nil"/>
                    <w:tr2bl w:val="nil"/>
                  </w:tcBorders>
                  <w:vAlign w:val="center"/>
                </w:tcPr>
                <w:p w14:paraId="54041B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固废治理</w:t>
                  </w:r>
                </w:p>
              </w:tc>
              <w:tc>
                <w:tcPr>
                  <w:tcW w:w="754" w:type="pct"/>
                  <w:tcBorders>
                    <w:tl2br w:val="nil"/>
                    <w:tr2bl w:val="nil"/>
                  </w:tcBorders>
                  <w:vAlign w:val="center"/>
                </w:tcPr>
                <w:p w14:paraId="51F193C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生活垃圾</w:t>
                  </w:r>
                </w:p>
              </w:tc>
              <w:tc>
                <w:tcPr>
                  <w:tcW w:w="2681" w:type="pct"/>
                  <w:tcBorders>
                    <w:tl2br w:val="nil"/>
                    <w:tr2bl w:val="nil"/>
                  </w:tcBorders>
                  <w:vAlign w:val="center"/>
                </w:tcPr>
                <w:p w14:paraId="5D279A8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lang w:val="en-GB" w:eastAsia="zh-CN"/>
                    </w:rPr>
                    <w:t>厂区内设置生活垃圾桶，分类收集后委托环卫部门每日清运处置</w:t>
                  </w:r>
                  <w:r>
                    <w:rPr>
                      <w:rFonts w:hint="eastAsia" w:cs="Times New Roman"/>
                      <w:color w:val="auto"/>
                      <w:lang w:val="en-GB" w:eastAsia="zh-CN"/>
                    </w:rPr>
                    <w:t>。</w:t>
                  </w:r>
                </w:p>
              </w:tc>
              <w:tc>
                <w:tcPr>
                  <w:tcW w:w="666" w:type="pct"/>
                  <w:tcBorders>
                    <w:tl2br w:val="nil"/>
                    <w:tr2bl w:val="nil"/>
                  </w:tcBorders>
                  <w:vAlign w:val="center"/>
                </w:tcPr>
                <w:p w14:paraId="29B9EFC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依托现有</w:t>
                  </w:r>
                </w:p>
              </w:tc>
            </w:tr>
            <w:tr w14:paraId="7FE70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641" w:type="pct"/>
                  <w:vMerge w:val="continue"/>
                  <w:tcBorders>
                    <w:tl2br w:val="nil"/>
                    <w:tr2bl w:val="nil"/>
                  </w:tcBorders>
                  <w:vAlign w:val="center"/>
                </w:tcPr>
                <w:p w14:paraId="69FDFF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continue"/>
                  <w:tcBorders>
                    <w:tl2br w:val="nil"/>
                    <w:tr2bl w:val="nil"/>
                  </w:tcBorders>
                  <w:vAlign w:val="center"/>
                </w:tcPr>
                <w:p w14:paraId="0749472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4" w:type="pct"/>
                  <w:tcBorders>
                    <w:tl2br w:val="nil"/>
                    <w:tr2bl w:val="nil"/>
                  </w:tcBorders>
                  <w:vAlign w:val="center"/>
                </w:tcPr>
                <w:p w14:paraId="620A0CE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一般固体废物</w:t>
                  </w:r>
                </w:p>
              </w:tc>
              <w:tc>
                <w:tcPr>
                  <w:tcW w:w="2681" w:type="pct"/>
                  <w:tcBorders>
                    <w:tl2br w:val="nil"/>
                    <w:tr2bl w:val="nil"/>
                  </w:tcBorders>
                  <w:vAlign w:val="center"/>
                </w:tcPr>
                <w:p w14:paraId="065A570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设一般工业固废暂存间，妥善分类收集后出售给回收企业综合利用：不合格产品</w:t>
                  </w:r>
                  <w:r>
                    <w:rPr>
                      <w:rFonts w:hint="eastAsia" w:cs="Times New Roman"/>
                      <w:color w:val="auto"/>
                      <w:lang w:val="en-US" w:eastAsia="zh-CN"/>
                    </w:rPr>
                    <w:t>及边角料</w:t>
                  </w:r>
                  <w:r>
                    <w:rPr>
                      <w:rFonts w:hint="eastAsia" w:ascii="Times New Roman" w:hAnsi="Times New Roman" w:eastAsia="宋体" w:cs="Times New Roman"/>
                      <w:color w:val="auto"/>
                      <w:lang w:val="en-US" w:eastAsia="zh-CN"/>
                    </w:rPr>
                    <w:t>收集破碎后</w:t>
                  </w:r>
                  <w:r>
                    <w:rPr>
                      <w:rFonts w:hint="eastAsia" w:cs="Times New Roman"/>
                      <w:color w:val="auto"/>
                      <w:lang w:val="en-US" w:eastAsia="zh-CN"/>
                    </w:rPr>
                    <w:t>外售其他公司</w:t>
                  </w:r>
                  <w:r>
                    <w:rPr>
                      <w:rFonts w:hint="eastAsia" w:ascii="Times New Roman" w:hAnsi="Times New Roman" w:eastAsia="宋体" w:cs="Times New Roman"/>
                      <w:color w:val="auto"/>
                      <w:lang w:val="en-US" w:eastAsia="zh-CN"/>
                    </w:rPr>
                    <w:t>。</w:t>
                  </w:r>
                </w:p>
                <w:p w14:paraId="7DB1C94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lang w:val="en-US" w:eastAsia="zh-CN"/>
                    </w:rPr>
                  </w:pPr>
                  <w:r>
                    <w:rPr>
                      <w:rFonts w:hint="eastAsia" w:ascii="Times New Roman" w:hAnsi="Times New Roman" w:eastAsia="宋体" w:cs="Times New Roman"/>
                      <w:color w:val="auto"/>
                      <w:lang w:val="en-US" w:eastAsia="zh-CN"/>
                    </w:rPr>
                    <w:t>废包装材料：收集后外售给废品回收公司</w:t>
                  </w:r>
                  <w:r>
                    <w:rPr>
                      <w:rFonts w:hint="eastAsia" w:cs="Times New Roman"/>
                      <w:color w:val="auto"/>
                      <w:lang w:val="en-US" w:eastAsia="zh-CN"/>
                    </w:rPr>
                    <w:t>；</w:t>
                  </w:r>
                </w:p>
                <w:p w14:paraId="2650170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lang w:val="en-US" w:eastAsia="zh-CN"/>
                    </w:rPr>
                  </w:pPr>
                  <w:r>
                    <w:rPr>
                      <w:rFonts w:hint="eastAsia" w:cs="Times New Roman"/>
                      <w:color w:val="auto"/>
                      <w:lang w:val="en-US" w:eastAsia="zh-CN"/>
                    </w:rPr>
                    <w:t>收集粉尘：通过收集后委托有资质的单位处置。</w:t>
                  </w:r>
                </w:p>
              </w:tc>
              <w:tc>
                <w:tcPr>
                  <w:tcW w:w="666" w:type="pct"/>
                  <w:tcBorders>
                    <w:tl2br w:val="nil"/>
                    <w:tr2bl w:val="nil"/>
                  </w:tcBorders>
                  <w:vAlign w:val="center"/>
                </w:tcPr>
                <w:p w14:paraId="759AB3B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r w14:paraId="2369F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641" w:type="pct"/>
                  <w:vMerge w:val="continue"/>
                  <w:tcBorders>
                    <w:tl2br w:val="nil"/>
                    <w:tr2bl w:val="nil"/>
                  </w:tcBorders>
                  <w:vAlign w:val="center"/>
                </w:tcPr>
                <w:p w14:paraId="0FC9747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257" w:type="pct"/>
                  <w:vMerge w:val="continue"/>
                  <w:tcBorders>
                    <w:tl2br w:val="nil"/>
                    <w:tr2bl w:val="nil"/>
                  </w:tcBorders>
                  <w:vAlign w:val="center"/>
                </w:tcPr>
                <w:p w14:paraId="163A583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754" w:type="pct"/>
                  <w:tcBorders>
                    <w:tl2br w:val="nil"/>
                    <w:tr2bl w:val="nil"/>
                  </w:tcBorders>
                  <w:vAlign w:val="center"/>
                </w:tcPr>
                <w:p w14:paraId="2C1C56D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危险废物</w:t>
                  </w:r>
                </w:p>
              </w:tc>
              <w:tc>
                <w:tcPr>
                  <w:tcW w:w="2681" w:type="pct"/>
                  <w:tcBorders>
                    <w:tl2br w:val="nil"/>
                    <w:tr2bl w:val="nil"/>
                  </w:tcBorders>
                  <w:vAlign w:val="center"/>
                </w:tcPr>
                <w:p w14:paraId="613F6F5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，存放废活性炭、</w:t>
                  </w:r>
                  <w:r>
                    <w:rPr>
                      <w:rFonts w:hint="eastAsia" w:cs="Times New Roman"/>
                      <w:color w:val="auto"/>
                      <w:sz w:val="21"/>
                      <w:szCs w:val="21"/>
                      <w:highlight w:val="none"/>
                      <w:vertAlign w:val="baseline"/>
                      <w:lang w:val="en-US" w:eastAsia="zh-CN"/>
                    </w:rPr>
                    <w:t>废机油</w:t>
                  </w:r>
                  <w:r>
                    <w:rPr>
                      <w:rFonts w:hint="eastAsia" w:ascii="Times New Roman" w:hAnsi="Times New Roman" w:eastAsia="宋体" w:cs="Times New Roman"/>
                      <w:color w:val="auto"/>
                      <w:sz w:val="21"/>
                      <w:szCs w:val="21"/>
                      <w:highlight w:val="none"/>
                      <w:vertAlign w:val="baseline"/>
                      <w:lang w:val="en-US" w:eastAsia="zh-CN"/>
                    </w:rPr>
                    <w:t>等危险废物。贮存间内张贴明显</w:t>
                  </w:r>
                  <w:r>
                    <w:rPr>
                      <w:rFonts w:hint="eastAsia" w:cs="Times New Roman"/>
                      <w:color w:val="auto"/>
                      <w:sz w:val="21"/>
                      <w:szCs w:val="21"/>
                      <w:highlight w:val="none"/>
                      <w:vertAlign w:val="baseline"/>
                      <w:lang w:val="en-US" w:eastAsia="zh-CN"/>
                    </w:rPr>
                    <w:t>警示标志</w:t>
                  </w:r>
                  <w:r>
                    <w:rPr>
                      <w:rFonts w:hint="eastAsia" w:ascii="Times New Roman" w:hAnsi="Times New Roman" w:eastAsia="宋体" w:cs="Times New Roman"/>
                      <w:color w:val="auto"/>
                      <w:sz w:val="21"/>
                      <w:szCs w:val="21"/>
                      <w:highlight w:val="none"/>
                      <w:vertAlign w:val="baseline"/>
                      <w:lang w:val="en-US" w:eastAsia="zh-CN"/>
                    </w:rPr>
                    <w:t>并设置围堰及导流沟，地面刷环氧树脂漆</w:t>
                  </w:r>
                  <w:r>
                    <w:rPr>
                      <w:rFonts w:hint="eastAsia"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并签署危废委托</w:t>
                  </w:r>
                  <w:r>
                    <w:rPr>
                      <w:rFonts w:hint="eastAsia" w:cs="Times New Roman"/>
                      <w:color w:val="auto"/>
                      <w:sz w:val="21"/>
                      <w:szCs w:val="21"/>
                      <w:highlight w:val="none"/>
                      <w:vertAlign w:val="baseline"/>
                      <w:lang w:val="en-US" w:eastAsia="zh-CN"/>
                    </w:rPr>
                    <w:t>协议。</w:t>
                  </w:r>
                </w:p>
              </w:tc>
              <w:tc>
                <w:tcPr>
                  <w:tcW w:w="666" w:type="pct"/>
                  <w:tcBorders>
                    <w:tl2br w:val="nil"/>
                    <w:tr2bl w:val="nil"/>
                  </w:tcBorders>
                  <w:vAlign w:val="center"/>
                </w:tcPr>
                <w:p w14:paraId="2298772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本次新建</w:t>
                  </w:r>
                </w:p>
              </w:tc>
            </w:tr>
          </w:tbl>
          <w:p w14:paraId="67A6A1A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25" w:name="_Toc20188"/>
            <w:r>
              <w:rPr>
                <w:rFonts w:hint="default" w:ascii="Times New Roman" w:hAnsi="Times New Roman" w:eastAsia="宋体" w:cs="Times New Roman"/>
                <w:b/>
                <w:bCs/>
                <w:color w:val="auto"/>
                <w:sz w:val="24"/>
                <w:szCs w:val="24"/>
                <w:u w:val="none"/>
                <w:lang w:val="en-US" w:eastAsia="zh-CN"/>
              </w:rPr>
              <w:t>2.2.</w:t>
            </w:r>
            <w:r>
              <w:rPr>
                <w:rFonts w:hint="default" w:cs="Times New Roman"/>
                <w:b/>
                <w:bCs/>
                <w:color w:val="auto"/>
                <w:sz w:val="24"/>
                <w:szCs w:val="24"/>
                <w:u w:val="none"/>
                <w:lang w:val="en-US" w:eastAsia="zh-CN"/>
              </w:rPr>
              <w:t>4</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项目工程组成及建设内容</w:t>
            </w:r>
            <w:bookmarkEnd w:id="25"/>
          </w:p>
          <w:p w14:paraId="033BEA73">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本项目产品方案详见表2.2-2。</w:t>
            </w:r>
          </w:p>
          <w:p w14:paraId="101517AF">
            <w:pPr>
              <w:pStyle w:val="15"/>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sz w:val="24"/>
                <w:szCs w:val="24"/>
                <w:u w:val="none"/>
                <w:lang w:val="en-US" w:eastAsia="zh-CN"/>
              </w:rPr>
            </w:pPr>
            <w:r>
              <w:rPr>
                <w:rFonts w:hint="default" w:ascii="Times New Roman" w:hAnsi="Times New Roman" w:cs="Times New Roman"/>
                <w:b/>
                <w:bCs/>
                <w:sz w:val="24"/>
                <w:szCs w:val="24"/>
                <w:u w:val="none"/>
                <w:lang w:val="en-US" w:eastAsia="zh-CN"/>
              </w:rPr>
              <w:t>表2.2-2 项目主要产品方案</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827"/>
              <w:gridCol w:w="3332"/>
              <w:gridCol w:w="1616"/>
            </w:tblGrid>
            <w:tr w14:paraId="69F8D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488" w:type="pct"/>
                  <w:tcBorders>
                    <w:tl2br w:val="nil"/>
                    <w:tr2bl w:val="nil"/>
                  </w:tcBorders>
                  <w:vAlign w:val="center"/>
                </w:tcPr>
                <w:p w14:paraId="6D9F51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序号</w:t>
                  </w:r>
                </w:p>
              </w:tc>
              <w:tc>
                <w:tcPr>
                  <w:tcW w:w="1640" w:type="pct"/>
                  <w:tcBorders>
                    <w:tl2br w:val="nil"/>
                    <w:tr2bl w:val="nil"/>
                  </w:tcBorders>
                  <w:vAlign w:val="center"/>
                </w:tcPr>
                <w:p w14:paraId="1FCE6C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产品名称</w:t>
                  </w:r>
                </w:p>
              </w:tc>
              <w:tc>
                <w:tcPr>
                  <w:tcW w:w="1933" w:type="pct"/>
                  <w:tcBorders>
                    <w:tl2br w:val="nil"/>
                    <w:tr2bl w:val="nil"/>
                  </w:tcBorders>
                  <w:vAlign w:val="center"/>
                </w:tcPr>
                <w:p w14:paraId="4D95B9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产品产量</w:t>
                  </w:r>
                </w:p>
              </w:tc>
              <w:tc>
                <w:tcPr>
                  <w:tcW w:w="937" w:type="pct"/>
                  <w:tcBorders>
                    <w:tl2br w:val="nil"/>
                    <w:tr2bl w:val="nil"/>
                  </w:tcBorders>
                  <w:vAlign w:val="center"/>
                </w:tcPr>
                <w:p w14:paraId="01D726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备注</w:t>
                  </w:r>
                </w:p>
              </w:tc>
            </w:tr>
            <w:tr w14:paraId="1740D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8" w:type="pct"/>
                  <w:tcBorders>
                    <w:tl2br w:val="nil"/>
                    <w:tr2bl w:val="nil"/>
                  </w:tcBorders>
                  <w:vAlign w:val="center"/>
                </w:tcPr>
                <w:p w14:paraId="3DC012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640" w:type="pct"/>
                  <w:tcBorders>
                    <w:tl2br w:val="nil"/>
                    <w:tr2bl w:val="nil"/>
                  </w:tcBorders>
                  <w:vAlign w:val="center"/>
                </w:tcPr>
                <w:p w14:paraId="599244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工业连接器</w:t>
                  </w:r>
                </w:p>
              </w:tc>
              <w:tc>
                <w:tcPr>
                  <w:tcW w:w="1933" w:type="pct"/>
                  <w:tcBorders>
                    <w:tl2br w:val="nil"/>
                    <w:tr2bl w:val="nil"/>
                  </w:tcBorders>
                  <w:vAlign w:val="center"/>
                </w:tcPr>
                <w:p w14:paraId="791288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300</w:t>
                  </w:r>
                  <w:r>
                    <w:rPr>
                      <w:rFonts w:hint="eastAsia" w:ascii="Times New Roman" w:hAnsi="Times New Roman" w:eastAsia="宋体" w:cs="Times New Roman"/>
                      <w:sz w:val="21"/>
                      <w:szCs w:val="21"/>
                      <w:vertAlign w:val="baseline"/>
                      <w:lang w:val="en-US" w:eastAsia="zh-CN"/>
                    </w:rPr>
                    <w:t>万</w:t>
                  </w:r>
                  <w:r>
                    <w:rPr>
                      <w:rFonts w:hint="eastAsia" w:cs="Times New Roman"/>
                      <w:sz w:val="21"/>
                      <w:szCs w:val="21"/>
                      <w:vertAlign w:val="baseline"/>
                      <w:lang w:val="en-US" w:eastAsia="zh-CN"/>
                    </w:rPr>
                    <w:t>件</w:t>
                  </w:r>
                </w:p>
              </w:tc>
              <w:tc>
                <w:tcPr>
                  <w:tcW w:w="937" w:type="pct"/>
                  <w:tcBorders>
                    <w:tl2br w:val="nil"/>
                    <w:tr2bl w:val="nil"/>
                  </w:tcBorders>
                  <w:vAlign w:val="center"/>
                </w:tcPr>
                <w:p w14:paraId="3E3ACC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r>
            <w:tr w14:paraId="15FF0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8" w:type="pct"/>
                  <w:tcBorders>
                    <w:tl2br w:val="nil"/>
                    <w:tr2bl w:val="nil"/>
                  </w:tcBorders>
                  <w:vAlign w:val="center"/>
                </w:tcPr>
                <w:p w14:paraId="5AE434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bookmarkStart w:id="26" w:name="_Toc21784"/>
                  <w:r>
                    <w:rPr>
                      <w:rFonts w:hint="eastAsia" w:cs="Times New Roman"/>
                      <w:sz w:val="21"/>
                      <w:szCs w:val="21"/>
                      <w:vertAlign w:val="baseline"/>
                      <w:lang w:val="en-US" w:eastAsia="zh-CN"/>
                    </w:rPr>
                    <w:t>2</w:t>
                  </w:r>
                </w:p>
              </w:tc>
              <w:tc>
                <w:tcPr>
                  <w:tcW w:w="1640" w:type="pct"/>
                  <w:tcBorders>
                    <w:tl2br w:val="nil"/>
                    <w:tr2bl w:val="nil"/>
                  </w:tcBorders>
                  <w:vAlign w:val="center"/>
                </w:tcPr>
                <w:p w14:paraId="484690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工业线缆</w:t>
                  </w:r>
                </w:p>
              </w:tc>
              <w:tc>
                <w:tcPr>
                  <w:tcW w:w="1933" w:type="pct"/>
                  <w:tcBorders>
                    <w:tl2br w:val="nil"/>
                    <w:tr2bl w:val="nil"/>
                  </w:tcBorders>
                  <w:vAlign w:val="center"/>
                </w:tcPr>
                <w:p w14:paraId="470C62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200万件</w:t>
                  </w:r>
                </w:p>
              </w:tc>
              <w:tc>
                <w:tcPr>
                  <w:tcW w:w="937" w:type="pct"/>
                  <w:tcBorders>
                    <w:tl2br w:val="nil"/>
                    <w:tr2bl w:val="nil"/>
                  </w:tcBorders>
                  <w:vAlign w:val="center"/>
                </w:tcPr>
                <w:p w14:paraId="057924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w:t>
                  </w:r>
                </w:p>
              </w:tc>
            </w:tr>
          </w:tbl>
          <w:p w14:paraId="14C1D1C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5</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主要生产设备</w:t>
            </w:r>
            <w:bookmarkEnd w:id="26"/>
          </w:p>
          <w:p w14:paraId="14CE891C">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eastAsia" w:ascii="Times New Roman" w:hAnsi="Times New Roman" w:cs="Times New Roman"/>
                <w:b w:val="0"/>
                <w:bCs w:val="0"/>
                <w:color w:val="auto"/>
                <w:sz w:val="24"/>
                <w:szCs w:val="24"/>
                <w:u w:val="none"/>
                <w:lang w:val="en-US" w:eastAsia="zh-CN"/>
              </w:rPr>
              <w:t>项目主要生产设备一览表详见表2.2-3。</w:t>
            </w:r>
          </w:p>
          <w:p w14:paraId="5F46C35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表2.2-3 主要生产设备一览表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896"/>
              <w:gridCol w:w="2115"/>
              <w:gridCol w:w="1289"/>
              <w:gridCol w:w="1537"/>
            </w:tblGrid>
            <w:tr w14:paraId="19264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4041E3F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序号</w:t>
                  </w:r>
                </w:p>
              </w:tc>
              <w:tc>
                <w:tcPr>
                  <w:tcW w:w="1680" w:type="pct"/>
                  <w:tcBorders>
                    <w:tl2br w:val="nil"/>
                    <w:tr2bl w:val="nil"/>
                  </w:tcBorders>
                  <w:vAlign w:val="center"/>
                </w:tcPr>
                <w:p w14:paraId="7445B91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设备名称</w:t>
                  </w:r>
                </w:p>
              </w:tc>
              <w:tc>
                <w:tcPr>
                  <w:tcW w:w="1227" w:type="pct"/>
                  <w:tcBorders>
                    <w:tl2br w:val="nil"/>
                    <w:tr2bl w:val="nil"/>
                  </w:tcBorders>
                  <w:vAlign w:val="center"/>
                </w:tcPr>
                <w:p w14:paraId="258C3D6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功率/型号</w:t>
                  </w:r>
                </w:p>
              </w:tc>
              <w:tc>
                <w:tcPr>
                  <w:tcW w:w="748" w:type="pct"/>
                  <w:tcBorders>
                    <w:tl2br w:val="nil"/>
                    <w:tr2bl w:val="nil"/>
                  </w:tcBorders>
                  <w:vAlign w:val="center"/>
                </w:tcPr>
                <w:p w14:paraId="2BF8B3B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数量</w:t>
                  </w:r>
                </w:p>
              </w:tc>
              <w:tc>
                <w:tcPr>
                  <w:tcW w:w="891" w:type="pct"/>
                  <w:tcBorders>
                    <w:tl2br w:val="nil"/>
                    <w:tr2bl w:val="nil"/>
                  </w:tcBorders>
                  <w:vAlign w:val="center"/>
                </w:tcPr>
                <w:p w14:paraId="71977B7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备注</w:t>
                  </w:r>
                </w:p>
              </w:tc>
            </w:tr>
            <w:tr w14:paraId="0905F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74EDD49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w:t>
                  </w:r>
                </w:p>
              </w:tc>
              <w:tc>
                <w:tcPr>
                  <w:tcW w:w="1680" w:type="pct"/>
                  <w:tcBorders>
                    <w:tl2br w:val="nil"/>
                    <w:tr2bl w:val="nil"/>
                  </w:tcBorders>
                  <w:vAlign w:val="center"/>
                </w:tcPr>
                <w:p w14:paraId="450E7B2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卧式注塑机（80T）</w:t>
                  </w:r>
                </w:p>
              </w:tc>
              <w:tc>
                <w:tcPr>
                  <w:tcW w:w="2115" w:type="dxa"/>
                  <w:tcBorders>
                    <w:tl2br w:val="nil"/>
                    <w:tr2bl w:val="nil"/>
                  </w:tcBorders>
                  <w:vAlign w:val="center"/>
                </w:tcPr>
                <w:p w14:paraId="61FAD6F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w:t>
                  </w:r>
                </w:p>
              </w:tc>
              <w:tc>
                <w:tcPr>
                  <w:tcW w:w="748" w:type="pct"/>
                  <w:tcBorders>
                    <w:tl2br w:val="nil"/>
                    <w:tr2bl w:val="nil"/>
                  </w:tcBorders>
                  <w:vAlign w:val="center"/>
                </w:tcPr>
                <w:p w14:paraId="41B89AA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3台</w:t>
                  </w:r>
                </w:p>
              </w:tc>
              <w:tc>
                <w:tcPr>
                  <w:tcW w:w="1537" w:type="dxa"/>
                  <w:tcBorders>
                    <w:tl2br w:val="nil"/>
                    <w:tr2bl w:val="nil"/>
                  </w:tcBorders>
                  <w:vAlign w:val="center"/>
                </w:tcPr>
                <w:p w14:paraId="213D1C7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新建</w:t>
                  </w:r>
                </w:p>
              </w:tc>
            </w:tr>
            <w:tr w14:paraId="3FB2F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51BC535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2</w:t>
                  </w:r>
                </w:p>
              </w:tc>
              <w:tc>
                <w:tcPr>
                  <w:tcW w:w="1680" w:type="pct"/>
                  <w:tcBorders>
                    <w:tl2br w:val="nil"/>
                    <w:tr2bl w:val="nil"/>
                  </w:tcBorders>
                  <w:vAlign w:val="center"/>
                </w:tcPr>
                <w:p w14:paraId="00FDB25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卧式注塑机（280T）</w:t>
                  </w:r>
                </w:p>
              </w:tc>
              <w:tc>
                <w:tcPr>
                  <w:tcW w:w="2115" w:type="dxa"/>
                  <w:tcBorders>
                    <w:tl2br w:val="nil"/>
                    <w:tr2bl w:val="nil"/>
                  </w:tcBorders>
                  <w:vAlign w:val="center"/>
                </w:tcPr>
                <w:p w14:paraId="35039AD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w:t>
                  </w:r>
                </w:p>
              </w:tc>
              <w:tc>
                <w:tcPr>
                  <w:tcW w:w="748" w:type="pct"/>
                  <w:tcBorders>
                    <w:tl2br w:val="nil"/>
                    <w:tr2bl w:val="nil"/>
                  </w:tcBorders>
                  <w:vAlign w:val="center"/>
                </w:tcPr>
                <w:p w14:paraId="7206067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1台</w:t>
                  </w:r>
                </w:p>
              </w:tc>
              <w:tc>
                <w:tcPr>
                  <w:tcW w:w="1537" w:type="dxa"/>
                  <w:tcBorders>
                    <w:tl2br w:val="nil"/>
                    <w:tr2bl w:val="nil"/>
                  </w:tcBorders>
                  <w:vAlign w:val="center"/>
                </w:tcPr>
                <w:p w14:paraId="2E3D6F0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新建</w:t>
                  </w:r>
                </w:p>
              </w:tc>
            </w:tr>
            <w:tr w14:paraId="1E940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0689247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3</w:t>
                  </w:r>
                </w:p>
              </w:tc>
              <w:tc>
                <w:tcPr>
                  <w:tcW w:w="1680" w:type="pct"/>
                  <w:tcBorders>
                    <w:tl2br w:val="nil"/>
                    <w:tr2bl w:val="nil"/>
                  </w:tcBorders>
                  <w:vAlign w:val="center"/>
                </w:tcPr>
                <w:p w14:paraId="6FE5830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立式注塑机（25T）</w:t>
                  </w:r>
                </w:p>
              </w:tc>
              <w:tc>
                <w:tcPr>
                  <w:tcW w:w="2115" w:type="dxa"/>
                  <w:tcBorders>
                    <w:tl2br w:val="nil"/>
                    <w:tr2bl w:val="nil"/>
                  </w:tcBorders>
                  <w:vAlign w:val="center"/>
                </w:tcPr>
                <w:p w14:paraId="210C05D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w:t>
                  </w:r>
                </w:p>
              </w:tc>
              <w:tc>
                <w:tcPr>
                  <w:tcW w:w="748" w:type="pct"/>
                  <w:tcBorders>
                    <w:tl2br w:val="nil"/>
                    <w:tr2bl w:val="nil"/>
                  </w:tcBorders>
                  <w:vAlign w:val="center"/>
                </w:tcPr>
                <w:p w14:paraId="00E5DF2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10台</w:t>
                  </w:r>
                </w:p>
              </w:tc>
              <w:tc>
                <w:tcPr>
                  <w:tcW w:w="1537" w:type="dxa"/>
                  <w:tcBorders>
                    <w:tl2br w:val="nil"/>
                    <w:tr2bl w:val="nil"/>
                  </w:tcBorders>
                  <w:vAlign w:val="center"/>
                </w:tcPr>
                <w:p w14:paraId="5B8A1E9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新建</w:t>
                  </w:r>
                </w:p>
              </w:tc>
            </w:tr>
            <w:tr w14:paraId="4CC70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062E735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4</w:t>
                  </w:r>
                </w:p>
              </w:tc>
              <w:tc>
                <w:tcPr>
                  <w:tcW w:w="1680" w:type="pct"/>
                  <w:tcBorders>
                    <w:tl2br w:val="nil"/>
                    <w:tr2bl w:val="nil"/>
                  </w:tcBorders>
                  <w:vAlign w:val="center"/>
                </w:tcPr>
                <w:p w14:paraId="227C841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伊之密塑料注射成型机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160T</w:t>
                  </w:r>
                  <w:r>
                    <w:rPr>
                      <w:rFonts w:hint="eastAsia" w:ascii="Times New Roman" w:hAnsi="Times New Roman" w:cs="Times New Roman"/>
                      <w:sz w:val="21"/>
                      <w:szCs w:val="21"/>
                      <w:u w:val="none"/>
                      <w:vertAlign w:val="baseline"/>
                      <w:lang w:val="en-US" w:eastAsia="zh-CN"/>
                    </w:rPr>
                    <w:t>）</w:t>
                  </w:r>
                </w:p>
              </w:tc>
              <w:tc>
                <w:tcPr>
                  <w:tcW w:w="1227" w:type="pct"/>
                  <w:tcBorders>
                    <w:tl2br w:val="nil"/>
                    <w:tr2bl w:val="nil"/>
                  </w:tcBorders>
                  <w:vAlign w:val="center"/>
                </w:tcPr>
                <w:p w14:paraId="39BBE1F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UN160A5S</w:t>
                  </w:r>
                </w:p>
              </w:tc>
              <w:tc>
                <w:tcPr>
                  <w:tcW w:w="748" w:type="pct"/>
                  <w:tcBorders>
                    <w:tl2br w:val="nil"/>
                    <w:tr2bl w:val="nil"/>
                  </w:tcBorders>
                  <w:vAlign w:val="center"/>
                </w:tcPr>
                <w:p w14:paraId="6BD4D23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vAlign w:val="center"/>
                </w:tcPr>
                <w:p w14:paraId="3063B73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41BB2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59C005C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5</w:t>
                  </w:r>
                </w:p>
              </w:tc>
              <w:tc>
                <w:tcPr>
                  <w:tcW w:w="1680" w:type="pct"/>
                  <w:tcBorders>
                    <w:tl2br w:val="nil"/>
                    <w:tr2bl w:val="nil"/>
                  </w:tcBorders>
                  <w:vAlign w:val="center"/>
                </w:tcPr>
                <w:p w14:paraId="3AA5899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伊之密塑料注射成型机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120T</w:t>
                  </w:r>
                  <w:r>
                    <w:rPr>
                      <w:rFonts w:hint="eastAsia" w:ascii="Times New Roman" w:hAnsi="Times New Roman" w:cs="Times New Roman"/>
                      <w:sz w:val="21"/>
                      <w:szCs w:val="21"/>
                      <w:u w:val="none"/>
                      <w:vertAlign w:val="baseline"/>
                      <w:lang w:val="en-US" w:eastAsia="zh-CN"/>
                    </w:rPr>
                    <w:t>）</w:t>
                  </w:r>
                </w:p>
              </w:tc>
              <w:tc>
                <w:tcPr>
                  <w:tcW w:w="1227" w:type="pct"/>
                  <w:tcBorders>
                    <w:tl2br w:val="nil"/>
                    <w:tr2bl w:val="nil"/>
                  </w:tcBorders>
                  <w:vAlign w:val="center"/>
                </w:tcPr>
                <w:p w14:paraId="0D1AC4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UN120A5S</w:t>
                  </w:r>
                </w:p>
              </w:tc>
              <w:tc>
                <w:tcPr>
                  <w:tcW w:w="748" w:type="pct"/>
                  <w:tcBorders>
                    <w:tl2br w:val="nil"/>
                    <w:tr2bl w:val="nil"/>
                  </w:tcBorders>
                  <w:vAlign w:val="center"/>
                </w:tcPr>
                <w:p w14:paraId="74F26AD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vAlign w:val="center"/>
                </w:tcPr>
                <w:p w14:paraId="43EC570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2BBEB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6A088D7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6</w:t>
                  </w:r>
                </w:p>
              </w:tc>
              <w:tc>
                <w:tcPr>
                  <w:tcW w:w="1680" w:type="pct"/>
                  <w:tcBorders>
                    <w:tl2br w:val="nil"/>
                    <w:tr2bl w:val="nil"/>
                  </w:tcBorders>
                  <w:vAlign w:val="center"/>
                </w:tcPr>
                <w:p w14:paraId="79AC11D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伊之密塑料注射成型机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120T</w:t>
                  </w:r>
                  <w:r>
                    <w:rPr>
                      <w:rFonts w:hint="eastAsia" w:ascii="Times New Roman" w:hAnsi="Times New Roman" w:cs="Times New Roman"/>
                      <w:sz w:val="21"/>
                      <w:szCs w:val="21"/>
                      <w:u w:val="none"/>
                      <w:vertAlign w:val="baseline"/>
                      <w:lang w:val="en-US" w:eastAsia="zh-CN"/>
                    </w:rPr>
                    <w:t>）</w:t>
                  </w:r>
                </w:p>
              </w:tc>
              <w:tc>
                <w:tcPr>
                  <w:tcW w:w="1227" w:type="pct"/>
                  <w:tcBorders>
                    <w:tl2br w:val="nil"/>
                    <w:tr2bl w:val="nil"/>
                  </w:tcBorders>
                  <w:vAlign w:val="center"/>
                </w:tcPr>
                <w:p w14:paraId="41E0CFA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UN120A5S</w:t>
                  </w:r>
                </w:p>
              </w:tc>
              <w:tc>
                <w:tcPr>
                  <w:tcW w:w="748" w:type="pct"/>
                  <w:tcBorders>
                    <w:tl2br w:val="nil"/>
                    <w:tr2bl w:val="nil"/>
                  </w:tcBorders>
                  <w:vAlign w:val="center"/>
                </w:tcPr>
                <w:p w14:paraId="61C9305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shd w:val="clear" w:color="auto" w:fill="auto"/>
                  <w:vAlign w:val="center"/>
                </w:tcPr>
                <w:p w14:paraId="2D6A12C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4B6F7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1E5F972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7</w:t>
                  </w:r>
                </w:p>
              </w:tc>
              <w:tc>
                <w:tcPr>
                  <w:tcW w:w="1680" w:type="pct"/>
                  <w:tcBorders>
                    <w:tl2br w:val="nil"/>
                    <w:tr2bl w:val="nil"/>
                  </w:tcBorders>
                  <w:shd w:val="clear" w:color="auto" w:fill="auto"/>
                  <w:vAlign w:val="center"/>
                </w:tcPr>
                <w:p w14:paraId="7952436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富强鑫）</w:t>
                  </w:r>
                </w:p>
              </w:tc>
              <w:tc>
                <w:tcPr>
                  <w:tcW w:w="1227" w:type="pct"/>
                  <w:tcBorders>
                    <w:tl2br w:val="nil"/>
                    <w:tr2bl w:val="nil"/>
                  </w:tcBorders>
                  <w:vAlign w:val="center"/>
                </w:tcPr>
                <w:p w14:paraId="7AFF00B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HD-130SV</w:t>
                  </w:r>
                </w:p>
              </w:tc>
              <w:tc>
                <w:tcPr>
                  <w:tcW w:w="748" w:type="pct"/>
                  <w:tcBorders>
                    <w:tl2br w:val="nil"/>
                    <w:tr2bl w:val="nil"/>
                  </w:tcBorders>
                  <w:vAlign w:val="center"/>
                </w:tcPr>
                <w:p w14:paraId="40F1897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shd w:val="clear" w:color="auto" w:fill="auto"/>
                  <w:vAlign w:val="center"/>
                </w:tcPr>
                <w:p w14:paraId="1F316CF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19573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7FFAC2F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8</w:t>
                  </w:r>
                </w:p>
              </w:tc>
              <w:tc>
                <w:tcPr>
                  <w:tcW w:w="1680" w:type="pct"/>
                  <w:tcBorders>
                    <w:tl2br w:val="nil"/>
                    <w:tr2bl w:val="nil"/>
                  </w:tcBorders>
                  <w:shd w:val="clear" w:color="auto" w:fill="auto"/>
                  <w:vAlign w:val="center"/>
                </w:tcPr>
                <w:p w14:paraId="2A2FCEB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富强鑫）</w:t>
                  </w:r>
                </w:p>
              </w:tc>
              <w:tc>
                <w:tcPr>
                  <w:tcW w:w="1227" w:type="pct"/>
                  <w:tcBorders>
                    <w:tl2br w:val="nil"/>
                    <w:tr2bl w:val="nil"/>
                  </w:tcBorders>
                  <w:vAlign w:val="center"/>
                </w:tcPr>
                <w:p w14:paraId="4EFFAC9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HD0130SV</w:t>
                  </w:r>
                </w:p>
              </w:tc>
              <w:tc>
                <w:tcPr>
                  <w:tcW w:w="748" w:type="pct"/>
                  <w:tcBorders>
                    <w:tl2br w:val="nil"/>
                    <w:tr2bl w:val="nil"/>
                  </w:tcBorders>
                  <w:vAlign w:val="center"/>
                </w:tcPr>
                <w:p w14:paraId="77EACD0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shd w:val="clear" w:color="auto" w:fill="auto"/>
                  <w:vAlign w:val="center"/>
                </w:tcPr>
                <w:p w14:paraId="2DA90DC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6A960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4DD992D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9</w:t>
                  </w:r>
                </w:p>
              </w:tc>
              <w:tc>
                <w:tcPr>
                  <w:tcW w:w="1680" w:type="pct"/>
                  <w:tcBorders>
                    <w:tl2br w:val="nil"/>
                    <w:tr2bl w:val="nil"/>
                  </w:tcBorders>
                  <w:shd w:val="clear" w:color="auto" w:fill="auto"/>
                  <w:vAlign w:val="center"/>
                </w:tcPr>
                <w:p w14:paraId="48FB6F8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塑料注射成型机</w:t>
                  </w:r>
                  <w:r>
                    <w:rPr>
                      <w:rFonts w:hint="eastAsia" w:ascii="Times New Roman" w:hAnsi="Times New Roman" w:cs="Times New Roman"/>
                      <w:sz w:val="21"/>
                      <w:szCs w:val="21"/>
                      <w:u w:val="none"/>
                      <w:vertAlign w:val="baseline"/>
                      <w:lang w:val="en-US" w:eastAsia="zh-CN"/>
                    </w:rPr>
                    <w:t>（</w:t>
                  </w:r>
                  <w:r>
                    <w:rPr>
                      <w:rFonts w:hint="eastAsia" w:ascii="Times New Roman" w:hAnsi="Times New Roman" w:eastAsia="宋体" w:cs="Times New Roman"/>
                      <w:sz w:val="21"/>
                      <w:szCs w:val="21"/>
                      <w:u w:val="none"/>
                      <w:vertAlign w:val="baseline"/>
                      <w:lang w:val="en-US" w:eastAsia="zh-CN"/>
                    </w:rPr>
                    <w:t>180T</w:t>
                  </w:r>
                  <w:r>
                    <w:rPr>
                      <w:rFonts w:hint="eastAsia" w:ascii="Times New Roman" w:hAnsi="Times New Roman" w:cs="Times New Roman"/>
                      <w:sz w:val="21"/>
                      <w:szCs w:val="21"/>
                      <w:u w:val="none"/>
                      <w:vertAlign w:val="baseline"/>
                      <w:lang w:val="en-US" w:eastAsia="zh-CN"/>
                    </w:rPr>
                    <w:t>）</w:t>
                  </w:r>
                </w:p>
              </w:tc>
              <w:tc>
                <w:tcPr>
                  <w:tcW w:w="1227" w:type="pct"/>
                  <w:tcBorders>
                    <w:tl2br w:val="nil"/>
                    <w:tr2bl w:val="nil"/>
                  </w:tcBorders>
                  <w:vAlign w:val="center"/>
                </w:tcPr>
                <w:p w14:paraId="7968499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JM168-MK6</w:t>
                  </w:r>
                </w:p>
              </w:tc>
              <w:tc>
                <w:tcPr>
                  <w:tcW w:w="748" w:type="pct"/>
                  <w:tcBorders>
                    <w:tl2br w:val="nil"/>
                    <w:tr2bl w:val="nil"/>
                  </w:tcBorders>
                  <w:vAlign w:val="center"/>
                </w:tcPr>
                <w:p w14:paraId="73629E5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shd w:val="clear" w:color="auto" w:fill="auto"/>
                  <w:vAlign w:val="center"/>
                </w:tcPr>
                <w:p w14:paraId="5CCC6E3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5AC40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0AE3DB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b w:val="0"/>
                      <w:bCs w:val="0"/>
                      <w:color w:val="auto"/>
                      <w:spacing w:val="-8"/>
                      <w:sz w:val="21"/>
                      <w:szCs w:val="21"/>
                      <w:lang w:val="en-US" w:eastAsia="zh-CN"/>
                    </w:rPr>
                    <w:t>10</w:t>
                  </w:r>
                </w:p>
              </w:tc>
              <w:tc>
                <w:tcPr>
                  <w:tcW w:w="1680" w:type="pct"/>
                  <w:tcBorders>
                    <w:tl2br w:val="nil"/>
                    <w:tr2bl w:val="nil"/>
                  </w:tcBorders>
                  <w:vAlign w:val="center"/>
                </w:tcPr>
                <w:p w14:paraId="7BBD437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塑料注射成型机（80T</w:t>
                  </w:r>
                  <w:r>
                    <w:rPr>
                      <w:rFonts w:hint="eastAsia" w:ascii="Times New Roman" w:hAnsi="Times New Roman" w:cs="Times New Roman"/>
                      <w:sz w:val="21"/>
                      <w:szCs w:val="21"/>
                      <w:u w:val="none"/>
                      <w:vertAlign w:val="baseline"/>
                      <w:lang w:val="en-US" w:eastAsia="zh-CN"/>
                    </w:rPr>
                    <w:t>）</w:t>
                  </w:r>
                </w:p>
              </w:tc>
              <w:tc>
                <w:tcPr>
                  <w:tcW w:w="1227" w:type="pct"/>
                  <w:tcBorders>
                    <w:tl2br w:val="nil"/>
                    <w:tr2bl w:val="nil"/>
                  </w:tcBorders>
                  <w:vAlign w:val="center"/>
                </w:tcPr>
                <w:p w14:paraId="3264633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M900-111/28SE</w:t>
                  </w:r>
                </w:p>
              </w:tc>
              <w:tc>
                <w:tcPr>
                  <w:tcW w:w="748" w:type="pct"/>
                  <w:tcBorders>
                    <w:tl2br w:val="nil"/>
                    <w:tr2bl w:val="nil"/>
                  </w:tcBorders>
                  <w:vAlign w:val="center"/>
                </w:tcPr>
                <w:p w14:paraId="2D9A512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1台</w:t>
                  </w:r>
                </w:p>
              </w:tc>
              <w:tc>
                <w:tcPr>
                  <w:tcW w:w="891" w:type="pct"/>
                  <w:tcBorders>
                    <w:tl2br w:val="nil"/>
                    <w:tr2bl w:val="nil"/>
                  </w:tcBorders>
                  <w:shd w:val="clear" w:color="auto" w:fill="auto"/>
                  <w:vAlign w:val="center"/>
                </w:tcPr>
                <w:p w14:paraId="36B45FB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07730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9" w:type="dxa"/>
                  <w:tcBorders>
                    <w:tl2br w:val="nil"/>
                    <w:tr2bl w:val="nil"/>
                  </w:tcBorders>
                  <w:vAlign w:val="center"/>
                </w:tcPr>
                <w:p w14:paraId="0078FF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11</w:t>
                  </w:r>
                </w:p>
              </w:tc>
              <w:tc>
                <w:tcPr>
                  <w:tcW w:w="1680" w:type="pct"/>
                  <w:tcBorders>
                    <w:tl2br w:val="nil"/>
                    <w:tr2bl w:val="nil"/>
                  </w:tcBorders>
                  <w:vAlign w:val="center"/>
                </w:tcPr>
                <w:p w14:paraId="40692D7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干燥机1#</w:t>
                  </w:r>
                </w:p>
              </w:tc>
              <w:tc>
                <w:tcPr>
                  <w:tcW w:w="1227" w:type="pct"/>
                  <w:tcBorders>
                    <w:tl2br w:val="nil"/>
                    <w:tr2bl w:val="nil"/>
                  </w:tcBorders>
                  <w:vAlign w:val="center"/>
                </w:tcPr>
                <w:p w14:paraId="1FB71AD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tcBorders>
                    <w:tl2br w:val="nil"/>
                    <w:tr2bl w:val="nil"/>
                  </w:tcBorders>
                  <w:vAlign w:val="center"/>
                </w:tcPr>
                <w:p w14:paraId="674C746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1</w:t>
                  </w:r>
                  <w:r>
                    <w:rPr>
                      <w:rFonts w:hint="eastAsia" w:ascii="Times New Roman" w:hAnsi="Times New Roman" w:cs="Times New Roman"/>
                      <w:sz w:val="21"/>
                      <w:szCs w:val="21"/>
                      <w:u w:val="none"/>
                      <w:vertAlign w:val="baseline"/>
                      <w:lang w:val="en-US" w:eastAsia="zh-CN"/>
                    </w:rPr>
                    <w:t>台</w:t>
                  </w:r>
                </w:p>
              </w:tc>
              <w:tc>
                <w:tcPr>
                  <w:tcW w:w="891" w:type="pct"/>
                  <w:tcBorders>
                    <w:tl2br w:val="nil"/>
                    <w:tr2bl w:val="nil"/>
                  </w:tcBorders>
                  <w:shd w:val="clear" w:color="auto" w:fill="auto"/>
                  <w:vAlign w:val="center"/>
                </w:tcPr>
                <w:p w14:paraId="5382AFC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新建</w:t>
                  </w:r>
                </w:p>
              </w:tc>
            </w:tr>
            <w:tr w14:paraId="35FBE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72D224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12</w:t>
                  </w:r>
                </w:p>
              </w:tc>
              <w:tc>
                <w:tcPr>
                  <w:tcW w:w="1680" w:type="pct"/>
                  <w:vAlign w:val="center"/>
                </w:tcPr>
                <w:p w14:paraId="529D47F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干燥机2#</w:t>
                  </w:r>
                </w:p>
              </w:tc>
              <w:tc>
                <w:tcPr>
                  <w:tcW w:w="1227" w:type="pct"/>
                  <w:vAlign w:val="center"/>
                </w:tcPr>
                <w:p w14:paraId="2783397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2BEC100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33002EA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3C365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068AF1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bookmarkStart w:id="27" w:name="_Toc3994"/>
                  <w:r>
                    <w:rPr>
                      <w:rFonts w:hint="eastAsia" w:ascii="Times New Roman" w:hAnsi="Times New Roman" w:eastAsia="宋体" w:cs="Times New Roman"/>
                      <w:b w:val="0"/>
                      <w:bCs w:val="0"/>
                      <w:color w:val="auto"/>
                      <w:kern w:val="2"/>
                      <w:sz w:val="21"/>
                      <w:szCs w:val="21"/>
                      <w:lang w:val="en-US" w:eastAsia="zh-CN" w:bidi="ar-SA"/>
                    </w:rPr>
                    <w:t>13</w:t>
                  </w:r>
                </w:p>
              </w:tc>
              <w:tc>
                <w:tcPr>
                  <w:tcW w:w="1680" w:type="pct"/>
                  <w:shd w:val="clear" w:color="auto" w:fill="auto"/>
                  <w:vAlign w:val="center"/>
                </w:tcPr>
                <w:p w14:paraId="1D692AE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干燥机3#</w:t>
                  </w:r>
                </w:p>
              </w:tc>
              <w:tc>
                <w:tcPr>
                  <w:tcW w:w="1227" w:type="pct"/>
                  <w:shd w:val="clear" w:color="auto" w:fill="auto"/>
                  <w:vAlign w:val="center"/>
                </w:tcPr>
                <w:p w14:paraId="11F8424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0FC6191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74DB942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489078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025E2D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14</w:t>
                  </w:r>
                </w:p>
              </w:tc>
              <w:tc>
                <w:tcPr>
                  <w:tcW w:w="1680" w:type="pct"/>
                  <w:shd w:val="clear" w:color="auto" w:fill="auto"/>
                  <w:vAlign w:val="center"/>
                </w:tcPr>
                <w:p w14:paraId="40426E0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干燥机4#</w:t>
                  </w:r>
                </w:p>
              </w:tc>
              <w:tc>
                <w:tcPr>
                  <w:tcW w:w="1227" w:type="pct"/>
                  <w:shd w:val="clear" w:color="auto" w:fill="auto"/>
                  <w:vAlign w:val="center"/>
                </w:tcPr>
                <w:p w14:paraId="6DFA36B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781A6FE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21A02A1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3341C3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5DD8D7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15</w:t>
                  </w:r>
                </w:p>
              </w:tc>
              <w:tc>
                <w:tcPr>
                  <w:tcW w:w="1680" w:type="pct"/>
                  <w:shd w:val="clear" w:color="auto" w:fill="auto"/>
                  <w:vAlign w:val="center"/>
                </w:tcPr>
                <w:p w14:paraId="163D6EE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烘烤箱（大）</w:t>
                  </w:r>
                </w:p>
              </w:tc>
              <w:tc>
                <w:tcPr>
                  <w:tcW w:w="1227" w:type="pct"/>
                  <w:shd w:val="clear" w:color="auto" w:fill="auto"/>
                  <w:vAlign w:val="center"/>
                </w:tcPr>
                <w:p w14:paraId="6BCD1E05">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4B89561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34D66A9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2CE61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7F81B5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16</w:t>
                  </w:r>
                </w:p>
              </w:tc>
              <w:tc>
                <w:tcPr>
                  <w:tcW w:w="1680" w:type="pct"/>
                  <w:shd w:val="clear" w:color="auto" w:fill="auto"/>
                  <w:vAlign w:val="center"/>
                </w:tcPr>
                <w:p w14:paraId="227A315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烘烤箱（小）</w:t>
                  </w:r>
                </w:p>
              </w:tc>
              <w:tc>
                <w:tcPr>
                  <w:tcW w:w="1227" w:type="pct"/>
                  <w:shd w:val="clear" w:color="auto" w:fill="auto"/>
                  <w:vAlign w:val="center"/>
                </w:tcPr>
                <w:p w14:paraId="54B1978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27A45B8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0A3D4C9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5242B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4489C3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17</w:t>
                  </w:r>
                </w:p>
              </w:tc>
              <w:tc>
                <w:tcPr>
                  <w:tcW w:w="1680" w:type="pct"/>
                  <w:shd w:val="clear" w:color="auto" w:fill="auto"/>
                  <w:vAlign w:val="center"/>
                </w:tcPr>
                <w:p w14:paraId="0B8AC5C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喷粉机（三涂）</w:t>
                  </w:r>
                </w:p>
              </w:tc>
              <w:tc>
                <w:tcPr>
                  <w:tcW w:w="1227" w:type="pct"/>
                  <w:shd w:val="clear" w:color="auto" w:fill="auto"/>
                  <w:vAlign w:val="center"/>
                </w:tcPr>
                <w:p w14:paraId="0840686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73B6010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52F51A9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4A515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69CA06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eastAsia="宋体" w:cs="Times New Roman"/>
                      <w:b w:val="0"/>
                      <w:bCs w:val="0"/>
                      <w:color w:val="auto"/>
                      <w:kern w:val="2"/>
                      <w:sz w:val="21"/>
                      <w:szCs w:val="21"/>
                      <w:lang w:val="en-US" w:eastAsia="zh-CN" w:bidi="ar-SA"/>
                    </w:rPr>
                    <w:t>18</w:t>
                  </w:r>
                </w:p>
              </w:tc>
              <w:tc>
                <w:tcPr>
                  <w:tcW w:w="1680" w:type="pct"/>
                  <w:shd w:val="clear" w:color="auto" w:fill="auto"/>
                  <w:vAlign w:val="center"/>
                </w:tcPr>
                <w:p w14:paraId="7D7ABC1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破碎机</w:t>
                  </w:r>
                </w:p>
              </w:tc>
              <w:tc>
                <w:tcPr>
                  <w:tcW w:w="1227" w:type="pct"/>
                  <w:shd w:val="clear" w:color="auto" w:fill="auto"/>
                  <w:vAlign w:val="center"/>
                </w:tcPr>
                <w:p w14:paraId="773A953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01AA33A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14A35899">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07E0A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5588FE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cs="Times New Roman"/>
                      <w:b w:val="0"/>
                      <w:bCs w:val="0"/>
                      <w:color w:val="auto"/>
                      <w:kern w:val="2"/>
                      <w:sz w:val="21"/>
                      <w:szCs w:val="21"/>
                      <w:lang w:val="en-US" w:eastAsia="zh-CN" w:bidi="ar-SA"/>
                    </w:rPr>
                    <w:t>19</w:t>
                  </w:r>
                </w:p>
              </w:tc>
              <w:tc>
                <w:tcPr>
                  <w:tcW w:w="1680" w:type="pct"/>
                  <w:shd w:val="clear" w:color="auto" w:fill="auto"/>
                  <w:vAlign w:val="center"/>
                </w:tcPr>
                <w:p w14:paraId="57C389B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冲床送料机</w:t>
                  </w:r>
                </w:p>
              </w:tc>
              <w:tc>
                <w:tcPr>
                  <w:tcW w:w="1227" w:type="pct"/>
                  <w:shd w:val="clear" w:color="auto" w:fill="auto"/>
                  <w:vAlign w:val="center"/>
                </w:tcPr>
                <w:p w14:paraId="5B82CD2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G0-300</w:t>
                  </w:r>
                </w:p>
              </w:tc>
              <w:tc>
                <w:tcPr>
                  <w:tcW w:w="748" w:type="pct"/>
                  <w:vAlign w:val="center"/>
                </w:tcPr>
                <w:p w14:paraId="3FFA83C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7FED07F6">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0E0C8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52" w:type="pct"/>
                  <w:vAlign w:val="center"/>
                </w:tcPr>
                <w:p w14:paraId="5B1D19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w:t>
                  </w:r>
                </w:p>
              </w:tc>
              <w:tc>
                <w:tcPr>
                  <w:tcW w:w="1680" w:type="pct"/>
                  <w:shd w:val="clear" w:color="auto" w:fill="auto"/>
                  <w:vAlign w:val="center"/>
                </w:tcPr>
                <w:p w14:paraId="62CE712F">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气动冲床</w:t>
                  </w:r>
                </w:p>
              </w:tc>
              <w:tc>
                <w:tcPr>
                  <w:tcW w:w="1227" w:type="pct"/>
                  <w:shd w:val="clear" w:color="auto" w:fill="auto"/>
                  <w:vAlign w:val="center"/>
                </w:tcPr>
                <w:p w14:paraId="272A91B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C1-80V</w:t>
                  </w:r>
                </w:p>
              </w:tc>
              <w:tc>
                <w:tcPr>
                  <w:tcW w:w="748" w:type="pct"/>
                  <w:vAlign w:val="center"/>
                </w:tcPr>
                <w:p w14:paraId="0385C98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783120AD">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r w14:paraId="056CB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66BF39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21</w:t>
                  </w:r>
                </w:p>
              </w:tc>
              <w:tc>
                <w:tcPr>
                  <w:tcW w:w="1680" w:type="pct"/>
                  <w:shd w:val="clear" w:color="auto" w:fill="auto"/>
                  <w:vAlign w:val="center"/>
                </w:tcPr>
                <w:p w14:paraId="4EBD78F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全功能自动烘干机</w:t>
                  </w:r>
                </w:p>
              </w:tc>
              <w:tc>
                <w:tcPr>
                  <w:tcW w:w="1227" w:type="pct"/>
                  <w:shd w:val="clear" w:color="auto" w:fill="auto"/>
                  <w:vAlign w:val="center"/>
                </w:tcPr>
                <w:p w14:paraId="5961077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vAlign w:val="center"/>
                </w:tcPr>
                <w:p w14:paraId="668D6B3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1台</w:t>
                  </w:r>
                </w:p>
              </w:tc>
              <w:tc>
                <w:tcPr>
                  <w:tcW w:w="891" w:type="pct"/>
                  <w:vAlign w:val="center"/>
                </w:tcPr>
                <w:p w14:paraId="342FC1E7">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新建</w:t>
                  </w:r>
                </w:p>
              </w:tc>
            </w:tr>
            <w:tr w14:paraId="04534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779" w:type="dxa"/>
                  <w:vAlign w:val="center"/>
                </w:tcPr>
                <w:p w14:paraId="30F8BA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22</w:t>
                  </w:r>
                </w:p>
              </w:tc>
              <w:tc>
                <w:tcPr>
                  <w:tcW w:w="1680" w:type="pct"/>
                  <w:shd w:val="clear" w:color="auto" w:fill="auto"/>
                  <w:vAlign w:val="center"/>
                </w:tcPr>
                <w:p w14:paraId="46DA4CE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冷却塔</w:t>
                  </w:r>
                </w:p>
              </w:tc>
              <w:tc>
                <w:tcPr>
                  <w:tcW w:w="1227" w:type="pct"/>
                  <w:shd w:val="clear" w:color="auto" w:fill="auto"/>
                  <w:vAlign w:val="center"/>
                </w:tcPr>
                <w:p w14:paraId="01A5AFD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eastAsia="宋体" w:cs="Times New Roman"/>
                      <w:sz w:val="21"/>
                      <w:szCs w:val="21"/>
                      <w:u w:val="none"/>
                      <w:vertAlign w:val="baseline"/>
                      <w:lang w:val="en-US" w:eastAsia="zh-CN"/>
                    </w:rPr>
                    <w:t>/</w:t>
                  </w:r>
                </w:p>
              </w:tc>
              <w:tc>
                <w:tcPr>
                  <w:tcW w:w="748" w:type="pct"/>
                  <w:shd w:val="clear" w:color="auto" w:fill="auto"/>
                  <w:vAlign w:val="center"/>
                </w:tcPr>
                <w:p w14:paraId="63AB18EB">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cs="Times New Roman"/>
                      <w:sz w:val="21"/>
                      <w:szCs w:val="21"/>
                      <w:u w:val="none"/>
                      <w:vertAlign w:val="baseline"/>
                      <w:lang w:val="en-US" w:eastAsia="zh-CN"/>
                    </w:rPr>
                    <w:t>1台</w:t>
                  </w:r>
                </w:p>
              </w:tc>
              <w:tc>
                <w:tcPr>
                  <w:tcW w:w="891" w:type="pct"/>
                  <w:shd w:val="clear" w:color="auto" w:fill="auto"/>
                  <w:vAlign w:val="center"/>
                </w:tcPr>
                <w:p w14:paraId="2E0DA3B4">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kern w:val="0"/>
                      <w:sz w:val="21"/>
                      <w:szCs w:val="21"/>
                      <w:u w:val="none"/>
                      <w:vertAlign w:val="baseline"/>
                      <w:lang w:val="en-US" w:eastAsia="zh-CN" w:bidi="ar-SA"/>
                    </w:rPr>
                  </w:pPr>
                  <w:r>
                    <w:rPr>
                      <w:rFonts w:hint="eastAsia" w:ascii="Times New Roman" w:hAnsi="Times New Roman" w:eastAsia="宋体" w:cs="Times New Roman"/>
                      <w:sz w:val="21"/>
                      <w:szCs w:val="21"/>
                      <w:u w:val="none"/>
                      <w:vertAlign w:val="baseline"/>
                      <w:lang w:val="en-US" w:eastAsia="zh-CN"/>
                    </w:rPr>
                    <w:t>新建</w:t>
                  </w:r>
                </w:p>
              </w:tc>
            </w:tr>
          </w:tbl>
          <w:p w14:paraId="7465A94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2.2.</w:t>
            </w:r>
            <w:r>
              <w:rPr>
                <w:rFonts w:hint="eastAsia" w:ascii="Times New Roman" w:hAnsi="Times New Roman" w:eastAsia="宋体" w:cs="Times New Roman"/>
                <w:b/>
                <w:bCs/>
                <w:color w:val="auto"/>
                <w:sz w:val="24"/>
                <w:szCs w:val="24"/>
                <w:u w:val="none"/>
                <w:lang w:val="en-US" w:eastAsia="zh-CN"/>
              </w:rPr>
              <w:t>6</w:t>
            </w:r>
            <w:r>
              <w:rPr>
                <w:rFonts w:hint="default" w:ascii="Times New Roman" w:hAnsi="Times New Roman" w:eastAsia="宋体" w:cs="Times New Roman"/>
                <w:b/>
                <w:bCs/>
                <w:color w:val="auto"/>
                <w:sz w:val="24"/>
                <w:szCs w:val="24"/>
                <w:u w:val="none"/>
                <w:lang w:val="en-US" w:eastAsia="zh-CN"/>
              </w:rPr>
              <w:t xml:space="preserve"> </w:t>
            </w:r>
            <w:r>
              <w:rPr>
                <w:rFonts w:hint="eastAsia" w:ascii="Times New Roman" w:hAnsi="Times New Roman" w:eastAsia="宋体" w:cs="Times New Roman"/>
                <w:b/>
                <w:bCs/>
                <w:color w:val="auto"/>
                <w:sz w:val="24"/>
                <w:szCs w:val="24"/>
                <w:u w:val="none"/>
                <w:lang w:val="en-US" w:eastAsia="zh-CN"/>
              </w:rPr>
              <w:t>项目主要原辅材料</w:t>
            </w:r>
            <w:bookmarkEnd w:id="27"/>
          </w:p>
          <w:p w14:paraId="2A3828DA">
            <w:pPr>
              <w:pStyle w:val="15"/>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项目</w:t>
            </w:r>
            <w:r>
              <w:rPr>
                <w:rFonts w:hint="eastAsia" w:ascii="Times New Roman" w:hAnsi="Times New Roman" w:cs="Times New Roman"/>
                <w:b w:val="0"/>
                <w:bCs w:val="0"/>
                <w:color w:val="auto"/>
                <w:sz w:val="24"/>
                <w:szCs w:val="24"/>
                <w:u w:val="none"/>
                <w:lang w:val="en-US" w:eastAsia="zh-CN"/>
              </w:rPr>
              <w:t>的主要原辅材料及用量情况详见表2.2-4。</w:t>
            </w:r>
          </w:p>
          <w:p w14:paraId="7AE8606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表2.2-4 主要原辅材料及用量一览表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32"/>
              <w:gridCol w:w="1029"/>
              <w:gridCol w:w="2221"/>
              <w:gridCol w:w="1290"/>
              <w:gridCol w:w="690"/>
              <w:gridCol w:w="795"/>
              <w:gridCol w:w="784"/>
            </w:tblGrid>
            <w:tr w14:paraId="368690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52F35153">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序号</w:t>
                  </w:r>
                </w:p>
              </w:tc>
              <w:tc>
                <w:tcPr>
                  <w:tcW w:w="1332" w:type="dxa"/>
                  <w:tcBorders>
                    <w:tl2br w:val="nil"/>
                    <w:tr2bl w:val="nil"/>
                  </w:tcBorders>
                  <w:noWrap w:val="0"/>
                  <w:vAlign w:val="center"/>
                </w:tcPr>
                <w:p w14:paraId="1CEDFEB5">
                  <w:pPr>
                    <w:pStyle w:val="12"/>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原辅材料名称</w:t>
                  </w:r>
                </w:p>
              </w:tc>
              <w:tc>
                <w:tcPr>
                  <w:tcW w:w="1029" w:type="dxa"/>
                  <w:tcBorders>
                    <w:tl2br w:val="nil"/>
                    <w:tr2bl w:val="nil"/>
                  </w:tcBorders>
                  <w:noWrap w:val="0"/>
                  <w:vAlign w:val="center"/>
                </w:tcPr>
                <w:p w14:paraId="287DF27E">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b w:val="0"/>
                      <w:bCs w:val="0"/>
                      <w:sz w:val="21"/>
                      <w:szCs w:val="21"/>
                      <w:lang w:val="en-US" w:eastAsia="zh-CN"/>
                    </w:rPr>
                    <w:t>原辅材料</w:t>
                  </w:r>
                  <w:r>
                    <w:rPr>
                      <w:rFonts w:hint="eastAsia" w:ascii="Times New Roman" w:hAnsi="Times New Roman" w:eastAsia="宋体" w:cs="Times New Roman"/>
                      <w:b w:val="0"/>
                      <w:bCs w:val="0"/>
                      <w:sz w:val="21"/>
                      <w:szCs w:val="21"/>
                      <w:lang w:val="en-US" w:eastAsia="zh-CN"/>
                    </w:rPr>
                    <w:t>年</w:t>
                  </w:r>
                  <w:r>
                    <w:rPr>
                      <w:rFonts w:hint="default" w:ascii="Times New Roman" w:hAnsi="Times New Roman" w:eastAsia="宋体" w:cs="Times New Roman"/>
                      <w:b w:val="0"/>
                      <w:bCs w:val="0"/>
                      <w:sz w:val="21"/>
                      <w:szCs w:val="21"/>
                      <w:lang w:val="en-US" w:eastAsia="zh-CN"/>
                    </w:rPr>
                    <w:t>用量</w:t>
                  </w:r>
                </w:p>
              </w:tc>
              <w:tc>
                <w:tcPr>
                  <w:tcW w:w="2221" w:type="dxa"/>
                  <w:tcBorders>
                    <w:tl2br w:val="nil"/>
                    <w:tr2bl w:val="nil"/>
                  </w:tcBorders>
                  <w:noWrap w:val="0"/>
                  <w:vAlign w:val="center"/>
                </w:tcPr>
                <w:p w14:paraId="2F13AAC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成分占比</w:t>
                  </w:r>
                </w:p>
              </w:tc>
              <w:tc>
                <w:tcPr>
                  <w:tcW w:w="1290" w:type="dxa"/>
                  <w:tcBorders>
                    <w:tl2br w:val="nil"/>
                    <w:tr2bl w:val="nil"/>
                  </w:tcBorders>
                  <w:noWrap w:val="0"/>
                  <w:vAlign w:val="center"/>
                </w:tcPr>
                <w:p w14:paraId="5BDB29B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最大储存量</w:t>
                  </w:r>
                </w:p>
              </w:tc>
              <w:tc>
                <w:tcPr>
                  <w:tcW w:w="690" w:type="dxa"/>
                  <w:tcBorders>
                    <w:tl2br w:val="nil"/>
                    <w:tr2bl w:val="nil"/>
                  </w:tcBorders>
                  <w:noWrap w:val="0"/>
                  <w:vAlign w:val="center"/>
                </w:tcPr>
                <w:p w14:paraId="35F0A21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物理形态</w:t>
                  </w:r>
                </w:p>
              </w:tc>
              <w:tc>
                <w:tcPr>
                  <w:tcW w:w="795" w:type="dxa"/>
                  <w:tcBorders>
                    <w:tl2br w:val="nil"/>
                    <w:tr2bl w:val="nil"/>
                  </w:tcBorders>
                  <w:noWrap w:val="0"/>
                  <w:vAlign w:val="center"/>
                </w:tcPr>
                <w:p w14:paraId="1AAC235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包装形式</w:t>
                  </w:r>
                </w:p>
              </w:tc>
              <w:tc>
                <w:tcPr>
                  <w:tcW w:w="784" w:type="dxa"/>
                  <w:tcBorders>
                    <w:tl2br w:val="nil"/>
                    <w:tr2bl w:val="nil"/>
                  </w:tcBorders>
                  <w:noWrap w:val="0"/>
                  <w:vAlign w:val="center"/>
                </w:tcPr>
                <w:p w14:paraId="3A6D4085">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储存位置</w:t>
                  </w:r>
                </w:p>
              </w:tc>
            </w:tr>
            <w:tr w14:paraId="074F7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75D8D5E3">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1</w:t>
                  </w:r>
                </w:p>
              </w:tc>
              <w:tc>
                <w:tcPr>
                  <w:tcW w:w="1332" w:type="dxa"/>
                  <w:tcBorders>
                    <w:tl2br w:val="nil"/>
                    <w:tr2bl w:val="nil"/>
                  </w:tcBorders>
                  <w:noWrap w:val="0"/>
                  <w:vAlign w:val="center"/>
                </w:tcPr>
                <w:p w14:paraId="1EC99685">
                  <w:pPr>
                    <w:pStyle w:val="12"/>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w:t>
                  </w:r>
                  <w:r>
                    <w:rPr>
                      <w:rFonts w:hint="eastAsia" w:ascii="Times New Roman" w:hAnsi="Times New Roman" w:cs="Times New Roman"/>
                      <w:b w:val="0"/>
                      <w:bCs w:val="0"/>
                      <w:color w:val="auto"/>
                      <w:sz w:val="21"/>
                      <w:szCs w:val="21"/>
                      <w:lang w:val="en-US" w:eastAsia="zh-CN"/>
                    </w:rPr>
                    <w:t>A</w:t>
                  </w: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p>
              </w:tc>
              <w:tc>
                <w:tcPr>
                  <w:tcW w:w="1029" w:type="dxa"/>
                  <w:tcBorders>
                    <w:tl2br w:val="nil"/>
                    <w:tr2bl w:val="nil"/>
                  </w:tcBorders>
                  <w:noWrap w:val="0"/>
                  <w:vAlign w:val="center"/>
                </w:tcPr>
                <w:p w14:paraId="2974EFD9">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15</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4DF311B6">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聚己内酰胺树脂≥95%</w:t>
                  </w:r>
                </w:p>
              </w:tc>
              <w:tc>
                <w:tcPr>
                  <w:tcW w:w="1290" w:type="dxa"/>
                  <w:tcBorders>
                    <w:tl2br w:val="nil"/>
                    <w:tr2bl w:val="nil"/>
                  </w:tcBorders>
                  <w:noWrap w:val="0"/>
                  <w:vAlign w:val="center"/>
                </w:tcPr>
                <w:p w14:paraId="4C6D45F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54DDB56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795" w:type="dxa"/>
                  <w:tcBorders>
                    <w:tl2br w:val="nil"/>
                    <w:tr2bl w:val="nil"/>
                  </w:tcBorders>
                  <w:noWrap w:val="0"/>
                  <w:vAlign w:val="center"/>
                </w:tcPr>
                <w:p w14:paraId="0D473F63">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62EEC391">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2A869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0D236A9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2</w:t>
                  </w:r>
                </w:p>
              </w:tc>
              <w:tc>
                <w:tcPr>
                  <w:tcW w:w="1332" w:type="dxa"/>
                  <w:tcBorders>
                    <w:tl2br w:val="nil"/>
                    <w:tr2bl w:val="nil"/>
                  </w:tcBorders>
                  <w:noWrap w:val="0"/>
                  <w:vAlign w:val="center"/>
                </w:tcPr>
                <w:p w14:paraId="5E81A9A9">
                  <w:pPr>
                    <w:pStyle w:val="12"/>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P</w:t>
                  </w:r>
                  <w:r>
                    <w:rPr>
                      <w:rFonts w:hint="eastAsia" w:ascii="Times New Roman" w:hAnsi="Times New Roman" w:cs="Times New Roman"/>
                      <w:b w:val="0"/>
                      <w:bCs w:val="0"/>
                      <w:color w:val="auto"/>
                      <w:sz w:val="21"/>
                      <w:szCs w:val="21"/>
                      <w:lang w:val="en-US" w:eastAsia="zh-CN"/>
                    </w:rPr>
                    <w:t>C</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FR2030</w:t>
                  </w: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p>
              </w:tc>
              <w:tc>
                <w:tcPr>
                  <w:tcW w:w="1029" w:type="dxa"/>
                  <w:tcBorders>
                    <w:tl2br w:val="nil"/>
                    <w:tr2bl w:val="nil"/>
                  </w:tcBorders>
                  <w:noWrap w:val="0"/>
                  <w:vAlign w:val="center"/>
                </w:tcPr>
                <w:p w14:paraId="5AC7021E">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364F111B">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14:paraId="73B9CFE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聚碳酸酯树脂≥95%</w:t>
                  </w:r>
                </w:p>
                <w:p w14:paraId="0400062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90" w:type="dxa"/>
                  <w:tcBorders>
                    <w:tl2br w:val="nil"/>
                    <w:tr2bl w:val="nil"/>
                  </w:tcBorders>
                  <w:noWrap w:val="0"/>
                  <w:vAlign w:val="center"/>
                </w:tcPr>
                <w:p w14:paraId="38B2D7F7">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79835859">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795" w:type="dxa"/>
                  <w:tcBorders>
                    <w:tl2br w:val="nil"/>
                    <w:tr2bl w:val="nil"/>
                  </w:tcBorders>
                  <w:noWrap w:val="0"/>
                  <w:vAlign w:val="center"/>
                </w:tcPr>
                <w:p w14:paraId="13383A66">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725E71F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04A6D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667B58BA">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3</w:t>
                  </w:r>
                </w:p>
              </w:tc>
              <w:tc>
                <w:tcPr>
                  <w:tcW w:w="1332" w:type="dxa"/>
                  <w:tcBorders>
                    <w:tl2br w:val="nil"/>
                    <w:tr2bl w:val="nil"/>
                  </w:tcBorders>
                  <w:noWrap w:val="0"/>
                  <w:vAlign w:val="center"/>
                </w:tcPr>
                <w:p w14:paraId="3B893378">
                  <w:pPr>
                    <w:pStyle w:val="12"/>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TPU</w:t>
                  </w:r>
                  <w:r>
                    <w:rPr>
                      <w:rFonts w:hint="default" w:ascii="Times New Roman" w:hAnsi="Times New Roman" w:eastAsia="宋体" w:cs="Times New Roman"/>
                      <w:b w:val="0"/>
                      <w:bCs w:val="0"/>
                      <w:color w:val="auto"/>
                      <w:sz w:val="21"/>
                      <w:szCs w:val="21"/>
                      <w:lang w:val="en-US" w:eastAsia="zh-CN"/>
                    </w:rPr>
                    <w:t>塑料</w:t>
                  </w:r>
                  <w:r>
                    <w:rPr>
                      <w:rFonts w:hint="eastAsia" w:ascii="Times New Roman" w:hAnsi="Times New Roman" w:cs="Times New Roman"/>
                      <w:b w:val="0"/>
                      <w:bCs w:val="0"/>
                      <w:color w:val="auto"/>
                      <w:sz w:val="21"/>
                      <w:szCs w:val="21"/>
                      <w:lang w:val="en-US" w:eastAsia="zh-CN"/>
                    </w:rPr>
                    <w:t>颗粒</w:t>
                  </w:r>
                </w:p>
              </w:tc>
              <w:tc>
                <w:tcPr>
                  <w:tcW w:w="1029" w:type="dxa"/>
                  <w:tcBorders>
                    <w:tl2br w:val="nil"/>
                    <w:tr2bl w:val="nil"/>
                  </w:tcBorders>
                  <w:noWrap w:val="0"/>
                  <w:vAlign w:val="center"/>
                </w:tcPr>
                <w:p w14:paraId="25229AF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7CAC5BF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p w14:paraId="6FD636EB">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热塑性聚氨酯弹性体≥95%</w:t>
                  </w:r>
                </w:p>
                <w:p w14:paraId="21DB4265">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p>
              </w:tc>
              <w:tc>
                <w:tcPr>
                  <w:tcW w:w="1290" w:type="dxa"/>
                  <w:tcBorders>
                    <w:tl2br w:val="nil"/>
                    <w:tr2bl w:val="nil"/>
                  </w:tcBorders>
                  <w:noWrap w:val="0"/>
                  <w:vAlign w:val="center"/>
                </w:tcPr>
                <w:p w14:paraId="43689C66">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2DDE0D4E">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795" w:type="dxa"/>
                  <w:tcBorders>
                    <w:tl2br w:val="nil"/>
                    <w:tr2bl w:val="nil"/>
                  </w:tcBorders>
                  <w:noWrap w:val="0"/>
                  <w:vAlign w:val="center"/>
                </w:tcPr>
                <w:p w14:paraId="65ED06D2">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64E21E6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7032C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385624CE">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4</w:t>
                  </w:r>
                </w:p>
              </w:tc>
              <w:tc>
                <w:tcPr>
                  <w:tcW w:w="1332" w:type="dxa"/>
                  <w:tcBorders>
                    <w:tl2br w:val="nil"/>
                    <w:tr2bl w:val="nil"/>
                  </w:tcBorders>
                  <w:noWrap w:val="0"/>
                  <w:vAlign w:val="center"/>
                </w:tcPr>
                <w:p w14:paraId="355811DB">
                  <w:pPr>
                    <w:pStyle w:val="12"/>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2"/>
                      <w:sz w:val="21"/>
                      <w:szCs w:val="21"/>
                      <w:highlight w:val="none"/>
                      <w:lang w:val="en-US" w:eastAsia="zh-CN" w:bidi="ar-SA"/>
                    </w:rPr>
                    <w:t>塑粉（涂装）</w:t>
                  </w:r>
                </w:p>
              </w:tc>
              <w:tc>
                <w:tcPr>
                  <w:tcW w:w="1029" w:type="dxa"/>
                  <w:tcBorders>
                    <w:tl2br w:val="nil"/>
                    <w:tr2bl w:val="nil"/>
                  </w:tcBorders>
                  <w:noWrap w:val="0"/>
                  <w:vAlign w:val="center"/>
                </w:tcPr>
                <w:p w14:paraId="2DA56CE1">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1.5</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5EB3E907">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（热固性）</w:t>
                  </w:r>
                  <w:r>
                    <w:rPr>
                      <w:rFonts w:hint="default" w:ascii="Times New Roman" w:hAnsi="Times New Roman" w:eastAsia="宋体" w:cs="Times New Roman"/>
                      <w:b w:val="0"/>
                      <w:bCs w:val="0"/>
                      <w:color w:val="auto"/>
                      <w:sz w:val="21"/>
                      <w:szCs w:val="21"/>
                      <w:lang w:val="en-US" w:eastAsia="zh-CN"/>
                    </w:rPr>
                    <w:t>聚酯树脂</w:t>
                  </w:r>
                  <w:r>
                    <w:rPr>
                      <w:rFonts w:hint="eastAsia" w:ascii="Times New Roman" w:hAnsi="Times New Roman" w:eastAsia="宋体" w:cs="Times New Roman"/>
                      <w:b w:val="0"/>
                      <w:bCs w:val="0"/>
                      <w:color w:val="auto"/>
                      <w:sz w:val="21"/>
                      <w:szCs w:val="21"/>
                      <w:lang w:val="en-US" w:eastAsia="zh-CN"/>
                    </w:rPr>
                    <w:t>、消光固化物等</w:t>
                  </w:r>
                </w:p>
              </w:tc>
              <w:tc>
                <w:tcPr>
                  <w:tcW w:w="1290" w:type="dxa"/>
                  <w:tcBorders>
                    <w:tl2br w:val="nil"/>
                    <w:tr2bl w:val="nil"/>
                  </w:tcBorders>
                  <w:noWrap w:val="0"/>
                  <w:vAlign w:val="center"/>
                </w:tcPr>
                <w:p w14:paraId="0BC353A3">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59807BD7">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795" w:type="dxa"/>
                  <w:tcBorders>
                    <w:tl2br w:val="nil"/>
                    <w:tr2bl w:val="nil"/>
                  </w:tcBorders>
                  <w:noWrap w:val="0"/>
                  <w:vAlign w:val="center"/>
                </w:tcPr>
                <w:p w14:paraId="62271E57">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298C76A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3FC075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145CBB61">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5</w:t>
                  </w:r>
                </w:p>
              </w:tc>
              <w:tc>
                <w:tcPr>
                  <w:tcW w:w="1332" w:type="dxa"/>
                  <w:tcBorders>
                    <w:tl2br w:val="nil"/>
                    <w:tr2bl w:val="nil"/>
                  </w:tcBorders>
                  <w:noWrap w:val="0"/>
                  <w:vAlign w:val="center"/>
                </w:tcPr>
                <w:p w14:paraId="3892951F">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2"/>
                      <w:sz w:val="21"/>
                      <w:szCs w:val="21"/>
                      <w:highlight w:val="none"/>
                      <w:lang w:val="en-US" w:eastAsia="zh-CN" w:bidi="ar-SA"/>
                    </w:rPr>
                    <w:t>铸铝除油剂</w:t>
                  </w:r>
                </w:p>
              </w:tc>
              <w:tc>
                <w:tcPr>
                  <w:tcW w:w="1029" w:type="dxa"/>
                  <w:tcBorders>
                    <w:tl2br w:val="nil"/>
                    <w:tr2bl w:val="nil"/>
                  </w:tcBorders>
                  <w:noWrap w:val="0"/>
                  <w:vAlign w:val="center"/>
                </w:tcPr>
                <w:p w14:paraId="2512749C">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0.3</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6EC53E08">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10%碳酸钠；5%硅酸钠；10%葡萄糖酸钠；25%AES；50%水</w:t>
                  </w:r>
                </w:p>
              </w:tc>
              <w:tc>
                <w:tcPr>
                  <w:tcW w:w="1290" w:type="dxa"/>
                  <w:tcBorders>
                    <w:tl2br w:val="nil"/>
                    <w:tr2bl w:val="nil"/>
                  </w:tcBorders>
                  <w:noWrap w:val="0"/>
                  <w:vAlign w:val="center"/>
                </w:tcPr>
                <w:p w14:paraId="74DF8435">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0.05</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2606CA64">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固体</w:t>
                  </w:r>
                </w:p>
              </w:tc>
              <w:tc>
                <w:tcPr>
                  <w:tcW w:w="795" w:type="dxa"/>
                  <w:tcBorders>
                    <w:tl2br w:val="nil"/>
                    <w:tr2bl w:val="nil"/>
                  </w:tcBorders>
                  <w:noWrap w:val="0"/>
                  <w:vAlign w:val="center"/>
                </w:tcPr>
                <w:p w14:paraId="20D247CA">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0512553F">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710DC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4B0C37F2">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6</w:t>
                  </w:r>
                </w:p>
              </w:tc>
              <w:tc>
                <w:tcPr>
                  <w:tcW w:w="1332" w:type="dxa"/>
                  <w:tcBorders>
                    <w:tl2br w:val="nil"/>
                    <w:tr2bl w:val="nil"/>
                  </w:tcBorders>
                  <w:noWrap w:val="0"/>
                  <w:vAlign w:val="center"/>
                </w:tcPr>
                <w:p w14:paraId="5CF8B8FB">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color w:val="auto"/>
                      <w:kern w:val="2"/>
                      <w:sz w:val="21"/>
                      <w:szCs w:val="21"/>
                      <w:highlight w:val="none"/>
                      <w:lang w:val="en-US" w:eastAsia="zh-CN" w:bidi="ar-SA"/>
                    </w:rPr>
                    <w:t>硅烷处理剂（钝化液）</w:t>
                  </w:r>
                </w:p>
              </w:tc>
              <w:tc>
                <w:tcPr>
                  <w:tcW w:w="1029" w:type="dxa"/>
                  <w:tcBorders>
                    <w:tl2br w:val="nil"/>
                    <w:tr2bl w:val="nil"/>
                  </w:tcBorders>
                  <w:noWrap w:val="0"/>
                  <w:vAlign w:val="center"/>
                </w:tcPr>
                <w:p w14:paraId="68E14C1C">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0.17</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2FD6D4B5">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0.5%柠檬酸；1%乙二醇；30%水性聚氨酯树脂；68.5%水</w:t>
                  </w:r>
                </w:p>
              </w:tc>
              <w:tc>
                <w:tcPr>
                  <w:tcW w:w="1290" w:type="dxa"/>
                  <w:tcBorders>
                    <w:tl2br w:val="nil"/>
                    <w:tr2bl w:val="nil"/>
                  </w:tcBorders>
                  <w:noWrap w:val="0"/>
                  <w:vAlign w:val="center"/>
                </w:tcPr>
                <w:p w14:paraId="4001A2FA">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63730CDD">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025333EB">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784" w:type="dxa"/>
                  <w:tcBorders>
                    <w:tl2br w:val="nil"/>
                    <w:tr2bl w:val="nil"/>
                  </w:tcBorders>
                  <w:noWrap w:val="0"/>
                  <w:vAlign w:val="center"/>
                </w:tcPr>
                <w:p w14:paraId="0F21F4E4">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1032C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noWrap w:val="0"/>
                  <w:vAlign w:val="center"/>
                </w:tcPr>
                <w:p w14:paraId="6565E8D8">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sz w:val="21"/>
                      <w:szCs w:val="21"/>
                      <w:u w:val="none"/>
                      <w:vertAlign w:val="baseline"/>
                      <w:lang w:val="en-US" w:eastAsia="zh-CN"/>
                    </w:rPr>
                    <w:t>7</w:t>
                  </w:r>
                </w:p>
              </w:tc>
              <w:tc>
                <w:tcPr>
                  <w:tcW w:w="1332" w:type="dxa"/>
                  <w:tcBorders>
                    <w:tl2br w:val="nil"/>
                    <w:tr2bl w:val="nil"/>
                  </w:tcBorders>
                  <w:noWrap w:val="0"/>
                  <w:vAlign w:val="center"/>
                </w:tcPr>
                <w:p w14:paraId="7431FF0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机油</w:t>
                  </w:r>
                </w:p>
              </w:tc>
              <w:tc>
                <w:tcPr>
                  <w:tcW w:w="1029" w:type="dxa"/>
                  <w:tcBorders>
                    <w:tl2br w:val="nil"/>
                    <w:tr2bl w:val="nil"/>
                  </w:tcBorders>
                  <w:noWrap w:val="0"/>
                  <w:vAlign w:val="center"/>
                </w:tcPr>
                <w:p w14:paraId="3C34020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0.25</w:t>
                  </w:r>
                  <w:r>
                    <w:rPr>
                      <w:rFonts w:hint="eastAsia" w:ascii="Times New Roman" w:hAnsi="Times New Roman" w:eastAsia="宋体" w:cs="Times New Roman"/>
                      <w:b w:val="0"/>
                      <w:bCs w:val="0"/>
                      <w:sz w:val="21"/>
                      <w:szCs w:val="21"/>
                      <w:lang w:val="en-US" w:eastAsia="zh-CN"/>
                    </w:rPr>
                    <w:t>t/a</w:t>
                  </w:r>
                </w:p>
              </w:tc>
              <w:tc>
                <w:tcPr>
                  <w:tcW w:w="2221" w:type="dxa"/>
                  <w:tcBorders>
                    <w:tl2br w:val="nil"/>
                    <w:tr2bl w:val="nil"/>
                  </w:tcBorders>
                  <w:noWrap w:val="0"/>
                  <w:vAlign w:val="center"/>
                </w:tcPr>
                <w:p w14:paraId="28A47F7E">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90" w:type="dxa"/>
                  <w:tcBorders>
                    <w:tl2br w:val="nil"/>
                    <w:tr2bl w:val="nil"/>
                  </w:tcBorders>
                  <w:noWrap w:val="0"/>
                  <w:vAlign w:val="center"/>
                </w:tcPr>
                <w:p w14:paraId="4A8186A4">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653DF7F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液体</w:t>
                  </w:r>
                </w:p>
              </w:tc>
              <w:tc>
                <w:tcPr>
                  <w:tcW w:w="795" w:type="dxa"/>
                  <w:tcBorders>
                    <w:tl2br w:val="nil"/>
                    <w:tr2bl w:val="nil"/>
                  </w:tcBorders>
                  <w:noWrap w:val="0"/>
                  <w:vAlign w:val="center"/>
                </w:tcPr>
                <w:p w14:paraId="2FCCDB8B">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784" w:type="dxa"/>
                  <w:tcBorders>
                    <w:tl2br w:val="nil"/>
                    <w:tr2bl w:val="nil"/>
                  </w:tcBorders>
                  <w:noWrap w:val="0"/>
                  <w:vAlign w:val="center"/>
                </w:tcPr>
                <w:p w14:paraId="4800248E">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化学品仓库</w:t>
                  </w:r>
                </w:p>
              </w:tc>
            </w:tr>
            <w:tr w14:paraId="5CB59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shd w:val="clear" w:color="auto" w:fill="auto"/>
                  <w:noWrap w:val="0"/>
                  <w:vAlign w:val="center"/>
                </w:tcPr>
                <w:p w14:paraId="1FF4C000">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sz w:val="21"/>
                      <w:szCs w:val="21"/>
                      <w:u w:val="none"/>
                      <w:vertAlign w:val="baseline"/>
                      <w:lang w:val="en-US" w:eastAsia="zh-CN"/>
                    </w:rPr>
                    <w:t>8</w:t>
                  </w:r>
                </w:p>
              </w:tc>
              <w:tc>
                <w:tcPr>
                  <w:tcW w:w="1332" w:type="dxa"/>
                  <w:tcBorders>
                    <w:tl2br w:val="nil"/>
                    <w:tr2bl w:val="nil"/>
                  </w:tcBorders>
                  <w:noWrap w:val="0"/>
                  <w:vAlign w:val="center"/>
                </w:tcPr>
                <w:p w14:paraId="336403ED">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色粉</w:t>
                  </w:r>
                </w:p>
              </w:tc>
              <w:tc>
                <w:tcPr>
                  <w:tcW w:w="1029" w:type="dxa"/>
                  <w:tcBorders>
                    <w:tl2br w:val="nil"/>
                    <w:tr2bl w:val="nil"/>
                  </w:tcBorders>
                  <w:noWrap w:val="0"/>
                  <w:vAlign w:val="center"/>
                </w:tcPr>
                <w:p w14:paraId="4E575A87">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20kg/a</w:t>
                  </w:r>
                </w:p>
              </w:tc>
              <w:tc>
                <w:tcPr>
                  <w:tcW w:w="2221" w:type="dxa"/>
                  <w:tcBorders>
                    <w:tl2br w:val="nil"/>
                    <w:tr2bl w:val="nil"/>
                  </w:tcBorders>
                  <w:noWrap w:val="0"/>
                  <w:vAlign w:val="center"/>
                </w:tcPr>
                <w:p w14:paraId="4065A37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20%～70%</w:t>
                  </w:r>
                  <w:r>
                    <w:rPr>
                      <w:rFonts w:hint="eastAsia" w:ascii="Times New Roman" w:hAnsi="Times New Roman" w:cs="Times New Roman"/>
                      <w:b w:val="0"/>
                      <w:bCs w:val="0"/>
                      <w:color w:val="auto"/>
                      <w:sz w:val="21"/>
                      <w:szCs w:val="21"/>
                      <w:lang w:val="en-US" w:eastAsia="zh-CN"/>
                    </w:rPr>
                    <w:t>二氧化钛；</w:t>
                  </w:r>
                  <w:r>
                    <w:rPr>
                      <w:rFonts w:hint="eastAsia" w:cs="Times New Roman"/>
                      <w:b w:val="0"/>
                      <w:bCs w:val="0"/>
                      <w:color w:val="auto"/>
                      <w:sz w:val="21"/>
                      <w:szCs w:val="21"/>
                      <w:lang w:val="en-US" w:eastAsia="zh-CN"/>
                    </w:rPr>
                    <w:t>5%～10%</w:t>
                  </w:r>
                  <w:r>
                    <w:rPr>
                      <w:rFonts w:hint="eastAsia" w:ascii="Times New Roman" w:hAnsi="Times New Roman" w:cs="Times New Roman"/>
                      <w:b w:val="0"/>
                      <w:bCs w:val="0"/>
                      <w:color w:val="auto"/>
                      <w:sz w:val="21"/>
                      <w:szCs w:val="21"/>
                      <w:lang w:val="en-US" w:eastAsia="zh-CN"/>
                    </w:rPr>
                    <w:t>聚乙烯蜡；</w:t>
                  </w:r>
                  <w:r>
                    <w:rPr>
                      <w:rFonts w:hint="eastAsia" w:cs="Times New Roman"/>
                      <w:b w:val="0"/>
                      <w:bCs w:val="0"/>
                      <w:color w:val="auto"/>
                      <w:sz w:val="21"/>
                      <w:szCs w:val="21"/>
                      <w:lang w:val="en-US" w:eastAsia="zh-CN"/>
                    </w:rPr>
                    <w:t>20%～80%</w:t>
                  </w:r>
                  <w:r>
                    <w:rPr>
                      <w:rFonts w:hint="eastAsia" w:ascii="Times New Roman" w:hAnsi="Times New Roman" w:cs="Times New Roman"/>
                      <w:b w:val="0"/>
                      <w:bCs w:val="0"/>
                      <w:color w:val="auto"/>
                      <w:sz w:val="21"/>
                      <w:szCs w:val="21"/>
                      <w:lang w:val="en-US" w:eastAsia="zh-CN"/>
                    </w:rPr>
                    <w:t>聚乙烯；</w:t>
                  </w:r>
                </w:p>
              </w:tc>
              <w:tc>
                <w:tcPr>
                  <w:tcW w:w="1290" w:type="dxa"/>
                  <w:tcBorders>
                    <w:tl2br w:val="nil"/>
                    <w:tr2bl w:val="nil"/>
                  </w:tcBorders>
                  <w:noWrap w:val="0"/>
                  <w:vAlign w:val="center"/>
                </w:tcPr>
                <w:p w14:paraId="09ADBD4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0.005</w:t>
                  </w:r>
                  <w:r>
                    <w:rPr>
                      <w:rFonts w:hint="eastAsia" w:ascii="Times New Roman" w:hAnsi="Times New Roman" w:eastAsia="宋体" w:cs="Times New Roman"/>
                      <w:b w:val="0"/>
                      <w:bCs w:val="0"/>
                      <w:sz w:val="21"/>
                      <w:szCs w:val="21"/>
                      <w:lang w:val="en-US" w:eastAsia="zh-CN"/>
                    </w:rPr>
                    <w:t>t</w:t>
                  </w:r>
                </w:p>
              </w:tc>
              <w:tc>
                <w:tcPr>
                  <w:tcW w:w="690" w:type="dxa"/>
                  <w:tcBorders>
                    <w:tl2br w:val="nil"/>
                    <w:tr2bl w:val="nil"/>
                  </w:tcBorders>
                  <w:noWrap w:val="0"/>
                  <w:vAlign w:val="center"/>
                </w:tcPr>
                <w:p w14:paraId="79387145">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018B44F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桶装</w:t>
                  </w:r>
                </w:p>
              </w:tc>
              <w:tc>
                <w:tcPr>
                  <w:tcW w:w="784" w:type="dxa"/>
                  <w:tcBorders>
                    <w:tl2br w:val="nil"/>
                    <w:tr2bl w:val="nil"/>
                  </w:tcBorders>
                  <w:noWrap w:val="0"/>
                  <w:vAlign w:val="center"/>
                </w:tcPr>
                <w:p w14:paraId="0E090FD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1C4E3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shd w:val="clear" w:color="auto" w:fill="auto"/>
                  <w:noWrap w:val="0"/>
                  <w:vAlign w:val="center"/>
                </w:tcPr>
                <w:p w14:paraId="0758A7CC">
                  <w:pPr>
                    <w:pStyle w:val="15"/>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sz w:val="21"/>
                      <w:szCs w:val="21"/>
                      <w:u w:val="none"/>
                      <w:vertAlign w:val="baseline"/>
                      <w:lang w:val="en-US" w:eastAsia="zh-CN"/>
                    </w:rPr>
                    <w:t>9</w:t>
                  </w:r>
                </w:p>
              </w:tc>
              <w:tc>
                <w:tcPr>
                  <w:tcW w:w="1332" w:type="dxa"/>
                  <w:tcBorders>
                    <w:tl2br w:val="nil"/>
                    <w:tr2bl w:val="nil"/>
                  </w:tcBorders>
                  <w:noWrap w:val="0"/>
                  <w:vAlign w:val="center"/>
                </w:tcPr>
                <w:p w14:paraId="780260C7">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ADC12铝合金壳体</w:t>
                  </w:r>
                </w:p>
              </w:tc>
              <w:tc>
                <w:tcPr>
                  <w:tcW w:w="1029" w:type="dxa"/>
                  <w:tcBorders>
                    <w:tl2br w:val="nil"/>
                    <w:tr2bl w:val="nil"/>
                  </w:tcBorders>
                  <w:noWrap w:val="0"/>
                  <w:vAlign w:val="center"/>
                </w:tcPr>
                <w:p w14:paraId="02987A9E">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300万个（1个工业连接器使用1个壳体）</w:t>
                  </w:r>
                </w:p>
              </w:tc>
              <w:tc>
                <w:tcPr>
                  <w:tcW w:w="2221" w:type="dxa"/>
                  <w:tcBorders>
                    <w:tl2br w:val="nil"/>
                    <w:tr2bl w:val="nil"/>
                  </w:tcBorders>
                  <w:noWrap w:val="0"/>
                  <w:vAlign w:val="center"/>
                </w:tcPr>
                <w:p w14:paraId="49522BF4">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90" w:type="dxa"/>
                  <w:tcBorders>
                    <w:tl2br w:val="nil"/>
                    <w:tr2bl w:val="nil"/>
                  </w:tcBorders>
                  <w:noWrap w:val="0"/>
                  <w:vAlign w:val="center"/>
                </w:tcPr>
                <w:p w14:paraId="7387D71C">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50万个</w:t>
                  </w:r>
                </w:p>
              </w:tc>
              <w:tc>
                <w:tcPr>
                  <w:tcW w:w="690" w:type="dxa"/>
                  <w:tcBorders>
                    <w:tl2br w:val="nil"/>
                    <w:tr2bl w:val="nil"/>
                  </w:tcBorders>
                  <w:noWrap w:val="0"/>
                  <w:vAlign w:val="center"/>
                </w:tcPr>
                <w:p w14:paraId="603DCEDD">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314BC65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547C281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41996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shd w:val="clear" w:color="auto" w:fill="auto"/>
                  <w:noWrap w:val="0"/>
                  <w:vAlign w:val="center"/>
                </w:tcPr>
                <w:p w14:paraId="04671A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pacing w:val="-8"/>
                      <w:sz w:val="21"/>
                      <w:szCs w:val="21"/>
                      <w:lang w:val="en-US" w:eastAsia="zh-CN"/>
                    </w:rPr>
                    <w:t>10</w:t>
                  </w:r>
                </w:p>
              </w:tc>
              <w:tc>
                <w:tcPr>
                  <w:tcW w:w="1332" w:type="dxa"/>
                  <w:tcBorders>
                    <w:tl2br w:val="nil"/>
                    <w:tr2bl w:val="nil"/>
                  </w:tcBorders>
                  <w:noWrap w:val="0"/>
                  <w:vAlign w:val="center"/>
                </w:tcPr>
                <w:p w14:paraId="45C47777">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铆钉</w:t>
                  </w:r>
                </w:p>
              </w:tc>
              <w:tc>
                <w:tcPr>
                  <w:tcW w:w="1029" w:type="dxa"/>
                  <w:tcBorders>
                    <w:tl2br w:val="nil"/>
                    <w:tr2bl w:val="nil"/>
                  </w:tcBorders>
                  <w:noWrap w:val="0"/>
                  <w:vAlign w:val="center"/>
                </w:tcPr>
                <w:p w14:paraId="1B6DD4CB">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1200万个（1个工业连接器使用4个铆钉）</w:t>
                  </w:r>
                </w:p>
              </w:tc>
              <w:tc>
                <w:tcPr>
                  <w:tcW w:w="2221" w:type="dxa"/>
                  <w:tcBorders>
                    <w:tl2br w:val="nil"/>
                    <w:tr2bl w:val="nil"/>
                  </w:tcBorders>
                  <w:noWrap w:val="0"/>
                  <w:vAlign w:val="center"/>
                </w:tcPr>
                <w:p w14:paraId="7CC9E08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90" w:type="dxa"/>
                  <w:tcBorders>
                    <w:tl2br w:val="nil"/>
                    <w:tr2bl w:val="nil"/>
                  </w:tcBorders>
                  <w:noWrap w:val="0"/>
                  <w:vAlign w:val="center"/>
                </w:tcPr>
                <w:p w14:paraId="1EF21AF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200万个</w:t>
                  </w:r>
                </w:p>
              </w:tc>
              <w:tc>
                <w:tcPr>
                  <w:tcW w:w="690" w:type="dxa"/>
                  <w:tcBorders>
                    <w:tl2br w:val="nil"/>
                    <w:tr2bl w:val="nil"/>
                  </w:tcBorders>
                  <w:noWrap w:val="0"/>
                  <w:vAlign w:val="center"/>
                </w:tcPr>
                <w:p w14:paraId="44B309F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7D16705B">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7559100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37B7E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shd w:val="clear" w:color="auto" w:fill="auto"/>
                  <w:noWrap w:val="0"/>
                  <w:vAlign w:val="center"/>
                </w:tcPr>
                <w:p w14:paraId="43FB7E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11</w:t>
                  </w:r>
                </w:p>
              </w:tc>
              <w:tc>
                <w:tcPr>
                  <w:tcW w:w="1332" w:type="dxa"/>
                  <w:tcBorders>
                    <w:tl2br w:val="nil"/>
                    <w:tr2bl w:val="nil"/>
                  </w:tcBorders>
                  <w:noWrap w:val="0"/>
                  <w:vAlign w:val="center"/>
                </w:tcPr>
                <w:p w14:paraId="6F79222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端子</w:t>
                  </w:r>
                </w:p>
              </w:tc>
              <w:tc>
                <w:tcPr>
                  <w:tcW w:w="1029" w:type="dxa"/>
                  <w:tcBorders>
                    <w:tl2br w:val="nil"/>
                    <w:tr2bl w:val="nil"/>
                  </w:tcBorders>
                  <w:noWrap w:val="0"/>
                  <w:vAlign w:val="center"/>
                </w:tcPr>
                <w:p w14:paraId="698D3C1E">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200万个</w:t>
                  </w:r>
                  <w:r>
                    <w:rPr>
                      <w:rFonts w:hint="eastAsia"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一个线束对应的是1个端子</w:t>
                  </w:r>
                  <w:r>
                    <w:rPr>
                      <w:rFonts w:hint="eastAsia" w:cs="Times New Roman"/>
                      <w:b w:val="0"/>
                      <w:bCs w:val="0"/>
                      <w:color w:val="auto"/>
                      <w:sz w:val="21"/>
                      <w:szCs w:val="21"/>
                      <w:lang w:val="en-US" w:eastAsia="zh-CN"/>
                    </w:rPr>
                    <w:t>）</w:t>
                  </w:r>
                </w:p>
              </w:tc>
              <w:tc>
                <w:tcPr>
                  <w:tcW w:w="2221" w:type="dxa"/>
                  <w:tcBorders>
                    <w:tl2br w:val="nil"/>
                    <w:tr2bl w:val="nil"/>
                  </w:tcBorders>
                  <w:noWrap w:val="0"/>
                  <w:vAlign w:val="center"/>
                </w:tcPr>
                <w:p w14:paraId="0CA7CE7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90" w:type="dxa"/>
                  <w:tcBorders>
                    <w:tl2br w:val="nil"/>
                    <w:tr2bl w:val="nil"/>
                  </w:tcBorders>
                  <w:noWrap w:val="0"/>
                  <w:vAlign w:val="center"/>
                </w:tcPr>
                <w:p w14:paraId="68450261">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50万个</w:t>
                  </w:r>
                </w:p>
              </w:tc>
              <w:tc>
                <w:tcPr>
                  <w:tcW w:w="690" w:type="dxa"/>
                  <w:tcBorders>
                    <w:tl2br w:val="nil"/>
                    <w:tr2bl w:val="nil"/>
                  </w:tcBorders>
                  <w:noWrap w:val="0"/>
                  <w:vAlign w:val="center"/>
                </w:tcPr>
                <w:p w14:paraId="12B8BF05">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2604DF63">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袋装</w:t>
                  </w:r>
                </w:p>
              </w:tc>
              <w:tc>
                <w:tcPr>
                  <w:tcW w:w="784" w:type="dxa"/>
                  <w:tcBorders>
                    <w:tl2br w:val="nil"/>
                    <w:tr2bl w:val="nil"/>
                  </w:tcBorders>
                  <w:noWrap w:val="0"/>
                  <w:vAlign w:val="center"/>
                </w:tcPr>
                <w:p w14:paraId="0A77A65B">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1FDF2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dxa"/>
                  <w:tcBorders>
                    <w:tl2br w:val="nil"/>
                    <w:tr2bl w:val="nil"/>
                  </w:tcBorders>
                  <w:shd w:val="clear" w:color="auto" w:fill="auto"/>
                  <w:noWrap w:val="0"/>
                  <w:vAlign w:val="center"/>
                </w:tcPr>
                <w:p w14:paraId="4271BB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12</w:t>
                  </w:r>
                </w:p>
              </w:tc>
              <w:tc>
                <w:tcPr>
                  <w:tcW w:w="1332" w:type="dxa"/>
                  <w:tcBorders>
                    <w:tl2br w:val="nil"/>
                    <w:tr2bl w:val="nil"/>
                  </w:tcBorders>
                  <w:noWrap w:val="0"/>
                  <w:vAlign w:val="center"/>
                </w:tcPr>
                <w:p w14:paraId="7E71C51C">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线束</w:t>
                  </w:r>
                </w:p>
              </w:tc>
              <w:tc>
                <w:tcPr>
                  <w:tcW w:w="1029" w:type="dxa"/>
                  <w:tcBorders>
                    <w:tl2br w:val="nil"/>
                    <w:tr2bl w:val="nil"/>
                  </w:tcBorders>
                  <w:noWrap w:val="0"/>
                  <w:vAlign w:val="center"/>
                </w:tcPr>
                <w:p w14:paraId="06A53AD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500万～1000万</w:t>
                  </w:r>
                  <w:r>
                    <w:rPr>
                      <w:rFonts w:hint="eastAsia" w:ascii="Times New Roman" w:hAnsi="Times New Roman" w:cs="Times New Roman"/>
                      <w:b w:val="0"/>
                      <w:bCs w:val="0"/>
                      <w:color w:val="auto"/>
                      <w:sz w:val="21"/>
                      <w:szCs w:val="21"/>
                      <w:lang w:val="en-US" w:eastAsia="zh-CN"/>
                    </w:rPr>
                    <w:t>米</w:t>
                  </w:r>
                </w:p>
              </w:tc>
              <w:tc>
                <w:tcPr>
                  <w:tcW w:w="2221" w:type="dxa"/>
                  <w:tcBorders>
                    <w:tl2br w:val="nil"/>
                    <w:tr2bl w:val="nil"/>
                  </w:tcBorders>
                  <w:noWrap w:val="0"/>
                  <w:vAlign w:val="center"/>
                </w:tcPr>
                <w:p w14:paraId="510B4484">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90" w:type="dxa"/>
                  <w:tcBorders>
                    <w:tl2br w:val="nil"/>
                    <w:tr2bl w:val="nil"/>
                  </w:tcBorders>
                  <w:noWrap w:val="0"/>
                  <w:vAlign w:val="center"/>
                </w:tcPr>
                <w:p w14:paraId="3C8ED36A">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50万米</w:t>
                  </w:r>
                </w:p>
              </w:tc>
              <w:tc>
                <w:tcPr>
                  <w:tcW w:w="690" w:type="dxa"/>
                  <w:tcBorders>
                    <w:tl2br w:val="nil"/>
                    <w:tr2bl w:val="nil"/>
                  </w:tcBorders>
                  <w:noWrap w:val="0"/>
                  <w:vAlign w:val="center"/>
                </w:tcPr>
                <w:p w14:paraId="67BFF1D2">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固体</w:t>
                  </w:r>
                </w:p>
              </w:tc>
              <w:tc>
                <w:tcPr>
                  <w:tcW w:w="795" w:type="dxa"/>
                  <w:tcBorders>
                    <w:tl2br w:val="nil"/>
                    <w:tr2bl w:val="nil"/>
                  </w:tcBorders>
                  <w:noWrap w:val="0"/>
                  <w:vAlign w:val="center"/>
                </w:tcPr>
                <w:p w14:paraId="13CD30B6">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784" w:type="dxa"/>
                  <w:tcBorders>
                    <w:tl2br w:val="nil"/>
                    <w:tr2bl w:val="nil"/>
                  </w:tcBorders>
                  <w:noWrap w:val="0"/>
                  <w:vAlign w:val="center"/>
                </w:tcPr>
                <w:p w14:paraId="37EFBAA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原料仓库</w:t>
                  </w:r>
                </w:p>
              </w:tc>
            </w:tr>
            <w:tr w14:paraId="414D2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75" w:type="dxa"/>
                  <w:tcBorders>
                    <w:tl2br w:val="nil"/>
                    <w:tr2bl w:val="nil"/>
                  </w:tcBorders>
                  <w:shd w:val="clear" w:color="auto" w:fill="auto"/>
                  <w:noWrap w:val="0"/>
                  <w:vAlign w:val="center"/>
                </w:tcPr>
                <w:p w14:paraId="177F5C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13</w:t>
                  </w:r>
                </w:p>
              </w:tc>
              <w:tc>
                <w:tcPr>
                  <w:tcW w:w="1332" w:type="dxa"/>
                  <w:tcBorders>
                    <w:tl2br w:val="nil"/>
                    <w:tr2bl w:val="nil"/>
                  </w:tcBorders>
                  <w:noWrap w:val="0"/>
                  <w:vAlign w:val="center"/>
                </w:tcPr>
                <w:p w14:paraId="52B2DA68">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生产用电</w:t>
                  </w:r>
                </w:p>
              </w:tc>
              <w:tc>
                <w:tcPr>
                  <w:tcW w:w="3250" w:type="dxa"/>
                  <w:gridSpan w:val="2"/>
                  <w:tcBorders>
                    <w:tl2br w:val="nil"/>
                    <w:tr2bl w:val="nil"/>
                  </w:tcBorders>
                  <w:noWrap w:val="0"/>
                  <w:vAlign w:val="center"/>
                </w:tcPr>
                <w:p w14:paraId="7EDE32B7">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25</w:t>
                  </w:r>
                  <w:r>
                    <w:rPr>
                      <w:rFonts w:hint="default" w:ascii="Times New Roman" w:hAnsi="Times New Roman" w:eastAsia="宋体" w:cs="Times New Roman"/>
                      <w:b w:val="0"/>
                      <w:bCs w:val="0"/>
                      <w:color w:val="auto"/>
                      <w:sz w:val="21"/>
                      <w:szCs w:val="21"/>
                      <w:lang w:val="en-US" w:eastAsia="zh-CN"/>
                    </w:rPr>
                    <w:t>万kwh/a</w:t>
                  </w:r>
                </w:p>
              </w:tc>
              <w:tc>
                <w:tcPr>
                  <w:tcW w:w="3559" w:type="dxa"/>
                  <w:gridSpan w:val="4"/>
                  <w:tcBorders>
                    <w:tl2br w:val="nil"/>
                    <w:tr2bl w:val="nil"/>
                  </w:tcBorders>
                  <w:noWrap w:val="0"/>
                  <w:vAlign w:val="center"/>
                </w:tcPr>
                <w:p w14:paraId="2E2BE55F">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03441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75" w:type="dxa"/>
                  <w:tcBorders>
                    <w:tl2br w:val="nil"/>
                    <w:tr2bl w:val="nil"/>
                  </w:tcBorders>
                  <w:noWrap w:val="0"/>
                  <w:vAlign w:val="center"/>
                </w:tcPr>
                <w:p w14:paraId="20171A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14</w:t>
                  </w:r>
                </w:p>
              </w:tc>
              <w:tc>
                <w:tcPr>
                  <w:tcW w:w="1332" w:type="dxa"/>
                  <w:tcBorders>
                    <w:tl2br w:val="nil"/>
                    <w:tr2bl w:val="nil"/>
                  </w:tcBorders>
                  <w:noWrap w:val="0"/>
                  <w:vAlign w:val="center"/>
                </w:tcPr>
                <w:p w14:paraId="650AF380">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生产用水</w:t>
                  </w:r>
                </w:p>
              </w:tc>
              <w:tc>
                <w:tcPr>
                  <w:tcW w:w="3250" w:type="dxa"/>
                  <w:gridSpan w:val="2"/>
                  <w:tcBorders>
                    <w:tl2br w:val="nil"/>
                    <w:tr2bl w:val="nil"/>
                  </w:tcBorders>
                  <w:noWrap w:val="0"/>
                  <w:vAlign w:val="center"/>
                </w:tcPr>
                <w:p w14:paraId="1C0DF7D9">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1779.01</w:t>
                  </w:r>
                  <w:r>
                    <w:rPr>
                      <w:rFonts w:hint="default" w:ascii="Times New Roman" w:hAnsi="Times New Roman" w:eastAsia="宋体" w:cs="Times New Roman"/>
                      <w:b w:val="0"/>
                      <w:bCs w:val="0"/>
                      <w:color w:val="auto"/>
                      <w:sz w:val="21"/>
                      <w:szCs w:val="21"/>
                      <w:lang w:val="en-US" w:eastAsia="zh-CN"/>
                    </w:rPr>
                    <w:t>t/a</w:t>
                  </w:r>
                </w:p>
              </w:tc>
              <w:tc>
                <w:tcPr>
                  <w:tcW w:w="3559" w:type="dxa"/>
                  <w:gridSpan w:val="4"/>
                  <w:tcBorders>
                    <w:tl2br w:val="nil"/>
                    <w:tr2bl w:val="nil"/>
                  </w:tcBorders>
                  <w:noWrap w:val="0"/>
                  <w:vAlign w:val="center"/>
                </w:tcPr>
                <w:p w14:paraId="11B14624">
                  <w:pPr>
                    <w:pStyle w:val="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bl>
          <w:p w14:paraId="140CB3E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表2.2-</w:t>
            </w:r>
            <w:r>
              <w:rPr>
                <w:rFonts w:hint="eastAsia" w:ascii="Times New Roman" w:hAnsi="Times New Roman" w:cs="Times New Roman"/>
                <w:b/>
                <w:bCs/>
                <w:color w:val="auto"/>
                <w:sz w:val="24"/>
                <w:szCs w:val="24"/>
                <w:u w:val="none"/>
                <w:lang w:val="en-US" w:eastAsia="zh-CN"/>
              </w:rPr>
              <w:t>5</w:t>
            </w:r>
            <w:r>
              <w:rPr>
                <w:rFonts w:hint="eastAsia" w:ascii="Times New Roman" w:hAnsi="Times New Roman" w:eastAsia="宋体" w:cs="Times New Roman"/>
                <w:b/>
                <w:bCs/>
                <w:color w:val="auto"/>
                <w:sz w:val="24"/>
                <w:szCs w:val="24"/>
                <w:u w:val="none"/>
                <w:lang w:val="en-US" w:eastAsia="zh-CN"/>
              </w:rPr>
              <w:t xml:space="preserve"> 原辅材料</w:t>
            </w:r>
            <w:r>
              <w:rPr>
                <w:rFonts w:hint="eastAsia" w:ascii="Times New Roman" w:hAnsi="Times New Roman" w:cs="Times New Roman"/>
                <w:b/>
                <w:bCs/>
                <w:color w:val="auto"/>
                <w:sz w:val="24"/>
                <w:szCs w:val="24"/>
                <w:u w:val="none"/>
                <w:lang w:val="en-US" w:eastAsia="zh-CN"/>
              </w:rPr>
              <w:t>理化性质表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539"/>
              <w:gridCol w:w="6617"/>
            </w:tblGrid>
            <w:tr w14:paraId="06A19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67" w:type="pct"/>
                  <w:tcBorders>
                    <w:tl2br w:val="nil"/>
                    <w:tr2bl w:val="nil"/>
                  </w:tcBorders>
                  <w:vAlign w:val="center"/>
                </w:tcPr>
                <w:p w14:paraId="5B1EE3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893" w:type="pct"/>
                  <w:tcBorders>
                    <w:tl2br w:val="nil"/>
                    <w:tr2bl w:val="nil"/>
                  </w:tcBorders>
                  <w:vAlign w:val="center"/>
                </w:tcPr>
                <w:p w14:paraId="58AB94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原辅材料名称</w:t>
                  </w:r>
                </w:p>
              </w:tc>
              <w:tc>
                <w:tcPr>
                  <w:tcW w:w="3838" w:type="pct"/>
                  <w:tcBorders>
                    <w:tl2br w:val="nil"/>
                    <w:tr2bl w:val="nil"/>
                  </w:tcBorders>
                  <w:vAlign w:val="center"/>
                </w:tcPr>
                <w:p w14:paraId="6439C0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理化性质</w:t>
                  </w:r>
                </w:p>
              </w:tc>
            </w:tr>
            <w:tr w14:paraId="0413A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7" w:hRule="atLeast"/>
              </w:trPr>
              <w:tc>
                <w:tcPr>
                  <w:tcW w:w="267" w:type="pct"/>
                  <w:tcBorders>
                    <w:tl2br w:val="nil"/>
                    <w:tr2bl w:val="nil"/>
                  </w:tcBorders>
                  <w:shd w:val="clear" w:color="auto" w:fill="auto"/>
                  <w:vAlign w:val="center"/>
                </w:tcPr>
                <w:p w14:paraId="492744A5">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w:t>
                  </w:r>
                </w:p>
              </w:tc>
              <w:tc>
                <w:tcPr>
                  <w:tcW w:w="893" w:type="pct"/>
                  <w:tcBorders>
                    <w:tl2br w:val="nil"/>
                    <w:tr2bl w:val="nil"/>
                  </w:tcBorders>
                  <w:shd w:val="clear" w:color="auto" w:fill="auto"/>
                  <w:vAlign w:val="center"/>
                </w:tcPr>
                <w:p w14:paraId="77C30F60">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w:t>
                  </w:r>
                  <w:r>
                    <w:rPr>
                      <w:rFonts w:hint="eastAsia" w:ascii="Times New Roman" w:hAnsi="Times New Roman" w:cs="Times New Roman"/>
                      <w:b w:val="0"/>
                      <w:bCs w:val="0"/>
                      <w:color w:val="auto"/>
                      <w:sz w:val="21"/>
                      <w:szCs w:val="21"/>
                      <w:lang w:val="en-US" w:eastAsia="zh-CN"/>
                    </w:rPr>
                    <w:t>A</w:t>
                  </w:r>
                  <w:r>
                    <w:rPr>
                      <w:rFonts w:hint="default" w:ascii="Times New Roman" w:hAnsi="Times New Roman" w:eastAsia="宋体" w:cs="Times New Roman"/>
                      <w:b w:val="0"/>
                      <w:bCs w:val="0"/>
                      <w:color w:val="auto"/>
                      <w:sz w:val="21"/>
                      <w:szCs w:val="21"/>
                      <w:lang w:val="en-US" w:eastAsia="zh-CN"/>
                    </w:rPr>
                    <w:t>）</w:t>
                  </w:r>
                </w:p>
              </w:tc>
              <w:tc>
                <w:tcPr>
                  <w:tcW w:w="3838" w:type="pct"/>
                  <w:tcBorders>
                    <w:tl2br w:val="nil"/>
                    <w:tr2bl w:val="nil"/>
                  </w:tcBorders>
                  <w:vAlign w:val="center"/>
                </w:tcPr>
                <w:p w14:paraId="44C5CD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PA（聚酰胺，尼龙）是一种热塑性塑料，主要由己内酰胺（PA6）或己二胺与己二酸（PA66）缩聚而成。该材料旨在提供优异的耐磨性、自润滑性和高机械强度，同时保持良好的耐油性和韧性。密度约为1.13–1.15 g/cm³，通常为半透明至乳白色，也可着色为各种颜色。不耐强酸、强碱、酚类及浓无机酸，但耐脂肪烃、芳烃和大多数有机溶剂。</w:t>
                  </w:r>
                </w:p>
              </w:tc>
            </w:tr>
            <w:tr w14:paraId="2ABBF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7" w:type="pct"/>
                  <w:tcBorders>
                    <w:tl2br w:val="nil"/>
                    <w:tr2bl w:val="nil"/>
                  </w:tcBorders>
                  <w:shd w:val="clear" w:color="auto" w:fill="auto"/>
                  <w:vAlign w:val="center"/>
                </w:tcPr>
                <w:p w14:paraId="78ECC4B1">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2</w:t>
                  </w:r>
                </w:p>
              </w:tc>
              <w:tc>
                <w:tcPr>
                  <w:tcW w:w="893" w:type="pct"/>
                  <w:tcBorders>
                    <w:tl2br w:val="nil"/>
                    <w:tr2bl w:val="nil"/>
                  </w:tcBorders>
                  <w:shd w:val="clear" w:color="auto" w:fill="auto"/>
                  <w:vAlign w:val="center"/>
                </w:tcPr>
                <w:p w14:paraId="37B09758">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塑料颗粒（P</w:t>
                  </w:r>
                  <w:r>
                    <w:rPr>
                      <w:rFonts w:hint="eastAsia" w:ascii="Times New Roman" w:hAnsi="Times New Roman" w:cs="Times New Roman"/>
                      <w:b w:val="0"/>
                      <w:bCs w:val="0"/>
                      <w:color w:val="auto"/>
                      <w:sz w:val="21"/>
                      <w:szCs w:val="21"/>
                      <w:lang w:val="en-US" w:eastAsia="zh-CN"/>
                    </w:rPr>
                    <w:t>C</w:t>
                  </w:r>
                  <w:r>
                    <w:rPr>
                      <w:rFonts w:hint="default" w:ascii="Times New Roman" w:hAnsi="Times New Roman" w:eastAsia="宋体" w:cs="Times New Roman"/>
                      <w:b w:val="0"/>
                      <w:bCs w:val="0"/>
                      <w:color w:val="auto"/>
                      <w:sz w:val="21"/>
                      <w:szCs w:val="21"/>
                      <w:lang w:val="en-US" w:eastAsia="zh-CN"/>
                    </w:rPr>
                    <w:t>）FR2030</w:t>
                  </w:r>
                </w:p>
              </w:tc>
              <w:tc>
                <w:tcPr>
                  <w:tcW w:w="3838" w:type="pct"/>
                  <w:tcBorders>
                    <w:tl2br w:val="nil"/>
                    <w:tr2bl w:val="nil"/>
                  </w:tcBorders>
                  <w:vAlign w:val="center"/>
                </w:tcPr>
                <w:p w14:paraId="0BDF819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rPr>
                    <w:t>PC（聚碳酸酯）是一种高性能热塑性塑料，由</w:t>
                  </w:r>
                  <w:r>
                    <w:rPr>
                      <w:rFonts w:hint="eastAsia"/>
                      <w:b/>
                      <w:bCs/>
                    </w:rPr>
                    <w:t>熔融酯交换法</w:t>
                  </w:r>
                  <w:r>
                    <w:rPr>
                      <w:rFonts w:hint="eastAsia"/>
                      <w:b/>
                      <w:bCs/>
                      <w:lang w:eastAsia="zh-CN"/>
                    </w:rPr>
                    <w:t>（</w:t>
                  </w:r>
                  <w:r>
                    <w:rPr>
                      <w:rFonts w:hint="eastAsia"/>
                      <w:b/>
                      <w:bCs/>
                    </w:rPr>
                    <w:t>非光气法</w:t>
                  </w:r>
                  <w:r>
                    <w:rPr>
                      <w:rFonts w:hint="eastAsia"/>
                      <w:b/>
                      <w:bCs/>
                      <w:lang w:eastAsia="zh-CN"/>
                    </w:rPr>
                    <w:t>）</w:t>
                  </w:r>
                  <w:r>
                    <w:rPr>
                      <w:rFonts w:hint="eastAsia"/>
                      <w:b/>
                      <w:bCs/>
                    </w:rPr>
                    <w:t>缩聚而成</w:t>
                  </w:r>
                  <w:r>
                    <w:rPr>
                      <w:rFonts w:hint="eastAsia"/>
                    </w:rPr>
                    <w:t>。该材料旨在提供卓越的透明性、高冲击强度、良好的尺寸稳定性和耐热性（热变形温度约130</w:t>
                  </w:r>
                  <w:r>
                    <w:rPr>
                      <w:rFonts w:hint="default" w:ascii="Times New Roman" w:hAnsi="Times New Roman" w:cs="Times New Roman"/>
                      <w:lang w:val="en-US" w:eastAsia="zh-CN"/>
                    </w:rPr>
                    <w:t>℃</w:t>
                  </w:r>
                  <w:r>
                    <w:rPr>
                      <w:rFonts w:hint="eastAsia" w:cs="Times New Roman"/>
                      <w:lang w:val="en-US" w:eastAsia="zh-CN"/>
                    </w:rPr>
                    <w:t>-</w:t>
                  </w:r>
                  <w:r>
                    <w:rPr>
                      <w:rFonts w:hint="eastAsia"/>
                    </w:rPr>
                    <w:t>140</w:t>
                  </w:r>
                  <w:r>
                    <w:rPr>
                      <w:rFonts w:hint="default" w:ascii="Times New Roman" w:hAnsi="Times New Roman" w:cs="Times New Roman"/>
                      <w:lang w:val="en-US" w:eastAsia="zh-CN"/>
                    </w:rPr>
                    <w:t>℃</w:t>
                  </w:r>
                  <w:r>
                    <w:rPr>
                      <w:rFonts w:hint="eastAsia"/>
                    </w:rPr>
                    <w:t>）。密度约为1.20g/cm³，通常为高透明，也可着色为各种颜色。不耐强碱、</w:t>
                  </w:r>
                  <w:r>
                    <w:rPr>
                      <w:rFonts w:hint="eastAsia"/>
                      <w:lang w:eastAsia="zh-CN"/>
                    </w:rPr>
                    <w:t>强酸</w:t>
                  </w:r>
                  <w:r>
                    <w:rPr>
                      <w:rFonts w:hint="eastAsia"/>
                    </w:rPr>
                    <w:t>、酮类、酯类、芳香烃和氯化烃等极性溶剂，但耐脂肪烃和弱酸弱碱。</w:t>
                  </w:r>
                  <w:r>
                    <w:rPr>
                      <w:rFonts w:hint="eastAsia"/>
                      <w:b/>
                      <w:bCs/>
                      <w:lang w:val="en-US" w:eastAsia="zh-CN"/>
                    </w:rPr>
                    <w:t>本项目使用的PC不含二氯甲烷，PC塑料颗粒的检验报告详见附件二十一，检验结果为阴性，故本项目生产过程中不会产生二氯甲烷。</w:t>
                  </w:r>
                </w:p>
              </w:tc>
            </w:tr>
            <w:tr w14:paraId="0511E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2" w:hRule="atLeast"/>
              </w:trPr>
              <w:tc>
                <w:tcPr>
                  <w:tcW w:w="267" w:type="pct"/>
                  <w:tcBorders>
                    <w:tl2br w:val="nil"/>
                    <w:tr2bl w:val="nil"/>
                  </w:tcBorders>
                  <w:shd w:val="clear" w:color="auto" w:fill="auto"/>
                  <w:vAlign w:val="center"/>
                </w:tcPr>
                <w:p w14:paraId="164F98A9">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3</w:t>
                  </w:r>
                </w:p>
              </w:tc>
              <w:tc>
                <w:tcPr>
                  <w:tcW w:w="893" w:type="pct"/>
                  <w:tcBorders>
                    <w:tl2br w:val="nil"/>
                    <w:tr2bl w:val="nil"/>
                  </w:tcBorders>
                  <w:shd w:val="clear" w:color="auto" w:fill="auto"/>
                  <w:vAlign w:val="center"/>
                </w:tcPr>
                <w:p w14:paraId="69CBF569">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塑料颗粒</w:t>
                  </w:r>
                  <w:r>
                    <w:rPr>
                      <w:rFonts w:hint="eastAsia" w:ascii="Times New Roman" w:hAnsi="Times New Roman" w:cs="Times New Roman"/>
                      <w:b w:val="0"/>
                      <w:bCs w:val="0"/>
                      <w:color w:val="auto"/>
                      <w:sz w:val="21"/>
                      <w:szCs w:val="21"/>
                      <w:lang w:val="en-US" w:eastAsia="zh-CN"/>
                    </w:rPr>
                    <w:t>（TPU）</w:t>
                  </w:r>
                </w:p>
              </w:tc>
              <w:tc>
                <w:tcPr>
                  <w:tcW w:w="3838" w:type="pct"/>
                  <w:tcBorders>
                    <w:tl2br w:val="nil"/>
                    <w:tr2bl w:val="nil"/>
                  </w:tcBorders>
                  <w:vAlign w:val="center"/>
                </w:tcPr>
                <w:p w14:paraId="02B6C1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PU（热塑性聚氨酯）是一种热塑性弹性体，由二异氰酸酯（如MDI）、聚酯或聚醚多元醇及扩链剂（如1,4-丁二醇）缩聚而成。该材料旨在将橡胶的高弹性与塑料的可注塑性结合，提供优异的耐磨性、耐油性和低温韧性。密度约为1.10–1.25g/cm³，通常为半透明至不透明，可调配成各种颜色。不耐强酸、强碱、酚类、酮类和酯类溶剂，但耐脂肪烃、油类和一般有机溶剂。</w:t>
                  </w:r>
                </w:p>
              </w:tc>
            </w:tr>
            <w:tr w14:paraId="46887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267" w:type="pct"/>
                  <w:tcBorders>
                    <w:tl2br w:val="nil"/>
                    <w:tr2bl w:val="nil"/>
                  </w:tcBorders>
                  <w:shd w:val="clear" w:color="auto" w:fill="auto"/>
                  <w:vAlign w:val="center"/>
                </w:tcPr>
                <w:p w14:paraId="7A0178F4">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4</w:t>
                  </w:r>
                </w:p>
              </w:tc>
              <w:tc>
                <w:tcPr>
                  <w:tcW w:w="893" w:type="pct"/>
                  <w:tcBorders>
                    <w:tl2br w:val="nil"/>
                    <w:tr2bl w:val="nil"/>
                  </w:tcBorders>
                  <w:shd w:val="clear" w:color="auto" w:fill="auto"/>
                  <w:vAlign w:val="center"/>
                </w:tcPr>
                <w:p w14:paraId="0D3FABC0">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塑粉</w:t>
                  </w:r>
                </w:p>
              </w:tc>
              <w:tc>
                <w:tcPr>
                  <w:tcW w:w="3838" w:type="pct"/>
                  <w:tcBorders>
                    <w:tl2br w:val="nil"/>
                    <w:tr2bl w:val="nil"/>
                  </w:tcBorders>
                  <w:vAlign w:val="center"/>
                </w:tcPr>
                <w:p w14:paraId="784178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粉末涂料（塑粉）是一种无溶剂、100%固体的热固性干粉，外观呈均匀细粉状，粒径通常分布在30~90μm；密度1.2~1.8 g/cm³，软化点60~110℃，玻璃化转变温度（Tg）≥50℃，常温下不结块、不挥发，储存稳定性好。在180~200℃烘烤10~15 min后，树脂与固化剂交联成网状结构，形成硬度高（铅笔硬度H~3H）、附着力强（0级）、耐冲击（≥50 kg·cm）、耐盐雾（≥500h）、耐酸碱和耐溶剂（MEK擦拭≥100次）的致密涂膜，同时具有优良的绝缘性（体积电阻率&gt;10¹⁴Ω·cm）和紫外耐候性（QUV-B1000h保光率≥80%）</w:t>
                  </w:r>
                  <w:r>
                    <w:rPr>
                      <w:rFonts w:hint="eastAsia" w:cs="Times New Roman"/>
                      <w:color w:val="auto"/>
                      <w:sz w:val="21"/>
                      <w:szCs w:val="21"/>
                      <w:vertAlign w:val="baseline"/>
                      <w:lang w:val="en-US" w:eastAsia="zh-CN"/>
                    </w:rPr>
                    <w:t>。</w:t>
                  </w:r>
                </w:p>
              </w:tc>
            </w:tr>
            <w:tr w14:paraId="37815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267" w:type="pct"/>
                  <w:tcBorders>
                    <w:tl2br w:val="nil"/>
                    <w:tr2bl w:val="nil"/>
                  </w:tcBorders>
                  <w:shd w:val="clear" w:color="auto" w:fill="auto"/>
                  <w:vAlign w:val="center"/>
                </w:tcPr>
                <w:p w14:paraId="53B38DB9">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5</w:t>
                  </w:r>
                </w:p>
              </w:tc>
              <w:tc>
                <w:tcPr>
                  <w:tcW w:w="893" w:type="pct"/>
                  <w:tcBorders>
                    <w:tl2br w:val="nil"/>
                    <w:tr2bl w:val="nil"/>
                  </w:tcBorders>
                  <w:shd w:val="clear" w:color="auto" w:fill="auto"/>
                  <w:vAlign w:val="center"/>
                </w:tcPr>
                <w:p w14:paraId="7F07906E">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bidi="ar-SA"/>
                    </w:rPr>
                    <w:t>铸铝除油剂</w:t>
                  </w:r>
                </w:p>
              </w:tc>
              <w:tc>
                <w:tcPr>
                  <w:tcW w:w="3838" w:type="pct"/>
                  <w:tcBorders>
                    <w:tl2br w:val="nil"/>
                    <w:tr2bl w:val="nil"/>
                  </w:tcBorders>
                  <w:vAlign w:val="center"/>
                </w:tcPr>
                <w:p w14:paraId="6B5C6F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铸铝除油剂是一种水溶性碱性清洗液，由碳酸钠、硅酸钠、葡萄糖酸钠与AES表面活性剂复配而成，旨在高效去除铝件表面油污并保持金属光亮。外观为乳白色液体，pH≈12，相对密度1.01–1.02，沸点约100 ℃，不可燃、不挥发、无闪点，与强酸或强氧化剂禁配，常温常压下稳定，可完全溶于水且易生物降解。</w:t>
                  </w:r>
                </w:p>
              </w:tc>
            </w:tr>
            <w:tr w14:paraId="78016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460" w:type="dxa"/>
                  <w:vAlign w:val="center"/>
                </w:tcPr>
                <w:p w14:paraId="4D19FA20">
                  <w:pPr>
                    <w:pStyle w:val="1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bookmarkStart w:id="28" w:name="_Toc3875"/>
                  <w:r>
                    <w:rPr>
                      <w:rFonts w:hint="eastAsia" w:ascii="Times New Roman" w:hAnsi="Times New Roman" w:cs="Times New Roman"/>
                      <w:b w:val="0"/>
                      <w:bCs w:val="0"/>
                      <w:color w:val="auto"/>
                      <w:kern w:val="2"/>
                      <w:sz w:val="21"/>
                      <w:szCs w:val="21"/>
                      <w:lang w:val="en-US" w:eastAsia="zh-CN" w:bidi="ar-SA"/>
                    </w:rPr>
                    <w:t>6</w:t>
                  </w:r>
                </w:p>
              </w:tc>
              <w:tc>
                <w:tcPr>
                  <w:tcW w:w="1539" w:type="dxa"/>
                  <w:shd w:val="clear" w:color="auto" w:fill="auto"/>
                  <w:vAlign w:val="center"/>
                </w:tcPr>
                <w:p w14:paraId="7B6161BD">
                  <w:pPr>
                    <w:pStyle w:val="3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kern w:val="2"/>
                      <w:sz w:val="21"/>
                      <w:szCs w:val="21"/>
                      <w:highlight w:val="none"/>
                      <w:lang w:val="en-US" w:eastAsia="zh-CN" w:bidi="ar-SA"/>
                    </w:rPr>
                    <w:t>硅烷处理剂（钝化液）</w:t>
                  </w:r>
                </w:p>
              </w:tc>
              <w:tc>
                <w:tcPr>
                  <w:tcW w:w="6614" w:type="dxa"/>
                  <w:vAlign w:val="center"/>
                </w:tcPr>
                <w:p w14:paraId="2933C8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硅烷处理剂是一种弱碱性水基防锈液，由水性聚氨酯树脂、乙二醇、柠檬酸和水复配而成，旨在为铁件表面提供环保、可降解的钝化-防锈膜。外观为淡黄色透明液体，pH≈9.5，相对密度1.05，沸点约105 ℃，无闪点、不燃不爆、无挥发性，与水互溶，常温稳定，禁配强酸及强氧化剂，对水生生物</w:t>
                  </w:r>
                  <w:r>
                    <w:rPr>
                      <w:rFonts w:hint="eastAsia" w:cs="Times New Roman"/>
                      <w:color w:val="auto"/>
                      <w:sz w:val="21"/>
                      <w:szCs w:val="21"/>
                      <w:vertAlign w:val="baseline"/>
                      <w:lang w:val="en-US" w:eastAsia="zh-CN"/>
                    </w:rPr>
                    <w:t>具有</w:t>
                  </w:r>
                  <w:r>
                    <w:rPr>
                      <w:rFonts w:hint="default" w:ascii="Times New Roman" w:hAnsi="Times New Roman" w:eastAsia="宋体" w:cs="Times New Roman"/>
                      <w:color w:val="auto"/>
                      <w:sz w:val="21"/>
                      <w:szCs w:val="21"/>
                      <w:vertAlign w:val="baseline"/>
                      <w:lang w:val="en-US" w:eastAsia="zh-CN"/>
                    </w:rPr>
                    <w:t>弱毒性。</w:t>
                  </w:r>
                </w:p>
              </w:tc>
            </w:tr>
          </w:tbl>
          <w:p w14:paraId="2515087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2.2.7项目水平衡</w:t>
            </w:r>
            <w:bookmarkEnd w:id="28"/>
          </w:p>
          <w:p w14:paraId="53BBEB95">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rPr>
            </w:pPr>
            <w:bookmarkStart w:id="29" w:name="_Toc81"/>
            <w:r>
              <w:rPr>
                <w:rFonts w:hint="eastAsia"/>
                <w:b w:val="0"/>
                <w:bCs/>
                <w:color w:val="auto"/>
                <w:sz w:val="24"/>
              </w:rPr>
              <w:t>（1）生活污水</w:t>
            </w:r>
            <w:bookmarkEnd w:id="29"/>
          </w:p>
          <w:p w14:paraId="0684283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color w:val="auto"/>
                <w:kern w:val="0"/>
                <w:sz w:val="24"/>
                <w:lang w:bidi="ar"/>
              </w:rPr>
            </w:pPr>
            <w:r>
              <w:rPr>
                <w:rFonts w:hint="eastAsia"/>
                <w:color w:val="auto"/>
                <w:sz w:val="24"/>
              </w:rPr>
              <w:t>根据</w:t>
            </w:r>
            <w:r>
              <w:rPr>
                <w:color w:val="auto"/>
                <w:sz w:val="24"/>
              </w:rPr>
              <w:t>《建筑给水排水设计标准》</w:t>
            </w:r>
            <w:r>
              <w:rPr>
                <w:rFonts w:hint="eastAsia"/>
                <w:color w:val="auto"/>
                <w:sz w:val="24"/>
                <w:lang w:eastAsia="zh-CN"/>
              </w:rPr>
              <w:t>（</w:t>
            </w:r>
            <w:r>
              <w:rPr>
                <w:color w:val="auto"/>
                <w:sz w:val="24"/>
              </w:rPr>
              <w:t>GB50015-2019</w:t>
            </w:r>
            <w:r>
              <w:rPr>
                <w:rFonts w:hint="eastAsia"/>
                <w:color w:val="auto"/>
                <w:sz w:val="24"/>
                <w:lang w:eastAsia="zh-CN"/>
              </w:rPr>
              <w:t>）</w:t>
            </w:r>
            <w:r>
              <w:rPr>
                <w:color w:val="auto"/>
                <w:sz w:val="24"/>
              </w:rPr>
              <w:t>，本项目</w:t>
            </w:r>
            <w:r>
              <w:rPr>
                <w:rFonts w:hint="eastAsia"/>
                <w:color w:val="auto"/>
                <w:sz w:val="24"/>
              </w:rPr>
              <w:t>不</w:t>
            </w:r>
            <w:r>
              <w:rPr>
                <w:color w:val="auto"/>
                <w:sz w:val="24"/>
              </w:rPr>
              <w:t>住宿员工用水量按</w:t>
            </w:r>
            <w:r>
              <w:rPr>
                <w:rFonts w:hint="eastAsia"/>
                <w:color w:val="auto"/>
                <w:sz w:val="24"/>
              </w:rPr>
              <w:t>50</w:t>
            </w:r>
            <w:r>
              <w:rPr>
                <w:color w:val="auto"/>
                <w:sz w:val="24"/>
              </w:rPr>
              <w:t>L/人·d计</w:t>
            </w:r>
            <w:r>
              <w:rPr>
                <w:color w:val="auto"/>
                <w:kern w:val="0"/>
                <w:sz w:val="24"/>
                <w:lang w:bidi="ar"/>
              </w:rPr>
              <w:t>，项目职工人数</w:t>
            </w:r>
            <w:r>
              <w:rPr>
                <w:rFonts w:hint="eastAsia"/>
                <w:color w:val="auto"/>
                <w:kern w:val="0"/>
                <w:sz w:val="24"/>
                <w:lang w:val="en-US" w:eastAsia="zh-CN" w:bidi="ar"/>
              </w:rPr>
              <w:t>70</w:t>
            </w:r>
            <w:r>
              <w:rPr>
                <w:color w:val="auto"/>
                <w:kern w:val="0"/>
                <w:sz w:val="24"/>
                <w:lang w:bidi="ar"/>
              </w:rPr>
              <w:t>人，均不住厂，则生活用水量约</w:t>
            </w:r>
            <w:r>
              <w:rPr>
                <w:rFonts w:hint="eastAsia"/>
                <w:color w:val="auto"/>
                <w:kern w:val="0"/>
                <w:sz w:val="24"/>
                <w:lang w:val="en-US" w:eastAsia="zh-CN" w:bidi="ar"/>
              </w:rPr>
              <w:t>3.5</w:t>
            </w:r>
            <w:r>
              <w:rPr>
                <w:color w:val="auto"/>
                <w:kern w:val="0"/>
                <w:sz w:val="24"/>
                <w:lang w:bidi="ar"/>
              </w:rPr>
              <w:t>t/d（</w:t>
            </w:r>
            <w:r>
              <w:rPr>
                <w:rFonts w:hint="eastAsia"/>
                <w:color w:val="auto"/>
                <w:kern w:val="0"/>
                <w:sz w:val="24"/>
                <w:lang w:eastAsia="zh-CN" w:bidi="ar"/>
              </w:rPr>
              <w:t>1277.5</w:t>
            </w:r>
            <w:r>
              <w:rPr>
                <w:color w:val="auto"/>
                <w:kern w:val="0"/>
                <w:sz w:val="24"/>
                <w:lang w:bidi="ar"/>
              </w:rPr>
              <w:t>t/a），项目废水排放系数按照0.8计算，则废水产生量为</w:t>
            </w:r>
            <w:r>
              <w:rPr>
                <w:rFonts w:hint="eastAsia"/>
                <w:color w:val="auto"/>
                <w:kern w:val="0"/>
                <w:sz w:val="24"/>
                <w:lang w:val="en-US" w:eastAsia="zh-CN" w:bidi="ar"/>
              </w:rPr>
              <w:t>2.8</w:t>
            </w:r>
            <w:r>
              <w:rPr>
                <w:color w:val="auto"/>
                <w:kern w:val="0"/>
                <w:sz w:val="24"/>
                <w:lang w:bidi="ar"/>
              </w:rPr>
              <w:t>t/d（</w:t>
            </w:r>
            <w:r>
              <w:rPr>
                <w:rFonts w:hint="eastAsia"/>
                <w:color w:val="auto"/>
                <w:kern w:val="0"/>
                <w:sz w:val="24"/>
                <w:lang w:val="en-US" w:eastAsia="zh-CN" w:bidi="ar"/>
              </w:rPr>
              <w:t>1022</w:t>
            </w:r>
            <w:r>
              <w:rPr>
                <w:color w:val="auto"/>
                <w:kern w:val="0"/>
                <w:sz w:val="24"/>
                <w:lang w:bidi="ar"/>
              </w:rPr>
              <w:t>t/a）</w:t>
            </w:r>
            <w:r>
              <w:rPr>
                <w:rFonts w:hint="eastAsia"/>
                <w:color w:val="auto"/>
                <w:kern w:val="0"/>
                <w:sz w:val="24"/>
                <w:lang w:eastAsia="zh-CN" w:bidi="ar"/>
              </w:rPr>
              <w:t>，</w:t>
            </w:r>
            <w:r>
              <w:rPr>
                <w:rFonts w:hint="eastAsia"/>
                <w:color w:val="auto"/>
                <w:kern w:val="0"/>
                <w:sz w:val="24"/>
                <w:lang w:val="en-US" w:eastAsia="zh-CN" w:bidi="ar"/>
              </w:rPr>
              <w:t>生活污水依托厂内已建的化粪池处理后进入市政污水管网纳入</w:t>
            </w:r>
            <w:r>
              <w:rPr>
                <w:rFonts w:hint="eastAsia" w:ascii="Times New Roman" w:hAnsi="Times New Roman" w:eastAsia="宋体" w:cs="Times New Roman"/>
                <w:color w:val="auto"/>
                <w:spacing w:val="0"/>
                <w:sz w:val="24"/>
                <w:szCs w:val="24"/>
                <w:highlight w:val="none"/>
                <w:u w:val="none"/>
                <w:lang w:eastAsia="zh-CN"/>
              </w:rPr>
              <w:t>福清市融元污水处理厂</w:t>
            </w:r>
            <w:r>
              <w:rPr>
                <w:rFonts w:hint="eastAsia"/>
                <w:color w:val="auto"/>
                <w:kern w:val="0"/>
                <w:sz w:val="24"/>
                <w:lang w:val="en-US" w:eastAsia="zh-CN" w:bidi="ar"/>
              </w:rPr>
              <w:t>集中处理</w:t>
            </w:r>
            <w:r>
              <w:rPr>
                <w:rFonts w:hint="eastAsia"/>
                <w:color w:val="auto"/>
                <w:kern w:val="0"/>
                <w:sz w:val="24"/>
                <w:lang w:bidi="ar"/>
              </w:rPr>
              <w:t>。</w:t>
            </w:r>
          </w:p>
          <w:p w14:paraId="11CC3D4B">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rPr>
            </w:pPr>
            <w:bookmarkStart w:id="30" w:name="_Toc27624"/>
            <w:r>
              <w:rPr>
                <w:rFonts w:hint="eastAsia"/>
                <w:b w:val="0"/>
                <w:bCs/>
                <w:color w:val="auto"/>
                <w:sz w:val="24"/>
              </w:rPr>
              <w:t>（2）注塑冷却水</w:t>
            </w:r>
            <w:bookmarkEnd w:id="30"/>
          </w:p>
          <w:p w14:paraId="63C8830D">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rPr>
            </w:pPr>
            <w:r>
              <w:rPr>
                <w:color w:val="auto"/>
                <w:sz w:val="24"/>
                <w:highlight w:val="none"/>
              </w:rPr>
              <w:t>本项目拟设1台冷却塔，</w:t>
            </w:r>
            <w:r>
              <w:rPr>
                <w:rFonts w:hint="eastAsia"/>
                <w:color w:val="auto"/>
                <w:sz w:val="24"/>
                <w:szCs w:val="24"/>
                <w:highlight w:val="none"/>
              </w:rPr>
              <w:t>本项目生产过程中生产设备需要用到循环冷却塔进行间接冷却，根据建设单位提供的信息，本项目冷却塔循环水量设计为</w:t>
            </w:r>
            <w:r>
              <w:rPr>
                <w:rFonts w:hint="eastAsia"/>
                <w:color w:val="auto"/>
                <w:sz w:val="24"/>
                <w:szCs w:val="24"/>
                <w:highlight w:val="none"/>
                <w:lang w:val="en-US" w:eastAsia="zh-CN"/>
              </w:rPr>
              <w:t>7.8</w:t>
            </w:r>
            <w:r>
              <w:rPr>
                <w:rFonts w:hint="eastAsia"/>
                <w:color w:val="auto"/>
                <w:sz w:val="24"/>
                <w:szCs w:val="24"/>
                <w:highlight w:val="none"/>
              </w:rPr>
              <w:t>t/h，年运行4800h，冷却塔运行过程中无需添加阻垢剂、杀菌剂等试剂进行调整，冷却水在正常情况下可保持良好运行状态。此外循环过程会有部分水以蒸汽的形式损耗掉，根据《化工企业冷却塔设计规定》（HG205522-1922），冷却塔蒸发耗水率计算公式为：</w:t>
            </w:r>
          </w:p>
          <w:p w14:paraId="4E539E6E">
            <w:pPr>
              <w:pStyle w:val="41"/>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color w:val="auto"/>
                <w:sz w:val="24"/>
                <w:szCs w:val="24"/>
                <w:highlight w:val="none"/>
              </w:rPr>
            </w:pPr>
            <w:r>
              <w:rPr>
                <w:rFonts w:hint="eastAsia"/>
                <w:color w:val="auto"/>
                <w:sz w:val="24"/>
                <w:szCs w:val="24"/>
                <w:highlight w:val="none"/>
              </w:rPr>
              <w:t>P=KΔt</w:t>
            </w:r>
          </w:p>
          <w:p w14:paraId="6AD18B9C">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rPr>
            </w:pPr>
            <w:r>
              <w:rPr>
                <w:rFonts w:hint="eastAsia"/>
                <w:color w:val="auto"/>
                <w:sz w:val="24"/>
                <w:szCs w:val="24"/>
                <w:highlight w:val="none"/>
              </w:rPr>
              <w:t>式中：P——蒸发损失率，%；</w:t>
            </w:r>
          </w:p>
          <w:p w14:paraId="19A17B87">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rPr>
            </w:pPr>
            <w:r>
              <w:rPr>
                <w:rFonts w:hint="eastAsia"/>
                <w:color w:val="auto"/>
                <w:sz w:val="24"/>
                <w:szCs w:val="24"/>
                <w:highlight w:val="none"/>
              </w:rPr>
              <w:t>Δt——冷却塔进水与出水温度差，℃</w:t>
            </w:r>
            <w:r>
              <w:rPr>
                <w:rFonts w:hint="eastAsia"/>
                <w:color w:val="auto"/>
                <w:sz w:val="24"/>
                <w:szCs w:val="24"/>
                <w:highlight w:val="none"/>
                <w:lang w:eastAsia="zh-CN"/>
              </w:rPr>
              <w:t>，</w:t>
            </w:r>
            <w:r>
              <w:rPr>
                <w:rFonts w:hint="eastAsia"/>
                <w:color w:val="auto"/>
                <w:sz w:val="24"/>
                <w:szCs w:val="24"/>
                <w:highlight w:val="none"/>
              </w:rPr>
              <w:t>取值10℃;</w:t>
            </w:r>
          </w:p>
          <w:p w14:paraId="412409A6">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rPr>
            </w:pPr>
            <w:r>
              <w:rPr>
                <w:rFonts w:hint="eastAsia"/>
                <w:color w:val="auto"/>
                <w:sz w:val="24"/>
                <w:szCs w:val="24"/>
                <w:highlight w:val="none"/>
              </w:rPr>
              <w:t>K——系数，1/℃</w:t>
            </w:r>
            <w:r>
              <w:rPr>
                <w:rFonts w:hint="eastAsia"/>
                <w:color w:val="auto"/>
                <w:sz w:val="24"/>
                <w:szCs w:val="24"/>
                <w:highlight w:val="none"/>
                <w:lang w:eastAsia="zh-CN"/>
              </w:rPr>
              <w:t>，</w:t>
            </w:r>
            <w:r>
              <w:rPr>
                <w:rFonts w:hint="eastAsia"/>
                <w:color w:val="auto"/>
                <w:sz w:val="24"/>
                <w:szCs w:val="24"/>
                <w:highlight w:val="none"/>
              </w:rPr>
              <w:t>本项目取0.12。</w:t>
            </w:r>
          </w:p>
          <w:p w14:paraId="03BC0DF8">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rPr>
            </w:pPr>
            <w:r>
              <w:rPr>
                <w:rFonts w:hint="eastAsia"/>
                <w:color w:val="auto"/>
                <w:sz w:val="24"/>
                <w:szCs w:val="24"/>
                <w:highlight w:val="none"/>
              </w:rPr>
              <w:t>经计算公式计算得损耗水量为循环水量的1.2%，本项目共1台冷却塔，则本项目冷却塔损耗水量约为</w:t>
            </w:r>
            <w:r>
              <w:rPr>
                <w:rFonts w:hint="eastAsia"/>
                <w:color w:val="auto"/>
                <w:sz w:val="24"/>
                <w:szCs w:val="24"/>
                <w:highlight w:val="none"/>
                <w:lang w:val="en-US" w:eastAsia="zh-CN"/>
              </w:rPr>
              <w:t>449.28</w:t>
            </w:r>
            <w:r>
              <w:rPr>
                <w:rFonts w:hint="eastAsia"/>
                <w:color w:val="auto"/>
                <w:sz w:val="24"/>
                <w:szCs w:val="24"/>
                <w:highlight w:val="none"/>
              </w:rPr>
              <w:t>t/a</w:t>
            </w:r>
            <w:r>
              <w:rPr>
                <w:rFonts w:hint="eastAsia"/>
                <w:color w:val="auto"/>
                <w:sz w:val="24"/>
                <w:szCs w:val="24"/>
                <w:highlight w:val="none"/>
                <w:lang w:val="en-US" w:eastAsia="zh-CN"/>
              </w:rPr>
              <w:t>(0.094t/h）</w:t>
            </w:r>
            <w:r>
              <w:rPr>
                <w:rFonts w:hint="eastAsia"/>
                <w:color w:val="auto"/>
                <w:sz w:val="24"/>
                <w:szCs w:val="24"/>
                <w:highlight w:val="none"/>
              </w:rPr>
              <w:t>。冷却水循环使用，定期补充新鲜水，冷却水</w:t>
            </w:r>
            <w:r>
              <w:rPr>
                <w:rFonts w:hint="eastAsia"/>
                <w:color w:val="auto"/>
                <w:sz w:val="24"/>
                <w:szCs w:val="24"/>
                <w:highlight w:val="none"/>
                <w:lang w:val="en-US" w:eastAsia="zh-CN"/>
              </w:rPr>
              <w:t>循环使用</w:t>
            </w:r>
            <w:r>
              <w:rPr>
                <w:rFonts w:hint="eastAsia"/>
                <w:color w:val="auto"/>
                <w:sz w:val="24"/>
                <w:szCs w:val="24"/>
                <w:highlight w:val="none"/>
              </w:rPr>
              <w:t>不外排。</w:t>
            </w:r>
          </w:p>
          <w:p w14:paraId="7DA8E74A">
            <w:pPr>
              <w:pStyle w:val="4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3）除油剂、钝化剂稀释用水</w:t>
            </w:r>
          </w:p>
          <w:p w14:paraId="4B4A61DC">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项目除油剂、钝化剂使用前需用清水稀释，</w:t>
            </w:r>
            <w:r>
              <w:rPr>
                <w:rFonts w:hint="eastAsia"/>
                <w:color w:val="auto"/>
                <w:sz w:val="24"/>
                <w:szCs w:val="24"/>
                <w:highlight w:val="none"/>
                <w:lang w:val="en-US" w:eastAsia="zh-CN"/>
              </w:rPr>
              <w:t>配制</w:t>
            </w:r>
            <w:r>
              <w:rPr>
                <w:rFonts w:hint="default"/>
                <w:color w:val="auto"/>
                <w:sz w:val="24"/>
                <w:szCs w:val="24"/>
                <w:highlight w:val="none"/>
                <w:lang w:val="en-US" w:eastAsia="zh-CN"/>
              </w:rPr>
              <w:t>成除油液、钝化剂。本项目第一次</w:t>
            </w:r>
            <w:r>
              <w:rPr>
                <w:rFonts w:hint="eastAsia"/>
                <w:color w:val="auto"/>
                <w:sz w:val="24"/>
                <w:szCs w:val="24"/>
                <w:highlight w:val="none"/>
                <w:lang w:val="en-US" w:eastAsia="zh-CN"/>
              </w:rPr>
              <w:t>配制</w:t>
            </w:r>
            <w:r>
              <w:rPr>
                <w:rFonts w:hint="default"/>
                <w:color w:val="auto"/>
                <w:sz w:val="24"/>
                <w:szCs w:val="24"/>
                <w:highlight w:val="none"/>
                <w:lang w:val="en-US" w:eastAsia="zh-CN"/>
              </w:rPr>
              <w:t>槽液时使用新鲜水进行稀释，后期补充用水将使用</w:t>
            </w:r>
            <w:r>
              <w:rPr>
                <w:rFonts w:hint="eastAsia"/>
                <w:color w:val="auto"/>
                <w:sz w:val="24"/>
                <w:szCs w:val="24"/>
                <w:highlight w:val="none"/>
                <w:lang w:val="en-US" w:eastAsia="zh-CN"/>
              </w:rPr>
              <w:t>新鲜水，预计补充用水量为有效容积的20%，即0.192</w:t>
            </w:r>
            <w:r>
              <w:rPr>
                <w:rFonts w:hint="default"/>
                <w:color w:val="auto"/>
                <w:sz w:val="24"/>
                <w:szCs w:val="24"/>
                <w:highlight w:val="none"/>
                <w:lang w:val="en-US" w:eastAsia="zh-CN"/>
              </w:rPr>
              <w:t>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。由于除油液、钝化液有效成分含量较低，除油剂、钝化剂稀释用水接近槽体有效容积（</w:t>
            </w:r>
            <w:r>
              <w:rPr>
                <w:rFonts w:hint="eastAsia"/>
                <w:color w:val="auto"/>
                <w:sz w:val="24"/>
                <w:szCs w:val="24"/>
                <w:highlight w:val="none"/>
                <w:lang w:val="en-US" w:eastAsia="zh-CN"/>
              </w:rPr>
              <w:t>项目清洗槽体有效容积为1m*0.6m*0.8m=0.48</w:t>
            </w:r>
            <w:r>
              <w:rPr>
                <w:rFonts w:hint="default"/>
                <w:color w:val="auto"/>
                <w:sz w:val="24"/>
                <w:szCs w:val="24"/>
                <w:highlight w:val="none"/>
                <w:lang w:val="en-US" w:eastAsia="zh-CN"/>
              </w:rPr>
              <w:t>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），因此除油剂和钝化剂稀释用水量约为</w:t>
            </w:r>
            <w:r>
              <w:rPr>
                <w:rFonts w:hint="eastAsia"/>
                <w:color w:val="auto"/>
                <w:sz w:val="24"/>
                <w:szCs w:val="24"/>
                <w:highlight w:val="none"/>
                <w:lang w:val="en-US" w:eastAsia="zh-CN"/>
              </w:rPr>
              <w:t>0.96</w:t>
            </w:r>
            <w:r>
              <w:rPr>
                <w:rFonts w:hint="default"/>
                <w:color w:val="auto"/>
                <w:sz w:val="24"/>
                <w:szCs w:val="24"/>
                <w:highlight w:val="none"/>
                <w:lang w:val="en-US" w:eastAsia="zh-CN"/>
              </w:rPr>
              <w:t>m</w:t>
            </w:r>
            <w:r>
              <w:rPr>
                <w:rFonts w:hint="default"/>
                <w:color w:val="auto"/>
                <w:sz w:val="24"/>
                <w:szCs w:val="24"/>
                <w:highlight w:val="none"/>
                <w:vertAlign w:val="superscript"/>
                <w:lang w:val="en-US" w:eastAsia="zh-CN"/>
              </w:rPr>
              <w:t>3</w:t>
            </w:r>
            <w:r>
              <w:rPr>
                <w:rFonts w:hint="default"/>
                <w:color w:val="auto"/>
                <w:sz w:val="24"/>
                <w:szCs w:val="24"/>
                <w:highlight w:val="none"/>
                <w:lang w:val="en-US" w:eastAsia="zh-CN"/>
              </w:rPr>
              <w:t>/a。</w:t>
            </w:r>
          </w:p>
          <w:p w14:paraId="67E422A6">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pPr>
            <w:r>
              <w:rPr>
                <w:rFonts w:hint="eastAsia"/>
                <w:color w:val="auto"/>
                <w:sz w:val="24"/>
                <w:szCs w:val="24"/>
                <w:highlight w:val="none"/>
                <w:lang w:eastAsia="zh-CN"/>
              </w:rPr>
              <w:t>（</w:t>
            </w:r>
            <w:r>
              <w:rPr>
                <w:rFonts w:hint="eastAsia"/>
                <w:color w:val="auto"/>
                <w:sz w:val="24"/>
                <w:szCs w:val="24"/>
                <w:highlight w:val="none"/>
                <w:lang w:val="en-US" w:eastAsia="zh-CN"/>
              </w:rPr>
              <w:t>4）</w:t>
            </w:r>
            <w:r>
              <w:rPr>
                <w:spacing w:val="-2"/>
              </w:rPr>
              <w:t>清洗用水</w:t>
            </w:r>
          </w:p>
          <w:p w14:paraId="31C3BFA7">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项目单个水洗槽有效容积为0.48m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，每10天更换一次新鲜水，共有3个水洗槽，则清洗用水量为51.26m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/a（0.48*356/10*3），其中除油前清洗用水量为17.09m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/a，除油后清洗用水量为17.09m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/a，钝化后清洗用水量为17.09m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/a。清洗用水主要来源是废水处理设施，损耗水量由自来水补充。</w:t>
            </w:r>
          </w:p>
          <w:p w14:paraId="5E0B1F39">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项目营运期生产废水主要有除油前清洗废水、除油后清洗废水和钝化后清洗废水。</w:t>
            </w:r>
            <w:r>
              <w:rPr>
                <w:rFonts w:hint="eastAsia"/>
                <w:color w:val="auto"/>
                <w:sz w:val="24"/>
                <w:szCs w:val="24"/>
                <w:highlight w:val="none"/>
                <w:lang w:val="en-US" w:eastAsia="zh-CN"/>
              </w:rPr>
              <w:t>除油废液</w:t>
            </w:r>
            <w:r>
              <w:rPr>
                <w:rFonts w:hint="default"/>
                <w:color w:val="auto"/>
                <w:sz w:val="24"/>
                <w:szCs w:val="24"/>
                <w:highlight w:val="none"/>
                <w:lang w:val="en-US" w:eastAsia="zh-CN"/>
              </w:rPr>
              <w:t>和</w:t>
            </w:r>
            <w:r>
              <w:rPr>
                <w:rFonts w:hint="eastAsia"/>
                <w:color w:val="auto"/>
                <w:sz w:val="24"/>
                <w:szCs w:val="24"/>
                <w:highlight w:val="none"/>
                <w:lang w:val="en-US" w:eastAsia="zh-CN"/>
              </w:rPr>
              <w:t>钝化废液</w:t>
            </w:r>
            <w:r>
              <w:rPr>
                <w:rFonts w:hint="default"/>
                <w:color w:val="auto"/>
                <w:sz w:val="24"/>
                <w:szCs w:val="24"/>
                <w:highlight w:val="none"/>
                <w:lang w:val="en-US" w:eastAsia="zh-CN"/>
              </w:rPr>
              <w:t>作危险废物委托有资质单位处置。</w:t>
            </w:r>
          </w:p>
          <w:p w14:paraId="68C708F4">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①除油前清洗废水：产生量以用水量的90%计，约</w:t>
            </w:r>
            <w:r>
              <w:rPr>
                <w:rFonts w:hint="eastAsia"/>
                <w:color w:val="auto"/>
                <w:sz w:val="24"/>
                <w:szCs w:val="24"/>
                <w:highlight w:val="none"/>
                <w:lang w:val="en-US" w:eastAsia="zh-CN"/>
              </w:rPr>
              <w:t>15.38</w:t>
            </w:r>
            <w:r>
              <w:rPr>
                <w:rFonts w:hint="default"/>
                <w:color w:val="auto"/>
                <w:sz w:val="24"/>
                <w:szCs w:val="24"/>
                <w:highlight w:val="none"/>
                <w:lang w:val="en-US" w:eastAsia="zh-CN"/>
              </w:rPr>
              <w:t>t/a。</w:t>
            </w:r>
          </w:p>
          <w:p w14:paraId="7B82F6F8">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②除油后清洗废水：除油后清洗废水产生量以用水量的9</w:t>
            </w:r>
            <w:r>
              <w:rPr>
                <w:rFonts w:hint="eastAsia"/>
                <w:color w:val="auto"/>
                <w:sz w:val="24"/>
                <w:szCs w:val="24"/>
                <w:highlight w:val="none"/>
                <w:lang w:val="en-US" w:eastAsia="zh-CN"/>
              </w:rPr>
              <w:t>0</w:t>
            </w:r>
            <w:r>
              <w:rPr>
                <w:rFonts w:hint="default"/>
                <w:color w:val="auto"/>
                <w:sz w:val="24"/>
                <w:szCs w:val="24"/>
                <w:highlight w:val="none"/>
                <w:lang w:val="en-US" w:eastAsia="zh-CN"/>
              </w:rPr>
              <w:t>%计，约</w:t>
            </w:r>
            <w:r>
              <w:rPr>
                <w:rFonts w:hint="eastAsia"/>
                <w:color w:val="auto"/>
                <w:sz w:val="24"/>
                <w:szCs w:val="24"/>
                <w:highlight w:val="none"/>
                <w:lang w:val="en-US" w:eastAsia="zh-CN"/>
              </w:rPr>
              <w:t>15.38</w:t>
            </w:r>
            <w:r>
              <w:rPr>
                <w:rFonts w:hint="default"/>
                <w:color w:val="auto"/>
                <w:sz w:val="24"/>
                <w:szCs w:val="24"/>
                <w:highlight w:val="none"/>
                <w:lang w:val="en-US" w:eastAsia="zh-CN"/>
              </w:rPr>
              <w:t>t/a。</w:t>
            </w:r>
          </w:p>
          <w:p w14:paraId="590B1CC3">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default"/>
                <w:color w:val="auto"/>
                <w:sz w:val="24"/>
                <w:szCs w:val="24"/>
                <w:highlight w:val="none"/>
                <w:lang w:val="en-US" w:eastAsia="zh-CN"/>
              </w:rPr>
            </w:pPr>
            <w:r>
              <w:rPr>
                <w:rFonts w:hint="default"/>
                <w:color w:val="auto"/>
                <w:sz w:val="24"/>
                <w:szCs w:val="24"/>
                <w:highlight w:val="none"/>
                <w:lang w:val="en-US" w:eastAsia="zh-CN"/>
              </w:rPr>
              <w:t>③钝化后清洗废水：产生量以用水量的95%计，约</w:t>
            </w:r>
            <w:r>
              <w:rPr>
                <w:rFonts w:hint="eastAsia"/>
                <w:color w:val="auto"/>
                <w:sz w:val="24"/>
                <w:szCs w:val="24"/>
                <w:highlight w:val="none"/>
                <w:lang w:val="en-US" w:eastAsia="zh-CN"/>
              </w:rPr>
              <w:t>16.24</w:t>
            </w:r>
            <w:r>
              <w:rPr>
                <w:rFonts w:hint="default"/>
                <w:color w:val="auto"/>
                <w:sz w:val="24"/>
                <w:szCs w:val="24"/>
                <w:highlight w:val="none"/>
                <w:lang w:val="en-US" w:eastAsia="zh-CN"/>
              </w:rPr>
              <w:t>t/a。</w:t>
            </w:r>
          </w:p>
          <w:p w14:paraId="05835083">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④除油废液和钝化废液：除油液和钝化液每年更换一次，平时视情况不定期补充除油剂、钝化剂。</w:t>
            </w:r>
          </w:p>
          <w:p w14:paraId="70679A94">
            <w:pPr>
              <w:pStyle w:val="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项目生产废水经管道排入自建废水处理设施处理，回用于清洗工序，不外排。</w:t>
            </w:r>
          </w:p>
          <w:p w14:paraId="52ABDC43">
            <w:pPr>
              <w:pStyle w:val="40"/>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outlineLvl w:val="9"/>
              <w:rPr>
                <w:rFonts w:hint="eastAsia" w:ascii="Times New Roman" w:hAnsi="Times New Roman" w:eastAsia="宋体" w:cs="Times New Roman"/>
                <w:b w:val="0"/>
                <w:bCs/>
                <w:color w:val="auto"/>
                <w:sz w:val="24"/>
                <w:lang w:val="en-US" w:eastAsia="zh-CN"/>
              </w:rPr>
            </w:pPr>
            <w:bookmarkStart w:id="31" w:name="_Toc11791"/>
            <w:r>
              <w:rPr>
                <w:rFonts w:hint="eastAsia" w:ascii="Times New Roman" w:hAnsi="Times New Roman" w:eastAsia="宋体" w:cs="Times New Roman"/>
                <w:b w:val="0"/>
                <w:bCs/>
                <w:color w:val="auto"/>
                <w:sz w:val="24"/>
                <w:lang w:val="en-US" w:eastAsia="zh-CN"/>
              </w:rPr>
              <w:t>项目水平衡图详见图2.1-1。</w:t>
            </w:r>
            <w:bookmarkEnd w:id="31"/>
          </w:p>
          <w:p w14:paraId="2372C171">
            <w:pPr>
              <w:pStyle w:val="40"/>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drawing>
                <wp:inline distT="0" distB="0" distL="114300" distR="114300">
                  <wp:extent cx="5288915" cy="4312285"/>
                  <wp:effectExtent l="0" t="0" r="0" b="0"/>
                  <wp:docPr id="143" name="ECB019B1-382A-4266-B25C-5B523AA43C14-1" descr="C:/Users/Administrator/AppData/Local/Temp/wps.lVmuf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CB019B1-382A-4266-B25C-5B523AA43C14-1" descr="C:/Users/Administrator/AppData/Local/Temp/wps.lVmufrwps"/>
                          <pic:cNvPicPr>
                            <a:picLocks noChangeAspect="1"/>
                          </pic:cNvPicPr>
                        </pic:nvPicPr>
                        <pic:blipFill>
                          <a:blip r:embed="rId9"/>
                          <a:stretch>
                            <a:fillRect/>
                          </a:stretch>
                        </pic:blipFill>
                        <pic:spPr>
                          <a:xfrm>
                            <a:off x="0" y="0"/>
                            <a:ext cx="5288915" cy="4312285"/>
                          </a:xfrm>
                          <a:prstGeom prst="rect">
                            <a:avLst/>
                          </a:prstGeom>
                        </pic:spPr>
                      </pic:pic>
                    </a:graphicData>
                  </a:graphic>
                </wp:inline>
              </w:drawing>
            </w:r>
          </w:p>
          <w:p w14:paraId="007FAA55">
            <w:pPr>
              <w:pStyle w:val="40"/>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auto"/>
                <w:sz w:val="24"/>
                <w:szCs w:val="24"/>
                <w:lang w:val="en-US" w:eastAsia="zh-CN"/>
              </w:rPr>
            </w:pPr>
            <w:bookmarkStart w:id="32" w:name="_Toc7512"/>
            <w:r>
              <w:rPr>
                <w:rFonts w:hint="default" w:ascii="Times New Roman" w:hAnsi="Times New Roman" w:eastAsia="宋体" w:cs="Times New Roman"/>
                <w:b/>
                <w:bCs w:val="0"/>
                <w:color w:val="auto"/>
                <w:sz w:val="24"/>
                <w:szCs w:val="24"/>
                <w:lang w:val="en-US" w:eastAsia="zh-CN"/>
              </w:rPr>
              <w:t>图2.1-1 项目水平衡图（单位：t/</w:t>
            </w:r>
            <w:r>
              <w:rPr>
                <w:rFonts w:hint="eastAsia" w:cs="Times New Roman"/>
                <w:b/>
                <w:bCs w:val="0"/>
                <w:color w:val="auto"/>
                <w:sz w:val="24"/>
                <w:szCs w:val="24"/>
                <w:lang w:val="en-US" w:eastAsia="zh-CN"/>
              </w:rPr>
              <w:t>a</w:t>
            </w:r>
            <w:r>
              <w:rPr>
                <w:rFonts w:hint="default" w:ascii="Times New Roman" w:hAnsi="Times New Roman" w:eastAsia="宋体" w:cs="Times New Roman"/>
                <w:b/>
                <w:bCs w:val="0"/>
                <w:color w:val="auto"/>
                <w:sz w:val="24"/>
                <w:szCs w:val="24"/>
                <w:lang w:val="en-US" w:eastAsia="zh-CN"/>
              </w:rPr>
              <w:t>）</w:t>
            </w:r>
            <w:bookmarkEnd w:id="32"/>
          </w:p>
          <w:p w14:paraId="1672FC1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3" w:name="_Toc32588"/>
            <w:r>
              <w:rPr>
                <w:rFonts w:hint="eastAsia" w:ascii="Times New Roman" w:hAnsi="Times New Roman" w:eastAsia="宋体" w:cs="Times New Roman"/>
                <w:b/>
                <w:bCs/>
                <w:color w:val="auto"/>
                <w:sz w:val="24"/>
                <w:szCs w:val="24"/>
                <w:u w:val="none"/>
                <w:lang w:val="en-US" w:eastAsia="zh-CN"/>
              </w:rPr>
              <w:t>2.2.8项目平面布置合理性分析</w:t>
            </w:r>
            <w:bookmarkEnd w:id="33"/>
          </w:p>
          <w:p w14:paraId="64912F36">
            <w:pPr>
              <w:spacing w:line="360" w:lineRule="auto"/>
              <w:ind w:firstLine="480" w:firstLineChars="200"/>
              <w:rPr>
                <w:color w:val="auto"/>
                <w:sz w:val="24"/>
                <w:highlight w:val="none"/>
              </w:rPr>
            </w:pPr>
            <w:r>
              <w:rPr>
                <w:color w:val="auto"/>
                <w:sz w:val="24"/>
              </w:rPr>
              <w:t>项目</w:t>
            </w:r>
            <w:r>
              <w:rPr>
                <w:rFonts w:hint="eastAsia" w:ascii="Times New Roman" w:hAnsi="Times New Roman" w:eastAsia="宋体" w:cs="Times New Roman"/>
                <w:color w:val="auto"/>
                <w:sz w:val="21"/>
                <w:szCs w:val="21"/>
                <w:highlight w:val="none"/>
                <w:vertAlign w:val="baseline"/>
                <w:lang w:val="en-US" w:eastAsia="zh-CN"/>
              </w:rPr>
              <w:t>一</w:t>
            </w:r>
            <w:r>
              <w:rPr>
                <w:rFonts w:hint="eastAsia"/>
                <w:color w:val="auto"/>
                <w:sz w:val="24"/>
                <w:lang w:val="en-US" w:eastAsia="zh-CN"/>
              </w:rPr>
              <w:t>层、二层主要为工业连接器生产线、三层为工业线缆生产线</w:t>
            </w:r>
            <w:r>
              <w:rPr>
                <w:rFonts w:hint="eastAsia"/>
                <w:color w:val="auto"/>
                <w:sz w:val="24"/>
              </w:rPr>
              <w:t>等</w:t>
            </w:r>
            <w:r>
              <w:rPr>
                <w:color w:val="auto"/>
                <w:sz w:val="24"/>
              </w:rPr>
              <w:t>，此平面布置方案功能划分相对清晰，各</w:t>
            </w:r>
            <w:r>
              <w:rPr>
                <w:rFonts w:hint="eastAsia"/>
                <w:color w:val="auto"/>
                <w:sz w:val="24"/>
                <w:lang w:eastAsia="zh-CN"/>
              </w:rPr>
              <w:t>区域</w:t>
            </w:r>
            <w:r>
              <w:rPr>
                <w:color w:val="auto"/>
                <w:sz w:val="24"/>
              </w:rPr>
              <w:t>之间物流顺畅，运输距离较短，有利于生产布置。在满足生产条件要求的前提下，充分利用厂区空间进行设备布置，布局紧凑，生产流程比较流畅，布局基本合理。</w:t>
            </w:r>
            <w:r>
              <w:rPr>
                <w:color w:val="auto"/>
                <w:sz w:val="24"/>
                <w:highlight w:val="none"/>
              </w:rPr>
              <w:t>车间平面布置图详见</w:t>
            </w:r>
            <w:r>
              <w:rPr>
                <w:b/>
                <w:bCs/>
                <w:color w:val="auto"/>
                <w:sz w:val="24"/>
                <w:highlight w:val="none"/>
              </w:rPr>
              <w:t>附图</w:t>
            </w:r>
            <w:r>
              <w:rPr>
                <w:rFonts w:hint="eastAsia"/>
                <w:b/>
                <w:bCs/>
                <w:color w:val="auto"/>
                <w:sz w:val="24"/>
                <w:highlight w:val="none"/>
                <w:lang w:val="en-US" w:eastAsia="zh-CN"/>
              </w:rPr>
              <w:t>五</w:t>
            </w:r>
            <w:r>
              <w:rPr>
                <w:color w:val="auto"/>
                <w:sz w:val="24"/>
                <w:highlight w:val="none"/>
              </w:rPr>
              <w:t>。</w:t>
            </w:r>
          </w:p>
          <w:p w14:paraId="0A010316">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eastAsia" w:ascii="Times New Roman" w:hAnsi="Times New Roman" w:eastAsia="宋体"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rPr>
              <w:t>，说明其下风向</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受污染</w:t>
            </w:r>
            <w:r>
              <w:rPr>
                <w:rFonts w:hint="eastAsia" w:ascii="Times New Roman" w:hAnsi="Times New Roman" w:eastAsia="宋体" w:cs="Times New Roman"/>
                <w:color w:val="auto"/>
                <w:sz w:val="24"/>
                <w:szCs w:val="24"/>
                <w:highlight w:val="none"/>
                <w:lang w:eastAsia="zh-CN"/>
              </w:rPr>
              <w:t>的概率</w:t>
            </w:r>
            <w:r>
              <w:rPr>
                <w:rFonts w:hint="eastAsia" w:cs="Times New Roman"/>
                <w:color w:val="auto"/>
                <w:sz w:val="24"/>
                <w:szCs w:val="24"/>
                <w:highlight w:val="none"/>
                <w:lang w:val="en-US" w:eastAsia="zh-CN"/>
              </w:rPr>
              <w:t>较</w:t>
            </w:r>
            <w:r>
              <w:rPr>
                <w:rFonts w:hint="default" w:ascii="Times New Roman" w:hAnsi="Times New Roman" w:eastAsia="宋体" w:cs="Times New Roman"/>
                <w:color w:val="auto"/>
                <w:sz w:val="24"/>
                <w:szCs w:val="24"/>
                <w:highlight w:val="none"/>
              </w:rPr>
              <w:t>高</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将</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ascii="Times New Roman" w:hAnsi="Times New Roman" w:eastAsia="宋体" w:cs="Times New Roman"/>
                <w:color w:val="auto"/>
                <w:sz w:val="24"/>
                <w:szCs w:val="24"/>
                <w:highlight w:val="none"/>
                <w:lang w:val="en-US" w:eastAsia="zh-CN"/>
              </w:rPr>
              <w:t>北侧区域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default" w:ascii="Times New Roman" w:hAnsi="Times New Roman" w:eastAsia="宋体" w:cs="Times New Roman"/>
                <w:color w:val="auto"/>
                <w:sz w:val="24"/>
                <w:szCs w:val="24"/>
                <w:highlight w:val="none"/>
                <w:lang w:eastAsia="zh-CN"/>
              </w:rPr>
              <w:t>拟将</w:t>
            </w:r>
            <w:r>
              <w:rPr>
                <w:rFonts w:hint="eastAsia" w:cs="Times New Roman"/>
                <w:color w:val="auto"/>
                <w:sz w:val="24"/>
                <w:szCs w:val="24"/>
                <w:highlight w:val="none"/>
                <w:lang w:eastAsia="zh-CN"/>
              </w:rPr>
              <w:t>危险废物储存库</w:t>
            </w:r>
            <w:r>
              <w:rPr>
                <w:rFonts w:hint="default" w:ascii="Times New Roman" w:hAnsi="Times New Roman" w:eastAsia="宋体" w:cs="Times New Roman"/>
                <w:color w:val="auto"/>
                <w:sz w:val="24"/>
                <w:szCs w:val="24"/>
                <w:highlight w:val="none"/>
                <w:lang w:eastAsia="zh-CN"/>
              </w:rPr>
              <w:t>设置于</w:t>
            </w:r>
            <w:r>
              <w:rPr>
                <w:rFonts w:hint="eastAsia" w:ascii="Times New Roman" w:hAnsi="Times New Roman" w:eastAsia="宋体" w:cs="Times New Roman"/>
                <w:color w:val="auto"/>
                <w:sz w:val="24"/>
                <w:szCs w:val="24"/>
                <w:highlight w:val="none"/>
                <w:lang w:val="en-US" w:eastAsia="zh-CN"/>
              </w:rPr>
              <w:t>车间西南侧区域</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p>
          <w:p w14:paraId="4B1A5F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color w:val="auto"/>
                <w:sz w:val="24"/>
                <w:szCs w:val="24"/>
                <w:highlight w:val="none"/>
              </w:rPr>
              <w:t>综上所述，本项目的布置基本合理。</w:t>
            </w:r>
          </w:p>
        </w:tc>
      </w:tr>
    </w:tbl>
    <w:p w14:paraId="25A567E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sz w:val="24"/>
          <w:szCs w:val="24"/>
        </w:rPr>
      </w:pPr>
      <w:r>
        <w:rPr>
          <w:rFonts w:ascii="Times New Roman" w:hAnsi="Times New Roman"/>
          <w:sz w:val="24"/>
          <w:szCs w:val="24"/>
        </w:rPr>
        <w:br w:type="page"/>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2"/>
      </w:tblGrid>
      <w:tr w14:paraId="43EB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3" w:hRule="atLeast"/>
        </w:trPr>
        <w:tc>
          <w:tcPr>
            <w:tcW w:w="244" w:type="pct"/>
            <w:vAlign w:val="center"/>
          </w:tcPr>
          <w:p w14:paraId="64EA83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sz w:val="24"/>
                <w:szCs w:val="24"/>
              </w:rPr>
              <w:t>工艺流程和产排污环节</w:t>
            </w:r>
          </w:p>
        </w:tc>
        <w:tc>
          <w:tcPr>
            <w:tcW w:w="4755" w:type="pct"/>
            <w:vAlign w:val="top"/>
          </w:tcPr>
          <w:p w14:paraId="0694E10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sz w:val="28"/>
                <w:szCs w:val="28"/>
                <w:u w:val="none"/>
                <w:lang w:val="en-US" w:eastAsia="zh-CN"/>
              </w:rPr>
            </w:pPr>
            <w:bookmarkStart w:id="34" w:name="_Toc11954"/>
            <w:r>
              <w:rPr>
                <w:rFonts w:hint="eastAsia" w:ascii="Times New Roman" w:hAnsi="Times New Roman" w:eastAsia="宋体" w:cs="Times New Roman"/>
                <w:color w:val="auto"/>
                <w:sz w:val="28"/>
                <w:szCs w:val="28"/>
                <w:u w:val="none"/>
                <w:lang w:val="en-US" w:eastAsia="zh-CN"/>
              </w:rPr>
              <w:t>2.3</w:t>
            </w:r>
            <w:r>
              <w:rPr>
                <w:rFonts w:hint="eastAsia" w:ascii="Times New Roman" w:hAnsi="Times New Roman" w:cs="Times New Roman"/>
                <w:color w:val="auto"/>
                <w:sz w:val="28"/>
                <w:szCs w:val="28"/>
                <w:u w:val="none"/>
                <w:lang w:val="en-US" w:eastAsia="zh-CN"/>
              </w:rPr>
              <w:t>项目</w:t>
            </w:r>
            <w:r>
              <w:rPr>
                <w:rFonts w:hint="eastAsia" w:ascii="Times New Roman" w:hAnsi="Times New Roman" w:eastAsia="宋体" w:cs="Times New Roman"/>
                <w:color w:val="auto"/>
                <w:sz w:val="28"/>
                <w:szCs w:val="28"/>
                <w:u w:val="none"/>
                <w:lang w:val="en-US" w:eastAsia="zh-CN"/>
              </w:rPr>
              <w:t>生产工艺</w:t>
            </w:r>
            <w:r>
              <w:rPr>
                <w:rFonts w:hint="eastAsia" w:ascii="Times New Roman" w:hAnsi="Times New Roman" w:cs="Times New Roman"/>
                <w:color w:val="auto"/>
                <w:sz w:val="28"/>
                <w:szCs w:val="28"/>
                <w:u w:val="none"/>
                <w:lang w:val="en-US" w:eastAsia="zh-CN"/>
              </w:rPr>
              <w:t>流程及产污环节</w:t>
            </w:r>
            <w:bookmarkEnd w:id="34"/>
          </w:p>
          <w:p w14:paraId="3598037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35" w:name="_Toc31825"/>
            <w:r>
              <w:rPr>
                <w:rFonts w:hint="eastAsia" w:ascii="Times New Roman" w:hAnsi="Times New Roman" w:eastAsia="宋体" w:cs="Times New Roman"/>
                <w:b/>
                <w:bCs/>
                <w:color w:val="auto"/>
                <w:sz w:val="24"/>
                <w:szCs w:val="24"/>
                <w:u w:val="none"/>
                <w:lang w:val="en-US" w:eastAsia="zh-CN"/>
              </w:rPr>
              <w:t>2.3.1项目工艺流程及工艺介绍</w:t>
            </w:r>
            <w:bookmarkEnd w:id="35"/>
          </w:p>
          <w:p w14:paraId="2ABD37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outlineLvl w:val="9"/>
              <w:rPr>
                <w:rFonts w:hint="eastAsia"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（一）</w:t>
            </w:r>
            <w:r>
              <w:rPr>
                <w:rFonts w:hint="eastAsia" w:cs="Times New Roman"/>
                <w:color w:val="auto"/>
                <w:sz w:val="24"/>
                <w:szCs w:val="24"/>
                <w:highlight w:val="none"/>
                <w:lang w:val="en-US" w:eastAsia="zh-CN"/>
              </w:rPr>
              <w:t>工业连接器生产工艺流程及产污环节详见图2.3-1。</w:t>
            </w:r>
          </w:p>
          <w:p w14:paraId="63F089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72"/>
                <w:szCs w:val="72"/>
                <w:highlight w:val="none"/>
                <w:lang w:val="en-US" w:eastAsia="zh-CN"/>
              </w:rPr>
            </w:pPr>
            <w:r>
              <w:rPr>
                <w:rFonts w:hint="eastAsia" w:cs="Times New Roman"/>
                <w:b/>
                <w:bCs/>
                <w:i/>
                <w:iCs/>
                <w:color w:val="auto"/>
                <w:sz w:val="72"/>
                <w:szCs w:val="72"/>
                <w:highlight w:val="none"/>
                <w:lang w:val="en-US" w:eastAsia="zh-CN"/>
              </w:rPr>
              <w:t>涉密删除</w:t>
            </w:r>
          </w:p>
          <w:p w14:paraId="7131AC1B">
            <w:pPr>
              <w:pStyle w:val="40"/>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bookmarkStart w:id="36" w:name="_Toc5034"/>
            <w:r>
              <w:rPr>
                <w:rFonts w:hint="eastAsia" w:ascii="Times New Roman" w:hAnsi="Times New Roman" w:eastAsia="宋体" w:cs="Times New Roman"/>
                <w:b/>
                <w:bCs w:val="0"/>
                <w:color w:val="auto"/>
                <w:sz w:val="24"/>
                <w:szCs w:val="24"/>
                <w:highlight w:val="none"/>
                <w:lang w:val="en-US" w:eastAsia="zh-CN"/>
              </w:rPr>
              <w:t xml:space="preserve">图2.3-1 </w:t>
            </w:r>
            <w:r>
              <w:rPr>
                <w:rFonts w:hint="eastAsia" w:cs="Times New Roman"/>
                <w:color w:val="auto"/>
                <w:sz w:val="24"/>
                <w:szCs w:val="24"/>
                <w:highlight w:val="none"/>
                <w:lang w:val="en-US" w:eastAsia="zh-CN"/>
              </w:rPr>
              <w:t>工业连接器</w:t>
            </w:r>
            <w:r>
              <w:rPr>
                <w:rFonts w:hint="eastAsia" w:ascii="Times New Roman" w:hAnsi="Times New Roman" w:eastAsia="宋体" w:cs="Times New Roman"/>
                <w:b/>
                <w:bCs w:val="0"/>
                <w:color w:val="auto"/>
                <w:sz w:val="24"/>
                <w:szCs w:val="24"/>
                <w:highlight w:val="none"/>
                <w:lang w:val="en-US" w:eastAsia="zh-CN"/>
              </w:rPr>
              <w:t>生产工艺流程图</w:t>
            </w:r>
            <w:bookmarkEnd w:id="36"/>
          </w:p>
          <w:p w14:paraId="4B041CC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工业连接器工艺说明：</w:t>
            </w:r>
          </w:p>
          <w:p w14:paraId="3C01917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72"/>
                <w:szCs w:val="72"/>
                <w:highlight w:val="none"/>
                <w:lang w:val="en-US" w:eastAsia="zh-CN"/>
              </w:rPr>
            </w:pPr>
            <w:r>
              <w:rPr>
                <w:rFonts w:hint="eastAsia" w:cs="Times New Roman"/>
                <w:b/>
                <w:bCs/>
                <w:i/>
                <w:iCs/>
                <w:color w:val="auto"/>
                <w:sz w:val="72"/>
                <w:szCs w:val="72"/>
                <w:highlight w:val="none"/>
                <w:lang w:val="en-US" w:eastAsia="zh-CN"/>
              </w:rPr>
              <w:t>涉密删除</w:t>
            </w:r>
          </w:p>
          <w:p w14:paraId="7BAC1049">
            <w:pPr>
              <w:pStyle w:val="22"/>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420" w:leftChars="0" w:right="0" w:rightChars="0"/>
              <w:jc w:val="both"/>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工业线缆生产工艺流程及产污环节详见图2.3-2。</w:t>
            </w:r>
          </w:p>
          <w:p w14:paraId="38A11F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72"/>
                <w:szCs w:val="72"/>
                <w:highlight w:val="none"/>
                <w:lang w:val="en-US" w:eastAsia="zh-CN"/>
              </w:rPr>
            </w:pPr>
            <w:r>
              <w:rPr>
                <w:rFonts w:hint="eastAsia" w:cs="Times New Roman"/>
                <w:b/>
                <w:bCs/>
                <w:i/>
                <w:iCs/>
                <w:color w:val="auto"/>
                <w:sz w:val="72"/>
                <w:szCs w:val="72"/>
                <w:highlight w:val="none"/>
                <w:lang w:val="en-US" w:eastAsia="zh-CN"/>
              </w:rPr>
              <w:t>涉密删除</w:t>
            </w:r>
          </w:p>
          <w:p w14:paraId="70163861">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rightChars="0"/>
              <w:textAlignment w:val="auto"/>
              <w:outlineLvl w:val="9"/>
              <w:rPr>
                <w:rFonts w:hint="default" w:cs="Times New Roman"/>
                <w:color w:val="auto"/>
                <w:sz w:val="24"/>
                <w:szCs w:val="24"/>
                <w:highlight w:val="none"/>
                <w:lang w:val="en-US" w:eastAsia="zh-CN"/>
              </w:rPr>
            </w:pPr>
          </w:p>
          <w:p w14:paraId="3EE85FEC">
            <w:pPr>
              <w:pStyle w:val="2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rightChars="0" w:firstLine="482" w:firstLineChars="200"/>
              <w:textAlignment w:val="auto"/>
              <w:outlineLvl w:val="9"/>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工业线缆工艺说明：</w:t>
            </w:r>
          </w:p>
          <w:p w14:paraId="371BCC5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cs="Times New Roman"/>
                <w:b/>
                <w:bCs/>
                <w:i/>
                <w:iCs/>
                <w:color w:val="auto"/>
                <w:sz w:val="72"/>
                <w:szCs w:val="72"/>
                <w:highlight w:val="none"/>
                <w:lang w:val="en-US" w:eastAsia="zh-CN"/>
              </w:rPr>
            </w:pPr>
            <w:bookmarkStart w:id="37" w:name="_Toc11700"/>
            <w:r>
              <w:rPr>
                <w:rFonts w:hint="eastAsia" w:cs="Times New Roman"/>
                <w:b/>
                <w:bCs/>
                <w:i/>
                <w:iCs/>
                <w:color w:val="auto"/>
                <w:sz w:val="72"/>
                <w:szCs w:val="72"/>
                <w:highlight w:val="none"/>
                <w:lang w:val="en-US" w:eastAsia="zh-CN"/>
              </w:rPr>
              <w:t>涉密删除</w:t>
            </w:r>
          </w:p>
          <w:p w14:paraId="533E0E5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2.3.2产污环节分析</w:t>
            </w:r>
            <w:bookmarkEnd w:id="37"/>
          </w:p>
          <w:p w14:paraId="5FE6E8A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项目产污环节分析情况一览表详见表2.3-1</w:t>
            </w:r>
            <w:r>
              <w:rPr>
                <w:rFonts w:hint="eastAsia" w:ascii="Times New Roman" w:hAnsi="Times New Roman" w:cs="Times New Roman"/>
                <w:b w:val="0"/>
                <w:bCs w:val="0"/>
                <w:color w:val="auto"/>
                <w:kern w:val="0"/>
                <w:sz w:val="24"/>
                <w:szCs w:val="24"/>
                <w:highlight w:val="none"/>
                <w:u w:val="none"/>
                <w:lang w:val="en-US" w:eastAsia="zh-CN" w:bidi="ar-SA"/>
              </w:rPr>
              <w:t>。</w:t>
            </w:r>
          </w:p>
          <w:p w14:paraId="63AA3C7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表2.3-1 项目产污环节分析一览表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447"/>
              <w:gridCol w:w="531"/>
              <w:gridCol w:w="1020"/>
              <w:gridCol w:w="2706"/>
              <w:gridCol w:w="488"/>
              <w:gridCol w:w="2977"/>
            </w:tblGrid>
            <w:tr w14:paraId="18AFD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0" w:type="auto"/>
                  <w:tcBorders>
                    <w:tl2br w:val="nil"/>
                    <w:tr2bl w:val="nil"/>
                  </w:tcBorders>
                  <w:vAlign w:val="center"/>
                </w:tcPr>
                <w:p w14:paraId="6A6E412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序号</w:t>
                  </w:r>
                </w:p>
              </w:tc>
              <w:tc>
                <w:tcPr>
                  <w:tcW w:w="992" w:type="dxa"/>
                  <w:gridSpan w:val="2"/>
                  <w:tcBorders>
                    <w:tl2br w:val="nil"/>
                    <w:tr2bl w:val="nil"/>
                  </w:tcBorders>
                  <w:vAlign w:val="center"/>
                </w:tcPr>
                <w:p w14:paraId="4BA9559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类别</w:t>
                  </w:r>
                </w:p>
              </w:tc>
              <w:tc>
                <w:tcPr>
                  <w:tcW w:w="1021" w:type="dxa"/>
                  <w:tcBorders>
                    <w:tl2br w:val="nil"/>
                    <w:tr2bl w:val="nil"/>
                  </w:tcBorders>
                  <w:vAlign w:val="center"/>
                </w:tcPr>
                <w:p w14:paraId="3A735B0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污染源/污染工段</w:t>
                  </w:r>
                </w:p>
              </w:tc>
              <w:tc>
                <w:tcPr>
                  <w:tcW w:w="0" w:type="auto"/>
                  <w:tcBorders>
                    <w:tl2br w:val="nil"/>
                    <w:tr2bl w:val="nil"/>
                  </w:tcBorders>
                  <w:vAlign w:val="center"/>
                </w:tcPr>
                <w:p w14:paraId="7D5041F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主要污染物</w:t>
                  </w:r>
                </w:p>
              </w:tc>
              <w:tc>
                <w:tcPr>
                  <w:tcW w:w="0" w:type="auto"/>
                  <w:tcBorders>
                    <w:tl2br w:val="nil"/>
                    <w:tr2bl w:val="nil"/>
                  </w:tcBorders>
                  <w:vAlign w:val="center"/>
                </w:tcPr>
                <w:p w14:paraId="59FF63C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排放周期</w:t>
                  </w:r>
                </w:p>
              </w:tc>
              <w:tc>
                <w:tcPr>
                  <w:tcW w:w="0" w:type="auto"/>
                  <w:tcBorders>
                    <w:tl2br w:val="nil"/>
                    <w:tr2bl w:val="nil"/>
                  </w:tcBorders>
                  <w:vAlign w:val="center"/>
                </w:tcPr>
                <w:p w14:paraId="1798D42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环保措施</w:t>
                  </w:r>
                </w:p>
              </w:tc>
            </w:tr>
            <w:tr w14:paraId="51713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tcBorders>
                    <w:tl2br w:val="nil"/>
                    <w:tr2bl w:val="nil"/>
                  </w:tcBorders>
                  <w:vAlign w:val="center"/>
                </w:tcPr>
                <w:p w14:paraId="18AFDFB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1</w:t>
                  </w:r>
                </w:p>
              </w:tc>
              <w:tc>
                <w:tcPr>
                  <w:tcW w:w="992" w:type="dxa"/>
                  <w:gridSpan w:val="2"/>
                  <w:vMerge w:val="restart"/>
                  <w:tcBorders>
                    <w:tl2br w:val="nil"/>
                    <w:tr2bl w:val="nil"/>
                  </w:tcBorders>
                  <w:vAlign w:val="center"/>
                </w:tcPr>
                <w:p w14:paraId="76BD981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废水</w:t>
                  </w:r>
                </w:p>
              </w:tc>
              <w:tc>
                <w:tcPr>
                  <w:tcW w:w="1021" w:type="dxa"/>
                  <w:tcBorders>
                    <w:tl2br w:val="nil"/>
                    <w:tr2bl w:val="nil"/>
                  </w:tcBorders>
                  <w:vAlign w:val="center"/>
                </w:tcPr>
                <w:p w14:paraId="46DF0A2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冷却工序</w:t>
                  </w:r>
                </w:p>
              </w:tc>
              <w:tc>
                <w:tcPr>
                  <w:tcW w:w="0" w:type="auto"/>
                  <w:tcBorders>
                    <w:tl2br w:val="nil"/>
                    <w:tr2bl w:val="nil"/>
                  </w:tcBorders>
                  <w:vAlign w:val="center"/>
                </w:tcPr>
                <w:p w14:paraId="698C377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w:t>
                  </w:r>
                </w:p>
              </w:tc>
              <w:tc>
                <w:tcPr>
                  <w:tcW w:w="0" w:type="auto"/>
                  <w:tcBorders>
                    <w:tl2br w:val="nil"/>
                    <w:tr2bl w:val="nil"/>
                  </w:tcBorders>
                  <w:vAlign w:val="center"/>
                </w:tcPr>
                <w:p w14:paraId="456B455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w:t>
                  </w:r>
                </w:p>
              </w:tc>
              <w:tc>
                <w:tcPr>
                  <w:tcW w:w="0" w:type="auto"/>
                  <w:tcBorders>
                    <w:tl2br w:val="nil"/>
                    <w:tr2bl w:val="nil"/>
                  </w:tcBorders>
                  <w:vAlign w:val="center"/>
                </w:tcPr>
                <w:p w14:paraId="4CFF052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kern w:val="0"/>
                      <w:sz w:val="21"/>
                      <w:szCs w:val="21"/>
                    </w:rPr>
                    <w:t>冷却水循环使用不外排，定期补充新鲜用水</w:t>
                  </w:r>
                  <w:r>
                    <w:rPr>
                      <w:rFonts w:hint="eastAsia" w:ascii="Times New Roman" w:hAnsi="Times New Roman" w:eastAsia="宋体" w:cs="Times New Roman"/>
                      <w:kern w:val="0"/>
                      <w:sz w:val="21"/>
                      <w:szCs w:val="21"/>
                      <w:lang w:eastAsia="zh-CN"/>
                    </w:rPr>
                    <w:t>。</w:t>
                  </w:r>
                </w:p>
              </w:tc>
            </w:tr>
            <w:tr w14:paraId="5AA45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6BED66C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06B60EC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vAlign w:val="center"/>
                </w:tcPr>
                <w:p w14:paraId="7DB2302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除油前清洗废水</w:t>
                  </w:r>
                </w:p>
              </w:tc>
              <w:tc>
                <w:tcPr>
                  <w:tcW w:w="0" w:type="auto"/>
                  <w:tcBorders>
                    <w:tl2br w:val="nil"/>
                    <w:tr2bl w:val="nil"/>
                  </w:tcBorders>
                  <w:vAlign w:val="center"/>
                </w:tcPr>
                <w:p w14:paraId="7E4E760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SS、COD、石油类</w:t>
                  </w:r>
                </w:p>
              </w:tc>
              <w:tc>
                <w:tcPr>
                  <w:tcW w:w="0" w:type="auto"/>
                  <w:tcBorders>
                    <w:tl2br w:val="nil"/>
                    <w:tr2bl w:val="nil"/>
                  </w:tcBorders>
                  <w:vAlign w:val="center"/>
                </w:tcPr>
                <w:p w14:paraId="33BAFB1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vMerge w:val="restart"/>
                  <w:tcBorders>
                    <w:tl2br w:val="nil"/>
                    <w:tr2bl w:val="nil"/>
                  </w:tcBorders>
                  <w:vAlign w:val="center"/>
                </w:tcPr>
                <w:p w14:paraId="19BE25C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项目生产废水经管道排入自建</w:t>
                  </w:r>
                  <w:r>
                    <w:rPr>
                      <w:rFonts w:hint="eastAsia" w:ascii="Times New Roman" w:hAnsi="Times New Roman" w:cs="Times New Roman"/>
                      <w:kern w:val="0"/>
                      <w:sz w:val="21"/>
                      <w:szCs w:val="21"/>
                      <w:lang w:eastAsia="zh-CN"/>
                    </w:rPr>
                    <w:t>废水处理设施（</w:t>
                  </w:r>
                  <w:r>
                    <w:rPr>
                      <w:rFonts w:hint="eastAsia" w:ascii="Times New Roman" w:hAnsi="Times New Roman" w:cs="Times New Roman"/>
                      <w:kern w:val="0"/>
                      <w:sz w:val="21"/>
                      <w:szCs w:val="21"/>
                      <w:lang w:val="en-US" w:eastAsia="zh-CN"/>
                    </w:rPr>
                    <w:t>“气浮+A/O+沉淀”）</w:t>
                  </w:r>
                  <w:r>
                    <w:rPr>
                      <w:rFonts w:hint="default" w:ascii="Times New Roman" w:hAnsi="Times New Roman" w:eastAsia="宋体" w:cs="Times New Roman"/>
                      <w:kern w:val="0"/>
                      <w:sz w:val="21"/>
                      <w:szCs w:val="21"/>
                    </w:rPr>
                    <w:t>处理，回用于清洗工序，不外排。</w:t>
                  </w:r>
                </w:p>
              </w:tc>
            </w:tr>
            <w:tr w14:paraId="1D3B9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3C570A2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0F5B322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vAlign w:val="center"/>
                </w:tcPr>
                <w:p w14:paraId="5670866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除油后清洗废水</w:t>
                  </w:r>
                </w:p>
              </w:tc>
              <w:tc>
                <w:tcPr>
                  <w:tcW w:w="0" w:type="auto"/>
                  <w:tcBorders>
                    <w:tl2br w:val="nil"/>
                    <w:tr2bl w:val="nil"/>
                  </w:tcBorders>
                  <w:vAlign w:val="center"/>
                </w:tcPr>
                <w:p w14:paraId="6D3CE6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pH、SS、COD、石油类</w:t>
                  </w:r>
                </w:p>
              </w:tc>
              <w:tc>
                <w:tcPr>
                  <w:tcW w:w="0" w:type="auto"/>
                  <w:tcBorders>
                    <w:tl2br w:val="nil"/>
                    <w:tr2bl w:val="nil"/>
                  </w:tcBorders>
                  <w:vAlign w:val="center"/>
                </w:tcPr>
                <w:p w14:paraId="049D023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vMerge w:val="continue"/>
                  <w:tcBorders>
                    <w:tl2br w:val="nil"/>
                    <w:tr2bl w:val="nil"/>
                  </w:tcBorders>
                  <w:vAlign w:val="center"/>
                </w:tcPr>
                <w:p w14:paraId="4223B18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rPr>
                  </w:pPr>
                </w:p>
              </w:tc>
            </w:tr>
            <w:tr w14:paraId="3CC8C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0BAA6DA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7C301D3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vAlign w:val="center"/>
                </w:tcPr>
                <w:p w14:paraId="544DA66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钝化后清洗废水</w:t>
                  </w:r>
                </w:p>
              </w:tc>
              <w:tc>
                <w:tcPr>
                  <w:tcW w:w="0" w:type="auto"/>
                  <w:tcBorders>
                    <w:tl2br w:val="nil"/>
                    <w:tr2bl w:val="nil"/>
                  </w:tcBorders>
                  <w:vAlign w:val="center"/>
                </w:tcPr>
                <w:p w14:paraId="55A64D1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pH、SS、COD、石油类</w:t>
                  </w:r>
                </w:p>
              </w:tc>
              <w:tc>
                <w:tcPr>
                  <w:tcW w:w="0" w:type="auto"/>
                  <w:tcBorders>
                    <w:tl2br w:val="nil"/>
                    <w:tr2bl w:val="nil"/>
                  </w:tcBorders>
                  <w:vAlign w:val="center"/>
                </w:tcPr>
                <w:p w14:paraId="5A7FEF1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vMerge w:val="continue"/>
                  <w:tcBorders>
                    <w:tl2br w:val="nil"/>
                    <w:tr2bl w:val="nil"/>
                  </w:tcBorders>
                  <w:vAlign w:val="center"/>
                </w:tcPr>
                <w:p w14:paraId="225EE7E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kern w:val="0"/>
                      <w:sz w:val="21"/>
                      <w:szCs w:val="21"/>
                    </w:rPr>
                  </w:pPr>
                </w:p>
              </w:tc>
            </w:tr>
            <w:tr w14:paraId="1807A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26F4844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5F60D4C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vAlign w:val="center"/>
                </w:tcPr>
                <w:p w14:paraId="42CE7C9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生活用水</w:t>
                  </w:r>
                </w:p>
              </w:tc>
              <w:tc>
                <w:tcPr>
                  <w:tcW w:w="0" w:type="auto"/>
                  <w:tcBorders>
                    <w:tl2br w:val="nil"/>
                    <w:tr2bl w:val="nil"/>
                  </w:tcBorders>
                  <w:vAlign w:val="center"/>
                </w:tcPr>
                <w:p w14:paraId="781416D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pH、COD、BOD</w:t>
                  </w:r>
                  <w:r>
                    <w:rPr>
                      <w:rFonts w:hint="default" w:ascii="Times New Roman" w:hAnsi="Times New Roman" w:eastAsia="宋体" w:cs="Times New Roman"/>
                      <w:bCs/>
                      <w:color w:val="000000"/>
                      <w:sz w:val="21"/>
                      <w:szCs w:val="21"/>
                      <w:vertAlign w:val="subscript"/>
                    </w:rPr>
                    <w:t>5</w:t>
                  </w:r>
                  <w:r>
                    <w:rPr>
                      <w:rFonts w:hint="default" w:ascii="Times New Roman" w:hAnsi="Times New Roman" w:eastAsia="宋体" w:cs="Times New Roman"/>
                      <w:bCs/>
                      <w:color w:val="000000"/>
                      <w:sz w:val="21"/>
                      <w:szCs w:val="21"/>
                    </w:rPr>
                    <w:t>、SS、NH</w:t>
                  </w:r>
                  <w:r>
                    <w:rPr>
                      <w:rFonts w:hint="default" w:ascii="Times New Roman" w:hAnsi="Times New Roman" w:eastAsia="宋体" w:cs="Times New Roman"/>
                      <w:bCs/>
                      <w:color w:val="000000"/>
                      <w:sz w:val="21"/>
                      <w:szCs w:val="21"/>
                      <w:vertAlign w:val="subscript"/>
                    </w:rPr>
                    <w:t>3</w:t>
                  </w:r>
                  <w:r>
                    <w:rPr>
                      <w:rFonts w:hint="default" w:ascii="Times New Roman" w:hAnsi="Times New Roman" w:eastAsia="宋体" w:cs="Times New Roman"/>
                      <w:bCs/>
                      <w:color w:val="000000"/>
                      <w:sz w:val="21"/>
                      <w:szCs w:val="21"/>
                    </w:rPr>
                    <w:t>-N</w:t>
                  </w:r>
                </w:p>
              </w:tc>
              <w:tc>
                <w:tcPr>
                  <w:tcW w:w="0" w:type="auto"/>
                  <w:tcBorders>
                    <w:tl2br w:val="nil"/>
                    <w:tr2bl w:val="nil"/>
                  </w:tcBorders>
                  <w:vAlign w:val="center"/>
                </w:tcPr>
                <w:p w14:paraId="34F01D9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tcBorders>
                    <w:tl2br w:val="nil"/>
                    <w:tr2bl w:val="nil"/>
                  </w:tcBorders>
                  <w:vAlign w:val="center"/>
                </w:tcPr>
                <w:p w14:paraId="70A7CF9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000000"/>
                      <w:sz w:val="21"/>
                      <w:szCs w:val="21"/>
                    </w:rPr>
                    <w:t>经化</w:t>
                  </w:r>
                  <w:r>
                    <w:rPr>
                      <w:rFonts w:hint="default" w:ascii="Times New Roman" w:hAnsi="Times New Roman" w:eastAsia="宋体" w:cs="Times New Roman"/>
                      <w:bCs/>
                      <w:color w:val="auto"/>
                      <w:sz w:val="21"/>
                      <w:szCs w:val="21"/>
                    </w:rPr>
                    <w:t>粪池预处理后接入市政污水管网排入福清市融元污水处理厂集中处</w:t>
                  </w:r>
                  <w:r>
                    <w:rPr>
                      <w:rFonts w:hint="default" w:ascii="Times New Roman" w:hAnsi="Times New Roman" w:eastAsia="宋体" w:cs="Times New Roman"/>
                      <w:bCs/>
                      <w:color w:val="000000"/>
                      <w:sz w:val="21"/>
                      <w:szCs w:val="21"/>
                    </w:rPr>
                    <w:t>理</w:t>
                  </w:r>
                  <w:r>
                    <w:rPr>
                      <w:rFonts w:hint="eastAsia" w:ascii="Times New Roman" w:hAnsi="Times New Roman" w:eastAsia="宋体" w:cs="Times New Roman"/>
                      <w:bCs/>
                      <w:color w:val="000000"/>
                      <w:sz w:val="21"/>
                      <w:szCs w:val="21"/>
                      <w:lang w:eastAsia="zh-CN"/>
                    </w:rPr>
                    <w:t>。</w:t>
                  </w:r>
                </w:p>
              </w:tc>
            </w:tr>
            <w:tr w14:paraId="77F99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tcBorders>
                    <w:tl2br w:val="nil"/>
                    <w:tr2bl w:val="nil"/>
                  </w:tcBorders>
                  <w:vAlign w:val="center"/>
                </w:tcPr>
                <w:p w14:paraId="78C5CAB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2</w:t>
                  </w:r>
                </w:p>
              </w:tc>
              <w:tc>
                <w:tcPr>
                  <w:tcW w:w="992" w:type="dxa"/>
                  <w:gridSpan w:val="2"/>
                  <w:vMerge w:val="restart"/>
                  <w:tcBorders>
                    <w:tl2br w:val="nil"/>
                    <w:tr2bl w:val="nil"/>
                  </w:tcBorders>
                  <w:vAlign w:val="center"/>
                </w:tcPr>
                <w:p w14:paraId="7AB6109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1021" w:type="dxa"/>
                  <w:tcBorders>
                    <w:tl2br w:val="nil"/>
                    <w:tr2bl w:val="nil"/>
                  </w:tcBorders>
                  <w:shd w:val="clear" w:color="auto" w:fill="auto"/>
                  <w:vAlign w:val="center"/>
                </w:tcPr>
                <w:p w14:paraId="1B1C3FE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注塑</w:t>
                  </w: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、包胶、烘烤、除油</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r>
                    <w:rPr>
                      <w:rFonts w:hint="eastAsia" w:ascii="Times New Roman" w:hAnsi="Times New Roman" w:cs="Times New Roman"/>
                      <w:b w:val="0"/>
                      <w:bCs w:val="0"/>
                      <w:color w:val="auto"/>
                      <w:kern w:val="0"/>
                      <w:sz w:val="21"/>
                      <w:szCs w:val="21"/>
                      <w:highlight w:val="none"/>
                      <w:u w:val="none"/>
                      <w:vertAlign w:val="baseline"/>
                      <w:lang w:val="en-US" w:eastAsia="zh-CN" w:bidi="ar-SA"/>
                    </w:rPr>
                    <w:t>、投料废气</w:t>
                  </w:r>
                </w:p>
              </w:tc>
              <w:tc>
                <w:tcPr>
                  <w:tcW w:w="0" w:type="auto"/>
                  <w:tcBorders>
                    <w:tl2br w:val="nil"/>
                    <w:tr2bl w:val="nil"/>
                  </w:tcBorders>
                  <w:shd w:val="clear" w:color="auto" w:fill="auto"/>
                  <w:vAlign w:val="center"/>
                </w:tcPr>
                <w:p w14:paraId="31C0D91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pacing w:val="0"/>
                      <w:kern w:val="21"/>
                      <w:sz w:val="21"/>
                      <w:szCs w:val="21"/>
                      <w:highlight w:val="none"/>
                      <w:lang w:val="en-US" w:eastAsia="zh-CN"/>
                    </w:rPr>
                    <w:t>非甲烷总烃、氨、甲苯二异氰酸酯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TDI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、二苯基甲烷二异氰酸酯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MDI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、异佛尔酮二异氰酸酯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IPDI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、多亚甲基多苯基异氰酸酯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PAPI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、臭气浓度）</w:t>
                  </w:r>
                  <w:r>
                    <w:rPr>
                      <w:rFonts w:hint="eastAsia" w:ascii="Times New Roman" w:hAnsi="Times New Roman" w:cs="Times New Roman"/>
                      <w:b w:val="0"/>
                      <w:bCs w:val="0"/>
                      <w:color w:val="auto"/>
                      <w:kern w:val="0"/>
                      <w:sz w:val="21"/>
                      <w:szCs w:val="21"/>
                      <w:highlight w:val="none"/>
                      <w:u w:val="none"/>
                      <w:vertAlign w:val="baseline"/>
                      <w:lang w:val="en-US" w:eastAsia="zh-CN" w:bidi="ar-SA"/>
                    </w:rPr>
                    <w:t>、颗粒物</w:t>
                  </w:r>
                </w:p>
              </w:tc>
              <w:tc>
                <w:tcPr>
                  <w:tcW w:w="0" w:type="auto"/>
                  <w:tcBorders>
                    <w:tl2br w:val="nil"/>
                    <w:tr2bl w:val="nil"/>
                  </w:tcBorders>
                  <w:shd w:val="clear" w:color="auto" w:fill="auto"/>
                  <w:vAlign w:val="center"/>
                </w:tcPr>
                <w:p w14:paraId="33B9A83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w:t>
                  </w:r>
                </w:p>
              </w:tc>
              <w:tc>
                <w:tcPr>
                  <w:tcW w:w="0" w:type="auto"/>
                  <w:tcBorders>
                    <w:tl2br w:val="nil"/>
                    <w:tr2bl w:val="nil"/>
                  </w:tcBorders>
                  <w:shd w:val="clear" w:color="auto" w:fill="auto"/>
                  <w:vAlign w:val="center"/>
                </w:tcPr>
                <w:p w14:paraId="6500FA2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注塑</w:t>
                  </w: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、包胶、烘烤、除油</w:t>
                  </w:r>
                  <w:r>
                    <w:rPr>
                      <w:rFonts w:hint="eastAsia" w:ascii="Times New Roman" w:hAnsi="Times New Roman" w:cs="Times New Roman"/>
                      <w:b w:val="0"/>
                      <w:bCs w:val="0"/>
                      <w:color w:val="auto"/>
                      <w:kern w:val="0"/>
                      <w:sz w:val="21"/>
                      <w:szCs w:val="21"/>
                      <w:highlight w:val="none"/>
                      <w:u w:val="none"/>
                      <w:vertAlign w:val="baseline"/>
                      <w:lang w:val="en-US" w:eastAsia="zh-CN" w:bidi="ar-SA"/>
                    </w:rPr>
                    <w:t>、投料</w:t>
                  </w:r>
                  <w:r>
                    <w:rPr>
                      <w:rFonts w:hint="default" w:ascii="Times New Roman" w:hAnsi="Times New Roman" w:eastAsia="宋体" w:cs="Times New Roman"/>
                      <w:color w:val="auto"/>
                      <w:sz w:val="21"/>
                      <w:szCs w:val="21"/>
                      <w:highlight w:val="none"/>
                      <w:vertAlign w:val="baseline"/>
                      <w:lang w:val="en-US" w:eastAsia="zh-CN"/>
                    </w:rPr>
                    <w:t>废气通过集气罩收集后由一套</w:t>
                  </w:r>
                  <w:r>
                    <w:rPr>
                      <w:rFonts w:hint="eastAsia" w:ascii="Times New Roman" w:hAnsi="Times New Roman" w:eastAsia="宋体" w:cs="Times New Roman"/>
                      <w:color w:val="auto"/>
                      <w:sz w:val="21"/>
                      <w:szCs w:val="21"/>
                      <w:highlight w:val="none"/>
                      <w:vertAlign w:val="baseline"/>
                      <w:lang w:val="en-US" w:eastAsia="zh-CN"/>
                    </w:rPr>
                    <w:t>“二级</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（TA001）处理后，通过1根15m高排气筒</w:t>
                  </w:r>
                  <w:r>
                    <w:rPr>
                      <w:rFonts w:hint="eastAsia"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vertAlign w:val="baseline"/>
                      <w:lang w:val="en-US" w:eastAsia="zh-CN"/>
                    </w:rPr>
                    <w:t>A001</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排放</w:t>
                  </w:r>
                  <w:r>
                    <w:rPr>
                      <w:rFonts w:hint="eastAsia" w:ascii="Times New Roman" w:hAnsi="Times New Roman" w:eastAsia="宋体" w:cs="Times New Roman"/>
                      <w:color w:val="auto"/>
                      <w:sz w:val="21"/>
                      <w:szCs w:val="21"/>
                      <w:highlight w:val="none"/>
                      <w:vertAlign w:val="baseline"/>
                      <w:lang w:val="en-US" w:eastAsia="zh-CN"/>
                    </w:rPr>
                    <w:t>。</w:t>
                  </w:r>
                </w:p>
              </w:tc>
            </w:tr>
            <w:tr w14:paraId="73A8C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1F901E4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2B2C975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shd w:val="clear" w:color="auto" w:fill="auto"/>
                  <w:vAlign w:val="center"/>
                </w:tcPr>
                <w:p w14:paraId="51D2E9B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喷粉废气</w:t>
                  </w:r>
                </w:p>
              </w:tc>
              <w:tc>
                <w:tcPr>
                  <w:tcW w:w="0" w:type="auto"/>
                  <w:tcBorders>
                    <w:tl2br w:val="nil"/>
                    <w:tr2bl w:val="nil"/>
                  </w:tcBorders>
                  <w:shd w:val="clear" w:color="auto" w:fill="auto"/>
                  <w:vAlign w:val="center"/>
                </w:tcPr>
                <w:p w14:paraId="1921BCB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颗粒物</w:t>
                  </w:r>
                </w:p>
              </w:tc>
              <w:tc>
                <w:tcPr>
                  <w:tcW w:w="0" w:type="auto"/>
                  <w:tcBorders>
                    <w:tl2br w:val="nil"/>
                    <w:tr2bl w:val="nil"/>
                  </w:tcBorders>
                  <w:vAlign w:val="center"/>
                </w:tcPr>
                <w:p w14:paraId="041D0B9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连续</w:t>
                  </w:r>
                </w:p>
              </w:tc>
              <w:tc>
                <w:tcPr>
                  <w:tcW w:w="0" w:type="auto"/>
                  <w:tcBorders>
                    <w:tl2br w:val="nil"/>
                    <w:tr2bl w:val="nil"/>
                  </w:tcBorders>
                  <w:vAlign w:val="center"/>
                </w:tcPr>
                <w:p w14:paraId="33ED57A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喷粉废气通过</w:t>
                  </w:r>
                  <w:r>
                    <w:rPr>
                      <w:rFonts w:hint="eastAsia" w:ascii="Times New Roman" w:hAnsi="Times New Roman" w:cs="Times New Roman"/>
                      <w:b w:val="0"/>
                      <w:bCs w:val="0"/>
                      <w:color w:val="auto"/>
                      <w:kern w:val="0"/>
                      <w:sz w:val="21"/>
                      <w:szCs w:val="21"/>
                      <w:highlight w:val="none"/>
                      <w:u w:val="none"/>
                      <w:vertAlign w:val="baseline"/>
                      <w:lang w:val="en-US" w:eastAsia="zh-CN" w:bidi="ar-SA"/>
                    </w:rPr>
                    <w:t>正压</w:t>
                  </w: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收集+滤芯回收系统后接入</w:t>
                  </w:r>
                  <w:r>
                    <w:rPr>
                      <w:rFonts w:hint="default" w:ascii="Times New Roman" w:hAnsi="Times New Roman" w:eastAsia="宋体" w:cs="Times New Roman"/>
                      <w:color w:val="auto"/>
                      <w:sz w:val="21"/>
                      <w:szCs w:val="21"/>
                      <w:highlight w:val="none"/>
                      <w:vertAlign w:val="baseline"/>
                      <w:lang w:val="en-US" w:eastAsia="zh-CN"/>
                    </w:rPr>
                    <w:t>1根15m高排气筒</w:t>
                  </w:r>
                  <w:r>
                    <w:rPr>
                      <w:rFonts w:hint="eastAsia"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vertAlign w:val="baseline"/>
                      <w:lang w:val="en-US" w:eastAsia="zh-CN"/>
                    </w:rPr>
                    <w:t>A001</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排放</w:t>
                  </w:r>
                  <w:r>
                    <w:rPr>
                      <w:rFonts w:hint="eastAsia" w:ascii="Times New Roman" w:hAnsi="Times New Roman" w:eastAsia="宋体" w:cs="Times New Roman"/>
                      <w:color w:val="auto"/>
                      <w:sz w:val="21"/>
                      <w:szCs w:val="21"/>
                      <w:highlight w:val="none"/>
                      <w:vertAlign w:val="baseline"/>
                      <w:lang w:val="en-US" w:eastAsia="zh-CN"/>
                    </w:rPr>
                    <w:t>。</w:t>
                  </w:r>
                </w:p>
              </w:tc>
            </w:tr>
            <w:tr w14:paraId="12200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4B5078D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92" w:type="dxa"/>
                  <w:gridSpan w:val="2"/>
                  <w:vMerge w:val="continue"/>
                  <w:tcBorders>
                    <w:tl2br w:val="nil"/>
                    <w:tr2bl w:val="nil"/>
                  </w:tcBorders>
                  <w:vAlign w:val="center"/>
                </w:tcPr>
                <w:p w14:paraId="3CBAE78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1021" w:type="dxa"/>
                  <w:tcBorders>
                    <w:tl2br w:val="nil"/>
                    <w:tr2bl w:val="nil"/>
                  </w:tcBorders>
                  <w:shd w:val="clear" w:color="auto" w:fill="auto"/>
                  <w:vAlign w:val="center"/>
                </w:tcPr>
                <w:p w14:paraId="0C80A67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粉</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碎废气</w:t>
                  </w:r>
                </w:p>
              </w:tc>
              <w:tc>
                <w:tcPr>
                  <w:tcW w:w="0" w:type="auto"/>
                  <w:tcBorders>
                    <w:tl2br w:val="nil"/>
                    <w:tr2bl w:val="nil"/>
                  </w:tcBorders>
                  <w:shd w:val="clear" w:color="auto" w:fill="auto"/>
                  <w:vAlign w:val="center"/>
                </w:tcPr>
                <w:p w14:paraId="0E1D349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颗粒物</w:t>
                  </w:r>
                </w:p>
              </w:tc>
              <w:tc>
                <w:tcPr>
                  <w:tcW w:w="0" w:type="auto"/>
                  <w:tcBorders>
                    <w:tl2br w:val="nil"/>
                    <w:tr2bl w:val="nil"/>
                  </w:tcBorders>
                  <w:vAlign w:val="center"/>
                </w:tcPr>
                <w:p w14:paraId="5D77050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间歇</w:t>
                  </w:r>
                </w:p>
              </w:tc>
              <w:tc>
                <w:tcPr>
                  <w:tcW w:w="0" w:type="auto"/>
                  <w:tcBorders>
                    <w:tl2br w:val="nil"/>
                    <w:tr2bl w:val="nil"/>
                  </w:tcBorders>
                  <w:vAlign w:val="center"/>
                </w:tcPr>
                <w:p w14:paraId="2F61C85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粉</w:t>
                  </w:r>
                  <w:r>
                    <w:rPr>
                      <w:rFonts w:hint="default" w:ascii="Times New Roman" w:hAnsi="Times New Roman" w:eastAsia="宋体" w:cs="Times New Roman"/>
                      <w:color w:val="auto"/>
                      <w:sz w:val="21"/>
                      <w:szCs w:val="21"/>
                      <w:highlight w:val="none"/>
                      <w:vertAlign w:val="baseline"/>
                      <w:lang w:val="en-US" w:eastAsia="zh-CN"/>
                    </w:rPr>
                    <w:t>碎颗粒物通过</w:t>
                  </w:r>
                  <w:r>
                    <w:rPr>
                      <w:rFonts w:hint="eastAsia" w:ascii="Times New Roman" w:hAnsi="Times New Roman" w:eastAsia="宋体" w:cs="Times New Roman"/>
                      <w:color w:val="auto"/>
                      <w:sz w:val="21"/>
                      <w:szCs w:val="21"/>
                      <w:highlight w:val="none"/>
                      <w:vertAlign w:val="baseline"/>
                      <w:lang w:val="en-US" w:eastAsia="zh-CN"/>
                    </w:rPr>
                    <w:t>移动除尘器处理后无组织排放。</w:t>
                  </w:r>
                </w:p>
              </w:tc>
            </w:tr>
            <w:tr w14:paraId="4AFB8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0" w:type="auto"/>
                  <w:vMerge w:val="restart"/>
                  <w:tcBorders>
                    <w:tl2br w:val="nil"/>
                    <w:tr2bl w:val="nil"/>
                  </w:tcBorders>
                  <w:vAlign w:val="center"/>
                </w:tcPr>
                <w:p w14:paraId="26F41A2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3</w:t>
                  </w:r>
                </w:p>
              </w:tc>
              <w:tc>
                <w:tcPr>
                  <w:tcW w:w="0" w:type="auto"/>
                  <w:vMerge w:val="restart"/>
                  <w:tcBorders>
                    <w:tl2br w:val="nil"/>
                    <w:tr2bl w:val="nil"/>
                  </w:tcBorders>
                  <w:vAlign w:val="center"/>
                </w:tcPr>
                <w:p w14:paraId="05561EA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固废</w:t>
                  </w:r>
                </w:p>
              </w:tc>
              <w:tc>
                <w:tcPr>
                  <w:tcW w:w="0" w:type="auto"/>
                  <w:gridSpan w:val="2"/>
                  <w:tcBorders>
                    <w:tl2br w:val="nil"/>
                    <w:tr2bl w:val="nil"/>
                  </w:tcBorders>
                  <w:vAlign w:val="center"/>
                </w:tcPr>
                <w:p w14:paraId="256C022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生活垃圾</w:t>
                  </w:r>
                </w:p>
              </w:tc>
              <w:tc>
                <w:tcPr>
                  <w:tcW w:w="0" w:type="auto"/>
                  <w:tcBorders>
                    <w:tl2br w:val="nil"/>
                    <w:tr2bl w:val="nil"/>
                  </w:tcBorders>
                  <w:shd w:val="clear" w:color="auto" w:fill="auto"/>
                  <w:vAlign w:val="center"/>
                </w:tcPr>
                <w:p w14:paraId="234314F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sz w:val="21"/>
                      <w:szCs w:val="21"/>
                    </w:rPr>
                    <w:t>纸屑、塑料袋等</w:t>
                  </w:r>
                </w:p>
              </w:tc>
              <w:tc>
                <w:tcPr>
                  <w:tcW w:w="0" w:type="auto"/>
                  <w:tcBorders>
                    <w:tl2br w:val="nil"/>
                    <w:tr2bl w:val="nil"/>
                  </w:tcBorders>
                  <w:shd w:val="clear" w:color="auto" w:fill="auto"/>
                  <w:vAlign w:val="center"/>
                </w:tcPr>
                <w:p w14:paraId="2E7F01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tcBorders>
                    <w:tl2br w:val="nil"/>
                    <w:tr2bl w:val="nil"/>
                  </w:tcBorders>
                  <w:shd w:val="clear" w:color="auto" w:fill="auto"/>
                  <w:vAlign w:val="center"/>
                </w:tcPr>
                <w:p w14:paraId="200181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GB" w:eastAsia="zh-CN"/>
                    </w:rPr>
                    <w:t>厂区内设置生活垃圾桶，分类收集后委托环卫部门每日清运处置</w:t>
                  </w:r>
                  <w:r>
                    <w:rPr>
                      <w:rFonts w:hint="eastAsia" w:ascii="Times New Roman" w:hAnsi="Times New Roman" w:eastAsia="宋体" w:cs="Times New Roman"/>
                      <w:color w:val="auto"/>
                      <w:sz w:val="21"/>
                      <w:szCs w:val="21"/>
                      <w:lang w:val="en-GB" w:eastAsia="zh-CN"/>
                    </w:rPr>
                    <w:t>。</w:t>
                  </w:r>
                </w:p>
              </w:tc>
            </w:tr>
            <w:tr w14:paraId="0E64D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0" w:type="auto"/>
                  <w:vMerge w:val="continue"/>
                  <w:vAlign w:val="center"/>
                </w:tcPr>
                <w:p w14:paraId="790B759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0" w:type="auto"/>
                  <w:vMerge w:val="continue"/>
                  <w:vAlign w:val="center"/>
                </w:tcPr>
                <w:p w14:paraId="030B403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31" w:type="dxa"/>
                  <w:vMerge w:val="restart"/>
                  <w:vAlign w:val="center"/>
                </w:tcPr>
                <w:p w14:paraId="47FBA4E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val="0"/>
                      <w:color w:val="auto"/>
                      <w:kern w:val="0"/>
                      <w:sz w:val="21"/>
                      <w:szCs w:val="21"/>
                      <w:highlight w:val="none"/>
                      <w:u w:val="none"/>
                      <w:vertAlign w:val="baseline"/>
                      <w:lang w:val="en-US" w:eastAsia="zh-CN" w:bidi="ar-SA"/>
                    </w:rPr>
                    <w:t>一般固废</w:t>
                  </w:r>
                </w:p>
              </w:tc>
              <w:tc>
                <w:tcPr>
                  <w:tcW w:w="1021" w:type="dxa"/>
                  <w:shd w:val="clear" w:color="auto" w:fill="auto"/>
                  <w:vAlign w:val="center"/>
                </w:tcPr>
                <w:p w14:paraId="6006187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产品检验</w:t>
                  </w:r>
                </w:p>
              </w:tc>
              <w:tc>
                <w:tcPr>
                  <w:tcW w:w="0" w:type="auto"/>
                  <w:shd w:val="clear" w:color="auto" w:fill="auto"/>
                  <w:vAlign w:val="center"/>
                </w:tcPr>
                <w:p w14:paraId="50718CF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不合格产品及边角料</w:t>
                  </w:r>
                  <w:r>
                    <w:rPr>
                      <w:rFonts w:hint="eastAsia" w:ascii="Times New Roman" w:hAnsi="Times New Roman" w:eastAsia="宋体" w:cs="Times New Roman"/>
                      <w:color w:val="auto"/>
                      <w:kern w:val="2"/>
                      <w:sz w:val="21"/>
                      <w:szCs w:val="21"/>
                      <w:highlight w:val="none"/>
                      <w:vertAlign w:val="baseline"/>
                      <w:lang w:val="en-US" w:eastAsia="zh-CN" w:bidi="ar-SA"/>
                    </w:rPr>
                    <w:t>（料头）</w:t>
                  </w:r>
                </w:p>
              </w:tc>
              <w:tc>
                <w:tcPr>
                  <w:tcW w:w="0" w:type="auto"/>
                  <w:shd w:val="clear" w:color="auto" w:fill="auto"/>
                  <w:vAlign w:val="center"/>
                </w:tcPr>
                <w:p w14:paraId="2D18BA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shd w:val="clear" w:color="auto" w:fill="auto"/>
                  <w:vAlign w:val="center"/>
                </w:tcPr>
                <w:p w14:paraId="128367D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注塑过程所产生的不合格产品及边角料</w:t>
                  </w:r>
                  <w:r>
                    <w:rPr>
                      <w:rFonts w:hint="eastAsia" w:ascii="Times New Roman" w:hAnsi="Times New Roman" w:eastAsia="宋体" w:cs="Times New Roman"/>
                      <w:color w:val="auto"/>
                      <w:kern w:val="2"/>
                      <w:sz w:val="21"/>
                      <w:szCs w:val="21"/>
                      <w:highlight w:val="none"/>
                      <w:vertAlign w:val="baseline"/>
                      <w:lang w:val="en-US" w:eastAsia="zh-CN" w:bidi="ar-SA"/>
                    </w:rPr>
                    <w:t>经粉碎处理后外售其他公司。</w:t>
                  </w:r>
                </w:p>
              </w:tc>
            </w:tr>
            <w:tr w14:paraId="399A8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0" w:type="auto"/>
                  <w:vMerge w:val="continue"/>
                  <w:vAlign w:val="center"/>
                </w:tcPr>
                <w:p w14:paraId="526BC22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1A8E65F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654303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shd w:val="clear" w:color="auto" w:fill="auto"/>
                  <w:vAlign w:val="center"/>
                </w:tcPr>
                <w:p w14:paraId="200C414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生产工序</w:t>
                  </w:r>
                </w:p>
              </w:tc>
              <w:tc>
                <w:tcPr>
                  <w:tcW w:w="0" w:type="auto"/>
                  <w:shd w:val="clear" w:color="auto" w:fill="auto"/>
                  <w:vAlign w:val="center"/>
                </w:tcPr>
                <w:p w14:paraId="441F981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废包装材料</w:t>
                  </w:r>
                </w:p>
              </w:tc>
              <w:tc>
                <w:tcPr>
                  <w:tcW w:w="0" w:type="auto"/>
                  <w:shd w:val="clear" w:color="auto" w:fill="auto"/>
                  <w:vAlign w:val="center"/>
                </w:tcPr>
                <w:p w14:paraId="58FA870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shd w:val="clear" w:color="auto" w:fill="auto"/>
                  <w:vAlign w:val="center"/>
                </w:tcPr>
                <w:p w14:paraId="5E4D039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lang w:val="en-US" w:eastAsia="zh-CN"/>
                    </w:rPr>
                    <w:t>设一般工业固废暂存间，妥善分类收集后出售给回收企业综合利用</w:t>
                  </w:r>
                  <w:r>
                    <w:rPr>
                      <w:rFonts w:hint="eastAsia" w:ascii="Times New Roman" w:hAnsi="Times New Roman" w:eastAsia="宋体" w:cs="Times New Roman"/>
                      <w:color w:val="auto"/>
                      <w:sz w:val="21"/>
                      <w:szCs w:val="21"/>
                      <w:lang w:val="en-US" w:eastAsia="zh-CN"/>
                    </w:rPr>
                    <w:t>。</w:t>
                  </w:r>
                </w:p>
              </w:tc>
            </w:tr>
            <w:tr w14:paraId="7EB46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Merge w:val="continue"/>
                  <w:vAlign w:val="center"/>
                </w:tcPr>
                <w:p w14:paraId="5327AF5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21F2AE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344E5B2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shd w:val="clear" w:color="auto" w:fill="auto"/>
                  <w:vAlign w:val="center"/>
                </w:tcPr>
                <w:p w14:paraId="78598E7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废气处理</w:t>
                  </w:r>
                </w:p>
              </w:tc>
              <w:tc>
                <w:tcPr>
                  <w:tcW w:w="0" w:type="auto"/>
                  <w:shd w:val="clear" w:color="auto" w:fill="auto"/>
                  <w:vAlign w:val="center"/>
                </w:tcPr>
                <w:p w14:paraId="5264796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移动</w:t>
                  </w:r>
                  <w:r>
                    <w:rPr>
                      <w:rFonts w:hint="default" w:ascii="Times New Roman" w:hAnsi="Times New Roman" w:eastAsia="宋体" w:cs="Times New Roman"/>
                      <w:color w:val="auto"/>
                      <w:kern w:val="2"/>
                      <w:sz w:val="21"/>
                      <w:szCs w:val="21"/>
                      <w:highlight w:val="none"/>
                      <w:vertAlign w:val="baseline"/>
                      <w:lang w:val="en-US" w:eastAsia="zh-CN" w:bidi="ar-SA"/>
                    </w:rPr>
                    <w:t>除尘器收集的粉尘</w:t>
                  </w:r>
                </w:p>
              </w:tc>
              <w:tc>
                <w:tcPr>
                  <w:tcW w:w="0" w:type="auto"/>
                  <w:shd w:val="clear" w:color="auto" w:fill="auto"/>
                  <w:vAlign w:val="center"/>
                </w:tcPr>
                <w:p w14:paraId="236D844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连续</w:t>
                  </w:r>
                </w:p>
              </w:tc>
              <w:tc>
                <w:tcPr>
                  <w:tcW w:w="0" w:type="auto"/>
                  <w:shd w:val="clear" w:color="auto" w:fill="auto"/>
                  <w:vAlign w:val="center"/>
                </w:tcPr>
                <w:p w14:paraId="356D7A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收集粉尘主要为废塑料颗粒委托环卫部门定期处置</w:t>
                  </w:r>
                  <w:r>
                    <w:rPr>
                      <w:rFonts w:hint="eastAsia" w:ascii="Times New Roman" w:hAnsi="Times New Roman" w:eastAsia="宋体" w:cs="Times New Roman"/>
                      <w:color w:val="auto"/>
                      <w:sz w:val="21"/>
                      <w:szCs w:val="21"/>
                      <w:highlight w:val="none"/>
                      <w:lang w:val="en-US" w:eastAsia="zh-CN"/>
                    </w:rPr>
                    <w:t>。</w:t>
                  </w:r>
                </w:p>
              </w:tc>
            </w:tr>
            <w:tr w14:paraId="730FE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vAlign w:val="center"/>
                </w:tcPr>
                <w:p w14:paraId="1E2D4E3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0" w:type="auto"/>
                  <w:vMerge w:val="continue"/>
                  <w:vAlign w:val="center"/>
                </w:tcPr>
                <w:p w14:paraId="69254A1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531" w:type="dxa"/>
                  <w:vMerge w:val="restart"/>
                  <w:vAlign w:val="center"/>
                </w:tcPr>
                <w:p w14:paraId="70A72EC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1021" w:type="dxa"/>
                  <w:shd w:val="clear" w:color="auto" w:fill="auto"/>
                  <w:vAlign w:val="center"/>
                </w:tcPr>
                <w:p w14:paraId="254E04F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废气处理</w:t>
                  </w:r>
                </w:p>
              </w:tc>
              <w:tc>
                <w:tcPr>
                  <w:tcW w:w="0" w:type="auto"/>
                  <w:shd w:val="clear" w:color="auto" w:fill="auto"/>
                  <w:vAlign w:val="center"/>
                </w:tcPr>
                <w:p w14:paraId="2EFD17C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废活性炭</w:t>
                  </w:r>
                </w:p>
              </w:tc>
              <w:tc>
                <w:tcPr>
                  <w:tcW w:w="0" w:type="auto"/>
                  <w:shd w:val="clear" w:color="auto" w:fill="auto"/>
                  <w:vAlign w:val="center"/>
                </w:tcPr>
                <w:p w14:paraId="165099C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000000"/>
                      <w:sz w:val="21"/>
                      <w:szCs w:val="21"/>
                      <w:lang w:val="en-US" w:eastAsia="zh-CN"/>
                    </w:rPr>
                    <w:t>间歇</w:t>
                  </w:r>
                </w:p>
              </w:tc>
              <w:tc>
                <w:tcPr>
                  <w:tcW w:w="0" w:type="auto"/>
                  <w:vMerge w:val="restart"/>
                  <w:shd w:val="clear" w:color="auto" w:fill="auto"/>
                  <w:vAlign w:val="center"/>
                </w:tcPr>
                <w:p w14:paraId="2360AC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按照规范要求设置一间危险废物贮存库，面积约5m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w:t>
                  </w:r>
                  <w:r>
                    <w:rPr>
                      <w:rFonts w:hint="eastAsia" w:ascii="Times New Roman" w:hAnsi="Times New Roman" w:eastAsia="宋体" w:cs="Times New Roman"/>
                      <w:color w:val="auto"/>
                      <w:sz w:val="21"/>
                      <w:szCs w:val="21"/>
                      <w:highlight w:val="none"/>
                      <w:vertAlign w:val="baseline"/>
                      <w:lang w:val="en-US" w:eastAsia="zh-CN"/>
                    </w:rPr>
                    <w:t>、废机油</w:t>
                  </w:r>
                  <w:r>
                    <w:rPr>
                      <w:rFonts w:hint="default" w:ascii="Times New Roman" w:hAnsi="Times New Roman" w:eastAsia="宋体" w:cs="Times New Roman"/>
                      <w:color w:val="auto"/>
                      <w:sz w:val="21"/>
                      <w:szCs w:val="21"/>
                      <w:highlight w:val="none"/>
                      <w:vertAlign w:val="baseline"/>
                      <w:lang w:val="en-US" w:eastAsia="zh-CN"/>
                    </w:rPr>
                    <w:t>等危险废物。贮存间内张贴明显</w:t>
                  </w:r>
                  <w:r>
                    <w:rPr>
                      <w:rFonts w:hint="eastAsia" w:ascii="Times New Roman" w:hAnsi="Times New Roman" w:eastAsia="宋体" w:cs="Times New Roman"/>
                      <w:color w:val="auto"/>
                      <w:sz w:val="21"/>
                      <w:szCs w:val="21"/>
                      <w:highlight w:val="none"/>
                      <w:vertAlign w:val="baseline"/>
                      <w:lang w:val="en-US" w:eastAsia="zh-CN"/>
                    </w:rPr>
                    <w:t>警示标志</w:t>
                  </w:r>
                  <w:r>
                    <w:rPr>
                      <w:rFonts w:hint="default" w:ascii="Times New Roman" w:hAnsi="Times New Roman" w:eastAsia="宋体" w:cs="Times New Roman"/>
                      <w:color w:val="auto"/>
                      <w:sz w:val="21"/>
                      <w:szCs w:val="21"/>
                      <w:highlight w:val="none"/>
                      <w:vertAlign w:val="baseline"/>
                      <w:lang w:val="en-US" w:eastAsia="zh-CN"/>
                    </w:rPr>
                    <w:t>并设置围堰及导流沟，地面刷环氧树脂漆。并与有资质的单位签署危废委托协调</w:t>
                  </w:r>
                  <w:r>
                    <w:rPr>
                      <w:rFonts w:hint="eastAsia" w:ascii="Times New Roman" w:hAnsi="Times New Roman" w:eastAsia="宋体" w:cs="Times New Roman"/>
                      <w:color w:val="auto"/>
                      <w:sz w:val="21"/>
                      <w:szCs w:val="21"/>
                      <w:highlight w:val="none"/>
                      <w:vertAlign w:val="baseline"/>
                      <w:lang w:val="en-US" w:eastAsia="zh-CN"/>
                    </w:rPr>
                    <w:t>。</w:t>
                  </w:r>
                </w:p>
              </w:tc>
            </w:tr>
            <w:tr w14:paraId="653C4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3CD3E75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263F325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2904761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lang w:val="en-US" w:eastAsia="zh-CN"/>
                    </w:rPr>
                  </w:pPr>
                </w:p>
              </w:tc>
              <w:tc>
                <w:tcPr>
                  <w:tcW w:w="1021" w:type="dxa"/>
                  <w:shd w:val="clear" w:color="auto" w:fill="auto"/>
                  <w:vAlign w:val="center"/>
                </w:tcPr>
                <w:p w14:paraId="5764EC5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设备维护</w:t>
                  </w:r>
                </w:p>
              </w:tc>
              <w:tc>
                <w:tcPr>
                  <w:tcW w:w="0" w:type="auto"/>
                  <w:shd w:val="clear" w:color="auto" w:fill="auto"/>
                  <w:vAlign w:val="center"/>
                </w:tcPr>
                <w:p w14:paraId="0035768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w:t>
                  </w:r>
                  <w:r>
                    <w:rPr>
                      <w:rFonts w:hint="eastAsia" w:ascii="Times New Roman" w:hAnsi="Times New Roman" w:eastAsia="宋体" w:cs="Times New Roman"/>
                      <w:color w:val="auto"/>
                      <w:kern w:val="2"/>
                      <w:sz w:val="21"/>
                      <w:szCs w:val="21"/>
                      <w:highlight w:val="none"/>
                      <w:vertAlign w:val="baseline"/>
                      <w:lang w:val="en-US" w:eastAsia="zh-CN" w:bidi="ar-SA"/>
                    </w:rPr>
                    <w:t>机</w:t>
                  </w:r>
                  <w:r>
                    <w:rPr>
                      <w:rFonts w:hint="default" w:ascii="Times New Roman" w:hAnsi="Times New Roman" w:eastAsia="宋体" w:cs="Times New Roman"/>
                      <w:color w:val="auto"/>
                      <w:kern w:val="2"/>
                      <w:sz w:val="21"/>
                      <w:szCs w:val="21"/>
                      <w:highlight w:val="none"/>
                      <w:vertAlign w:val="baseline"/>
                      <w:lang w:val="en-US" w:eastAsia="zh-CN" w:bidi="ar-SA"/>
                    </w:rPr>
                    <w:t>油</w:t>
                  </w:r>
                </w:p>
              </w:tc>
              <w:tc>
                <w:tcPr>
                  <w:tcW w:w="0" w:type="auto"/>
                  <w:shd w:val="clear" w:color="auto" w:fill="auto"/>
                  <w:vAlign w:val="center"/>
                </w:tcPr>
                <w:p w14:paraId="586EC91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3D14C65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14C7E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3915D7C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7E0AED6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2480CCA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vMerge w:val="restart"/>
                  <w:shd w:val="clear" w:color="auto" w:fill="auto"/>
                  <w:vAlign w:val="center"/>
                </w:tcPr>
                <w:p w14:paraId="7BDC04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sz w:val="21"/>
                      <w:szCs w:val="21"/>
                      <w:lang w:val="en-US" w:eastAsia="zh-CN"/>
                    </w:rPr>
                    <w:t>生产工序</w:t>
                  </w:r>
                </w:p>
              </w:tc>
              <w:tc>
                <w:tcPr>
                  <w:tcW w:w="0" w:type="auto"/>
                  <w:shd w:val="clear" w:color="auto" w:fill="auto"/>
                  <w:vAlign w:val="center"/>
                </w:tcPr>
                <w:p w14:paraId="24EDF4D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除油废液</w:t>
                  </w:r>
                </w:p>
              </w:tc>
              <w:tc>
                <w:tcPr>
                  <w:tcW w:w="0" w:type="auto"/>
                  <w:shd w:val="clear" w:color="auto" w:fill="auto"/>
                  <w:vAlign w:val="center"/>
                </w:tcPr>
                <w:p w14:paraId="0F5A1C5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02268A8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21214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27F0896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36D23E9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595BD2E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vMerge w:val="continue"/>
                  <w:shd w:val="clear" w:color="auto" w:fill="auto"/>
                  <w:vAlign w:val="center"/>
                </w:tcPr>
                <w:p w14:paraId="4FBA47E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0" w:type="auto"/>
                  <w:shd w:val="clear" w:color="auto" w:fill="auto"/>
                  <w:vAlign w:val="center"/>
                </w:tcPr>
                <w:p w14:paraId="0398B40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钝化废液</w:t>
                  </w:r>
                </w:p>
              </w:tc>
              <w:tc>
                <w:tcPr>
                  <w:tcW w:w="0" w:type="auto"/>
                  <w:shd w:val="clear" w:color="auto" w:fill="auto"/>
                  <w:vAlign w:val="center"/>
                </w:tcPr>
                <w:p w14:paraId="052B8A0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228B030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671F7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5BD97CC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75CBDA2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5120C43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vMerge w:val="restart"/>
                  <w:shd w:val="clear" w:color="auto" w:fill="auto"/>
                  <w:vAlign w:val="center"/>
                </w:tcPr>
                <w:p w14:paraId="3FCFBB7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w:t>
                  </w:r>
                  <w:r>
                    <w:rPr>
                      <w:rFonts w:hint="eastAsia" w:ascii="Times New Roman" w:hAnsi="Times New Roman" w:eastAsia="宋体" w:cs="Times New Roman"/>
                      <w:color w:val="auto"/>
                      <w:kern w:val="2"/>
                      <w:sz w:val="21"/>
                      <w:szCs w:val="21"/>
                      <w:highlight w:val="none"/>
                      <w:vertAlign w:val="baseline"/>
                      <w:lang w:val="en-US" w:eastAsia="zh-CN" w:bidi="ar-SA"/>
                    </w:rPr>
                    <w:t>水</w:t>
                  </w:r>
                  <w:r>
                    <w:rPr>
                      <w:rFonts w:hint="default" w:ascii="Times New Roman" w:hAnsi="Times New Roman" w:eastAsia="宋体" w:cs="Times New Roman"/>
                      <w:color w:val="auto"/>
                      <w:kern w:val="2"/>
                      <w:sz w:val="21"/>
                      <w:szCs w:val="21"/>
                      <w:highlight w:val="none"/>
                      <w:vertAlign w:val="baseline"/>
                      <w:lang w:val="en-US" w:eastAsia="zh-CN" w:bidi="ar-SA"/>
                    </w:rPr>
                    <w:t>处理</w:t>
                  </w:r>
                </w:p>
              </w:tc>
              <w:tc>
                <w:tcPr>
                  <w:tcW w:w="0" w:type="auto"/>
                  <w:shd w:val="clear" w:color="auto" w:fill="auto"/>
                  <w:vAlign w:val="center"/>
                </w:tcPr>
                <w:p w14:paraId="19DA371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废水处理污泥</w:t>
                  </w:r>
                </w:p>
              </w:tc>
              <w:tc>
                <w:tcPr>
                  <w:tcW w:w="0" w:type="auto"/>
                  <w:shd w:val="clear" w:color="auto" w:fill="auto"/>
                  <w:vAlign w:val="center"/>
                </w:tcPr>
                <w:p w14:paraId="4FA9F64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1254CE5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23975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2A8CA2A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5D219A5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0D8D861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vMerge w:val="continue"/>
                  <w:shd w:val="clear" w:color="auto" w:fill="auto"/>
                  <w:vAlign w:val="center"/>
                </w:tcPr>
                <w:p w14:paraId="13FC6D6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0" w:type="auto"/>
                  <w:shd w:val="clear" w:color="auto" w:fill="auto"/>
                  <w:vAlign w:val="center"/>
                </w:tcPr>
                <w:p w14:paraId="6F7E153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槽渣</w:t>
                  </w:r>
                </w:p>
              </w:tc>
              <w:tc>
                <w:tcPr>
                  <w:tcW w:w="0" w:type="auto"/>
                  <w:shd w:val="clear" w:color="auto" w:fill="auto"/>
                  <w:vAlign w:val="center"/>
                </w:tcPr>
                <w:p w14:paraId="436145F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7C661C2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14:paraId="36C78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0" w:type="auto"/>
                  <w:vMerge w:val="continue"/>
                  <w:vAlign w:val="center"/>
                </w:tcPr>
                <w:p w14:paraId="3829EB6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0" w:type="auto"/>
                  <w:vMerge w:val="continue"/>
                  <w:vAlign w:val="center"/>
                </w:tcPr>
                <w:p w14:paraId="34240FF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531" w:type="dxa"/>
                  <w:vMerge w:val="continue"/>
                  <w:vAlign w:val="center"/>
                </w:tcPr>
                <w:p w14:paraId="55A927A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sz w:val="21"/>
                      <w:szCs w:val="21"/>
                    </w:rPr>
                  </w:pPr>
                </w:p>
              </w:tc>
              <w:tc>
                <w:tcPr>
                  <w:tcW w:w="1021" w:type="dxa"/>
                  <w:shd w:val="clear" w:color="auto" w:fill="auto"/>
                  <w:vAlign w:val="center"/>
                </w:tcPr>
                <w:p w14:paraId="422E251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废</w:t>
                  </w:r>
                  <w:r>
                    <w:rPr>
                      <w:rFonts w:hint="eastAsia" w:ascii="Times New Roman" w:hAnsi="Times New Roman" w:eastAsia="宋体" w:cs="Times New Roman"/>
                      <w:color w:val="auto"/>
                      <w:kern w:val="2"/>
                      <w:sz w:val="21"/>
                      <w:szCs w:val="21"/>
                      <w:highlight w:val="none"/>
                      <w:vertAlign w:val="baseline"/>
                      <w:lang w:val="en-US" w:eastAsia="zh-CN" w:bidi="ar-SA"/>
                    </w:rPr>
                    <w:t>气</w:t>
                  </w:r>
                  <w:r>
                    <w:rPr>
                      <w:rFonts w:hint="default" w:ascii="Times New Roman" w:hAnsi="Times New Roman" w:eastAsia="宋体" w:cs="Times New Roman"/>
                      <w:color w:val="auto"/>
                      <w:kern w:val="2"/>
                      <w:sz w:val="21"/>
                      <w:szCs w:val="21"/>
                      <w:highlight w:val="none"/>
                      <w:vertAlign w:val="baseline"/>
                      <w:lang w:val="en-US" w:eastAsia="zh-CN" w:bidi="ar-SA"/>
                    </w:rPr>
                    <w:t>处理</w:t>
                  </w:r>
                </w:p>
              </w:tc>
              <w:tc>
                <w:tcPr>
                  <w:tcW w:w="0" w:type="auto"/>
                  <w:shd w:val="clear" w:color="auto" w:fill="auto"/>
                  <w:vAlign w:val="center"/>
                </w:tcPr>
                <w:p w14:paraId="4C056C5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滤筒滤芯</w:t>
                  </w:r>
                </w:p>
              </w:tc>
              <w:tc>
                <w:tcPr>
                  <w:tcW w:w="0" w:type="auto"/>
                  <w:shd w:val="clear" w:color="auto" w:fill="auto"/>
                  <w:vAlign w:val="center"/>
                </w:tcPr>
                <w:p w14:paraId="6BF843A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000000"/>
                      <w:sz w:val="21"/>
                      <w:szCs w:val="21"/>
                      <w:lang w:val="en-US" w:eastAsia="zh-CN"/>
                    </w:rPr>
                    <w:t>间歇</w:t>
                  </w:r>
                </w:p>
              </w:tc>
              <w:tc>
                <w:tcPr>
                  <w:tcW w:w="0" w:type="auto"/>
                  <w:vMerge w:val="continue"/>
                  <w:shd w:val="clear" w:color="auto" w:fill="auto"/>
                  <w:vAlign w:val="center"/>
                </w:tcPr>
                <w:p w14:paraId="4FEBD2B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1B3059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0" w:type="auto"/>
                  <w:vAlign w:val="center"/>
                </w:tcPr>
                <w:p w14:paraId="2E73528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4</w:t>
                  </w:r>
                </w:p>
              </w:tc>
              <w:tc>
                <w:tcPr>
                  <w:tcW w:w="992" w:type="dxa"/>
                  <w:gridSpan w:val="2"/>
                  <w:vAlign w:val="center"/>
                </w:tcPr>
                <w:p w14:paraId="3F44932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噪声</w:t>
                  </w:r>
                </w:p>
              </w:tc>
              <w:tc>
                <w:tcPr>
                  <w:tcW w:w="1021" w:type="dxa"/>
                  <w:shd w:val="clear" w:color="auto" w:fill="auto"/>
                  <w:vAlign w:val="center"/>
                </w:tcPr>
                <w:p w14:paraId="6033EC0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w:t>
                  </w:r>
                </w:p>
              </w:tc>
              <w:tc>
                <w:tcPr>
                  <w:tcW w:w="0" w:type="auto"/>
                  <w:shd w:val="clear" w:color="auto" w:fill="auto"/>
                  <w:vAlign w:val="center"/>
                </w:tcPr>
                <w:p w14:paraId="2FADB53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Leq</w:t>
                  </w:r>
                </w:p>
              </w:tc>
              <w:tc>
                <w:tcPr>
                  <w:tcW w:w="0" w:type="auto"/>
                  <w:shd w:val="clear" w:color="auto" w:fill="auto"/>
                  <w:vAlign w:val="center"/>
                </w:tcPr>
                <w:p w14:paraId="6949FF0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连续</w:t>
                  </w:r>
                </w:p>
              </w:tc>
              <w:tc>
                <w:tcPr>
                  <w:tcW w:w="0" w:type="auto"/>
                  <w:shd w:val="clear" w:color="auto" w:fill="auto"/>
                  <w:vAlign w:val="center"/>
                </w:tcPr>
                <w:p w14:paraId="7C8FDDA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厂房隔声、设备基础减振等综合降噪措施</w:t>
                  </w:r>
                </w:p>
              </w:tc>
            </w:tr>
          </w:tbl>
          <w:p w14:paraId="71AD56AB">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val="0"/>
                <w:bCs w:val="0"/>
                <w:color w:val="auto"/>
                <w:kern w:val="0"/>
                <w:sz w:val="24"/>
                <w:szCs w:val="24"/>
                <w:highlight w:val="none"/>
                <w:u w:val="none"/>
                <w:lang w:val="en-US" w:eastAsia="zh-CN" w:bidi="ar-SA"/>
              </w:rPr>
            </w:pPr>
          </w:p>
        </w:tc>
      </w:tr>
      <w:tr w14:paraId="19E3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1" w:hRule="atLeast"/>
        </w:trPr>
        <w:tc>
          <w:tcPr>
            <w:tcW w:w="244" w:type="pct"/>
            <w:vAlign w:val="center"/>
          </w:tcPr>
          <w:p w14:paraId="6F27D1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vertAlign w:val="baseline"/>
                <w:lang w:eastAsia="zh-CN"/>
              </w:rPr>
            </w:pPr>
            <w:r>
              <w:rPr>
                <w:rFonts w:ascii="Times New Roman" w:hAnsi="Times New Roman"/>
                <w:bCs/>
                <w:kern w:val="2"/>
                <w:sz w:val="24"/>
                <w:szCs w:val="24"/>
              </w:rPr>
              <w:t>与项目有关的原有环境污染问题</w:t>
            </w:r>
          </w:p>
        </w:tc>
        <w:tc>
          <w:tcPr>
            <w:tcW w:w="4755" w:type="pct"/>
            <w:vAlign w:val="center"/>
          </w:tcPr>
          <w:p w14:paraId="446127A9">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default" w:ascii="Times New Roman" w:hAnsi="Times New Roman" w:cs="Times New Roman"/>
                <w:b w:val="0"/>
                <w:bCs w:val="0"/>
                <w:sz w:val="24"/>
                <w:szCs w:val="24"/>
                <w:vertAlign w:val="baseline"/>
                <w:lang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新建项目，购置已建厂房进行生产，不涉及项目有关的原有环境污染问题</w:t>
            </w:r>
          </w:p>
        </w:tc>
      </w:tr>
    </w:tbl>
    <w:p w14:paraId="41EC79EB">
      <w:pPr>
        <w:rPr>
          <w:rFonts w:hint="default" w:ascii="Times New Roman" w:hAnsi="Times New Roman" w:eastAsia="黑体" w:cs="Times New Roman"/>
          <w:snapToGrid w:val="0"/>
          <w:color w:val="auto"/>
          <w:sz w:val="30"/>
          <w:szCs w:val="30"/>
          <w:u w:val="none"/>
        </w:rPr>
      </w:pPr>
      <w:bookmarkStart w:id="38" w:name="_Toc7756"/>
      <w:r>
        <w:rPr>
          <w:rFonts w:hint="default" w:ascii="Times New Roman" w:hAnsi="Times New Roman" w:eastAsia="黑体" w:cs="Times New Roman"/>
          <w:snapToGrid w:val="0"/>
          <w:color w:val="auto"/>
          <w:sz w:val="30"/>
          <w:szCs w:val="30"/>
          <w:u w:val="none"/>
        </w:rPr>
        <w:br w:type="page"/>
      </w:r>
    </w:p>
    <w:p w14:paraId="7087889C">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39" w:name="_Toc440"/>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38"/>
      <w:bookmarkEnd w:id="39"/>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836"/>
      </w:tblGrid>
      <w:tr w14:paraId="5DD2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456" w:type="dxa"/>
            <w:vAlign w:val="center"/>
          </w:tcPr>
          <w:p w14:paraId="48F4A812">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区域</w:t>
            </w:r>
          </w:p>
          <w:p w14:paraId="0CAC310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环境</w:t>
            </w:r>
          </w:p>
          <w:p w14:paraId="063A3277">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质量</w:t>
            </w:r>
          </w:p>
          <w:p w14:paraId="5C0F66BD">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eastAsia="zh-CN"/>
              </w:rPr>
            </w:pPr>
            <w:r>
              <w:rPr>
                <w:rFonts w:ascii="Times New Roman" w:hAnsi="Times New Roman" w:eastAsia="宋体" w:cs="Times New Roman"/>
                <w:bCs/>
                <w:kern w:val="2"/>
                <w:sz w:val="24"/>
                <w:szCs w:val="24"/>
              </w:rPr>
              <w:t>现状</w:t>
            </w:r>
          </w:p>
        </w:tc>
        <w:tc>
          <w:tcPr>
            <w:tcW w:w="8749" w:type="dxa"/>
          </w:tcPr>
          <w:p w14:paraId="1CE73503">
            <w:pPr>
              <w:keepNext/>
              <w:keepLines/>
              <w:widowControl w:val="0"/>
              <w:numPr>
                <w:ilvl w:val="0"/>
                <w:numId w:val="0"/>
              </w:numPr>
              <w:tabs>
                <w:tab w:val="left" w:pos="420"/>
              </w:tabs>
              <w:bidi w:val="0"/>
              <w:spacing w:before="120" w:after="120" w:line="360" w:lineRule="auto"/>
              <w:ind w:leftChars="0"/>
              <w:jc w:val="both"/>
              <w:outlineLvl w:val="1"/>
              <w:rPr>
                <w:rFonts w:ascii="Times New Roman" w:hAnsi="Times New Roman" w:eastAsia="宋体" w:cs="Times New Roman"/>
                <w:b/>
                <w:bCs/>
                <w:color w:val="auto"/>
                <w:kern w:val="2"/>
                <w:sz w:val="28"/>
                <w:szCs w:val="32"/>
                <w:highlight w:val="none"/>
                <w:lang w:val="en-US" w:eastAsia="zh-CN" w:bidi="ar-SA"/>
              </w:rPr>
            </w:pPr>
            <w:bookmarkStart w:id="40" w:name="_Toc12042"/>
            <w:bookmarkStart w:id="41" w:name="_Toc26710"/>
            <w:r>
              <w:rPr>
                <w:rFonts w:hint="eastAsia" w:ascii="Times New Roman" w:hAnsi="Times New Roman" w:eastAsia="宋体" w:cs="Times New Roman"/>
                <w:b/>
                <w:bCs/>
                <w:color w:val="auto"/>
                <w:kern w:val="2"/>
                <w:sz w:val="28"/>
                <w:szCs w:val="32"/>
                <w:highlight w:val="none"/>
                <w:lang w:val="en-US" w:eastAsia="zh-CN" w:bidi="ar-SA"/>
              </w:rPr>
              <w:t>3.1区域环境质量现状</w:t>
            </w:r>
            <w:bookmarkEnd w:id="40"/>
          </w:p>
          <w:p w14:paraId="6DC6F1AD">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.1.1</w:t>
            </w:r>
            <w:r>
              <w:rPr>
                <w:rFonts w:hint="eastAsia" w:ascii="Times New Roman" w:hAnsi="Times New Roman" w:eastAsia="宋体" w:cs="Times New Roman"/>
                <w:b/>
                <w:bCs/>
                <w:color w:val="auto"/>
                <w:kern w:val="2"/>
                <w:sz w:val="24"/>
                <w:szCs w:val="32"/>
                <w:highlight w:val="none"/>
                <w:lang w:val="en-US" w:eastAsia="zh-CN" w:bidi="ar-SA"/>
              </w:rPr>
              <w:t>地表水环境质量现状</w:t>
            </w:r>
          </w:p>
          <w:p w14:paraId="6661A3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1</w:t>
            </w:r>
            <w:r>
              <w:rPr>
                <w:rFonts w:hint="eastAsia" w:ascii="Times New Roman" w:hAnsi="Times New Roman" w:eastAsia="宋体" w:cs="Times New Roman"/>
                <w:color w:val="auto"/>
                <w:kern w:val="2"/>
                <w:sz w:val="24"/>
                <w:szCs w:val="20"/>
                <w:highlight w:val="none"/>
                <w:lang w:val="en-US" w:eastAsia="zh-CN" w:bidi="ar-SA"/>
              </w:rPr>
              <w:t>）地表水功能区划</w:t>
            </w:r>
          </w:p>
          <w:p w14:paraId="750C7C98">
            <w:pPr>
              <w:pStyle w:val="33"/>
              <w:spacing w:before="1" w:line="432" w:lineRule="auto"/>
              <w:ind w:left="89" w:right="83" w:firstLine="479"/>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sz w:val="24"/>
                <w:szCs w:val="24"/>
                <w:highlight w:val="none"/>
              </w:rPr>
              <w:t>本项目</w:t>
            </w:r>
            <w:r>
              <w:rPr>
                <w:rFonts w:hint="eastAsia" w:cs="Times New Roman"/>
                <w:color w:val="auto"/>
                <w:sz w:val="24"/>
                <w:szCs w:val="24"/>
                <w:highlight w:val="none"/>
                <w:lang w:eastAsia="zh-CN"/>
              </w:rPr>
              <w:t>生产过程中间接冷却水，</w:t>
            </w:r>
            <w:r>
              <w:rPr>
                <w:rFonts w:hint="eastAsia" w:cs="Times New Roman"/>
                <w:color w:val="auto"/>
                <w:sz w:val="24"/>
                <w:szCs w:val="24"/>
                <w:highlight w:val="none"/>
                <w:lang w:val="en-US" w:eastAsia="zh-CN"/>
              </w:rPr>
              <w:t>循环使用</w:t>
            </w:r>
            <w:r>
              <w:rPr>
                <w:rFonts w:hint="eastAsia" w:cs="Times New Roman"/>
                <w:color w:val="auto"/>
                <w:sz w:val="24"/>
                <w:szCs w:val="24"/>
                <w:highlight w:val="none"/>
                <w:lang w:eastAsia="zh-CN"/>
              </w:rPr>
              <w:t>不外排</w:t>
            </w:r>
            <w:r>
              <w:rPr>
                <w:rFonts w:hint="eastAsia"/>
                <w:lang w:val="en-US" w:eastAsia="zh-CN"/>
              </w:rPr>
              <w:t>，</w:t>
            </w:r>
            <w:r>
              <w:rPr>
                <w:spacing w:val="-3"/>
              </w:rPr>
              <w:t>项目生产废水</w:t>
            </w:r>
            <w:r>
              <w:rPr>
                <w:rFonts w:hint="eastAsia"/>
                <w:spacing w:val="-3"/>
                <w:lang w:eastAsia="zh-CN"/>
              </w:rPr>
              <w:t>（</w:t>
            </w:r>
            <w:r>
              <w:rPr>
                <w:rFonts w:hint="eastAsia"/>
                <w:spacing w:val="-3"/>
                <w:lang w:val="en-US" w:eastAsia="zh-CN"/>
              </w:rPr>
              <w:t>除油前清洗水、除油后清洗水、钝化后清洗水）</w:t>
            </w:r>
            <w:r>
              <w:rPr>
                <w:spacing w:val="-3"/>
              </w:rPr>
              <w:t>经管道排入自建</w:t>
            </w:r>
            <w:r>
              <w:rPr>
                <w:rFonts w:hint="eastAsia"/>
                <w:spacing w:val="-3"/>
                <w:lang w:eastAsia="zh-CN"/>
              </w:rPr>
              <w:t>废水处理设施</w:t>
            </w:r>
            <w:r>
              <w:rPr>
                <w:spacing w:val="-3"/>
              </w:rPr>
              <w:t>处理，回用于</w:t>
            </w:r>
            <w:r>
              <w:rPr>
                <w:spacing w:val="-4"/>
              </w:rPr>
              <w:t>清洗工序，不</w:t>
            </w:r>
            <w:r>
              <w:rPr>
                <w:spacing w:val="-5"/>
              </w:rPr>
              <w:t>外排</w:t>
            </w:r>
            <w:r>
              <w:rPr>
                <w:rFonts w:hint="eastAsia"/>
                <w:spacing w:val="-5"/>
                <w:lang w:eastAsia="zh-CN"/>
              </w:rPr>
              <w:t>；</w:t>
            </w:r>
            <w:r>
              <w:rPr>
                <w:rFonts w:hint="default" w:ascii="Times New Roman" w:hAnsi="Times New Roman" w:eastAsia="宋体" w:cs="Times New Roman"/>
                <w:color w:val="auto"/>
                <w:sz w:val="24"/>
                <w:szCs w:val="24"/>
                <w:highlight w:val="none"/>
                <w:lang w:eastAsia="zh-CN"/>
              </w:rPr>
              <w:t>生活</w:t>
            </w:r>
            <w:r>
              <w:rPr>
                <w:rFonts w:hint="eastAsia" w:cs="Times New Roman"/>
                <w:color w:val="auto"/>
                <w:sz w:val="24"/>
                <w:szCs w:val="24"/>
                <w:highlight w:val="none"/>
                <w:lang w:eastAsia="zh-CN"/>
              </w:rPr>
              <w:t>污水经化粪池</w:t>
            </w:r>
            <w:r>
              <w:rPr>
                <w:rFonts w:hint="default" w:ascii="Times New Roman" w:hAnsi="Times New Roman" w:eastAsia="宋体" w:cs="Times New Roman"/>
                <w:color w:val="auto"/>
                <w:sz w:val="24"/>
                <w:szCs w:val="24"/>
                <w:highlight w:val="none"/>
                <w:lang w:eastAsia="zh-CN"/>
              </w:rPr>
              <w:t>处理后排入市政污水管网，送往</w:t>
            </w:r>
            <w:r>
              <w:rPr>
                <w:rFonts w:hint="default" w:ascii="Times New Roman" w:hAnsi="Times New Roman" w:eastAsia="宋体" w:cs="Times New Roman"/>
                <w:color w:val="auto"/>
                <w:sz w:val="24"/>
                <w:szCs w:val="22"/>
                <w:highlight w:val="none"/>
                <w:lang w:eastAsia="zh-CN"/>
              </w:rPr>
              <w:t>福清市融元污水处理厂</w:t>
            </w:r>
            <w:r>
              <w:rPr>
                <w:rFonts w:hint="default" w:ascii="Times New Roman" w:hAnsi="Times New Roman" w:eastAsia="宋体" w:cs="Times New Roman"/>
                <w:color w:val="auto"/>
                <w:sz w:val="24"/>
                <w:szCs w:val="22"/>
                <w:highlight w:val="none"/>
              </w:rPr>
              <w:t>进行处理</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eastAsia="zh-CN"/>
              </w:rPr>
              <w:t>污水处理厂</w:t>
            </w:r>
            <w:r>
              <w:rPr>
                <w:rFonts w:hint="default" w:ascii="Times New Roman" w:hAnsi="Times New Roman" w:cs="Times New Roman"/>
                <w:color w:val="auto"/>
                <w:sz w:val="24"/>
                <w:highlight w:val="none"/>
              </w:rPr>
              <w:t>尾水排入龙江，所处龙江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南门桥水闸至龙江入海口</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断面；根据福州市水功能区划批复（榕政综</w:t>
            </w:r>
            <w:r>
              <w:rPr>
                <w:rFonts w:hint="default" w:ascii="Times New Roman" w:hAnsi="Times New Roman" w:cs="Times New Roman"/>
                <w:color w:val="auto"/>
                <w:sz w:val="24"/>
                <w:highlight w:val="none"/>
                <w:lang w:eastAsia="zh-CN"/>
              </w:rPr>
              <w:t>〔2019〕316号</w:t>
            </w:r>
            <w:r>
              <w:rPr>
                <w:rFonts w:hint="default" w:ascii="Times New Roman" w:hAnsi="Times New Roman" w:cs="Times New Roman"/>
                <w:color w:val="auto"/>
                <w:sz w:val="24"/>
                <w:highlight w:val="none"/>
              </w:rPr>
              <w:t>）批准的《福州市水功能区划》，该断面水体主要功能为农业、工业、景观用水，环境功能类别为Ⅴ类，水质执行《地表水环境质量标准》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GB3838-2002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中Ⅴ类水质标准</w:t>
            </w:r>
            <w:r>
              <w:rPr>
                <w:rFonts w:hint="default" w:ascii="Times New Roman" w:hAnsi="Times New Roman" w:cs="Times New Roman"/>
                <w:color w:val="auto"/>
                <w:sz w:val="24"/>
                <w:highlight w:val="none"/>
                <w:lang w:eastAsia="zh-CN"/>
              </w:rPr>
              <w:t>，</w:t>
            </w:r>
            <w:r>
              <w:rPr>
                <w:rFonts w:hint="eastAsia" w:ascii="Times New Roman" w:hAnsi="Times New Roman" w:eastAsia="宋体" w:cs="Times New Roman"/>
                <w:color w:val="auto"/>
                <w:kern w:val="2"/>
                <w:sz w:val="24"/>
                <w:szCs w:val="20"/>
                <w:highlight w:val="none"/>
                <w:lang w:val="en-US" w:eastAsia="zh-CN" w:bidi="ar-SA"/>
              </w:rPr>
              <w:t>具体详见表3.1-1。</w:t>
            </w:r>
          </w:p>
          <w:p w14:paraId="78C5DA56">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bookmarkStart w:id="42" w:name="_Ref6142"/>
            <w:r>
              <w:rPr>
                <w:rFonts w:hint="eastAsia" w:ascii="Times New Roman" w:hAnsi="Times New Roman" w:eastAsia="宋体" w:cs="宋体"/>
                <w:b/>
                <w:bCs/>
                <w:color w:val="auto"/>
                <w:kern w:val="2"/>
                <w:sz w:val="24"/>
                <w:szCs w:val="21"/>
                <w:lang w:val="en-US" w:eastAsia="zh-CN" w:bidi="ar-SA"/>
              </w:rPr>
              <w:t>表3.1-1</w:t>
            </w:r>
            <w:r>
              <w:rPr>
                <w:rFonts w:hint="eastAsia" w:ascii="Times New Roman" w:hAnsi="Times New Roman" w:eastAsia="宋体" w:cs="Times New Roman"/>
                <w:b/>
                <w:bCs/>
                <w:color w:val="auto"/>
                <w:kern w:val="2"/>
                <w:sz w:val="24"/>
                <w:szCs w:val="21"/>
                <w:highlight w:val="none"/>
                <w:lang w:val="en-US" w:eastAsia="zh-CN" w:bidi="ar-SA"/>
              </w:rPr>
              <w:t xml:space="preserve"> </w:t>
            </w:r>
            <w:bookmarkEnd w:id="42"/>
            <w:r>
              <w:rPr>
                <w:rFonts w:hint="eastAsia" w:ascii="Times New Roman" w:hAnsi="Times New Roman" w:eastAsia="宋体" w:cs="Times New Roman"/>
                <w:b/>
                <w:bCs/>
                <w:color w:val="auto"/>
                <w:kern w:val="2"/>
                <w:sz w:val="24"/>
                <w:szCs w:val="21"/>
                <w:highlight w:val="none"/>
                <w:lang w:val="en-US" w:eastAsia="zh-CN" w:bidi="ar-SA"/>
              </w:rPr>
              <w:t>地表水环境质量标准（摘录） 单位：mg/L（除pH外）</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39"/>
              <w:gridCol w:w="2899"/>
              <w:gridCol w:w="1236"/>
              <w:gridCol w:w="1200"/>
              <w:gridCol w:w="1167"/>
              <w:gridCol w:w="1176"/>
            </w:tblGrid>
            <w:tr w14:paraId="0B399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bottom w:val="single" w:color="000000" w:sz="12" w:space="0"/>
                  </w:tcBorders>
                  <w:vAlign w:val="center"/>
                </w:tcPr>
                <w:p w14:paraId="365AF6A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序号</w:t>
                  </w:r>
                </w:p>
              </w:tc>
              <w:tc>
                <w:tcPr>
                  <w:tcW w:w="1682" w:type="pct"/>
                  <w:tcBorders>
                    <w:bottom w:val="single" w:color="000000" w:sz="12" w:space="0"/>
                  </w:tcBorders>
                  <w:vAlign w:val="center"/>
                </w:tcPr>
                <w:p w14:paraId="639D60D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项目</w:t>
                  </w:r>
                </w:p>
              </w:tc>
              <w:tc>
                <w:tcPr>
                  <w:tcW w:w="717" w:type="pct"/>
                  <w:tcBorders>
                    <w:bottom w:val="single" w:color="000000" w:sz="12" w:space="0"/>
                  </w:tcBorders>
                  <w:vAlign w:val="center"/>
                </w:tcPr>
                <w:p w14:paraId="742301CB">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Ⅱ类</w:t>
                  </w:r>
                </w:p>
              </w:tc>
              <w:tc>
                <w:tcPr>
                  <w:tcW w:w="696" w:type="pct"/>
                  <w:tcBorders>
                    <w:bottom w:val="single" w:color="000000" w:sz="12" w:space="0"/>
                  </w:tcBorders>
                  <w:shd w:val="clear" w:color="auto" w:fill="auto"/>
                  <w:vAlign w:val="center"/>
                </w:tcPr>
                <w:p w14:paraId="1654142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8"/>
                      <w:kern w:val="2"/>
                      <w:sz w:val="21"/>
                      <w:szCs w:val="24"/>
                      <w:lang w:val="zh-CN" w:eastAsia="zh-CN" w:bidi="zh-CN"/>
                    </w:rPr>
                    <w:t>Ⅲ类</w:t>
                  </w:r>
                </w:p>
              </w:tc>
              <w:tc>
                <w:tcPr>
                  <w:tcW w:w="677" w:type="pct"/>
                  <w:tcBorders>
                    <w:bottom w:val="single" w:color="000000" w:sz="12" w:space="0"/>
                  </w:tcBorders>
                  <w:vAlign w:val="center"/>
                </w:tcPr>
                <w:p w14:paraId="24F89C2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Ⅳ类</w:t>
                  </w:r>
                </w:p>
              </w:tc>
              <w:tc>
                <w:tcPr>
                  <w:tcW w:w="680" w:type="pct"/>
                  <w:tcBorders>
                    <w:bottom w:val="single" w:color="000000" w:sz="12" w:space="0"/>
                  </w:tcBorders>
                  <w:shd w:val="clear" w:color="auto" w:fill="BEBEBE"/>
                  <w:vAlign w:val="center"/>
                </w:tcPr>
                <w:p w14:paraId="10E4B8B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宋体" w:hAnsi="宋体" w:eastAsia="宋体" w:cs="宋体"/>
                      <w:color w:val="auto"/>
                      <w:kern w:val="2"/>
                      <w:sz w:val="21"/>
                      <w:szCs w:val="24"/>
                      <w:lang w:val="zh-CN" w:eastAsia="zh-CN" w:bidi="zh-CN"/>
                    </w:rPr>
                  </w:pPr>
                  <w:r>
                    <w:rPr>
                      <w:rFonts w:ascii="宋体" w:hAnsi="宋体" w:eastAsia="宋体" w:cs="宋体"/>
                      <w:color w:val="auto"/>
                      <w:spacing w:val="-6"/>
                      <w:kern w:val="2"/>
                      <w:sz w:val="21"/>
                      <w:szCs w:val="24"/>
                      <w:lang w:val="zh-CN" w:eastAsia="zh-CN" w:bidi="zh-CN"/>
                    </w:rPr>
                    <w:t>Ⅴ类</w:t>
                  </w:r>
                </w:p>
              </w:tc>
            </w:tr>
            <w:tr w14:paraId="3BA53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op w:val="single" w:color="000000" w:sz="12" w:space="0"/>
                    <w:tl2br w:val="nil"/>
                    <w:tr2bl w:val="nil"/>
                  </w:tcBorders>
                  <w:vAlign w:val="center"/>
                </w:tcPr>
                <w:p w14:paraId="52CE0C30">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1</w:t>
                  </w:r>
                </w:p>
              </w:tc>
              <w:tc>
                <w:tcPr>
                  <w:tcW w:w="1682" w:type="pct"/>
                  <w:tcBorders>
                    <w:top w:val="single" w:color="000000" w:sz="12" w:space="0"/>
                    <w:tl2br w:val="nil"/>
                    <w:tr2bl w:val="nil"/>
                  </w:tcBorders>
                  <w:vAlign w:val="center"/>
                </w:tcPr>
                <w:p w14:paraId="459BD96F">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Times New Roman" w:cs="宋体"/>
                      <w:color w:val="auto"/>
                      <w:kern w:val="2"/>
                      <w:sz w:val="21"/>
                      <w:szCs w:val="24"/>
                      <w:lang w:val="zh-CN" w:eastAsia="zh-CN" w:bidi="zh-CN"/>
                    </w:rPr>
                  </w:pPr>
                  <w:r>
                    <w:rPr>
                      <w:rFonts w:ascii="Times New Roman" w:hAnsi="宋体" w:eastAsia="Times New Roman" w:cs="宋体"/>
                      <w:color w:val="auto"/>
                      <w:spacing w:val="-2"/>
                      <w:kern w:val="2"/>
                      <w:sz w:val="21"/>
                      <w:szCs w:val="24"/>
                      <w:lang w:val="zh-CN" w:eastAsia="zh-CN" w:bidi="zh-CN"/>
                    </w:rPr>
                    <w:t>pH</w:t>
                  </w:r>
                  <w:r>
                    <w:rPr>
                      <w:rFonts w:hint="eastAsia" w:hAnsi="宋体" w:eastAsia="Times New Roman" w:cs="宋体"/>
                      <w:color w:val="auto"/>
                      <w:spacing w:val="-2"/>
                      <w:kern w:val="2"/>
                      <w:sz w:val="21"/>
                      <w:szCs w:val="24"/>
                      <w:lang w:val="zh-CN" w:eastAsia="zh-CN" w:bidi="zh-CN"/>
                    </w:rPr>
                    <w:t>（</w:t>
                  </w:r>
                  <w:r>
                    <w:rPr>
                      <w:rFonts w:ascii="宋体" w:hAnsi="宋体" w:eastAsia="宋体" w:cs="宋体"/>
                      <w:color w:val="auto"/>
                      <w:spacing w:val="-2"/>
                      <w:kern w:val="2"/>
                      <w:sz w:val="21"/>
                      <w:szCs w:val="24"/>
                      <w:lang w:val="zh-CN" w:eastAsia="zh-CN" w:bidi="zh-CN"/>
                    </w:rPr>
                    <w:t>无量纲</w:t>
                  </w:r>
                  <w:r>
                    <w:rPr>
                      <w:rFonts w:hint="eastAsia" w:ascii="宋体" w:hAnsi="宋体" w:cs="宋体"/>
                      <w:color w:val="auto"/>
                      <w:spacing w:val="-2"/>
                      <w:kern w:val="2"/>
                      <w:sz w:val="21"/>
                      <w:szCs w:val="24"/>
                      <w:lang w:val="zh-CN" w:eastAsia="zh-CN" w:bidi="zh-CN"/>
                    </w:rPr>
                    <w:t>）</w:t>
                  </w:r>
                </w:p>
              </w:tc>
              <w:tc>
                <w:tcPr>
                  <w:tcW w:w="2772" w:type="pct"/>
                  <w:gridSpan w:val="4"/>
                  <w:tcBorders>
                    <w:top w:val="single" w:color="000000" w:sz="12" w:space="0"/>
                    <w:tl2br w:val="nil"/>
                    <w:tr2bl w:val="nil"/>
                  </w:tcBorders>
                  <w:shd w:val="clear" w:color="auto" w:fill="BEBEBE"/>
                  <w:vAlign w:val="center"/>
                </w:tcPr>
                <w:p w14:paraId="2A106D1E">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Times New Roman" w:cs="宋体"/>
                      <w:color w:val="auto"/>
                      <w:kern w:val="2"/>
                      <w:sz w:val="21"/>
                      <w:szCs w:val="24"/>
                      <w:lang w:val="zh-CN" w:eastAsia="zh-CN" w:bidi="zh-CN"/>
                    </w:rPr>
                  </w:pPr>
                  <w:r>
                    <w:rPr>
                      <w:rFonts w:ascii="Times New Roman" w:hAnsi="宋体" w:eastAsia="Times New Roman" w:cs="宋体"/>
                      <w:color w:val="auto"/>
                      <w:spacing w:val="-5"/>
                      <w:kern w:val="2"/>
                      <w:sz w:val="21"/>
                      <w:szCs w:val="24"/>
                      <w:lang w:val="zh-CN" w:eastAsia="zh-CN" w:bidi="zh-CN"/>
                    </w:rPr>
                    <w:t>6</w:t>
                  </w:r>
                  <w:r>
                    <w:rPr>
                      <w:rFonts w:hint="eastAsia" w:hAnsi="宋体" w:eastAsia="Times New Roman" w:cs="宋体"/>
                      <w:color w:val="auto"/>
                      <w:spacing w:val="-5"/>
                      <w:kern w:val="2"/>
                      <w:sz w:val="21"/>
                      <w:szCs w:val="24"/>
                      <w:lang w:val="zh-CN" w:eastAsia="zh-CN" w:bidi="zh-CN"/>
                    </w:rPr>
                    <w:t>~</w:t>
                  </w:r>
                  <w:r>
                    <w:rPr>
                      <w:rFonts w:ascii="Times New Roman" w:hAnsi="宋体" w:eastAsia="Times New Roman" w:cs="宋体"/>
                      <w:color w:val="auto"/>
                      <w:spacing w:val="-5"/>
                      <w:kern w:val="2"/>
                      <w:sz w:val="21"/>
                      <w:szCs w:val="24"/>
                      <w:lang w:val="zh-CN" w:eastAsia="zh-CN" w:bidi="zh-CN"/>
                    </w:rPr>
                    <w:t>9</w:t>
                  </w:r>
                </w:p>
              </w:tc>
            </w:tr>
            <w:tr w14:paraId="5A35C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31B9254B">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c>
                <w:tcPr>
                  <w:tcW w:w="1682" w:type="pct"/>
                  <w:tcBorders>
                    <w:tl2br w:val="nil"/>
                    <w:tr2bl w:val="nil"/>
                  </w:tcBorders>
                  <w:vAlign w:val="center"/>
                </w:tcPr>
                <w:p w14:paraId="6F8FCD2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Times New Roman" w:cs="宋体"/>
                      <w:color w:val="auto"/>
                      <w:kern w:val="2"/>
                      <w:sz w:val="21"/>
                      <w:szCs w:val="24"/>
                      <w:lang w:val="zh-CN" w:eastAsia="zh-CN" w:bidi="zh-CN"/>
                    </w:rPr>
                  </w:pPr>
                  <w:r>
                    <w:rPr>
                      <w:rFonts w:ascii="宋体" w:hAnsi="宋体" w:eastAsia="宋体" w:cs="宋体"/>
                      <w:color w:val="auto"/>
                      <w:kern w:val="2"/>
                      <w:sz w:val="21"/>
                      <w:szCs w:val="24"/>
                      <w:lang w:val="zh-CN" w:eastAsia="zh-CN" w:bidi="zh-CN"/>
                    </w:rPr>
                    <w:t>溶解氧</w:t>
                  </w:r>
                  <w:r>
                    <w:rPr>
                      <w:rFonts w:hint="eastAsia" w:ascii="宋体" w:hAnsi="宋体" w:cs="宋体"/>
                      <w:color w:val="auto"/>
                      <w:kern w:val="2"/>
                      <w:sz w:val="21"/>
                      <w:szCs w:val="24"/>
                      <w:lang w:val="zh-CN" w:eastAsia="zh-CN" w:bidi="zh-CN"/>
                    </w:rPr>
                    <w:t>（</w:t>
                  </w:r>
                  <w:r>
                    <w:rPr>
                      <w:rFonts w:ascii="Times New Roman" w:hAnsi="Times New Roman" w:eastAsia="Times New Roman" w:cs="宋体"/>
                      <w:color w:val="auto"/>
                      <w:kern w:val="2"/>
                      <w:sz w:val="21"/>
                      <w:szCs w:val="24"/>
                      <w:lang w:val="zh-CN" w:eastAsia="zh-CN" w:bidi="zh-CN"/>
                    </w:rPr>
                    <w:t>DO</w:t>
                  </w:r>
                  <w:r>
                    <w:rPr>
                      <w:rFonts w:hint="eastAsia" w:eastAsia="Times New Roman" w:cs="宋体"/>
                      <w:color w:val="auto"/>
                      <w:kern w:val="2"/>
                      <w:sz w:val="21"/>
                      <w:szCs w:val="24"/>
                      <w:lang w:val="zh-CN" w:eastAsia="zh-CN" w:bidi="zh-CN"/>
                    </w:rPr>
                    <w:t>）</w:t>
                  </w:r>
                  <w:r>
                    <w:rPr>
                      <w:rFonts w:ascii="Times New Roman" w:hAnsi="Times New Roman" w:eastAsia="Times New Roman" w:cs="宋体"/>
                      <w:color w:val="auto"/>
                      <w:spacing w:val="-9"/>
                      <w:kern w:val="2"/>
                      <w:sz w:val="21"/>
                      <w:szCs w:val="24"/>
                      <w:lang w:val="zh-CN" w:eastAsia="zh-CN" w:bidi="zh-CN"/>
                    </w:rPr>
                    <w:t>≥</w:t>
                  </w:r>
                </w:p>
              </w:tc>
              <w:tc>
                <w:tcPr>
                  <w:tcW w:w="717" w:type="pct"/>
                  <w:tcBorders>
                    <w:tl2br w:val="nil"/>
                    <w:tr2bl w:val="nil"/>
                  </w:tcBorders>
                  <w:vAlign w:val="center"/>
                </w:tcPr>
                <w:p w14:paraId="17E963C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96" w:type="pct"/>
                  <w:tcBorders>
                    <w:tl2br w:val="nil"/>
                    <w:tr2bl w:val="nil"/>
                  </w:tcBorders>
                  <w:shd w:val="clear" w:color="auto" w:fill="auto"/>
                  <w:vAlign w:val="center"/>
                </w:tcPr>
                <w:p w14:paraId="5087F246">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677" w:type="pct"/>
                  <w:tcBorders>
                    <w:tl2br w:val="nil"/>
                    <w:tr2bl w:val="nil"/>
                  </w:tcBorders>
                  <w:vAlign w:val="center"/>
                </w:tcPr>
                <w:p w14:paraId="5986B27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80" w:type="pct"/>
                  <w:tcBorders>
                    <w:tl2br w:val="nil"/>
                    <w:tr2bl w:val="nil"/>
                  </w:tcBorders>
                  <w:shd w:val="clear" w:color="auto" w:fill="BEBEBE"/>
                  <w:vAlign w:val="center"/>
                </w:tcPr>
                <w:p w14:paraId="04C9A75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r>
            <w:tr w14:paraId="2C5690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45D72915">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1682" w:type="pct"/>
                  <w:tcBorders>
                    <w:tl2br w:val="nil"/>
                    <w:tr2bl w:val="nil"/>
                  </w:tcBorders>
                  <w:vAlign w:val="center"/>
                </w:tcPr>
                <w:p w14:paraId="07690E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COD</w:t>
                  </w:r>
                  <w:r>
                    <w:rPr>
                      <w:rFonts w:ascii="Times New Roman" w:hAnsi="Times New Roman" w:eastAsia="宋体" w:cs="宋体"/>
                      <w:color w:val="auto"/>
                      <w:spacing w:val="-2"/>
                      <w:kern w:val="2"/>
                      <w:sz w:val="13"/>
                      <w:szCs w:val="24"/>
                      <w:lang w:val="zh-CN" w:eastAsia="zh-CN" w:bidi="zh-CN"/>
                    </w:rPr>
                    <w:t>Mn</w:t>
                  </w:r>
                  <w:r>
                    <w:rPr>
                      <w:rFonts w:ascii="Times New Roman" w:hAnsi="Times New Roman" w:eastAsia="宋体" w:cs="宋体"/>
                      <w:color w:val="auto"/>
                      <w:spacing w:val="-2"/>
                      <w:kern w:val="2"/>
                      <w:position w:val="2"/>
                      <w:sz w:val="21"/>
                      <w:szCs w:val="24"/>
                      <w:lang w:val="zh-CN" w:eastAsia="zh-CN" w:bidi="zh-CN"/>
                    </w:rPr>
                    <w:t>≤</w:t>
                  </w:r>
                </w:p>
              </w:tc>
              <w:tc>
                <w:tcPr>
                  <w:tcW w:w="717" w:type="pct"/>
                  <w:tcBorders>
                    <w:tl2br w:val="nil"/>
                    <w:tr2bl w:val="nil"/>
                  </w:tcBorders>
                  <w:vAlign w:val="center"/>
                </w:tcPr>
                <w:p w14:paraId="51A777E6">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696" w:type="pct"/>
                  <w:tcBorders>
                    <w:tl2br w:val="nil"/>
                    <w:tr2bl w:val="nil"/>
                  </w:tcBorders>
                  <w:shd w:val="clear" w:color="auto" w:fill="auto"/>
                  <w:vAlign w:val="center"/>
                </w:tcPr>
                <w:p w14:paraId="22129BB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77" w:type="pct"/>
                  <w:tcBorders>
                    <w:tl2br w:val="nil"/>
                    <w:tr2bl w:val="nil"/>
                  </w:tcBorders>
                  <w:vAlign w:val="center"/>
                </w:tcPr>
                <w:p w14:paraId="0882BC3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c>
                <w:tcPr>
                  <w:tcW w:w="680" w:type="pct"/>
                  <w:tcBorders>
                    <w:tl2br w:val="nil"/>
                    <w:tr2bl w:val="nil"/>
                  </w:tcBorders>
                  <w:shd w:val="clear" w:color="auto" w:fill="BEBEBE"/>
                  <w:vAlign w:val="center"/>
                </w:tcPr>
                <w:p w14:paraId="44F4F458">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15</w:t>
                  </w:r>
                </w:p>
              </w:tc>
            </w:tr>
            <w:tr w14:paraId="356BF0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5" w:type="pct"/>
                  <w:tcBorders>
                    <w:tl2br w:val="nil"/>
                    <w:tr2bl w:val="nil"/>
                  </w:tcBorders>
                  <w:vAlign w:val="center"/>
                </w:tcPr>
                <w:p w14:paraId="570C808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1682" w:type="pct"/>
                  <w:tcBorders>
                    <w:tl2br w:val="nil"/>
                    <w:tr2bl w:val="nil"/>
                  </w:tcBorders>
                  <w:vAlign w:val="center"/>
                </w:tcPr>
                <w:p w14:paraId="192923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5"/>
                      <w:kern w:val="2"/>
                      <w:sz w:val="21"/>
                      <w:szCs w:val="24"/>
                      <w:lang w:val="zh-CN" w:eastAsia="zh-CN" w:bidi="zh-CN"/>
                    </w:rPr>
                    <w:t>DO≤</w:t>
                  </w:r>
                </w:p>
              </w:tc>
              <w:tc>
                <w:tcPr>
                  <w:tcW w:w="717" w:type="pct"/>
                  <w:tcBorders>
                    <w:tl2br w:val="nil"/>
                    <w:tr2bl w:val="nil"/>
                  </w:tcBorders>
                  <w:vAlign w:val="center"/>
                </w:tcPr>
                <w:p w14:paraId="22BE0977">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96" w:type="pct"/>
                  <w:tcBorders>
                    <w:tl2br w:val="nil"/>
                    <w:tr2bl w:val="nil"/>
                  </w:tcBorders>
                  <w:shd w:val="clear" w:color="auto" w:fill="auto"/>
                  <w:vAlign w:val="center"/>
                </w:tcPr>
                <w:p w14:paraId="584040BD">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677" w:type="pct"/>
                  <w:tcBorders>
                    <w:tl2br w:val="nil"/>
                    <w:tr2bl w:val="nil"/>
                  </w:tcBorders>
                  <w:vAlign w:val="center"/>
                </w:tcPr>
                <w:p w14:paraId="3EC0F11F">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80" w:type="pct"/>
                  <w:tcBorders>
                    <w:tl2br w:val="nil"/>
                    <w:tr2bl w:val="nil"/>
                  </w:tcBorders>
                  <w:shd w:val="clear" w:color="auto" w:fill="BEBEBE"/>
                  <w:vAlign w:val="center"/>
                </w:tcPr>
                <w:p w14:paraId="50FA70F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2</w:t>
                  </w:r>
                </w:p>
              </w:tc>
            </w:tr>
            <w:tr w14:paraId="74D0A7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309EB323">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5</w:t>
                  </w:r>
                </w:p>
              </w:tc>
              <w:tc>
                <w:tcPr>
                  <w:tcW w:w="1682" w:type="pct"/>
                  <w:tcBorders>
                    <w:tl2br w:val="nil"/>
                    <w:tr2bl w:val="nil"/>
                  </w:tcBorders>
                  <w:vAlign w:val="center"/>
                </w:tcPr>
                <w:p w14:paraId="59E5294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NH</w:t>
                  </w:r>
                  <w:r>
                    <w:rPr>
                      <w:rFonts w:ascii="Times New Roman" w:hAnsi="Times New Roman" w:eastAsia="宋体" w:cs="宋体"/>
                      <w:color w:val="auto"/>
                      <w:spacing w:val="-2"/>
                      <w:kern w:val="2"/>
                      <w:sz w:val="13"/>
                      <w:szCs w:val="24"/>
                      <w:lang w:val="zh-CN" w:eastAsia="zh-CN" w:bidi="zh-CN"/>
                    </w:rPr>
                    <w:t>3</w:t>
                  </w:r>
                  <w:r>
                    <w:rPr>
                      <w:rFonts w:ascii="Times New Roman" w:hAnsi="Times New Roman" w:eastAsia="宋体" w:cs="宋体"/>
                      <w:color w:val="auto"/>
                      <w:spacing w:val="-2"/>
                      <w:kern w:val="2"/>
                      <w:position w:val="2"/>
                      <w:sz w:val="21"/>
                      <w:szCs w:val="24"/>
                      <w:lang w:val="zh-CN" w:eastAsia="zh-CN" w:bidi="zh-CN"/>
                    </w:rPr>
                    <w:t>-</w:t>
                  </w:r>
                  <w:r>
                    <w:rPr>
                      <w:rFonts w:ascii="Times New Roman" w:hAnsi="Times New Roman" w:eastAsia="宋体" w:cs="宋体"/>
                      <w:color w:val="auto"/>
                      <w:spacing w:val="-5"/>
                      <w:kern w:val="2"/>
                      <w:position w:val="2"/>
                      <w:sz w:val="21"/>
                      <w:szCs w:val="24"/>
                      <w:lang w:val="zh-CN" w:eastAsia="zh-CN" w:bidi="zh-CN"/>
                    </w:rPr>
                    <w:t>N≤</w:t>
                  </w:r>
                </w:p>
              </w:tc>
              <w:tc>
                <w:tcPr>
                  <w:tcW w:w="717" w:type="pct"/>
                  <w:tcBorders>
                    <w:tl2br w:val="nil"/>
                    <w:tr2bl w:val="nil"/>
                  </w:tcBorders>
                  <w:vAlign w:val="center"/>
                </w:tcPr>
                <w:p w14:paraId="13B47C1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0.5</w:t>
                  </w:r>
                </w:p>
              </w:tc>
              <w:tc>
                <w:tcPr>
                  <w:tcW w:w="696" w:type="pct"/>
                  <w:tcBorders>
                    <w:tl2br w:val="nil"/>
                    <w:tr2bl w:val="nil"/>
                  </w:tcBorders>
                  <w:shd w:val="clear" w:color="auto" w:fill="auto"/>
                  <w:vAlign w:val="center"/>
                </w:tcPr>
                <w:p w14:paraId="1A471364">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c>
                <w:tcPr>
                  <w:tcW w:w="677" w:type="pct"/>
                  <w:tcBorders>
                    <w:tl2br w:val="nil"/>
                    <w:tr2bl w:val="nil"/>
                  </w:tcBorders>
                  <w:vAlign w:val="center"/>
                </w:tcPr>
                <w:p w14:paraId="5F8412A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1.5</w:t>
                  </w:r>
                </w:p>
              </w:tc>
              <w:tc>
                <w:tcPr>
                  <w:tcW w:w="680" w:type="pct"/>
                  <w:tcBorders>
                    <w:tl2br w:val="nil"/>
                    <w:tr2bl w:val="nil"/>
                  </w:tcBorders>
                  <w:shd w:val="clear" w:color="auto" w:fill="BEBEBE"/>
                  <w:vAlign w:val="center"/>
                </w:tcPr>
                <w:p w14:paraId="36FF1FB2">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2.0</w:t>
                  </w:r>
                </w:p>
              </w:tc>
            </w:tr>
            <w:tr w14:paraId="144565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545" w:type="pct"/>
                  <w:tcBorders>
                    <w:tl2br w:val="nil"/>
                    <w:tr2bl w:val="nil"/>
                  </w:tcBorders>
                  <w:vAlign w:val="center"/>
                </w:tcPr>
                <w:p w14:paraId="02573E6C">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1682" w:type="pct"/>
                  <w:tcBorders>
                    <w:tl2br w:val="nil"/>
                    <w:tr2bl w:val="nil"/>
                  </w:tcBorders>
                  <w:vAlign w:val="center"/>
                </w:tcPr>
                <w:p w14:paraId="66EFF1A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Times New Roman" w:eastAsia="宋体" w:cs="宋体"/>
                      <w:color w:val="auto"/>
                      <w:kern w:val="2"/>
                      <w:position w:val="2"/>
                      <w:sz w:val="21"/>
                      <w:szCs w:val="24"/>
                      <w:lang w:val="zh-CN" w:eastAsia="zh-CN" w:bidi="zh-CN"/>
                    </w:rPr>
                  </w:pPr>
                  <w:r>
                    <w:rPr>
                      <w:rFonts w:ascii="Times New Roman" w:hAnsi="Times New Roman" w:eastAsia="宋体" w:cs="宋体"/>
                      <w:color w:val="auto"/>
                      <w:spacing w:val="-2"/>
                      <w:kern w:val="2"/>
                      <w:position w:val="2"/>
                      <w:sz w:val="21"/>
                      <w:szCs w:val="24"/>
                      <w:lang w:val="zh-CN" w:eastAsia="zh-CN" w:bidi="zh-CN"/>
                    </w:rPr>
                    <w:t>BOD</w:t>
                  </w:r>
                  <w:r>
                    <w:rPr>
                      <w:rFonts w:ascii="Times New Roman" w:hAnsi="Times New Roman" w:eastAsia="宋体" w:cs="宋体"/>
                      <w:color w:val="auto"/>
                      <w:spacing w:val="-2"/>
                      <w:kern w:val="2"/>
                      <w:sz w:val="13"/>
                      <w:szCs w:val="24"/>
                      <w:lang w:val="zh-CN" w:eastAsia="zh-CN" w:bidi="zh-CN"/>
                    </w:rPr>
                    <w:t>5</w:t>
                  </w:r>
                  <w:r>
                    <w:rPr>
                      <w:rFonts w:ascii="Times New Roman" w:hAnsi="Times New Roman" w:eastAsia="宋体" w:cs="宋体"/>
                      <w:color w:val="auto"/>
                      <w:spacing w:val="-2"/>
                      <w:kern w:val="2"/>
                      <w:position w:val="2"/>
                      <w:sz w:val="21"/>
                      <w:szCs w:val="24"/>
                      <w:lang w:val="zh-CN" w:eastAsia="zh-CN" w:bidi="zh-CN"/>
                    </w:rPr>
                    <w:t>≤</w:t>
                  </w:r>
                </w:p>
              </w:tc>
              <w:tc>
                <w:tcPr>
                  <w:tcW w:w="717" w:type="pct"/>
                  <w:tcBorders>
                    <w:tl2br w:val="nil"/>
                    <w:tr2bl w:val="nil"/>
                  </w:tcBorders>
                  <w:vAlign w:val="center"/>
                </w:tcPr>
                <w:p w14:paraId="1CE1D0C5">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3</w:t>
                  </w:r>
                </w:p>
              </w:tc>
              <w:tc>
                <w:tcPr>
                  <w:tcW w:w="696" w:type="pct"/>
                  <w:tcBorders>
                    <w:tl2br w:val="nil"/>
                    <w:tr2bl w:val="nil"/>
                  </w:tcBorders>
                  <w:shd w:val="clear" w:color="auto" w:fill="auto"/>
                  <w:vAlign w:val="center"/>
                </w:tcPr>
                <w:p w14:paraId="556197EA">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4</w:t>
                  </w:r>
                </w:p>
              </w:tc>
              <w:tc>
                <w:tcPr>
                  <w:tcW w:w="677" w:type="pct"/>
                  <w:tcBorders>
                    <w:tl2br w:val="nil"/>
                    <w:tr2bl w:val="nil"/>
                  </w:tcBorders>
                  <w:vAlign w:val="center"/>
                </w:tcPr>
                <w:p w14:paraId="16088891">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10"/>
                      <w:kern w:val="2"/>
                      <w:sz w:val="21"/>
                      <w:szCs w:val="24"/>
                      <w:lang w:val="zh-CN" w:eastAsia="zh-CN" w:bidi="zh-CN"/>
                    </w:rPr>
                    <w:t>6</w:t>
                  </w:r>
                </w:p>
              </w:tc>
              <w:tc>
                <w:tcPr>
                  <w:tcW w:w="680" w:type="pct"/>
                  <w:tcBorders>
                    <w:tl2br w:val="nil"/>
                    <w:tr2bl w:val="nil"/>
                  </w:tcBorders>
                  <w:shd w:val="clear" w:color="auto" w:fill="BEBEBE"/>
                  <w:vAlign w:val="center"/>
                </w:tcPr>
                <w:p w14:paraId="55D377E0">
                  <w:pPr>
                    <w:keepNext w:val="0"/>
                    <w:keepLines w:val="0"/>
                    <w:pageBreakBefore w:val="0"/>
                    <w:widowControl w:val="0"/>
                    <w:kinsoku/>
                    <w:wordWrap/>
                    <w:overflowPunct/>
                    <w:topLinePunct w:val="0"/>
                    <w:autoSpaceDE/>
                    <w:autoSpaceDN/>
                    <w:bidi w:val="0"/>
                    <w:adjustRightInd/>
                    <w:snapToGrid/>
                    <w:ind w:left="0" w:right="0"/>
                    <w:jc w:val="center"/>
                    <w:textAlignment w:val="auto"/>
                    <w:rPr>
                      <w:rFonts w:ascii="Times New Roman" w:hAnsi="宋体" w:eastAsia="宋体" w:cs="宋体"/>
                      <w:color w:val="auto"/>
                      <w:kern w:val="2"/>
                      <w:sz w:val="21"/>
                      <w:szCs w:val="24"/>
                      <w:lang w:val="zh-CN" w:eastAsia="zh-CN" w:bidi="zh-CN"/>
                    </w:rPr>
                  </w:pPr>
                  <w:r>
                    <w:rPr>
                      <w:rFonts w:ascii="Times New Roman" w:hAnsi="宋体" w:eastAsia="宋体" w:cs="宋体"/>
                      <w:color w:val="auto"/>
                      <w:spacing w:val="-5"/>
                      <w:kern w:val="2"/>
                      <w:sz w:val="21"/>
                      <w:szCs w:val="24"/>
                      <w:lang w:val="zh-CN" w:eastAsia="zh-CN" w:bidi="zh-CN"/>
                    </w:rPr>
                    <w:t>10</w:t>
                  </w:r>
                </w:p>
              </w:tc>
            </w:tr>
          </w:tbl>
          <w:p w14:paraId="6B227A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w:t>
            </w:r>
            <w:r>
              <w:rPr>
                <w:rFonts w:hint="eastAsia" w:ascii="Times New Roman" w:hAnsi="Times New Roman" w:eastAsia="宋体" w:cs="Times New Roman"/>
                <w:color w:val="auto"/>
                <w:kern w:val="2"/>
                <w:sz w:val="24"/>
                <w:szCs w:val="20"/>
                <w:highlight w:val="none"/>
                <w:lang w:val="en-US" w:eastAsia="zh-CN" w:bidi="ar-SA"/>
              </w:rPr>
              <w:t>）地表水环境现状</w:t>
            </w:r>
          </w:p>
          <w:p w14:paraId="34ED0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①地表水水质现状调查</w:t>
            </w:r>
          </w:p>
          <w:p w14:paraId="434D1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为了解项目地表水水质环境质量现状，根据福建省生态环境厅网站发布的福建省主要流域水环境质量状况</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2024年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2024年，福建省主要流域总体水质为优，国控断面I~Ⅲ类水质比例100%.I</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类水质比例77.1%</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国控及省控断面I~Ⅲ类水质比例99.7%</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其中I～类水质比例80.0%</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各类水质比例如下：类占2.4%</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类占77.6%,Ⅲ类占19.7%,</w:t>
            </w:r>
            <w:r>
              <w:rPr>
                <w:rFonts w:hint="eastAsia" w:cs="Times New Roman"/>
                <w:color w:val="auto"/>
                <w:kern w:val="2"/>
                <w:sz w:val="24"/>
                <w:szCs w:val="20"/>
                <w:highlight w:val="none"/>
                <w:lang w:val="en-US" w:eastAsia="zh-CN" w:bidi="ar-SA"/>
              </w:rPr>
              <w:t>Ⅳ类</w:t>
            </w:r>
            <w:r>
              <w:rPr>
                <w:rFonts w:hint="eastAsia" w:ascii="Times New Roman" w:hAnsi="Times New Roman" w:eastAsia="宋体" w:cs="Times New Roman"/>
                <w:color w:val="auto"/>
                <w:kern w:val="2"/>
                <w:sz w:val="24"/>
                <w:szCs w:val="20"/>
                <w:highlight w:val="none"/>
                <w:lang w:val="en-US" w:eastAsia="zh-CN" w:bidi="ar-SA"/>
              </w:rPr>
              <w:t>占0.3%</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无V类和劣V类水</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详见图3.1-1）。</w:t>
            </w:r>
          </w:p>
          <w:p w14:paraId="042A2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2024年，福建省主要流域总体水质从相对较好开始排序，具体为：闽江、交溪、九龙江、汀江</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韩江</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、霍童溪、晋江、荻芦溪、东西溪、木兰溪、敖江、漳江、诏安东溪、鹿溪、</w:t>
            </w:r>
            <w:r>
              <w:rPr>
                <w:rFonts w:hint="eastAsia" w:ascii="Times New Roman" w:hAnsi="Times New Roman" w:eastAsia="宋体" w:cs="Times New Roman"/>
                <w:b/>
                <w:bCs/>
                <w:color w:val="auto"/>
                <w:kern w:val="2"/>
                <w:sz w:val="24"/>
                <w:szCs w:val="20"/>
                <w:highlight w:val="none"/>
                <w:lang w:val="en-US" w:eastAsia="zh-CN" w:bidi="ar-SA"/>
              </w:rPr>
              <w:t>龙江</w:t>
            </w:r>
            <w:r>
              <w:rPr>
                <w:rFonts w:hint="eastAsia" w:cs="Times New Roman"/>
                <w:b/>
                <w:bCs/>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详见图3.1-2）。</w:t>
            </w:r>
          </w:p>
          <w:p w14:paraId="685DF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由此，可知龙江水质可达到《地表水环境质量标准》</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GB3838-2002</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V类水标准。</w:t>
            </w:r>
            <w:r>
              <w:rPr>
                <w:rFonts w:ascii="Times New Roman" w:hAnsi="Times New Roman" w:eastAsia="宋体" w:cs="Times New Roman"/>
                <w:color w:val="auto"/>
              </w:rPr>
              <w:drawing>
                <wp:inline distT="0" distB="0" distL="114300" distR="114300">
                  <wp:extent cx="5560060" cy="3710940"/>
                  <wp:effectExtent l="0" t="0" r="2540" b="381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0"/>
                          <a:stretch>
                            <a:fillRect/>
                          </a:stretch>
                        </pic:blipFill>
                        <pic:spPr>
                          <a:xfrm>
                            <a:off x="0" y="0"/>
                            <a:ext cx="5560060" cy="3710940"/>
                          </a:xfrm>
                          <a:prstGeom prst="rect">
                            <a:avLst/>
                          </a:prstGeom>
                          <a:noFill/>
                          <a:ln>
                            <a:noFill/>
                          </a:ln>
                        </pic:spPr>
                      </pic:pic>
                    </a:graphicData>
                  </a:graphic>
                </wp:inline>
              </w:drawing>
            </w:r>
          </w:p>
          <w:p w14:paraId="4B26C2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Times New Roman" w:hAnsi="Times New Roman" w:eastAsia="宋体" w:cs="Times New Roman"/>
                <w:b/>
                <w:bCs/>
                <w:color w:val="auto"/>
                <w:kern w:val="2"/>
                <w:sz w:val="24"/>
                <w:szCs w:val="20"/>
                <w:highlight w:val="none"/>
                <w:lang w:val="en-US" w:eastAsia="zh-CN" w:bidi="ar-SA"/>
              </w:rPr>
            </w:pPr>
            <w:r>
              <w:rPr>
                <w:rFonts w:ascii="Times New Roman" w:hAnsi="Times New Roman" w:eastAsia="宋体" w:cs="Times New Roman"/>
                <w:color w:val="auto"/>
              </w:rPr>
              <w:drawing>
                <wp:anchor distT="0" distB="0" distL="114300" distR="114300" simplePos="0" relativeHeight="251662336" behindDoc="0" locked="0" layoutInCell="1" allowOverlap="1">
                  <wp:simplePos x="0" y="0"/>
                  <wp:positionH relativeFrom="column">
                    <wp:posOffset>-40640</wp:posOffset>
                  </wp:positionH>
                  <wp:positionV relativeFrom="paragraph">
                    <wp:posOffset>353695</wp:posOffset>
                  </wp:positionV>
                  <wp:extent cx="5554345" cy="2183765"/>
                  <wp:effectExtent l="0" t="0" r="8255" b="6985"/>
                  <wp:wrapTopAndBottom/>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1"/>
                          <a:stretch>
                            <a:fillRect/>
                          </a:stretch>
                        </pic:blipFill>
                        <pic:spPr>
                          <a:xfrm>
                            <a:off x="0" y="0"/>
                            <a:ext cx="5554345" cy="2183765"/>
                          </a:xfrm>
                          <a:prstGeom prst="rect">
                            <a:avLst/>
                          </a:prstGeom>
                          <a:noFill/>
                          <a:ln>
                            <a:noFill/>
                          </a:ln>
                        </pic:spPr>
                      </pic:pic>
                    </a:graphicData>
                  </a:graphic>
                </wp:anchor>
              </w:drawing>
            </w:r>
            <w:r>
              <w:rPr>
                <w:rFonts w:hint="eastAsia" w:ascii="Times New Roman" w:hAnsi="Times New Roman" w:eastAsia="宋体" w:cs="Times New Roman"/>
                <w:b/>
                <w:bCs/>
                <w:color w:val="auto"/>
                <w:kern w:val="2"/>
                <w:sz w:val="24"/>
                <w:szCs w:val="20"/>
                <w:highlight w:val="none"/>
                <w:lang w:val="en-US" w:eastAsia="zh-CN" w:bidi="ar-SA"/>
              </w:rPr>
              <w:t>图3.1-1 福建省流域水环境质量状况（2024年）</w:t>
            </w:r>
          </w:p>
          <w:p w14:paraId="2637A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eastAsia="宋体" w:cs="Times New Roman"/>
                <w:b/>
                <w:bCs/>
                <w:color w:val="auto"/>
                <w:kern w:val="2"/>
                <w:sz w:val="24"/>
                <w:szCs w:val="20"/>
                <w:highlight w:val="none"/>
                <w:lang w:val="en-US" w:eastAsia="zh-CN" w:bidi="ar-SA"/>
              </w:rPr>
              <w:t>图3.1-2 福建省地表水水质状况排序（2024年）</w:t>
            </w:r>
          </w:p>
          <w:p w14:paraId="4FB31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②引用资料的有效性分析</w:t>
            </w:r>
          </w:p>
          <w:p w14:paraId="6391F9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根据《建设项目环境影响报告表编制技术指南（污染影响类）（试行）》（环办环评</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0"/>
                <w:highlight w:val="none"/>
                <w:lang w:val="en-US" w:eastAsia="zh-CN" w:bidi="ar-SA"/>
              </w:rPr>
              <w:t>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次评价选取福建省生态环境厅网站发布的水环境质量状况，符合《建设项目环境影响报告表编制技术指南（污染影响类）（试行）》（环办环评</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2"/>
                <w:sz w:val="24"/>
                <w:szCs w:val="20"/>
                <w:highlight w:val="none"/>
                <w:lang w:val="en-US" w:eastAsia="zh-CN" w:bidi="ar-SA"/>
              </w:rPr>
              <w:t>33号）的要求。</w:t>
            </w:r>
          </w:p>
          <w:p w14:paraId="02B9A18B">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.1.2</w:t>
            </w:r>
            <w:r>
              <w:rPr>
                <w:rFonts w:hint="eastAsia" w:ascii="Times New Roman" w:hAnsi="Times New Roman" w:eastAsia="宋体" w:cs="Times New Roman"/>
                <w:b/>
                <w:bCs/>
                <w:color w:val="auto"/>
                <w:kern w:val="2"/>
                <w:sz w:val="24"/>
                <w:szCs w:val="32"/>
                <w:highlight w:val="none"/>
                <w:lang w:val="en-US" w:eastAsia="zh-CN" w:bidi="ar-SA"/>
              </w:rPr>
              <w:t>大气环境质量现状</w:t>
            </w:r>
          </w:p>
          <w:p w14:paraId="1F2886B3">
            <w:pPr>
              <w:keepNext/>
              <w:keepLines/>
              <w:widowControl w:val="0"/>
              <w:numPr>
                <w:ilvl w:val="3"/>
                <w:numId w:val="0"/>
              </w:numPr>
              <w:tabs>
                <w:tab w:val="left" w:pos="0"/>
                <w:tab w:val="left" w:pos="420"/>
              </w:tabs>
              <w:bidi w:val="0"/>
              <w:spacing w:line="360" w:lineRule="auto"/>
              <w:ind w:left="864" w:leftChars="0" w:hanging="864" w:firstLineChars="0"/>
              <w:jc w:val="left"/>
              <w:outlineLvl w:val="3"/>
              <w:rPr>
                <w:rFonts w:hint="default" w:ascii="Times New Roman" w:hAnsi="Times New Roman" w:eastAsia="宋体" w:cs="Times New Roman"/>
                <w:b/>
                <w:bCs/>
                <w:color w:val="auto"/>
                <w:kern w:val="2"/>
                <w:sz w:val="24"/>
                <w:szCs w:val="28"/>
                <w:highlight w:val="none"/>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.1.2.1</w:t>
            </w:r>
            <w:r>
              <w:rPr>
                <w:rFonts w:hint="default" w:ascii="Times New Roman" w:hAnsi="Times New Roman" w:eastAsia="宋体" w:cs="Times New Roman"/>
                <w:b/>
                <w:bCs/>
                <w:color w:val="auto"/>
                <w:kern w:val="2"/>
                <w:sz w:val="24"/>
                <w:szCs w:val="28"/>
                <w:highlight w:val="none"/>
                <w:lang w:val="en-US" w:eastAsia="zh-CN" w:bidi="ar-SA"/>
              </w:rPr>
              <w:t>区域达标判断</w:t>
            </w:r>
          </w:p>
          <w:p w14:paraId="323A027F">
            <w:pPr>
              <w:keepNext w:val="0"/>
              <w:keepLines w:val="0"/>
              <w:pageBreakBefore w:val="0"/>
              <w:widowControl w:val="0"/>
              <w:tabs>
                <w:tab w:val="left" w:pos="0"/>
              </w:tabs>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根据福州市人民政府榕政综</w:t>
            </w:r>
            <w:r>
              <w:rPr>
                <w:rFonts w:hint="eastAsia" w:cs="宋体"/>
                <w:color w:val="auto"/>
                <w:kern w:val="0"/>
                <w:sz w:val="24"/>
                <w:szCs w:val="20"/>
                <w:highlight w:val="none"/>
                <w:lang w:val="en-US" w:eastAsia="zh-CN" w:bidi="ar-SA"/>
              </w:rPr>
              <w:t>〔2014〕30号</w:t>
            </w:r>
            <w:r>
              <w:rPr>
                <w:rFonts w:hint="eastAsia" w:ascii="Times New Roman" w:hAnsi="Times New Roman" w:eastAsia="宋体" w:cs="宋体"/>
                <w:color w:val="auto"/>
                <w:kern w:val="0"/>
                <w:sz w:val="24"/>
                <w:szCs w:val="20"/>
                <w:highlight w:val="none"/>
                <w:lang w:val="en-US" w:eastAsia="zh-CN" w:bidi="ar-SA"/>
              </w:rPr>
              <w:t>文件正式批准实施《福州市环境空气质量功能区划</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报批稿</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》的规定，项目所在区域环境空气功能规划为二类区，环境空气质量执行《环境空气质量标准》</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GB3095-2012</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及其修改单中的二级标准。非甲烷总烃参照执行《大气污染物综合排放标准详解》</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国家</w:t>
            </w:r>
            <w:r>
              <w:rPr>
                <w:rFonts w:hint="eastAsia" w:cs="宋体"/>
                <w:color w:val="auto"/>
                <w:kern w:val="0"/>
                <w:sz w:val="24"/>
                <w:szCs w:val="20"/>
                <w:highlight w:val="none"/>
                <w:lang w:val="en-US" w:eastAsia="zh-CN" w:bidi="ar-SA"/>
              </w:rPr>
              <w:t>生态环境局</w:t>
            </w:r>
            <w:r>
              <w:rPr>
                <w:rFonts w:hint="eastAsia" w:ascii="Times New Roman" w:hAnsi="Times New Roman" w:eastAsia="宋体" w:cs="宋体"/>
                <w:color w:val="auto"/>
                <w:kern w:val="0"/>
                <w:sz w:val="24"/>
                <w:szCs w:val="20"/>
                <w:highlight w:val="none"/>
                <w:lang w:val="en-US" w:eastAsia="zh-CN" w:bidi="ar-SA"/>
              </w:rPr>
              <w:t>科技标准司</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中规定的标准限值，具体详见表3.1-2。</w:t>
            </w:r>
          </w:p>
          <w:p w14:paraId="31905E57">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default"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表1.1-2</w:t>
            </w:r>
            <w:r>
              <w:rPr>
                <w:rFonts w:hint="eastAsia" w:ascii="Times New Roman" w:hAnsi="Times New Roman" w:eastAsia="宋体" w:cs="Times New Roman"/>
                <w:b/>
                <w:bCs/>
                <w:color w:val="auto"/>
                <w:kern w:val="2"/>
                <w:sz w:val="24"/>
                <w:szCs w:val="21"/>
                <w:highlight w:val="none"/>
                <w:lang w:val="en-US" w:eastAsia="zh-CN" w:bidi="ar-SA"/>
              </w:rPr>
              <w:t>环境空气标准一览表</w:t>
            </w:r>
          </w:p>
          <w:tbl>
            <w:tblPr>
              <w:tblStyle w:val="24"/>
              <w:tblW w:w="4994"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76"/>
              <w:gridCol w:w="2410"/>
              <w:gridCol w:w="1921"/>
              <w:gridCol w:w="2603"/>
            </w:tblGrid>
            <w:tr w14:paraId="760D95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bottom w:val="single" w:color="000000" w:sz="12" w:space="0"/>
                  </w:tcBorders>
                  <w:vAlign w:val="center"/>
                </w:tcPr>
                <w:p w14:paraId="24485D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4"/>
                      <w:kern w:val="2"/>
                      <w:sz w:val="21"/>
                      <w:szCs w:val="24"/>
                      <w:lang w:val="zh-CN" w:eastAsia="zh-CN" w:bidi="zh-CN"/>
                    </w:rPr>
                    <w:t>污染物名称</w:t>
                  </w:r>
                </w:p>
              </w:tc>
              <w:tc>
                <w:tcPr>
                  <w:tcW w:w="1399" w:type="pct"/>
                  <w:tcBorders>
                    <w:bottom w:val="single" w:color="000000" w:sz="12" w:space="0"/>
                  </w:tcBorders>
                  <w:vAlign w:val="center"/>
                </w:tcPr>
                <w:p w14:paraId="24798E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7"/>
                      <w:kern w:val="2"/>
                      <w:sz w:val="21"/>
                      <w:szCs w:val="24"/>
                      <w:lang w:val="zh-CN" w:eastAsia="zh-CN" w:bidi="zh-CN"/>
                    </w:rPr>
                    <w:t>取值时间</w:t>
                  </w:r>
                </w:p>
              </w:tc>
              <w:tc>
                <w:tcPr>
                  <w:tcW w:w="1115" w:type="pct"/>
                  <w:tcBorders>
                    <w:bottom w:val="single" w:color="000000" w:sz="12" w:space="0"/>
                  </w:tcBorders>
                  <w:vAlign w:val="center"/>
                </w:tcPr>
                <w:p w14:paraId="60C016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7"/>
                      <w:kern w:val="2"/>
                      <w:sz w:val="21"/>
                      <w:szCs w:val="24"/>
                      <w:lang w:val="zh-CN" w:eastAsia="zh-CN" w:bidi="zh-CN"/>
                    </w:rPr>
                    <w:t>浓度限值</w:t>
                  </w:r>
                </w:p>
              </w:tc>
              <w:tc>
                <w:tcPr>
                  <w:tcW w:w="1511" w:type="pct"/>
                  <w:tcBorders>
                    <w:bottom w:val="single" w:color="000000" w:sz="12" w:space="0"/>
                  </w:tcBorders>
                  <w:vAlign w:val="center"/>
                </w:tcPr>
                <w:p w14:paraId="7CFF30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7"/>
                      <w:kern w:val="2"/>
                      <w:sz w:val="21"/>
                      <w:szCs w:val="24"/>
                      <w:lang w:val="zh-CN" w:eastAsia="zh-CN" w:bidi="zh-CN"/>
                    </w:rPr>
                    <w:t>标准来源</w:t>
                  </w:r>
                </w:p>
              </w:tc>
            </w:tr>
            <w:tr w14:paraId="0D71BD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op w:val="single" w:color="000000" w:sz="12" w:space="0"/>
                    <w:tl2br w:val="nil"/>
                    <w:tr2bl w:val="nil"/>
                  </w:tcBorders>
                  <w:vAlign w:val="center"/>
                </w:tcPr>
                <w:p w14:paraId="46646D6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13"/>
                      <w:szCs w:val="24"/>
                      <w:lang w:val="zh-CN" w:eastAsia="zh-CN" w:bidi="zh-CN"/>
                    </w:rPr>
                  </w:pPr>
                </w:p>
                <w:p w14:paraId="595F56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4"/>
                      <w:kern w:val="2"/>
                      <w:position w:val="2"/>
                      <w:sz w:val="21"/>
                      <w:szCs w:val="24"/>
                      <w:lang w:val="zh-CN" w:eastAsia="zh-CN" w:bidi="zh-CN"/>
                    </w:rPr>
                    <w:t>PM</w:t>
                  </w:r>
                  <w:r>
                    <w:rPr>
                      <w:rFonts w:ascii="Times New Roman" w:hAnsi="Times New Roman" w:eastAsia="宋体" w:cs="宋体"/>
                      <w:color w:val="auto"/>
                      <w:spacing w:val="-4"/>
                      <w:kern w:val="2"/>
                      <w:sz w:val="13"/>
                      <w:szCs w:val="24"/>
                      <w:lang w:val="zh-CN" w:eastAsia="zh-CN" w:bidi="zh-CN"/>
                    </w:rPr>
                    <w:t>10</w:t>
                  </w:r>
                </w:p>
              </w:tc>
              <w:tc>
                <w:tcPr>
                  <w:tcW w:w="1399" w:type="pct"/>
                  <w:tcBorders>
                    <w:top w:val="single" w:color="000000" w:sz="12" w:space="0"/>
                    <w:tl2br w:val="nil"/>
                    <w:tr2bl w:val="nil"/>
                  </w:tcBorders>
                  <w:vAlign w:val="center"/>
                </w:tcPr>
                <w:p w14:paraId="5F735DF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sz w:val="21"/>
                      <w:szCs w:val="24"/>
                      <w:lang w:val="zh-CN" w:eastAsia="zh-CN" w:bidi="zh-CN"/>
                    </w:rPr>
                    <w:t>年平均</w:t>
                  </w:r>
                </w:p>
              </w:tc>
              <w:tc>
                <w:tcPr>
                  <w:tcW w:w="1115" w:type="pct"/>
                  <w:tcBorders>
                    <w:top w:val="single" w:color="000000" w:sz="12" w:space="0"/>
                    <w:tl2br w:val="nil"/>
                    <w:tr2bl w:val="nil"/>
                  </w:tcBorders>
                  <w:vAlign w:val="center"/>
                </w:tcPr>
                <w:p w14:paraId="29AC59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70μg/m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restart"/>
                  <w:tcBorders>
                    <w:top w:val="single" w:color="000000" w:sz="12" w:space="0"/>
                    <w:tl2br w:val="nil"/>
                    <w:tr2bl w:val="nil"/>
                  </w:tcBorders>
                  <w:vAlign w:val="center"/>
                </w:tcPr>
                <w:p w14:paraId="659EDE1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3"/>
                      <w:kern w:val="2"/>
                      <w:sz w:val="21"/>
                      <w:szCs w:val="24"/>
                      <w:lang w:val="zh-CN" w:eastAsia="zh-CN" w:bidi="zh-CN"/>
                    </w:rPr>
                    <w:t>《环境空气质量标准》</w:t>
                  </w:r>
                </w:p>
                <w:p w14:paraId="1023EA5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hint="eastAsia" w:cs="宋体"/>
                      <w:color w:val="auto"/>
                      <w:spacing w:val="-2"/>
                      <w:kern w:val="2"/>
                      <w:sz w:val="21"/>
                      <w:szCs w:val="24"/>
                      <w:lang w:val="zh-CN" w:eastAsia="zh-CN" w:bidi="zh-CN"/>
                    </w:rPr>
                    <w:t>（</w:t>
                  </w:r>
                  <w:r>
                    <w:rPr>
                      <w:rFonts w:ascii="Times New Roman" w:hAnsi="Times New Roman" w:eastAsia="宋体" w:cs="宋体"/>
                      <w:color w:val="auto"/>
                      <w:spacing w:val="-2"/>
                      <w:kern w:val="2"/>
                      <w:sz w:val="21"/>
                      <w:szCs w:val="24"/>
                      <w:lang w:val="zh-CN" w:eastAsia="zh-CN" w:bidi="zh-CN"/>
                    </w:rPr>
                    <w:t>GB3095-2012</w:t>
                  </w:r>
                  <w:r>
                    <w:rPr>
                      <w:rFonts w:hint="eastAsia" w:cs="宋体"/>
                      <w:color w:val="auto"/>
                      <w:spacing w:val="-2"/>
                      <w:kern w:val="2"/>
                      <w:sz w:val="21"/>
                      <w:szCs w:val="24"/>
                      <w:lang w:val="zh-CN" w:eastAsia="zh-CN" w:bidi="zh-CN"/>
                    </w:rPr>
                    <w:t>）</w:t>
                  </w:r>
                  <w:r>
                    <w:rPr>
                      <w:rFonts w:ascii="Times New Roman" w:hAnsi="Times New Roman" w:eastAsia="宋体" w:cs="宋体"/>
                      <w:color w:val="auto"/>
                      <w:spacing w:val="-4"/>
                      <w:kern w:val="2"/>
                      <w:sz w:val="21"/>
                      <w:szCs w:val="24"/>
                      <w:lang w:val="zh-CN" w:eastAsia="zh-CN" w:bidi="zh-CN"/>
                    </w:rPr>
                    <w:t>及其修改单中的二级标准</w:t>
                  </w:r>
                </w:p>
              </w:tc>
            </w:tr>
            <w:tr w14:paraId="1D6641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50A6649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00C70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kern w:val="2"/>
                      <w:sz w:val="21"/>
                      <w:szCs w:val="24"/>
                      <w:lang w:val="zh-CN" w:eastAsia="zh-CN" w:bidi="zh-CN"/>
                    </w:rPr>
                    <w:t>24</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1718015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150μg/m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21FACC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424144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2549A8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13"/>
                      <w:szCs w:val="24"/>
                      <w:lang w:val="zh-CN" w:eastAsia="zh-CN" w:bidi="zh-CN"/>
                    </w:rPr>
                  </w:pPr>
                </w:p>
                <w:p w14:paraId="6633F3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w w:val="105"/>
                      <w:kern w:val="2"/>
                      <w:position w:val="2"/>
                      <w:sz w:val="21"/>
                      <w:szCs w:val="24"/>
                      <w:lang w:val="zh-CN" w:eastAsia="zh-CN" w:bidi="zh-CN"/>
                    </w:rPr>
                    <w:t>PM</w:t>
                  </w:r>
                  <w:r>
                    <w:rPr>
                      <w:rFonts w:ascii="Times New Roman" w:hAnsi="Times New Roman" w:eastAsia="宋体" w:cs="宋体"/>
                      <w:color w:val="auto"/>
                      <w:spacing w:val="-2"/>
                      <w:w w:val="105"/>
                      <w:kern w:val="2"/>
                      <w:sz w:val="13"/>
                      <w:szCs w:val="24"/>
                      <w:lang w:val="zh-CN" w:eastAsia="zh-CN" w:bidi="zh-CN"/>
                    </w:rPr>
                    <w:t>2.5</w:t>
                  </w:r>
                </w:p>
              </w:tc>
              <w:tc>
                <w:tcPr>
                  <w:tcW w:w="1399" w:type="pct"/>
                  <w:tcBorders>
                    <w:tl2br w:val="nil"/>
                    <w:tr2bl w:val="nil"/>
                  </w:tcBorders>
                  <w:vAlign w:val="center"/>
                </w:tcPr>
                <w:p w14:paraId="09D94D9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sz w:val="21"/>
                      <w:szCs w:val="24"/>
                      <w:lang w:val="zh-CN" w:eastAsia="zh-CN" w:bidi="zh-CN"/>
                    </w:rPr>
                    <w:t>年平均</w:t>
                  </w:r>
                </w:p>
              </w:tc>
              <w:tc>
                <w:tcPr>
                  <w:tcW w:w="1115" w:type="pct"/>
                  <w:tcBorders>
                    <w:tl2br w:val="nil"/>
                    <w:tr2bl w:val="nil"/>
                  </w:tcBorders>
                  <w:vAlign w:val="center"/>
                </w:tcPr>
                <w:p w14:paraId="32A7441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35μg/m</w:t>
                  </w:r>
                  <w:r>
                    <w:rPr>
                      <w:rFonts w:ascii="Times New Roman" w:hAnsi="Times New Roman" w:eastAsia="宋体" w:cs="宋体"/>
                      <w:color w:val="auto"/>
                      <w:spacing w:val="-2"/>
                      <w:kern w:val="2"/>
                      <w:position w:val="7"/>
                      <w:sz w:val="13"/>
                      <w:szCs w:val="24"/>
                      <w:lang w:val="zh-CN" w:eastAsia="zh-CN" w:bidi="zh-CN"/>
                    </w:rPr>
                    <w:t>3</w:t>
                  </w:r>
                </w:p>
              </w:tc>
              <w:tc>
                <w:tcPr>
                  <w:tcW w:w="1511" w:type="pct"/>
                  <w:vMerge w:val="continue"/>
                  <w:tcBorders>
                    <w:tl2br w:val="nil"/>
                    <w:tr2bl w:val="nil"/>
                  </w:tcBorders>
                  <w:vAlign w:val="center"/>
                </w:tcPr>
                <w:p w14:paraId="771198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1AA235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3B4D9C66">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3EE16A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kern w:val="2"/>
                      <w:sz w:val="21"/>
                      <w:szCs w:val="24"/>
                      <w:lang w:val="zh-CN" w:eastAsia="zh-CN" w:bidi="zh-CN"/>
                    </w:rPr>
                    <w:t>24</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41C752A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75μg/m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428A56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601626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08746E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zh-CN" w:eastAsia="zh-CN" w:bidi="zh-CN"/>
                    </w:rPr>
                  </w:pPr>
                </w:p>
                <w:p w14:paraId="76F2C70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position w:val="2"/>
                      <w:sz w:val="21"/>
                      <w:szCs w:val="24"/>
                      <w:lang w:val="zh-CN" w:eastAsia="zh-CN" w:bidi="zh-CN"/>
                    </w:rPr>
                    <w:t>SO</w:t>
                  </w:r>
                  <w:r>
                    <w:rPr>
                      <w:rFonts w:ascii="Times New Roman" w:hAnsi="Times New Roman" w:eastAsia="宋体" w:cs="宋体"/>
                      <w:color w:val="auto"/>
                      <w:spacing w:val="-5"/>
                      <w:kern w:val="2"/>
                      <w:sz w:val="13"/>
                      <w:szCs w:val="24"/>
                      <w:lang w:val="zh-CN" w:eastAsia="zh-CN" w:bidi="zh-CN"/>
                    </w:rPr>
                    <w:t>2</w:t>
                  </w:r>
                </w:p>
              </w:tc>
              <w:tc>
                <w:tcPr>
                  <w:tcW w:w="1399" w:type="pct"/>
                  <w:tcBorders>
                    <w:tl2br w:val="nil"/>
                    <w:tr2bl w:val="nil"/>
                  </w:tcBorders>
                  <w:vAlign w:val="center"/>
                </w:tcPr>
                <w:p w14:paraId="5DE3C4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sz w:val="21"/>
                      <w:szCs w:val="24"/>
                      <w:lang w:val="zh-CN" w:eastAsia="zh-CN" w:bidi="zh-CN"/>
                    </w:rPr>
                    <w:t>年平均</w:t>
                  </w:r>
                </w:p>
              </w:tc>
              <w:tc>
                <w:tcPr>
                  <w:tcW w:w="1115" w:type="pct"/>
                  <w:tcBorders>
                    <w:tl2br w:val="nil"/>
                    <w:tr2bl w:val="nil"/>
                  </w:tcBorders>
                  <w:vAlign w:val="center"/>
                </w:tcPr>
                <w:p w14:paraId="55708CD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60μg/m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1EA9B4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0996E0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6404C959">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1F66B8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kern w:val="2"/>
                      <w:sz w:val="21"/>
                      <w:szCs w:val="24"/>
                      <w:lang w:val="zh-CN" w:eastAsia="zh-CN" w:bidi="zh-CN"/>
                    </w:rPr>
                    <w:t>24</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12241BF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150μg/m</w:t>
                  </w:r>
                  <w:r>
                    <w:rPr>
                      <w:rFonts w:ascii="Times New Roman" w:hAnsi="Times New Roman" w:eastAsia="宋体" w:cs="宋体"/>
                      <w:color w:val="auto"/>
                      <w:spacing w:val="-2"/>
                      <w:kern w:val="2"/>
                      <w:position w:val="7"/>
                      <w:sz w:val="13"/>
                      <w:szCs w:val="24"/>
                      <w:lang w:val="zh-CN" w:eastAsia="zh-CN" w:bidi="zh-CN"/>
                    </w:rPr>
                    <w:t>3</w:t>
                  </w:r>
                </w:p>
              </w:tc>
              <w:tc>
                <w:tcPr>
                  <w:tcW w:w="1511" w:type="pct"/>
                  <w:vMerge w:val="continue"/>
                  <w:tcBorders>
                    <w:tl2br w:val="nil"/>
                    <w:tr2bl w:val="nil"/>
                  </w:tcBorders>
                  <w:vAlign w:val="center"/>
                </w:tcPr>
                <w:p w14:paraId="36A551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676BD7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36469980">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776F08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kern w:val="2"/>
                      <w:sz w:val="21"/>
                      <w:szCs w:val="24"/>
                      <w:lang w:val="zh-CN" w:eastAsia="zh-CN" w:bidi="zh-CN"/>
                    </w:rPr>
                    <w:t>1</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258D88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500μg/m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1357734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6B137C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09DBD42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宋体" w:cs="宋体"/>
                      <w:color w:val="auto"/>
                      <w:kern w:val="2"/>
                      <w:sz w:val="21"/>
                      <w:szCs w:val="24"/>
                      <w:lang w:val="zh-CN" w:eastAsia="zh-CN" w:bidi="zh-CN"/>
                    </w:rPr>
                  </w:pPr>
                </w:p>
                <w:p w14:paraId="6C02E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position w:val="2"/>
                      <w:sz w:val="21"/>
                      <w:szCs w:val="24"/>
                      <w:lang w:val="zh-CN" w:eastAsia="zh-CN" w:bidi="zh-CN"/>
                    </w:rPr>
                    <w:t>NO</w:t>
                  </w:r>
                  <w:r>
                    <w:rPr>
                      <w:rFonts w:ascii="Times New Roman" w:hAnsi="Times New Roman" w:eastAsia="宋体" w:cs="宋体"/>
                      <w:color w:val="auto"/>
                      <w:spacing w:val="-5"/>
                      <w:kern w:val="2"/>
                      <w:sz w:val="13"/>
                      <w:szCs w:val="24"/>
                      <w:lang w:val="zh-CN" w:eastAsia="zh-CN" w:bidi="zh-CN"/>
                    </w:rPr>
                    <w:t>2</w:t>
                  </w:r>
                </w:p>
              </w:tc>
              <w:tc>
                <w:tcPr>
                  <w:tcW w:w="1399" w:type="pct"/>
                  <w:tcBorders>
                    <w:tl2br w:val="nil"/>
                    <w:tr2bl w:val="nil"/>
                  </w:tcBorders>
                  <w:vAlign w:val="center"/>
                </w:tcPr>
                <w:p w14:paraId="6D9C7A5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5"/>
                      <w:kern w:val="2"/>
                      <w:sz w:val="21"/>
                      <w:szCs w:val="24"/>
                      <w:lang w:val="zh-CN" w:eastAsia="zh-CN" w:bidi="zh-CN"/>
                    </w:rPr>
                    <w:t>年平均</w:t>
                  </w:r>
                </w:p>
              </w:tc>
              <w:tc>
                <w:tcPr>
                  <w:tcW w:w="1115" w:type="pct"/>
                  <w:tcBorders>
                    <w:tl2br w:val="nil"/>
                    <w:tr2bl w:val="nil"/>
                  </w:tcBorders>
                  <w:vAlign w:val="center"/>
                </w:tcPr>
                <w:p w14:paraId="4D8B28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40μg/m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6913EF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0764F4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68E39F2F">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1FD1F3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kern w:val="2"/>
                      <w:sz w:val="21"/>
                      <w:szCs w:val="24"/>
                      <w:lang w:val="zh-CN" w:eastAsia="zh-CN" w:bidi="zh-CN"/>
                    </w:rPr>
                    <w:t>24</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35E39AD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80μg/m</w:t>
                  </w:r>
                  <w:r>
                    <w:rPr>
                      <w:rFonts w:ascii="Times New Roman" w:hAnsi="Times New Roman" w:eastAsia="宋体" w:cs="宋体"/>
                      <w:color w:val="auto"/>
                      <w:spacing w:val="-2"/>
                      <w:kern w:val="2"/>
                      <w:position w:val="7"/>
                      <w:sz w:val="13"/>
                      <w:szCs w:val="24"/>
                      <w:lang w:val="zh-CN" w:eastAsia="zh-CN" w:bidi="zh-CN"/>
                    </w:rPr>
                    <w:t>3</w:t>
                  </w:r>
                </w:p>
              </w:tc>
              <w:tc>
                <w:tcPr>
                  <w:tcW w:w="1511" w:type="pct"/>
                  <w:vMerge w:val="continue"/>
                  <w:tcBorders>
                    <w:tl2br w:val="nil"/>
                    <w:tr2bl w:val="nil"/>
                  </w:tcBorders>
                  <w:vAlign w:val="center"/>
                </w:tcPr>
                <w:p w14:paraId="7BEF2D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1911EF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47E96142">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19C17E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kern w:val="2"/>
                      <w:sz w:val="21"/>
                      <w:szCs w:val="24"/>
                      <w:lang w:val="zh-CN" w:eastAsia="zh-CN" w:bidi="zh-CN"/>
                    </w:rPr>
                    <w:t>1</w:t>
                  </w:r>
                  <w:r>
                    <w:rPr>
                      <w:rFonts w:ascii="Times New Roman" w:hAnsi="Times New Roman" w:eastAsia="宋体" w:cs="宋体"/>
                      <w:color w:val="auto"/>
                      <w:spacing w:val="-3"/>
                      <w:kern w:val="2"/>
                      <w:sz w:val="21"/>
                      <w:szCs w:val="24"/>
                      <w:lang w:val="zh-CN" w:eastAsia="zh-CN" w:bidi="zh-CN"/>
                    </w:rPr>
                    <w:t>小时平均</w:t>
                  </w:r>
                </w:p>
              </w:tc>
              <w:tc>
                <w:tcPr>
                  <w:tcW w:w="1115" w:type="pct"/>
                  <w:tcBorders>
                    <w:tl2br w:val="nil"/>
                    <w:tr2bl w:val="nil"/>
                  </w:tcBorders>
                  <w:vAlign w:val="center"/>
                </w:tcPr>
                <w:p w14:paraId="3025B2E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200μg/m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2C3221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74E9F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113FD8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sz w:val="21"/>
                      <w:szCs w:val="24"/>
                      <w:lang w:val="zh-CN" w:eastAsia="zh-CN" w:bidi="zh-CN"/>
                    </w:rPr>
                    <w:t>CO</w:t>
                  </w:r>
                </w:p>
              </w:tc>
              <w:tc>
                <w:tcPr>
                  <w:tcW w:w="1399" w:type="pct"/>
                  <w:tcBorders>
                    <w:tl2br w:val="nil"/>
                    <w:tr2bl w:val="nil"/>
                  </w:tcBorders>
                  <w:vAlign w:val="center"/>
                </w:tcPr>
                <w:p w14:paraId="1F65F4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2"/>
                      <w:kern w:val="2"/>
                      <w:sz w:val="21"/>
                      <w:szCs w:val="24"/>
                      <w:lang w:val="zh-CN" w:eastAsia="zh-CN" w:bidi="zh-CN"/>
                    </w:rPr>
                    <w:t>24</w:t>
                  </w:r>
                  <w:r>
                    <w:rPr>
                      <w:rFonts w:ascii="Times New Roman" w:hAnsi="Times New Roman" w:eastAsia="宋体" w:cs="宋体"/>
                      <w:color w:val="auto"/>
                      <w:spacing w:val="-4"/>
                      <w:kern w:val="2"/>
                      <w:sz w:val="21"/>
                      <w:szCs w:val="24"/>
                      <w:lang w:val="zh-CN" w:eastAsia="zh-CN" w:bidi="zh-CN"/>
                    </w:rPr>
                    <w:t>小时平均</w:t>
                  </w:r>
                </w:p>
              </w:tc>
              <w:tc>
                <w:tcPr>
                  <w:tcW w:w="1115" w:type="pct"/>
                  <w:tcBorders>
                    <w:tl2br w:val="nil"/>
                    <w:tr2bl w:val="nil"/>
                  </w:tcBorders>
                  <w:vAlign w:val="center"/>
                </w:tcPr>
                <w:p w14:paraId="6325188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4mg/m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2635EB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3F03FE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5793DCBC">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5E39A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2"/>
                      <w:kern w:val="2"/>
                      <w:sz w:val="21"/>
                      <w:szCs w:val="24"/>
                      <w:lang w:val="zh-CN" w:eastAsia="zh-CN" w:bidi="zh-CN"/>
                    </w:rPr>
                    <w:t>1</w:t>
                  </w:r>
                  <w:r>
                    <w:rPr>
                      <w:rFonts w:ascii="Times New Roman" w:hAnsi="Times New Roman" w:eastAsia="宋体" w:cs="宋体"/>
                      <w:color w:val="auto"/>
                      <w:spacing w:val="-4"/>
                      <w:kern w:val="2"/>
                      <w:sz w:val="21"/>
                      <w:szCs w:val="24"/>
                      <w:lang w:val="zh-CN" w:eastAsia="zh-CN" w:bidi="zh-CN"/>
                    </w:rPr>
                    <w:t>小时平均</w:t>
                  </w:r>
                </w:p>
              </w:tc>
              <w:tc>
                <w:tcPr>
                  <w:tcW w:w="1115" w:type="pct"/>
                  <w:tcBorders>
                    <w:tl2br w:val="nil"/>
                    <w:tr2bl w:val="nil"/>
                  </w:tcBorders>
                  <w:vAlign w:val="center"/>
                </w:tcPr>
                <w:p w14:paraId="2E3B07E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10mg/m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381F77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3A0192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130D65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5"/>
                      <w:kern w:val="2"/>
                      <w:position w:val="2"/>
                      <w:sz w:val="21"/>
                      <w:szCs w:val="24"/>
                      <w:lang w:val="zh-CN" w:eastAsia="zh-CN" w:bidi="zh-CN"/>
                    </w:rPr>
                    <w:t>O</w:t>
                  </w:r>
                  <w:r>
                    <w:rPr>
                      <w:rFonts w:ascii="Times New Roman" w:hAnsi="Times New Roman" w:eastAsia="宋体" w:cs="宋体"/>
                      <w:color w:val="auto"/>
                      <w:spacing w:val="-5"/>
                      <w:kern w:val="2"/>
                      <w:sz w:val="13"/>
                      <w:szCs w:val="24"/>
                      <w:lang w:val="zh-CN" w:eastAsia="zh-CN" w:bidi="zh-CN"/>
                    </w:rPr>
                    <w:t>3</w:t>
                  </w:r>
                </w:p>
              </w:tc>
              <w:tc>
                <w:tcPr>
                  <w:tcW w:w="1399" w:type="pct"/>
                  <w:tcBorders>
                    <w:tl2br w:val="nil"/>
                    <w:tr2bl w:val="nil"/>
                  </w:tcBorders>
                  <w:vAlign w:val="center"/>
                </w:tcPr>
                <w:p w14:paraId="2A1A21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2"/>
                      <w:kern w:val="2"/>
                      <w:sz w:val="21"/>
                      <w:szCs w:val="24"/>
                      <w:lang w:val="zh-CN" w:eastAsia="zh-CN" w:bidi="zh-CN"/>
                    </w:rPr>
                    <w:t>日最大8</w:t>
                  </w:r>
                  <w:r>
                    <w:rPr>
                      <w:rFonts w:ascii="Times New Roman" w:hAnsi="Times New Roman" w:eastAsia="宋体" w:cs="宋体"/>
                      <w:color w:val="auto"/>
                      <w:spacing w:val="-4"/>
                      <w:kern w:val="2"/>
                      <w:sz w:val="21"/>
                      <w:szCs w:val="24"/>
                      <w:lang w:val="zh-CN" w:eastAsia="zh-CN" w:bidi="zh-CN"/>
                    </w:rPr>
                    <w:t>小时平均</w:t>
                  </w:r>
                </w:p>
              </w:tc>
              <w:tc>
                <w:tcPr>
                  <w:tcW w:w="1115" w:type="pct"/>
                  <w:tcBorders>
                    <w:tl2br w:val="nil"/>
                    <w:tr2bl w:val="nil"/>
                  </w:tcBorders>
                  <w:vAlign w:val="center"/>
                </w:tcPr>
                <w:p w14:paraId="793F1DE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160μg/m</w:t>
                  </w:r>
                  <w:r>
                    <w:rPr>
                      <w:rFonts w:ascii="Times New Roman" w:hAnsi="Times New Roman" w:eastAsia="宋体" w:cs="宋体"/>
                      <w:color w:val="auto"/>
                      <w:spacing w:val="-2"/>
                      <w:kern w:val="2"/>
                      <w:position w:val="7"/>
                      <w:sz w:val="13"/>
                      <w:szCs w:val="24"/>
                      <w:lang w:val="zh-CN" w:eastAsia="zh-CN" w:bidi="zh-CN"/>
                    </w:rPr>
                    <w:t>3</w:t>
                  </w:r>
                </w:p>
              </w:tc>
              <w:tc>
                <w:tcPr>
                  <w:tcW w:w="1511" w:type="pct"/>
                  <w:vMerge w:val="continue"/>
                  <w:tcBorders>
                    <w:tl2br w:val="nil"/>
                    <w:tr2bl w:val="nil"/>
                  </w:tcBorders>
                  <w:vAlign w:val="center"/>
                </w:tcPr>
                <w:p w14:paraId="02B3A1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5AF90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78131B63">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vAlign w:val="center"/>
                </w:tcPr>
                <w:p w14:paraId="4194D5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2"/>
                      <w:kern w:val="2"/>
                      <w:sz w:val="21"/>
                      <w:szCs w:val="24"/>
                      <w:lang w:val="zh-CN" w:eastAsia="zh-CN" w:bidi="zh-CN"/>
                    </w:rPr>
                    <w:t>1</w:t>
                  </w:r>
                  <w:r>
                    <w:rPr>
                      <w:rFonts w:ascii="Times New Roman" w:hAnsi="Times New Roman" w:eastAsia="宋体" w:cs="宋体"/>
                      <w:color w:val="auto"/>
                      <w:spacing w:val="-4"/>
                      <w:kern w:val="2"/>
                      <w:sz w:val="21"/>
                      <w:szCs w:val="24"/>
                      <w:lang w:val="zh-CN" w:eastAsia="zh-CN" w:bidi="zh-CN"/>
                    </w:rPr>
                    <w:t>小时平均</w:t>
                  </w:r>
                </w:p>
              </w:tc>
              <w:tc>
                <w:tcPr>
                  <w:tcW w:w="1115" w:type="pct"/>
                  <w:tcBorders>
                    <w:tl2br w:val="nil"/>
                    <w:tr2bl w:val="nil"/>
                  </w:tcBorders>
                  <w:vAlign w:val="center"/>
                </w:tcPr>
                <w:p w14:paraId="1774D2D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2"/>
                      <w:kern w:val="2"/>
                      <w:sz w:val="21"/>
                      <w:szCs w:val="24"/>
                      <w:lang w:val="zh-CN" w:eastAsia="zh-CN" w:bidi="zh-CN"/>
                    </w:rPr>
                    <w:t>200μg/m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vMerge w:val="continue"/>
                  <w:tcBorders>
                    <w:tl2br w:val="nil"/>
                    <w:tr2bl w:val="nil"/>
                  </w:tcBorders>
                  <w:vAlign w:val="center"/>
                </w:tcPr>
                <w:p w14:paraId="2C9F5E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3AEDED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restart"/>
                  <w:tcBorders>
                    <w:tl2br w:val="nil"/>
                    <w:tr2bl w:val="nil"/>
                  </w:tcBorders>
                  <w:vAlign w:val="center"/>
                </w:tcPr>
                <w:p w14:paraId="13F7BAD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TSP</w:t>
                  </w:r>
                </w:p>
              </w:tc>
              <w:tc>
                <w:tcPr>
                  <w:tcW w:w="1399" w:type="pct"/>
                  <w:tcBorders>
                    <w:tl2br w:val="nil"/>
                    <w:tr2bl w:val="nil"/>
                  </w:tcBorders>
                  <w:shd w:val="clear" w:color="auto" w:fill="auto"/>
                  <w:vAlign w:val="top"/>
                </w:tcPr>
                <w:p w14:paraId="0440A9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kern w:val="2"/>
                      <w:sz w:val="21"/>
                      <w:szCs w:val="24"/>
                      <w:lang w:val="en-US" w:eastAsia="en-US" w:bidi="zh-CN"/>
                    </w:rPr>
                  </w:pPr>
                  <w:r>
                    <w:rPr>
                      <w:rFonts w:ascii="Times New Roman" w:hAnsi="Times New Roman" w:eastAsia="宋体" w:cs="宋体"/>
                      <w:color w:val="auto"/>
                      <w:spacing w:val="-2"/>
                      <w:kern w:val="2"/>
                      <w:sz w:val="21"/>
                      <w:szCs w:val="24"/>
                      <w:lang w:val="zh-CN" w:eastAsia="zh-CN" w:bidi="zh-CN"/>
                    </w:rPr>
                    <w:t>年平均</w:t>
                  </w:r>
                </w:p>
              </w:tc>
              <w:tc>
                <w:tcPr>
                  <w:tcW w:w="1115" w:type="pct"/>
                  <w:tcBorders>
                    <w:tl2br w:val="nil"/>
                    <w:tr2bl w:val="nil"/>
                  </w:tcBorders>
                  <w:shd w:val="clear" w:color="auto" w:fill="auto"/>
                  <w:vAlign w:val="top"/>
                </w:tcPr>
                <w:p w14:paraId="3145D5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kern w:val="2"/>
                      <w:sz w:val="21"/>
                      <w:szCs w:val="24"/>
                      <w:lang w:val="en-US" w:eastAsia="en-US" w:bidi="zh-CN"/>
                    </w:rPr>
                  </w:pPr>
                  <w:r>
                    <w:rPr>
                      <w:rFonts w:ascii="Times New Roman" w:hAnsi="Times New Roman" w:eastAsia="宋体" w:cs="宋体"/>
                      <w:color w:val="auto"/>
                      <w:spacing w:val="-2"/>
                      <w:kern w:val="2"/>
                      <w:sz w:val="21"/>
                      <w:szCs w:val="24"/>
                      <w:lang w:val="zh-CN" w:eastAsia="zh-CN" w:bidi="zh-CN"/>
                    </w:rPr>
                    <w:t>200μg/m³</w:t>
                  </w:r>
                </w:p>
              </w:tc>
              <w:tc>
                <w:tcPr>
                  <w:tcW w:w="1511" w:type="pct"/>
                  <w:vMerge w:val="continue"/>
                  <w:tcBorders>
                    <w:tl2br w:val="nil"/>
                    <w:tr2bl w:val="nil"/>
                  </w:tcBorders>
                  <w:vAlign w:val="center"/>
                </w:tcPr>
                <w:p w14:paraId="388AAF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093A19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vMerge w:val="continue"/>
                  <w:tcBorders>
                    <w:tl2br w:val="nil"/>
                    <w:tr2bl w:val="nil"/>
                  </w:tcBorders>
                  <w:vAlign w:val="center"/>
                </w:tcPr>
                <w:p w14:paraId="106B41AA">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default" w:ascii="Times New Roman" w:hAnsi="Times New Roman" w:eastAsia="宋体" w:cs="Times New Roman"/>
                      <w:color w:val="auto"/>
                      <w:vertAlign w:val="baseline"/>
                    </w:rPr>
                  </w:pPr>
                </w:p>
              </w:tc>
              <w:tc>
                <w:tcPr>
                  <w:tcW w:w="1399" w:type="pct"/>
                  <w:tcBorders>
                    <w:tl2br w:val="nil"/>
                    <w:tr2bl w:val="nil"/>
                  </w:tcBorders>
                  <w:shd w:val="clear" w:color="auto" w:fill="auto"/>
                  <w:vAlign w:val="top"/>
                </w:tcPr>
                <w:p w14:paraId="0D880E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kern w:val="2"/>
                      <w:sz w:val="21"/>
                      <w:szCs w:val="24"/>
                      <w:lang w:val="en-US" w:eastAsia="en-US" w:bidi="zh-CN"/>
                    </w:rPr>
                  </w:pPr>
                  <w:r>
                    <w:rPr>
                      <w:rFonts w:ascii="Times New Roman" w:hAnsi="Times New Roman" w:eastAsia="宋体" w:cs="宋体"/>
                      <w:color w:val="auto"/>
                      <w:spacing w:val="-2"/>
                      <w:kern w:val="2"/>
                      <w:sz w:val="21"/>
                      <w:szCs w:val="24"/>
                      <w:lang w:val="zh-CN" w:eastAsia="zh-CN" w:bidi="zh-CN"/>
                    </w:rPr>
                    <w:t>24小时平均</w:t>
                  </w:r>
                </w:p>
              </w:tc>
              <w:tc>
                <w:tcPr>
                  <w:tcW w:w="1115" w:type="pct"/>
                  <w:tcBorders>
                    <w:tl2br w:val="nil"/>
                    <w:tr2bl w:val="nil"/>
                  </w:tcBorders>
                  <w:shd w:val="clear" w:color="auto" w:fill="auto"/>
                  <w:vAlign w:val="top"/>
                </w:tcPr>
                <w:p w14:paraId="159323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ascii="Times New Roman" w:hAnsi="Times New Roman" w:eastAsia="宋体" w:cs="宋体"/>
                      <w:color w:val="auto"/>
                      <w:spacing w:val="-2"/>
                      <w:kern w:val="2"/>
                      <w:sz w:val="21"/>
                      <w:szCs w:val="24"/>
                      <w:lang w:val="en-US" w:eastAsia="en-US" w:bidi="zh-CN"/>
                    </w:rPr>
                  </w:pPr>
                  <w:r>
                    <w:rPr>
                      <w:rFonts w:ascii="Times New Roman" w:hAnsi="Times New Roman" w:eastAsia="宋体" w:cs="宋体"/>
                      <w:color w:val="auto"/>
                      <w:spacing w:val="-2"/>
                      <w:kern w:val="2"/>
                      <w:sz w:val="21"/>
                      <w:szCs w:val="24"/>
                      <w:lang w:val="zh-CN" w:eastAsia="zh-CN" w:bidi="zh-CN"/>
                    </w:rPr>
                    <w:t>300μg/m³</w:t>
                  </w:r>
                </w:p>
              </w:tc>
              <w:tc>
                <w:tcPr>
                  <w:tcW w:w="1511" w:type="pct"/>
                  <w:vMerge w:val="continue"/>
                  <w:tcBorders>
                    <w:tl2br w:val="nil"/>
                    <w:tr2bl w:val="nil"/>
                  </w:tcBorders>
                  <w:vAlign w:val="center"/>
                </w:tcPr>
                <w:p w14:paraId="161B3B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right="0" w:firstLine="0" w:firstLineChars="0"/>
                    <w:contextualSpacing/>
                    <w:jc w:val="center"/>
                    <w:textAlignment w:val="auto"/>
                    <w:rPr>
                      <w:rFonts w:hint="default" w:ascii="Times New Roman" w:hAnsi="Times New Roman" w:eastAsia="宋体" w:cs="Times New Roman"/>
                      <w:color w:val="auto"/>
                      <w:kern w:val="2"/>
                      <w:sz w:val="21"/>
                      <w:szCs w:val="24"/>
                      <w:vertAlign w:val="baseline"/>
                      <w:lang w:val="en-US" w:eastAsia="zh-CN" w:bidi="ar-SA"/>
                    </w:rPr>
                  </w:pPr>
                </w:p>
              </w:tc>
            </w:tr>
            <w:tr w14:paraId="6F8FF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73" w:type="pct"/>
                  <w:tcBorders>
                    <w:tl2br w:val="nil"/>
                    <w:tr2bl w:val="nil"/>
                  </w:tcBorders>
                  <w:vAlign w:val="center"/>
                </w:tcPr>
                <w:p w14:paraId="08F455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宋体" w:hAnsi="宋体" w:eastAsia="宋体" w:cs="宋体"/>
                      <w:color w:val="auto"/>
                      <w:spacing w:val="-4"/>
                      <w:kern w:val="2"/>
                      <w:sz w:val="21"/>
                      <w:szCs w:val="24"/>
                      <w:lang w:val="zh-CN" w:eastAsia="zh-CN" w:bidi="zh-CN"/>
                    </w:rPr>
                  </w:pPr>
                  <w:r>
                    <w:rPr>
                      <w:rFonts w:ascii="Times New Roman" w:hAnsi="Times New Roman" w:eastAsia="宋体" w:cs="宋体"/>
                      <w:color w:val="auto"/>
                      <w:spacing w:val="-4"/>
                      <w:kern w:val="2"/>
                      <w:sz w:val="21"/>
                      <w:szCs w:val="24"/>
                      <w:lang w:val="zh-CN" w:eastAsia="zh-CN" w:bidi="zh-CN"/>
                    </w:rPr>
                    <w:t>非甲烷总烃</w:t>
                  </w:r>
                </w:p>
              </w:tc>
              <w:tc>
                <w:tcPr>
                  <w:tcW w:w="1399" w:type="pct"/>
                  <w:tcBorders>
                    <w:tl2br w:val="nil"/>
                    <w:tr2bl w:val="nil"/>
                  </w:tcBorders>
                  <w:vAlign w:val="center"/>
                </w:tcPr>
                <w:p w14:paraId="450C4B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宋体" w:eastAsia="Times New Roman" w:cs="宋体"/>
                      <w:color w:val="auto"/>
                      <w:kern w:val="2"/>
                      <w:sz w:val="21"/>
                      <w:szCs w:val="24"/>
                      <w:lang w:val="zh-CN" w:eastAsia="zh-CN" w:bidi="zh-CN"/>
                    </w:rPr>
                  </w:pPr>
                  <w:r>
                    <w:rPr>
                      <w:rFonts w:ascii="Times New Roman" w:hAnsi="Times New Roman" w:eastAsia="宋体" w:cs="宋体"/>
                      <w:color w:val="auto"/>
                      <w:kern w:val="2"/>
                      <w:sz w:val="21"/>
                      <w:szCs w:val="24"/>
                      <w:lang w:val="zh-CN" w:eastAsia="zh-CN" w:bidi="zh-CN"/>
                    </w:rPr>
                    <w:t>1</w:t>
                  </w:r>
                  <w:r>
                    <w:rPr>
                      <w:rFonts w:ascii="Times New Roman" w:hAnsi="Times New Roman" w:eastAsia="宋体" w:cs="宋体"/>
                      <w:color w:val="auto"/>
                      <w:spacing w:val="-3"/>
                      <w:kern w:val="2"/>
                      <w:sz w:val="21"/>
                      <w:szCs w:val="24"/>
                      <w:lang w:val="zh-CN" w:eastAsia="zh-CN" w:bidi="zh-CN"/>
                    </w:rPr>
                    <w:t>小时均值</w:t>
                  </w:r>
                </w:p>
              </w:tc>
              <w:tc>
                <w:tcPr>
                  <w:tcW w:w="1115" w:type="pct"/>
                  <w:tcBorders>
                    <w:tl2br w:val="nil"/>
                    <w:tr2bl w:val="nil"/>
                  </w:tcBorders>
                  <w:vAlign w:val="center"/>
                </w:tcPr>
                <w:p w14:paraId="06CA1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宋体" w:eastAsia="宋体" w:cs="宋体"/>
                      <w:color w:val="auto"/>
                      <w:spacing w:val="-2"/>
                      <w:kern w:val="2"/>
                      <w:sz w:val="21"/>
                      <w:szCs w:val="24"/>
                      <w:lang w:val="zh-CN" w:eastAsia="zh-CN" w:bidi="zh-CN"/>
                    </w:rPr>
                  </w:pPr>
                  <w:r>
                    <w:rPr>
                      <w:rFonts w:ascii="Times New Roman" w:hAnsi="Times New Roman" w:eastAsia="宋体" w:cs="宋体"/>
                      <w:color w:val="auto"/>
                      <w:spacing w:val="-2"/>
                      <w:kern w:val="2"/>
                      <w:sz w:val="21"/>
                      <w:szCs w:val="24"/>
                      <w:lang w:val="zh-CN" w:eastAsia="zh-CN" w:bidi="zh-CN"/>
                    </w:rPr>
                    <w:t>2.0mg/m</w:t>
                  </w:r>
                  <w:r>
                    <w:rPr>
                      <w:rFonts w:ascii="Times New Roman" w:hAnsi="Times New Roman" w:eastAsia="宋体" w:cs="宋体"/>
                      <w:color w:val="auto"/>
                      <w:spacing w:val="-2"/>
                      <w:kern w:val="2"/>
                      <w:sz w:val="21"/>
                      <w:szCs w:val="24"/>
                      <w:vertAlign w:val="superscript"/>
                      <w:lang w:val="zh-CN" w:eastAsia="zh-CN" w:bidi="zh-CN"/>
                    </w:rPr>
                    <w:t>3</w:t>
                  </w:r>
                </w:p>
              </w:tc>
              <w:tc>
                <w:tcPr>
                  <w:tcW w:w="1511" w:type="pct"/>
                  <w:tcBorders>
                    <w:tl2br w:val="nil"/>
                    <w:tr2bl w:val="nil"/>
                  </w:tcBorders>
                  <w:vAlign w:val="center"/>
                </w:tcPr>
                <w:p w14:paraId="7C950D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宋体"/>
                      <w:color w:val="auto"/>
                      <w:kern w:val="2"/>
                      <w:sz w:val="21"/>
                      <w:szCs w:val="24"/>
                      <w:vertAlign w:val="baseline"/>
                      <w:lang w:val="zh-CN" w:eastAsia="zh-CN" w:bidi="zh-CN"/>
                    </w:rPr>
                  </w:pPr>
                  <w:r>
                    <w:rPr>
                      <w:rFonts w:ascii="Times New Roman" w:hAnsi="Times New Roman" w:eastAsia="宋体" w:cs="宋体"/>
                      <w:color w:val="auto"/>
                      <w:spacing w:val="-3"/>
                      <w:kern w:val="2"/>
                      <w:sz w:val="21"/>
                      <w:szCs w:val="24"/>
                      <w:highlight w:val="none"/>
                      <w:lang w:val="zh-CN" w:eastAsia="zh-CN" w:bidi="zh-CN"/>
                    </w:rPr>
                    <w:t>《大气污染物综合排放标准</w:t>
                  </w:r>
                  <w:r>
                    <w:rPr>
                      <w:rFonts w:hint="eastAsia" w:ascii="Times New Roman" w:hAnsi="Times New Roman" w:eastAsia="宋体" w:cs="宋体"/>
                      <w:color w:val="auto"/>
                      <w:spacing w:val="-3"/>
                      <w:kern w:val="2"/>
                      <w:sz w:val="21"/>
                      <w:szCs w:val="24"/>
                      <w:highlight w:val="none"/>
                      <w:lang w:val="en-US" w:eastAsia="zh-CN" w:bidi="zh-CN"/>
                    </w:rPr>
                    <w:t>详解</w:t>
                  </w:r>
                  <w:r>
                    <w:rPr>
                      <w:rFonts w:ascii="Times New Roman" w:hAnsi="Times New Roman" w:eastAsia="宋体" w:cs="宋体"/>
                      <w:color w:val="auto"/>
                      <w:spacing w:val="-3"/>
                      <w:kern w:val="2"/>
                      <w:sz w:val="21"/>
                      <w:szCs w:val="24"/>
                      <w:highlight w:val="none"/>
                      <w:lang w:val="zh-CN" w:eastAsia="zh-CN" w:bidi="zh-CN"/>
                    </w:rPr>
                    <w:t>》</w:t>
                  </w:r>
                  <w:r>
                    <w:rPr>
                      <w:rFonts w:hint="eastAsia" w:cs="宋体"/>
                      <w:color w:val="auto"/>
                      <w:spacing w:val="-3"/>
                      <w:kern w:val="2"/>
                      <w:sz w:val="21"/>
                      <w:szCs w:val="24"/>
                      <w:highlight w:val="none"/>
                      <w:lang w:val="zh-CN" w:eastAsia="zh-CN" w:bidi="zh-CN"/>
                    </w:rPr>
                    <w:t>（</w:t>
                  </w:r>
                  <w:r>
                    <w:rPr>
                      <w:rFonts w:ascii="Times New Roman" w:hAnsi="Times New Roman" w:eastAsia="宋体" w:cs="宋体"/>
                      <w:color w:val="auto"/>
                      <w:spacing w:val="-3"/>
                      <w:kern w:val="2"/>
                      <w:sz w:val="21"/>
                      <w:szCs w:val="24"/>
                      <w:highlight w:val="none"/>
                      <w:lang w:val="zh-CN" w:eastAsia="zh-CN" w:bidi="zh-CN"/>
                    </w:rPr>
                    <w:t>GB16297-1996</w:t>
                  </w:r>
                  <w:r>
                    <w:rPr>
                      <w:rFonts w:hint="eastAsia" w:cs="宋体"/>
                      <w:color w:val="auto"/>
                      <w:spacing w:val="-3"/>
                      <w:kern w:val="2"/>
                      <w:sz w:val="21"/>
                      <w:szCs w:val="24"/>
                      <w:highlight w:val="none"/>
                      <w:lang w:val="zh-CN" w:eastAsia="zh-CN" w:bidi="zh-CN"/>
                    </w:rPr>
                    <w:t>）</w:t>
                  </w:r>
                </w:p>
              </w:tc>
            </w:tr>
          </w:tbl>
          <w:p w14:paraId="1D4C2B96">
            <w:pPr>
              <w:widowControl w:val="0"/>
              <w:numPr>
                <w:ilvl w:val="0"/>
                <w:numId w:val="0"/>
              </w:numPr>
              <w:spacing w:line="240" w:lineRule="auto"/>
              <w:ind w:left="0" w:firstLine="0" w:firstLineChars="0"/>
              <w:contextualSpacing/>
              <w:jc w:val="center"/>
              <w:rPr>
                <w:rFonts w:hint="default" w:ascii="Times New Roman" w:hAnsi="Times New Roman" w:eastAsia="宋体" w:cs="Times New Roman"/>
                <w:color w:val="auto"/>
                <w:kern w:val="2"/>
                <w:sz w:val="21"/>
                <w:szCs w:val="24"/>
                <w:lang w:val="en-US" w:eastAsia="zh-CN" w:bidi="ar-SA"/>
              </w:rPr>
            </w:pPr>
          </w:p>
          <w:p w14:paraId="7A9F543A">
            <w:pPr>
              <w:keepNext/>
              <w:keepLines/>
              <w:widowControl w:val="0"/>
              <w:numPr>
                <w:ilvl w:val="3"/>
                <w:numId w:val="0"/>
              </w:numPr>
              <w:tabs>
                <w:tab w:val="left" w:pos="0"/>
                <w:tab w:val="left" w:pos="420"/>
              </w:tabs>
              <w:bidi w:val="0"/>
              <w:spacing w:line="360" w:lineRule="auto"/>
              <w:ind w:left="864" w:leftChars="0" w:hanging="864" w:firstLineChars="0"/>
              <w:jc w:val="left"/>
              <w:outlineLvl w:val="3"/>
              <w:rPr>
                <w:rFonts w:hint="default" w:ascii="Times New Roman" w:hAnsi="Times New Roman" w:eastAsia="宋体" w:cs="Times New Roman"/>
                <w:b/>
                <w:bCs/>
                <w:color w:val="auto"/>
                <w:kern w:val="2"/>
                <w:sz w:val="24"/>
                <w:szCs w:val="28"/>
                <w:lang w:val="en-US" w:eastAsia="zh-CN" w:bidi="ar-SA"/>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.1.2.2</w:t>
            </w:r>
            <w:r>
              <w:rPr>
                <w:rFonts w:hint="eastAsia" w:ascii="Times New Roman" w:hAnsi="Times New Roman" w:eastAsia="宋体" w:cs="Times New Roman"/>
                <w:b/>
                <w:bCs/>
                <w:color w:val="auto"/>
                <w:kern w:val="2"/>
                <w:sz w:val="24"/>
                <w:szCs w:val="28"/>
                <w:lang w:val="en-US" w:eastAsia="zh-CN" w:bidi="ar-SA"/>
              </w:rPr>
              <w:t>区域大气</w:t>
            </w:r>
            <w:r>
              <w:rPr>
                <w:rFonts w:hint="default" w:ascii="Times New Roman" w:hAnsi="Times New Roman" w:eastAsia="宋体" w:cs="Times New Roman"/>
                <w:b/>
                <w:bCs/>
                <w:color w:val="auto"/>
                <w:kern w:val="2"/>
                <w:sz w:val="24"/>
                <w:szCs w:val="28"/>
                <w:lang w:val="en-US" w:eastAsia="zh-CN" w:bidi="ar-SA"/>
              </w:rPr>
              <w:t>环境质量现状</w:t>
            </w:r>
          </w:p>
          <w:p w14:paraId="1A6EC023">
            <w:pPr>
              <w:widowControl w:val="0"/>
              <w:numPr>
                <w:ilvl w:val="0"/>
                <w:numId w:val="0"/>
              </w:numPr>
              <w:tabs>
                <w:tab w:val="left" w:pos="0"/>
              </w:tabs>
              <w:autoSpaceDE w:val="0"/>
              <w:autoSpaceDN w:val="0"/>
              <w:bidi w:val="0"/>
              <w:spacing w:line="360" w:lineRule="auto"/>
              <w:ind w:left="425" w:leftChars="0" w:hanging="425" w:firstLineChars="0"/>
              <w:jc w:val="both"/>
              <w:rPr>
                <w:rFonts w:hint="eastAsia" w:ascii="Times New Roman" w:hAnsi="Times New Roman" w:eastAsia="宋体" w:cs="宋体"/>
                <w:color w:val="auto"/>
                <w:kern w:val="0"/>
                <w:sz w:val="24"/>
                <w:szCs w:val="20"/>
                <w:highlight w:val="none"/>
                <w:lang w:val="en-US" w:eastAsia="zh-CN" w:bidi="ar-SA"/>
              </w:rPr>
            </w:pPr>
            <w:r>
              <w:rPr>
                <w:rFonts w:hint="eastAsia" w:cs="宋体"/>
                <w:color w:val="auto"/>
                <w:kern w:val="0"/>
                <w:sz w:val="24"/>
                <w:szCs w:val="20"/>
                <w:lang w:val="en-US" w:eastAsia="zh-CN" w:bidi="ar-SA"/>
              </w:rPr>
              <w:t>（1）</w:t>
            </w:r>
            <w:r>
              <w:rPr>
                <w:rFonts w:hint="eastAsia" w:ascii="Times New Roman" w:hAnsi="Times New Roman" w:eastAsia="宋体" w:cs="宋体"/>
                <w:color w:val="auto"/>
                <w:kern w:val="0"/>
                <w:sz w:val="24"/>
                <w:szCs w:val="20"/>
                <w:highlight w:val="none"/>
                <w:lang w:val="en-US" w:eastAsia="zh-CN" w:bidi="ar-SA"/>
              </w:rPr>
              <w:t>城市达标区域判断</w:t>
            </w:r>
          </w:p>
          <w:p w14:paraId="24D033BA">
            <w:pPr>
              <w:widowControl w:val="0"/>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城市环境空气质量达标情况评价指标为SO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、NO</w:t>
            </w:r>
            <w:r>
              <w:rPr>
                <w:rFonts w:hint="eastAsia" w:ascii="Times New Roman" w:hAnsi="Times New Roman" w:eastAsia="宋体" w:cs="宋体"/>
                <w:color w:val="auto"/>
                <w:kern w:val="0"/>
                <w:sz w:val="24"/>
                <w:szCs w:val="20"/>
                <w:highlight w:val="none"/>
                <w:vertAlign w:val="subscript"/>
                <w:lang w:val="en-US" w:eastAsia="zh-CN" w:bidi="ar-SA"/>
              </w:rPr>
              <w:t>2</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10</w:t>
            </w:r>
            <w:r>
              <w:rPr>
                <w:rFonts w:hint="eastAsia" w:ascii="Times New Roman" w:hAnsi="Times New Roman" w:eastAsia="宋体" w:cs="宋体"/>
                <w:color w:val="auto"/>
                <w:kern w:val="0"/>
                <w:sz w:val="24"/>
                <w:szCs w:val="20"/>
                <w:highlight w:val="none"/>
                <w:lang w:val="en-US" w:eastAsia="zh-CN" w:bidi="ar-SA"/>
              </w:rPr>
              <w:t>、PM</w:t>
            </w:r>
            <w:r>
              <w:rPr>
                <w:rFonts w:hint="eastAsia" w:ascii="Times New Roman" w:hAnsi="Times New Roman" w:eastAsia="宋体" w:cs="宋体"/>
                <w:color w:val="auto"/>
                <w:kern w:val="0"/>
                <w:sz w:val="24"/>
                <w:szCs w:val="20"/>
                <w:highlight w:val="none"/>
                <w:vertAlign w:val="subscript"/>
                <w:lang w:val="en-US" w:eastAsia="zh-CN" w:bidi="ar-SA"/>
              </w:rPr>
              <w:t>2.5</w:t>
            </w:r>
            <w:r>
              <w:rPr>
                <w:rFonts w:hint="eastAsia" w:ascii="Times New Roman" w:hAnsi="Times New Roman" w:eastAsia="宋体" w:cs="宋体"/>
                <w:color w:val="auto"/>
                <w:kern w:val="0"/>
                <w:sz w:val="24"/>
                <w:szCs w:val="20"/>
                <w:highlight w:val="none"/>
                <w:lang w:val="en-US" w:eastAsia="zh-CN" w:bidi="ar-SA"/>
              </w:rPr>
              <w:t>、CO和O</w:t>
            </w:r>
            <w:r>
              <w:rPr>
                <w:rFonts w:hint="eastAsia" w:ascii="Times New Roman" w:hAnsi="Times New Roman" w:eastAsia="宋体" w:cs="宋体"/>
                <w:color w:val="auto"/>
                <w:kern w:val="0"/>
                <w:sz w:val="24"/>
                <w:szCs w:val="20"/>
                <w:highlight w:val="none"/>
                <w:vertAlign w:val="subscript"/>
                <w:lang w:val="en-US" w:eastAsia="zh-CN" w:bidi="ar-SA"/>
              </w:rPr>
              <w:t>3</w:t>
            </w:r>
            <w:r>
              <w:rPr>
                <w:rFonts w:hint="eastAsia" w:ascii="Times New Roman" w:hAnsi="Times New Roman" w:eastAsia="宋体" w:cs="宋体"/>
                <w:color w:val="auto"/>
                <w:kern w:val="0"/>
                <w:sz w:val="24"/>
                <w:szCs w:val="20"/>
                <w:highlight w:val="none"/>
                <w:lang w:val="en-US" w:eastAsia="zh-CN" w:bidi="ar-SA"/>
              </w:rPr>
              <w:t>，六项污染物全部达标即为城市环境空气质量达标。根据福建省生态环境厅发布的“2024年12月福建省城市环境空气质量状况”显示（https://sthjt.fujian.gov.cn/ztzl/hjzl/dqzl/hjkqzlyb/202502/t20250208_6712419.htm），2024年1—12月，福清</w:t>
            </w:r>
            <w:r>
              <w:rPr>
                <w:rFonts w:hint="eastAsia" w:cs="宋体"/>
                <w:color w:val="auto"/>
                <w:kern w:val="0"/>
                <w:sz w:val="24"/>
                <w:szCs w:val="20"/>
                <w:highlight w:val="none"/>
                <w:lang w:val="en-US" w:eastAsia="zh-CN" w:bidi="ar-SA"/>
              </w:rPr>
              <w:t>市</w:t>
            </w:r>
            <w:r>
              <w:rPr>
                <w:rFonts w:hint="eastAsia" w:ascii="Times New Roman" w:hAnsi="Times New Roman" w:eastAsia="宋体" w:cs="宋体"/>
                <w:color w:val="auto"/>
                <w:kern w:val="0"/>
                <w:sz w:val="24"/>
                <w:szCs w:val="20"/>
                <w:highlight w:val="none"/>
                <w:lang w:val="en-US" w:eastAsia="zh-CN" w:bidi="ar-SA"/>
              </w:rPr>
              <w:t>环境空气质量综合指数2.17。由此可知，福州市城区环境空气质量总体达到二级标准，福清市属于达标区域；见表3.1-3。</w:t>
            </w:r>
          </w:p>
          <w:p w14:paraId="612117E5">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表1.1-3</w:t>
            </w:r>
            <w:r>
              <w:rPr>
                <w:rFonts w:hint="eastAsia" w:ascii="Times New Roman" w:hAnsi="Times New Roman" w:eastAsia="宋体" w:cs="Times New Roman"/>
                <w:b/>
                <w:bCs/>
                <w:color w:val="auto"/>
                <w:kern w:val="2"/>
                <w:sz w:val="24"/>
                <w:szCs w:val="21"/>
                <w:highlight w:val="none"/>
                <w:lang w:val="en-US" w:eastAsia="zh-CN" w:bidi="ar-SA"/>
              </w:rPr>
              <w:t xml:space="preserve"> 2024年1—12月县级城市环境空气质量状况</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Layout w:type="autofit"/>
              <w:tblCellMar>
                <w:top w:w="0" w:type="dxa"/>
                <w:left w:w="0" w:type="dxa"/>
                <w:bottom w:w="0" w:type="dxa"/>
                <w:right w:w="0" w:type="dxa"/>
              </w:tblCellMar>
            </w:tblPr>
            <w:tblGrid>
              <w:gridCol w:w="1036"/>
              <w:gridCol w:w="1611"/>
              <w:gridCol w:w="1566"/>
              <w:gridCol w:w="1364"/>
              <w:gridCol w:w="1497"/>
              <w:gridCol w:w="1543"/>
            </w:tblGrid>
            <w:tr w14:paraId="74FAFAD2">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5" w:hRule="atLeast"/>
              </w:trPr>
              <w:tc>
                <w:tcPr>
                  <w:tcW w:w="601" w:type="pct"/>
                  <w:tcBorders>
                    <w:tl2br w:val="nil"/>
                    <w:tr2bl w:val="nil"/>
                  </w:tcBorders>
                  <w:vAlign w:val="center"/>
                </w:tcPr>
                <w:p w14:paraId="1DBA9A1E">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eastAsia="宋体" w:cs="宋体"/>
                      <w:i w:val="0"/>
                      <w:iCs w:val="0"/>
                      <w:caps w:val="0"/>
                      <w:color w:val="333333"/>
                      <w:spacing w:val="0"/>
                      <w:sz w:val="21"/>
                      <w:szCs w:val="25"/>
                    </w:rPr>
                    <w:t>设区市</w:t>
                  </w:r>
                </w:p>
              </w:tc>
              <w:tc>
                <w:tcPr>
                  <w:tcW w:w="934" w:type="pct"/>
                  <w:tcBorders>
                    <w:tl2br w:val="nil"/>
                    <w:tr2bl w:val="nil"/>
                  </w:tcBorders>
                  <w:vAlign w:val="center"/>
                </w:tcPr>
                <w:p w14:paraId="69AEE70E">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eastAsia="宋体" w:cs="宋体"/>
                      <w:i w:val="0"/>
                      <w:iCs w:val="0"/>
                      <w:caps w:val="0"/>
                      <w:color w:val="333333"/>
                      <w:spacing w:val="0"/>
                      <w:sz w:val="21"/>
                      <w:szCs w:val="25"/>
                    </w:rPr>
                    <w:t>县级城市</w:t>
                  </w:r>
                </w:p>
              </w:tc>
              <w:tc>
                <w:tcPr>
                  <w:tcW w:w="908" w:type="pct"/>
                  <w:tcBorders>
                    <w:tl2br w:val="nil"/>
                    <w:tr2bl w:val="nil"/>
                  </w:tcBorders>
                  <w:vAlign w:val="center"/>
                </w:tcPr>
                <w:p w14:paraId="5A7A892F">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eastAsia="宋体" w:cs="宋体"/>
                      <w:i w:val="0"/>
                      <w:iCs w:val="0"/>
                      <w:caps w:val="0"/>
                      <w:color w:val="333333"/>
                      <w:spacing w:val="0"/>
                      <w:sz w:val="21"/>
                      <w:szCs w:val="25"/>
                    </w:rPr>
                    <w:t>优良天数比例（%）</w:t>
                  </w:r>
                </w:p>
              </w:tc>
              <w:tc>
                <w:tcPr>
                  <w:tcW w:w="791" w:type="pct"/>
                  <w:tcBorders>
                    <w:tl2br w:val="nil"/>
                    <w:tr2bl w:val="nil"/>
                  </w:tcBorders>
                  <w:vAlign w:val="center"/>
                </w:tcPr>
                <w:p w14:paraId="4C0706D9">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eastAsia="宋体" w:cs="宋体"/>
                      <w:i w:val="0"/>
                      <w:iCs w:val="0"/>
                      <w:caps w:val="0"/>
                      <w:color w:val="333333"/>
                      <w:spacing w:val="0"/>
                      <w:sz w:val="21"/>
                      <w:szCs w:val="25"/>
                    </w:rPr>
                    <w:t>综合指数</w:t>
                  </w:r>
                </w:p>
              </w:tc>
              <w:tc>
                <w:tcPr>
                  <w:tcW w:w="868" w:type="pct"/>
                  <w:tcBorders>
                    <w:tl2br w:val="nil"/>
                    <w:tr2bl w:val="nil"/>
                  </w:tcBorders>
                  <w:vAlign w:val="center"/>
                </w:tcPr>
                <w:p w14:paraId="25C7DFD5">
                  <w:pPr>
                    <w:pStyle w:val="22"/>
                    <w:keepNext w:val="0"/>
                    <w:keepLines w:val="0"/>
                    <w:widowControl/>
                    <w:suppressLineNumbers w:val="0"/>
                    <w:jc w:val="center"/>
                    <w:rPr>
                      <w:rFonts w:hint="eastAsia" w:ascii="Times New Roman" w:hAnsi="Times New Roman" w:eastAsia="宋体" w:cs="宋体"/>
                      <w:i w:val="0"/>
                      <w:iCs w:val="0"/>
                      <w:caps w:val="0"/>
                      <w:color w:val="333333"/>
                      <w:spacing w:val="0"/>
                      <w:sz w:val="21"/>
                      <w:szCs w:val="25"/>
                    </w:rPr>
                  </w:pPr>
                  <w:r>
                    <w:rPr>
                      <w:rStyle w:val="26"/>
                      <w:rFonts w:hint="eastAsia" w:ascii="Times New Roman" w:hAnsi="Times New Roman" w:eastAsia="宋体" w:cs="宋体"/>
                      <w:i w:val="0"/>
                      <w:iCs w:val="0"/>
                      <w:caps w:val="0"/>
                      <w:color w:val="333333"/>
                      <w:spacing w:val="0"/>
                      <w:sz w:val="21"/>
                      <w:szCs w:val="25"/>
                    </w:rPr>
                    <w:t>PM</w:t>
                  </w:r>
                  <w:r>
                    <w:rPr>
                      <w:rFonts w:hint="eastAsia" w:ascii="Times New Roman" w:hAnsi="Times New Roman" w:eastAsia="宋体" w:cs="宋体"/>
                      <w:i w:val="0"/>
                      <w:iCs w:val="0"/>
                      <w:caps w:val="0"/>
                      <w:color w:val="333333"/>
                      <w:spacing w:val="0"/>
                      <w:sz w:val="21"/>
                      <w:szCs w:val="25"/>
                    </w:rPr>
                    <w:t>2.5</w:t>
                  </w:r>
                </w:p>
                <w:p w14:paraId="703642CA">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cs="宋体"/>
                      <w:i w:val="0"/>
                      <w:iCs w:val="0"/>
                      <w:caps w:val="0"/>
                      <w:color w:val="333333"/>
                      <w:spacing w:val="0"/>
                      <w:sz w:val="21"/>
                      <w:szCs w:val="25"/>
                      <w:lang w:eastAsia="zh-CN"/>
                    </w:rPr>
                    <w:t>(</w:t>
                  </w:r>
                  <w:r>
                    <w:rPr>
                      <w:rStyle w:val="26"/>
                      <w:rFonts w:hint="eastAsia" w:ascii="Times New Roman" w:hAnsi="Times New Roman" w:eastAsia="宋体" w:cs="宋体"/>
                      <w:i w:val="0"/>
                      <w:iCs w:val="0"/>
                      <w:caps w:val="0"/>
                      <w:color w:val="333333"/>
                      <w:spacing w:val="0"/>
                      <w:sz w:val="21"/>
                      <w:szCs w:val="25"/>
                    </w:rPr>
                    <w:t>μg/m</w:t>
                  </w:r>
                  <w:r>
                    <w:rPr>
                      <w:rFonts w:hint="eastAsia" w:ascii="Times New Roman" w:hAnsi="Times New Roman" w:eastAsia="宋体" w:cs="宋体"/>
                      <w:i w:val="0"/>
                      <w:iCs w:val="0"/>
                      <w:caps w:val="0"/>
                      <w:color w:val="333333"/>
                      <w:spacing w:val="0"/>
                      <w:sz w:val="21"/>
                      <w:szCs w:val="25"/>
                    </w:rPr>
                    <w:t>3</w:t>
                  </w:r>
                  <w:r>
                    <w:rPr>
                      <w:rFonts w:hint="eastAsia" w:ascii="Times New Roman" w:hAnsi="Times New Roman" w:cs="宋体"/>
                      <w:i w:val="0"/>
                      <w:iCs w:val="0"/>
                      <w:caps w:val="0"/>
                      <w:color w:val="333333"/>
                      <w:spacing w:val="0"/>
                      <w:sz w:val="21"/>
                      <w:szCs w:val="25"/>
                      <w:lang w:eastAsia="zh-CN"/>
                    </w:rPr>
                    <w:t>)</w:t>
                  </w:r>
                </w:p>
              </w:tc>
              <w:tc>
                <w:tcPr>
                  <w:tcW w:w="895" w:type="pct"/>
                  <w:tcBorders>
                    <w:tl2br w:val="nil"/>
                    <w:tr2bl w:val="nil"/>
                  </w:tcBorders>
                  <w:vAlign w:val="center"/>
                </w:tcPr>
                <w:p w14:paraId="71969800">
                  <w:pPr>
                    <w:pStyle w:val="22"/>
                    <w:keepNext w:val="0"/>
                    <w:keepLines w:val="0"/>
                    <w:widowControl/>
                    <w:suppressLineNumbers w:val="0"/>
                    <w:jc w:val="center"/>
                    <w:rPr>
                      <w:rFonts w:ascii="Times New Roman" w:hAnsi="Times New Roman" w:eastAsia="宋体" w:cs="宋体"/>
                      <w:color w:val="auto"/>
                      <w:kern w:val="2"/>
                      <w:sz w:val="21"/>
                      <w:szCs w:val="21"/>
                      <w:lang w:val="zh-CN" w:eastAsia="zh-CN" w:bidi="zh-CN"/>
                    </w:rPr>
                  </w:pPr>
                  <w:r>
                    <w:rPr>
                      <w:rStyle w:val="26"/>
                      <w:rFonts w:hint="eastAsia" w:ascii="Times New Roman" w:hAnsi="Times New Roman" w:eastAsia="宋体" w:cs="宋体"/>
                      <w:i w:val="0"/>
                      <w:iCs w:val="0"/>
                      <w:caps w:val="0"/>
                      <w:color w:val="333333"/>
                      <w:spacing w:val="0"/>
                      <w:sz w:val="21"/>
                      <w:szCs w:val="25"/>
                    </w:rPr>
                    <w:t>首要污染物</w:t>
                  </w:r>
                </w:p>
              </w:tc>
            </w:tr>
            <w:tr w14:paraId="7A18A0E1">
              <w:tblPrEx>
                <w:tblBorders>
                  <w:top w:val="single" w:color="000000" w:sz="12" w:space="0"/>
                  <w:left w:val="none" w:color="auto" w:sz="0" w:space="0"/>
                  <w:bottom w:val="single" w:color="000000" w:sz="12" w:space="0"/>
                  <w:right w:val="none" w:color="auto" w:sz="0" w:space="0"/>
                  <w:insideH w:val="single" w:color="000000" w:sz="12" w:space="0"/>
                  <w:insideV w:val="single" w:color="000000" w:sz="6" w:space="0"/>
                </w:tblBorders>
                <w:tblCellMar>
                  <w:top w:w="0" w:type="dxa"/>
                  <w:left w:w="0" w:type="dxa"/>
                  <w:bottom w:w="0" w:type="dxa"/>
                  <w:right w:w="0" w:type="dxa"/>
                </w:tblCellMar>
              </w:tblPrEx>
              <w:trPr>
                <w:trHeight w:val="544" w:hRule="atLeast"/>
              </w:trPr>
              <w:tc>
                <w:tcPr>
                  <w:tcW w:w="601" w:type="pct"/>
                  <w:tcBorders>
                    <w:tl2br w:val="nil"/>
                    <w:tr2bl w:val="nil"/>
                  </w:tcBorders>
                  <w:vAlign w:val="center"/>
                </w:tcPr>
                <w:p w14:paraId="3FB35EE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right="0"/>
                    <w:jc w:val="center"/>
                    <w:textAlignment w:val="auto"/>
                    <w:rPr>
                      <w:rFonts w:ascii="Times New Roman" w:hAnsi="Times New Roman" w:eastAsia="宋体" w:cs="宋体"/>
                      <w:color w:val="auto"/>
                      <w:kern w:val="2"/>
                      <w:sz w:val="21"/>
                      <w:szCs w:val="21"/>
                      <w:lang w:val="zh-CN" w:eastAsia="zh-CN" w:bidi="zh-CN"/>
                    </w:rPr>
                  </w:pPr>
                  <w:r>
                    <w:rPr>
                      <w:rFonts w:hint="eastAsia" w:ascii="Times New Roman" w:hAnsi="Times New Roman" w:eastAsia="宋体" w:cs="宋体"/>
                      <w:color w:val="auto"/>
                      <w:spacing w:val="-10"/>
                      <w:kern w:val="2"/>
                      <w:sz w:val="21"/>
                      <w:szCs w:val="21"/>
                      <w:lang w:val="en-US" w:eastAsia="zh-CN" w:bidi="zh-CN"/>
                    </w:rPr>
                    <w:t>福州市</w:t>
                  </w:r>
                </w:p>
              </w:tc>
              <w:tc>
                <w:tcPr>
                  <w:tcW w:w="934" w:type="pct"/>
                  <w:tcBorders>
                    <w:tl2br w:val="nil"/>
                    <w:tr2bl w:val="nil"/>
                  </w:tcBorders>
                  <w:vAlign w:val="center"/>
                </w:tcPr>
                <w:p w14:paraId="7F3785A4">
                  <w:pPr>
                    <w:pStyle w:val="22"/>
                    <w:keepNext w:val="0"/>
                    <w:keepLines w:val="0"/>
                    <w:widowControl/>
                    <w:suppressLineNumbers w:val="0"/>
                    <w:spacing w:before="0" w:beforeAutospacing="1" w:after="0" w:afterAutospacing="1"/>
                    <w:ind w:left="0" w:leftChars="0" w:right="0" w:rightChars="0"/>
                    <w:jc w:val="center"/>
                    <w:rPr>
                      <w:rFonts w:ascii="Times New Roman" w:hAnsi="Times New Roman" w:eastAsia="宋体" w:cs="宋体"/>
                      <w:color w:val="auto"/>
                      <w:kern w:val="2"/>
                      <w:sz w:val="21"/>
                      <w:szCs w:val="21"/>
                      <w:lang w:val="zh-CN" w:eastAsia="zh-CN" w:bidi="zh-CN"/>
                    </w:rPr>
                  </w:pPr>
                  <w:r>
                    <w:rPr>
                      <w:rFonts w:hint="eastAsia" w:ascii="Times New Roman" w:hAnsi="Times New Roman" w:eastAsia="宋体" w:cs="宋体"/>
                      <w:i w:val="0"/>
                      <w:iCs w:val="0"/>
                      <w:caps w:val="0"/>
                      <w:color w:val="333333"/>
                      <w:spacing w:val="0"/>
                      <w:sz w:val="21"/>
                      <w:szCs w:val="25"/>
                    </w:rPr>
                    <w:t>福清市</w:t>
                  </w:r>
                </w:p>
              </w:tc>
              <w:tc>
                <w:tcPr>
                  <w:tcW w:w="908" w:type="pct"/>
                  <w:tcBorders>
                    <w:tl2br w:val="nil"/>
                    <w:tr2bl w:val="nil"/>
                  </w:tcBorders>
                  <w:vAlign w:val="center"/>
                </w:tcPr>
                <w:p w14:paraId="0AB47EC6">
                  <w:pPr>
                    <w:pStyle w:val="22"/>
                    <w:keepNext w:val="0"/>
                    <w:keepLines w:val="0"/>
                    <w:widowControl/>
                    <w:suppressLineNumbers w:val="0"/>
                    <w:spacing w:before="0" w:beforeAutospacing="1" w:after="0" w:afterAutospacing="1"/>
                    <w:ind w:left="0" w:leftChars="0" w:right="0" w:rightChars="0"/>
                    <w:jc w:val="center"/>
                    <w:rPr>
                      <w:rFonts w:hint="default" w:ascii="Times New Roman" w:hAnsi="Times New Roman" w:eastAsia="宋体" w:cs="宋体"/>
                      <w:color w:val="auto"/>
                      <w:kern w:val="2"/>
                      <w:sz w:val="21"/>
                      <w:szCs w:val="21"/>
                      <w:lang w:val="en-US" w:eastAsia="zh-CN" w:bidi="zh-CN"/>
                    </w:rPr>
                  </w:pPr>
                  <w:r>
                    <w:rPr>
                      <w:rFonts w:hint="eastAsia" w:ascii="Times New Roman" w:hAnsi="Times New Roman" w:eastAsia="宋体" w:cs="宋体"/>
                      <w:i w:val="0"/>
                      <w:iCs w:val="0"/>
                      <w:caps w:val="0"/>
                      <w:color w:val="333333"/>
                      <w:spacing w:val="0"/>
                      <w:sz w:val="21"/>
                      <w:szCs w:val="25"/>
                    </w:rPr>
                    <w:t>99.7</w:t>
                  </w:r>
                </w:p>
              </w:tc>
              <w:tc>
                <w:tcPr>
                  <w:tcW w:w="791" w:type="pct"/>
                  <w:tcBorders>
                    <w:tl2br w:val="nil"/>
                    <w:tr2bl w:val="nil"/>
                  </w:tcBorders>
                  <w:vAlign w:val="center"/>
                </w:tcPr>
                <w:p w14:paraId="0235D5F6">
                  <w:pPr>
                    <w:pStyle w:val="22"/>
                    <w:keepNext w:val="0"/>
                    <w:keepLines w:val="0"/>
                    <w:widowControl/>
                    <w:suppressLineNumbers w:val="0"/>
                    <w:spacing w:before="0" w:beforeAutospacing="1" w:after="0" w:afterAutospacing="1"/>
                    <w:ind w:left="0" w:leftChars="0" w:right="0" w:right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宋体"/>
                      <w:i w:val="0"/>
                      <w:iCs w:val="0"/>
                      <w:caps w:val="0"/>
                      <w:color w:val="333333"/>
                      <w:spacing w:val="0"/>
                      <w:sz w:val="21"/>
                      <w:szCs w:val="25"/>
                    </w:rPr>
                    <w:t>2.17</w:t>
                  </w:r>
                </w:p>
              </w:tc>
              <w:tc>
                <w:tcPr>
                  <w:tcW w:w="868" w:type="pct"/>
                  <w:tcBorders>
                    <w:tl2br w:val="nil"/>
                    <w:tr2bl w:val="nil"/>
                  </w:tcBorders>
                  <w:vAlign w:val="center"/>
                </w:tcPr>
                <w:p w14:paraId="33084AD0">
                  <w:pPr>
                    <w:pStyle w:val="22"/>
                    <w:keepNext w:val="0"/>
                    <w:keepLines w:val="0"/>
                    <w:widowControl/>
                    <w:suppressLineNumbers w:val="0"/>
                    <w:spacing w:before="0" w:beforeAutospacing="1" w:after="0" w:afterAutospacing="1"/>
                    <w:ind w:left="0" w:leftChars="0" w:right="0" w:right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宋体"/>
                      <w:i w:val="0"/>
                      <w:iCs w:val="0"/>
                      <w:caps w:val="0"/>
                      <w:color w:val="333333"/>
                      <w:spacing w:val="0"/>
                      <w:sz w:val="21"/>
                      <w:szCs w:val="25"/>
                    </w:rPr>
                    <w:t>17</w:t>
                  </w:r>
                </w:p>
              </w:tc>
              <w:tc>
                <w:tcPr>
                  <w:tcW w:w="895" w:type="pct"/>
                  <w:tcBorders>
                    <w:tl2br w:val="nil"/>
                    <w:tr2bl w:val="nil"/>
                  </w:tcBorders>
                  <w:vAlign w:val="center"/>
                </w:tcPr>
                <w:p w14:paraId="43D34744">
                  <w:pPr>
                    <w:pStyle w:val="22"/>
                    <w:keepNext w:val="0"/>
                    <w:keepLines w:val="0"/>
                    <w:widowControl/>
                    <w:suppressLineNumbers w:val="0"/>
                    <w:spacing w:before="0" w:beforeAutospacing="1" w:after="0" w:afterAutospacing="1"/>
                    <w:ind w:left="0" w:leftChars="0" w:right="0" w:rightChars="0"/>
                    <w:jc w:val="center"/>
                    <w:rPr>
                      <w:rFonts w:ascii="Times New Roman" w:hAnsi="Times New Roman" w:eastAsia="宋体" w:cs="Times New Roman"/>
                      <w:color w:val="auto"/>
                      <w:kern w:val="0"/>
                      <w:sz w:val="21"/>
                      <w:szCs w:val="21"/>
                      <w:lang w:val="en-US" w:eastAsia="zh-CN" w:bidi="ar"/>
                    </w:rPr>
                  </w:pPr>
                  <w:r>
                    <w:rPr>
                      <w:rFonts w:hint="eastAsia" w:ascii="Times New Roman" w:hAnsi="Times New Roman" w:eastAsia="宋体" w:cs="宋体"/>
                      <w:i w:val="0"/>
                      <w:iCs w:val="0"/>
                      <w:caps w:val="0"/>
                      <w:color w:val="333333"/>
                      <w:spacing w:val="0"/>
                      <w:sz w:val="21"/>
                      <w:szCs w:val="25"/>
                    </w:rPr>
                    <w:t>臭氧</w:t>
                  </w:r>
                </w:p>
              </w:tc>
            </w:tr>
          </w:tbl>
          <w:p w14:paraId="38BA07CC">
            <w:pPr>
              <w:widowControl w:val="0"/>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详见附图八、附图九</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w:t>
            </w:r>
          </w:p>
          <w:p w14:paraId="53615C2E">
            <w:pPr>
              <w:widowControl w:val="0"/>
              <w:numPr>
                <w:ilvl w:val="0"/>
                <w:numId w:val="0"/>
              </w:numPr>
              <w:tabs>
                <w:tab w:val="left" w:pos="0"/>
              </w:tabs>
              <w:autoSpaceDE w:val="0"/>
              <w:autoSpaceDN w:val="0"/>
              <w:bidi w:val="0"/>
              <w:spacing w:line="360" w:lineRule="auto"/>
              <w:ind w:leftChars="0"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eastAsia" w:ascii="Times New Roman" w:hAnsi="Times New Roman" w:eastAsia="宋体" w:cs="宋体"/>
                <w:color w:val="auto"/>
                <w:kern w:val="0"/>
                <w:sz w:val="24"/>
                <w:szCs w:val="20"/>
                <w:highlight w:val="none"/>
                <w:lang w:val="en-US" w:eastAsia="zh-CN" w:bidi="ar-SA"/>
              </w:rPr>
              <w:t>（2）</w:t>
            </w:r>
            <w:r>
              <w:rPr>
                <w:rFonts w:hint="eastAsia" w:ascii="宋体" w:hAnsi="宋体" w:eastAsia="宋体" w:cs="宋体"/>
                <w:color w:val="auto"/>
                <w:kern w:val="0"/>
                <w:sz w:val="24"/>
                <w:szCs w:val="20"/>
                <w:highlight w:val="none"/>
                <w:lang w:val="zh-CN" w:eastAsia="zh-CN" w:bidi="ar-SA"/>
              </w:rPr>
              <w:t>特征</w:t>
            </w:r>
            <w:r>
              <w:rPr>
                <w:rFonts w:hint="eastAsia" w:ascii="Times New Roman" w:hAnsi="Times New Roman" w:eastAsia="宋体" w:cs="宋体"/>
                <w:color w:val="auto"/>
                <w:kern w:val="0"/>
                <w:sz w:val="24"/>
                <w:szCs w:val="20"/>
                <w:highlight w:val="none"/>
                <w:lang w:val="zh-CN" w:eastAsia="zh-CN" w:bidi="ar-SA"/>
              </w:rPr>
              <w:t>污染</w:t>
            </w:r>
            <w:r>
              <w:rPr>
                <w:rFonts w:hint="eastAsia" w:ascii="宋体" w:hAnsi="宋体" w:eastAsia="宋体" w:cs="宋体"/>
                <w:color w:val="auto"/>
                <w:kern w:val="0"/>
                <w:sz w:val="24"/>
                <w:szCs w:val="20"/>
                <w:highlight w:val="none"/>
                <w:lang w:val="zh-CN" w:eastAsia="zh-CN" w:bidi="ar-SA"/>
              </w:rPr>
              <w:t>因子</w:t>
            </w:r>
          </w:p>
          <w:p w14:paraId="75F6BE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根据《关于</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建设项目环境影响报告表</w:t>
            </w:r>
            <w:r>
              <w:rPr>
                <w:rFonts w:hint="eastAsia" w:ascii="Times New Roman" w:hAnsi="Times New Roman" w:eastAsia="宋体" w:cs="Times New Roman"/>
                <w:color w:val="auto"/>
                <w:kern w:val="2"/>
                <w:sz w:val="24"/>
                <w:szCs w:val="24"/>
                <w:highlight w:val="none"/>
                <w:lang w:val="en-US" w:eastAsia="zh-CN" w:bidi="ar-SA"/>
              </w:rPr>
              <w:t>&gt;</w:t>
            </w:r>
            <w:r>
              <w:rPr>
                <w:rFonts w:ascii="Times New Roman" w:hAnsi="Times New Roman" w:eastAsia="宋体" w:cs="Times New Roman"/>
                <w:color w:val="auto"/>
                <w:kern w:val="2"/>
                <w:sz w:val="24"/>
                <w:szCs w:val="24"/>
                <w:highlight w:val="none"/>
                <w:lang w:val="en-US" w:eastAsia="zh-CN" w:bidi="ar-SA"/>
              </w:rPr>
              <w:t>内容、格式及编制技术指南常见问题解答》（生态环境部环境工程评估中心）</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技术指南中提到</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排放国家、地方环境空气质量标准中有标准限值要求的特征污染物</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，其中环境空气质量标准指《环境空气质量标准》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GB3095</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和地方的环境空气质量标准，不包括《环境影响评价技术导则 大气环境》</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HJ2.2-2018</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附录D、《工业企业设计卫生标准》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TJ36-97</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《前苏联居住区标准》</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CH245-71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、《环境影响评价技术导则 制药建设项目》</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HJ611-2011</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、《大气污染物综合排放标准详解》等导则或参考资料。排放的特征污染物需要在国家、地方环境空气质量标准中有限值要求才涉及现状监测</w:t>
            </w:r>
            <w:r>
              <w:rPr>
                <w:rFonts w:hint="eastAsia" w:cs="Times New Roman"/>
                <w:color w:val="auto"/>
                <w:kern w:val="2"/>
                <w:sz w:val="24"/>
                <w:szCs w:val="24"/>
                <w:highlight w:val="none"/>
                <w:lang w:val="en-US" w:eastAsia="zh-CN" w:bidi="ar-SA"/>
              </w:rPr>
              <w:t>且</w:t>
            </w:r>
            <w:r>
              <w:rPr>
                <w:rFonts w:ascii="Times New Roman" w:hAnsi="Times New Roman" w:eastAsia="宋体" w:cs="Times New Roman"/>
                <w:color w:val="auto"/>
                <w:kern w:val="2"/>
                <w:sz w:val="24"/>
                <w:szCs w:val="24"/>
                <w:highlight w:val="none"/>
                <w:lang w:val="en-US" w:eastAsia="zh-CN" w:bidi="ar-SA"/>
              </w:rPr>
              <w:t>优先引用现有监测数据</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w:t>
            </w:r>
          </w:p>
          <w:p w14:paraId="5B56E55A">
            <w:pPr>
              <w:adjustRightInd w:val="0"/>
              <w:spacing w:line="360" w:lineRule="auto"/>
              <w:ind w:firstLine="480" w:firstLineChars="200"/>
              <w:contextualSpacing/>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排放的其他污染物为非甲烷总烃</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颗粒物</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其中非甲烷总烃</w:t>
            </w:r>
            <w:r>
              <w:rPr>
                <w:rFonts w:ascii="Times New Roman" w:hAnsi="Times New Roman" w:eastAsia="宋体" w:cs="Times New Roman"/>
                <w:color w:val="auto"/>
                <w:sz w:val="24"/>
                <w:highlight w:val="none"/>
              </w:rPr>
              <w:t>不属于《环境空气质量标准》</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GB3095</w:t>
            </w:r>
            <w:r>
              <w:rPr>
                <w:rFonts w:hint="eastAsia" w:ascii="Times New Roman" w:hAnsi="Times New Roman" w:eastAsia="宋体" w:cs="Times New Roman"/>
                <w:color w:val="auto"/>
                <w:sz w:val="24"/>
                <w:highlight w:val="none"/>
              </w:rPr>
              <w:t>-2012</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和</w:t>
            </w:r>
            <w:r>
              <w:rPr>
                <w:rFonts w:hint="eastAsia" w:cs="Times New Roman"/>
                <w:color w:val="auto"/>
                <w:sz w:val="24"/>
                <w:highlight w:val="none"/>
                <w:lang w:eastAsia="zh-CN"/>
              </w:rPr>
              <w:t>地方</w:t>
            </w:r>
            <w:r>
              <w:rPr>
                <w:rFonts w:ascii="Times New Roman" w:hAnsi="Times New Roman" w:eastAsia="宋体" w:cs="Times New Roman"/>
                <w:color w:val="auto"/>
                <w:sz w:val="24"/>
                <w:highlight w:val="none"/>
              </w:rPr>
              <w:t>环境空气质量中有标准限值要求的污染物，因此</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对非甲烷总烃</w:t>
            </w:r>
            <w:r>
              <w:rPr>
                <w:rFonts w:ascii="Times New Roman" w:hAnsi="Times New Roman" w:eastAsia="宋体" w:cs="Times New Roman"/>
                <w:color w:val="auto"/>
                <w:sz w:val="24"/>
                <w:highlight w:val="none"/>
              </w:rPr>
              <w:t>进行</w:t>
            </w:r>
            <w:r>
              <w:rPr>
                <w:rFonts w:hint="eastAsia" w:ascii="Times New Roman" w:hAnsi="Times New Roman" w:eastAsia="宋体" w:cs="Times New Roman"/>
                <w:color w:val="auto"/>
                <w:sz w:val="24"/>
                <w:highlight w:val="none"/>
              </w:rPr>
              <w:t>特征污染物</w:t>
            </w:r>
            <w:r>
              <w:rPr>
                <w:rFonts w:ascii="Times New Roman" w:hAnsi="Times New Roman" w:eastAsia="宋体" w:cs="Times New Roman"/>
                <w:color w:val="auto"/>
                <w:sz w:val="24"/>
                <w:highlight w:val="none"/>
              </w:rPr>
              <w:t>现状检测评价。</w:t>
            </w:r>
          </w:p>
          <w:p w14:paraId="6A6F3192">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为了解项目所在区域环境空气中颗粒物情况，建设单位委托</w:t>
            </w:r>
            <w:r>
              <w:rPr>
                <w:rFonts w:hint="eastAsia" w:cs="Times New Roman"/>
                <w:color w:val="auto"/>
                <w:kern w:val="0"/>
                <w:sz w:val="24"/>
                <w:szCs w:val="24"/>
                <w:lang w:val="en-US" w:eastAsia="zh-CN" w:bidi="ar"/>
              </w:rPr>
              <w:t>福建华远检测有限公司</w:t>
            </w:r>
            <w:r>
              <w:rPr>
                <w:rFonts w:hint="eastAsia" w:ascii="Times New Roman" w:hAnsi="Times New Roman" w:eastAsia="宋体" w:cs="Times New Roman"/>
                <w:color w:val="auto"/>
                <w:kern w:val="0"/>
                <w:sz w:val="24"/>
                <w:szCs w:val="24"/>
                <w:lang w:val="en-US" w:eastAsia="zh-CN" w:bidi="ar"/>
              </w:rPr>
              <w:t>于2025年10月30日</w:t>
            </w:r>
            <w:r>
              <w:rPr>
                <w:rFonts w:hint="eastAsia" w:cs="Times New Roman"/>
                <w:color w:val="auto"/>
                <w:kern w:val="0"/>
                <w:sz w:val="24"/>
                <w:szCs w:val="24"/>
                <w:lang w:val="en-US" w:eastAsia="zh-CN" w:bidi="ar"/>
              </w:rPr>
              <w:t>—2025年11月2日</w:t>
            </w:r>
            <w:r>
              <w:rPr>
                <w:rFonts w:hint="eastAsia" w:ascii="Times New Roman" w:hAnsi="Times New Roman" w:eastAsia="宋体" w:cs="Times New Roman"/>
                <w:color w:val="auto"/>
                <w:kern w:val="0"/>
                <w:sz w:val="24"/>
                <w:szCs w:val="24"/>
                <w:lang w:val="en-US" w:eastAsia="zh-CN" w:bidi="ar"/>
              </w:rPr>
              <w:t>对其进行监测，监测结果见表</w:t>
            </w:r>
            <w:r>
              <w:rPr>
                <w:rFonts w:hint="eastAsia" w:ascii="Times New Roman" w:hAnsi="Times New Roman" w:eastAsia="宋体" w:cs="Times New Roman"/>
                <w:color w:val="auto"/>
                <w:kern w:val="0"/>
                <w:sz w:val="24"/>
                <w:szCs w:val="24"/>
                <w:highlight w:val="none"/>
                <w:lang w:val="en-US" w:eastAsia="zh-CN" w:bidi="ar"/>
              </w:rPr>
              <w:t>3.1-4</w:t>
            </w:r>
            <w:r>
              <w:rPr>
                <w:rFonts w:hint="eastAsia" w:ascii="Times New Roman" w:hAnsi="Times New Roman" w:eastAsia="宋体" w:cs="Times New Roman"/>
                <w:color w:val="auto"/>
                <w:kern w:val="0"/>
                <w:sz w:val="24"/>
                <w:szCs w:val="24"/>
                <w:lang w:val="en-US" w:eastAsia="zh-CN" w:bidi="ar"/>
              </w:rPr>
              <w:t>，检测报告见附</w:t>
            </w:r>
            <w:r>
              <w:rPr>
                <w:rFonts w:hint="eastAsia" w:ascii="Times New Roman" w:hAnsi="Times New Roman" w:eastAsia="宋体" w:cs="Times New Roman"/>
                <w:color w:val="auto"/>
                <w:kern w:val="0"/>
                <w:sz w:val="24"/>
                <w:szCs w:val="24"/>
                <w:highlight w:val="none"/>
                <w:lang w:val="en-US" w:eastAsia="zh-CN" w:bidi="ar"/>
              </w:rPr>
              <w:t>件</w:t>
            </w:r>
            <w:r>
              <w:rPr>
                <w:rFonts w:hint="eastAsia" w:cs="Times New Roman"/>
                <w:color w:val="auto"/>
                <w:kern w:val="0"/>
                <w:sz w:val="24"/>
                <w:szCs w:val="24"/>
                <w:highlight w:val="none"/>
                <w:lang w:val="en-US" w:eastAsia="zh-CN" w:bidi="ar"/>
              </w:rPr>
              <w:t>十三</w:t>
            </w:r>
            <w:r>
              <w:rPr>
                <w:rFonts w:hint="eastAsia" w:ascii="Times New Roman" w:hAnsi="Times New Roman" w:eastAsia="宋体" w:cs="Times New Roman"/>
                <w:color w:val="auto"/>
                <w:kern w:val="0"/>
                <w:sz w:val="24"/>
                <w:szCs w:val="24"/>
                <w:lang w:val="en-US" w:eastAsia="zh-CN" w:bidi="ar"/>
              </w:rPr>
              <w:t>。</w:t>
            </w:r>
          </w:p>
          <w:p w14:paraId="00D5BAD4">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default"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表3.1-4</w:t>
            </w:r>
            <w:r>
              <w:rPr>
                <w:rFonts w:hint="eastAsia" w:ascii="Times New Roman" w:hAnsi="Times New Roman" w:eastAsia="宋体" w:cs="Times New Roman"/>
                <w:b/>
                <w:bCs/>
                <w:color w:val="auto"/>
                <w:kern w:val="2"/>
                <w:sz w:val="24"/>
                <w:szCs w:val="21"/>
                <w:highlight w:val="none"/>
                <w:lang w:val="en-US" w:eastAsia="zh-CN" w:bidi="ar-SA"/>
              </w:rPr>
              <w:t>颗粒物现状情况一览表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704"/>
              <w:gridCol w:w="2759"/>
              <w:gridCol w:w="1706"/>
              <w:gridCol w:w="1226"/>
            </w:tblGrid>
            <w:tr w14:paraId="4B7E3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694" w:type="pct"/>
                  <w:tcBorders>
                    <w:top w:val="single" w:color="auto" w:sz="12" w:space="0"/>
                    <w:bottom w:val="single" w:color="auto" w:sz="12" w:space="0"/>
                  </w:tcBorders>
                  <w:noWrap w:val="0"/>
                  <w:vAlign w:val="center"/>
                </w:tcPr>
                <w:p w14:paraId="2E9D31C6">
                  <w:pPr>
                    <w:jc w:val="center"/>
                    <w:rPr>
                      <w:rFonts w:eastAsia="仿宋"/>
                      <w:szCs w:val="21"/>
                    </w:rPr>
                  </w:pPr>
                  <w:r>
                    <w:rPr>
                      <w:rFonts w:eastAsia="仿宋"/>
                      <w:szCs w:val="21"/>
                    </w:rPr>
                    <w:t>检测点位</w:t>
                  </w:r>
                </w:p>
              </w:tc>
              <w:tc>
                <w:tcPr>
                  <w:tcW w:w="992" w:type="pct"/>
                  <w:tcBorders>
                    <w:top w:val="single" w:color="auto" w:sz="12" w:space="0"/>
                    <w:bottom w:val="single" w:color="auto" w:sz="12" w:space="0"/>
                  </w:tcBorders>
                  <w:noWrap w:val="0"/>
                  <w:vAlign w:val="center"/>
                </w:tcPr>
                <w:p w14:paraId="707DEDCC">
                  <w:pPr>
                    <w:jc w:val="center"/>
                    <w:rPr>
                      <w:rFonts w:eastAsia="仿宋"/>
                      <w:szCs w:val="21"/>
                    </w:rPr>
                  </w:pPr>
                  <w:r>
                    <w:rPr>
                      <w:rFonts w:hint="eastAsia" w:eastAsia="仿宋"/>
                      <w:szCs w:val="21"/>
                    </w:rPr>
                    <w:t>检测项目</w:t>
                  </w:r>
                </w:p>
              </w:tc>
              <w:tc>
                <w:tcPr>
                  <w:tcW w:w="1606" w:type="pct"/>
                  <w:tcBorders>
                    <w:top w:val="single" w:color="auto" w:sz="12" w:space="0"/>
                    <w:bottom w:val="single" w:color="auto" w:sz="12" w:space="0"/>
                  </w:tcBorders>
                  <w:noWrap w:val="0"/>
                  <w:vAlign w:val="center"/>
                </w:tcPr>
                <w:p w14:paraId="15FD595D">
                  <w:pPr>
                    <w:jc w:val="center"/>
                    <w:rPr>
                      <w:rFonts w:eastAsia="仿宋"/>
                      <w:szCs w:val="21"/>
                    </w:rPr>
                  </w:pPr>
                  <w:r>
                    <w:rPr>
                      <w:rFonts w:hint="eastAsia" w:eastAsia="仿宋"/>
                      <w:szCs w:val="21"/>
                    </w:rPr>
                    <w:t>采样日期</w:t>
                  </w:r>
                </w:p>
              </w:tc>
              <w:tc>
                <w:tcPr>
                  <w:tcW w:w="993" w:type="pct"/>
                  <w:tcBorders>
                    <w:top w:val="single" w:color="auto" w:sz="12" w:space="0"/>
                    <w:bottom w:val="single" w:color="auto" w:sz="12" w:space="0"/>
                  </w:tcBorders>
                  <w:noWrap w:val="0"/>
                  <w:vAlign w:val="center"/>
                </w:tcPr>
                <w:p w14:paraId="6C666EAA">
                  <w:pPr>
                    <w:tabs>
                      <w:tab w:val="left" w:pos="990"/>
                    </w:tabs>
                    <w:jc w:val="center"/>
                    <w:rPr>
                      <w:rFonts w:hint="default" w:eastAsia="仿宋"/>
                      <w:szCs w:val="21"/>
                      <w:lang w:val="en-US" w:eastAsia="zh-CN"/>
                    </w:rPr>
                  </w:pPr>
                  <w:r>
                    <w:rPr>
                      <w:rFonts w:eastAsia="仿宋"/>
                      <w:szCs w:val="21"/>
                    </w:rPr>
                    <w:t>检测结果</w:t>
                  </w:r>
                </w:p>
              </w:tc>
              <w:tc>
                <w:tcPr>
                  <w:tcW w:w="713" w:type="pct"/>
                  <w:tcBorders>
                    <w:top w:val="single" w:color="auto" w:sz="12" w:space="0"/>
                    <w:bottom w:val="single" w:color="auto" w:sz="12" w:space="0"/>
                    <w:right w:val="nil"/>
                  </w:tcBorders>
                  <w:noWrap w:val="0"/>
                  <w:vAlign w:val="center"/>
                </w:tcPr>
                <w:p w14:paraId="477B0C10">
                  <w:pPr>
                    <w:tabs>
                      <w:tab w:val="left" w:pos="990"/>
                    </w:tabs>
                    <w:jc w:val="center"/>
                    <w:rPr>
                      <w:rFonts w:hint="eastAsia" w:eastAsia="仿宋"/>
                      <w:szCs w:val="21"/>
                      <w:lang w:eastAsia="zh-CN"/>
                    </w:rPr>
                  </w:pPr>
                  <w:r>
                    <w:rPr>
                      <w:rFonts w:hint="eastAsia" w:eastAsia="仿宋"/>
                      <w:szCs w:val="21"/>
                      <w:lang w:eastAsia="zh-CN"/>
                    </w:rPr>
                    <w:t>单位</w:t>
                  </w:r>
                </w:p>
              </w:tc>
            </w:tr>
            <w:tr w14:paraId="56476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4" w:type="pct"/>
                  <w:vMerge w:val="restart"/>
                  <w:tcBorders>
                    <w:top w:val="single" w:color="auto" w:sz="12" w:space="0"/>
                    <w:left w:val="nil"/>
                  </w:tcBorders>
                  <w:noWrap w:val="0"/>
                  <w:vAlign w:val="center"/>
                </w:tcPr>
                <w:p w14:paraId="1F0C654F">
                  <w:pPr>
                    <w:jc w:val="center"/>
                    <w:rPr>
                      <w:rFonts w:eastAsia="仿宋"/>
                      <w:szCs w:val="21"/>
                    </w:rPr>
                  </w:pPr>
                  <w:r>
                    <w:rPr>
                      <w:rFonts w:hint="eastAsia" w:eastAsia="仿宋"/>
                      <w:szCs w:val="21"/>
                    </w:rPr>
                    <w:t>厂区下风向居民点点位Q1</w:t>
                  </w:r>
                </w:p>
              </w:tc>
              <w:tc>
                <w:tcPr>
                  <w:tcW w:w="992" w:type="pct"/>
                  <w:vMerge w:val="restart"/>
                  <w:tcBorders>
                    <w:top w:val="single" w:color="auto" w:sz="12" w:space="0"/>
                  </w:tcBorders>
                  <w:noWrap w:val="0"/>
                  <w:vAlign w:val="center"/>
                </w:tcPr>
                <w:p w14:paraId="5111DF54">
                  <w:pPr>
                    <w:jc w:val="center"/>
                    <w:rPr>
                      <w:rFonts w:eastAsia="仿宋"/>
                      <w:szCs w:val="21"/>
                    </w:rPr>
                  </w:pPr>
                  <w:r>
                    <w:rPr>
                      <w:rFonts w:hint="eastAsia" w:eastAsia="仿宋"/>
                      <w:color w:val="000000"/>
                      <w:kern w:val="0"/>
                      <w:szCs w:val="21"/>
                      <w:lang w:bidi="ar"/>
                    </w:rPr>
                    <w:t>总悬浮颗粒物</w:t>
                  </w:r>
                  <w:r>
                    <w:rPr>
                      <w:rFonts w:hint="eastAsia" w:eastAsia="仿宋"/>
                      <w:szCs w:val="21"/>
                    </w:rPr>
                    <w:t>（TSP）</w:t>
                  </w:r>
                </w:p>
              </w:tc>
              <w:tc>
                <w:tcPr>
                  <w:tcW w:w="1606" w:type="pct"/>
                  <w:tcBorders>
                    <w:top w:val="single" w:color="auto" w:sz="12" w:space="0"/>
                  </w:tcBorders>
                  <w:noWrap w:val="0"/>
                  <w:vAlign w:val="center"/>
                </w:tcPr>
                <w:p w14:paraId="54D675DB">
                  <w:pPr>
                    <w:jc w:val="center"/>
                    <w:rPr>
                      <w:rFonts w:eastAsia="仿宋"/>
                      <w:szCs w:val="21"/>
                      <w:highlight w:val="none"/>
                    </w:rPr>
                  </w:pPr>
                  <w:r>
                    <w:rPr>
                      <w:rFonts w:hint="eastAsia" w:eastAsia="仿宋"/>
                      <w:szCs w:val="21"/>
                      <w:highlight w:val="none"/>
                      <w:lang w:eastAsia="zh-CN"/>
                    </w:rPr>
                    <w:t>2025年</w:t>
                  </w:r>
                  <w:r>
                    <w:rPr>
                      <w:rFonts w:hint="eastAsia" w:eastAsia="仿宋"/>
                      <w:kern w:val="2"/>
                      <w:sz w:val="21"/>
                      <w:szCs w:val="21"/>
                      <w:highlight w:val="none"/>
                      <w:lang w:val="en-US" w:eastAsia="zh-CN"/>
                    </w:rPr>
                    <w:t>10月30</w:t>
                  </w:r>
                  <w:r>
                    <w:rPr>
                      <w:rFonts w:hint="eastAsia" w:eastAsia="仿宋"/>
                      <w:kern w:val="2"/>
                      <w:sz w:val="21"/>
                      <w:szCs w:val="21"/>
                      <w:highlight w:val="none"/>
                    </w:rPr>
                    <w:t>日</w:t>
                  </w:r>
                  <w:r>
                    <w:rPr>
                      <w:rFonts w:hint="eastAsia" w:eastAsia="仿宋"/>
                      <w:kern w:val="2"/>
                      <w:sz w:val="21"/>
                      <w:szCs w:val="21"/>
                      <w:highlight w:val="none"/>
                      <w:lang w:eastAsia="zh-CN"/>
                    </w:rPr>
                    <w:t>—</w:t>
                  </w:r>
                  <w:r>
                    <w:rPr>
                      <w:rFonts w:hint="eastAsia" w:eastAsia="仿宋"/>
                      <w:kern w:val="2"/>
                      <w:sz w:val="21"/>
                      <w:szCs w:val="21"/>
                      <w:highlight w:val="none"/>
                      <w:lang w:val="en-US" w:eastAsia="zh-CN"/>
                    </w:rPr>
                    <w:t>31</w:t>
                  </w:r>
                  <w:r>
                    <w:rPr>
                      <w:rFonts w:hint="eastAsia" w:eastAsia="仿宋"/>
                      <w:kern w:val="2"/>
                      <w:sz w:val="21"/>
                      <w:szCs w:val="21"/>
                      <w:highlight w:val="none"/>
                    </w:rPr>
                    <w:t>日</w:t>
                  </w:r>
                </w:p>
              </w:tc>
              <w:tc>
                <w:tcPr>
                  <w:tcW w:w="993" w:type="pct"/>
                  <w:tcBorders>
                    <w:top w:val="single" w:color="auto" w:sz="12" w:space="0"/>
                  </w:tcBorders>
                  <w:noWrap w:val="0"/>
                  <w:vAlign w:val="center"/>
                </w:tcPr>
                <w:p w14:paraId="1894AC56">
                  <w:pPr>
                    <w:jc w:val="center"/>
                    <w:rPr>
                      <w:rFonts w:hint="default" w:ascii="Times New Roman" w:hAnsi="Times New Roman" w:eastAsia="仿宋" w:cs="Times New Roman"/>
                      <w:kern w:val="2"/>
                      <w:sz w:val="21"/>
                      <w:szCs w:val="21"/>
                      <w:highlight w:val="none"/>
                      <w:lang w:val="en-US" w:eastAsia="zh-CN"/>
                    </w:rPr>
                  </w:pPr>
                  <w:r>
                    <w:rPr>
                      <w:rFonts w:hint="eastAsia" w:ascii="Times New Roman" w:hAnsi="Times New Roman" w:eastAsia="仿宋" w:cs="Times New Roman"/>
                      <w:kern w:val="2"/>
                      <w:sz w:val="21"/>
                      <w:szCs w:val="21"/>
                      <w:highlight w:val="none"/>
                      <w:lang w:val="en-US" w:eastAsia="zh-CN"/>
                    </w:rPr>
                    <w:t>0.105</w:t>
                  </w:r>
                </w:p>
              </w:tc>
              <w:tc>
                <w:tcPr>
                  <w:tcW w:w="713" w:type="pct"/>
                  <w:tcBorders>
                    <w:top w:val="single" w:color="auto" w:sz="12" w:space="0"/>
                    <w:right w:val="nil"/>
                  </w:tcBorders>
                  <w:noWrap w:val="0"/>
                  <w:vAlign w:val="center"/>
                </w:tcPr>
                <w:p w14:paraId="7A7C4C7D">
                  <w:pPr>
                    <w:widowControl/>
                    <w:jc w:val="center"/>
                    <w:textAlignment w:val="center"/>
                    <w:rPr>
                      <w:rFonts w:hint="default" w:eastAsia="仿宋"/>
                      <w:szCs w:val="21"/>
                      <w:lang w:val="en-US" w:eastAsia="zh-CN"/>
                    </w:rPr>
                  </w:pPr>
                  <w:r>
                    <w:rPr>
                      <w:rFonts w:hint="eastAsia" w:eastAsia="仿宋"/>
                      <w:szCs w:val="21"/>
                    </w:rPr>
                    <w:t>mg/m</w:t>
                  </w:r>
                  <w:r>
                    <w:rPr>
                      <w:rFonts w:hint="eastAsia" w:eastAsia="仿宋"/>
                      <w:szCs w:val="21"/>
                      <w:vertAlign w:val="superscript"/>
                    </w:rPr>
                    <w:t>3</w:t>
                  </w:r>
                </w:p>
              </w:tc>
            </w:tr>
            <w:tr w14:paraId="421D9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4" w:type="pct"/>
                  <w:vMerge w:val="continue"/>
                  <w:tcBorders>
                    <w:left w:val="nil"/>
                  </w:tcBorders>
                  <w:noWrap w:val="0"/>
                  <w:vAlign w:val="center"/>
                </w:tcPr>
                <w:p w14:paraId="495904DA">
                  <w:pPr>
                    <w:jc w:val="center"/>
                    <w:rPr>
                      <w:rFonts w:eastAsia="仿宋"/>
                      <w:szCs w:val="21"/>
                    </w:rPr>
                  </w:pPr>
                </w:p>
              </w:tc>
              <w:tc>
                <w:tcPr>
                  <w:tcW w:w="992" w:type="pct"/>
                  <w:vMerge w:val="continue"/>
                  <w:noWrap w:val="0"/>
                  <w:vAlign w:val="center"/>
                </w:tcPr>
                <w:p w14:paraId="4D0565C0">
                  <w:pPr>
                    <w:jc w:val="center"/>
                    <w:rPr>
                      <w:rFonts w:eastAsia="仿宋"/>
                      <w:szCs w:val="21"/>
                    </w:rPr>
                  </w:pPr>
                </w:p>
              </w:tc>
              <w:tc>
                <w:tcPr>
                  <w:tcW w:w="1606" w:type="pct"/>
                  <w:noWrap w:val="0"/>
                  <w:vAlign w:val="center"/>
                </w:tcPr>
                <w:p w14:paraId="542AF8F9">
                  <w:pPr>
                    <w:jc w:val="center"/>
                    <w:rPr>
                      <w:rFonts w:eastAsia="仿宋"/>
                      <w:szCs w:val="21"/>
                      <w:highlight w:val="none"/>
                    </w:rPr>
                  </w:pPr>
                  <w:r>
                    <w:rPr>
                      <w:rFonts w:hint="eastAsia" w:eastAsia="仿宋"/>
                      <w:szCs w:val="21"/>
                      <w:highlight w:val="none"/>
                      <w:lang w:eastAsia="zh-CN"/>
                    </w:rPr>
                    <w:t>2025年</w:t>
                  </w:r>
                  <w:r>
                    <w:rPr>
                      <w:rFonts w:hint="eastAsia" w:eastAsia="仿宋"/>
                      <w:kern w:val="2"/>
                      <w:sz w:val="21"/>
                      <w:szCs w:val="21"/>
                      <w:highlight w:val="none"/>
                      <w:lang w:val="en-US" w:eastAsia="zh-CN"/>
                    </w:rPr>
                    <w:t>10月31</w:t>
                  </w:r>
                  <w:r>
                    <w:rPr>
                      <w:rFonts w:hint="eastAsia" w:eastAsia="仿宋"/>
                      <w:kern w:val="2"/>
                      <w:sz w:val="21"/>
                      <w:szCs w:val="21"/>
                      <w:highlight w:val="none"/>
                    </w:rPr>
                    <w:t>日</w:t>
                  </w:r>
                  <w:r>
                    <w:rPr>
                      <w:rFonts w:hint="eastAsia" w:eastAsia="仿宋"/>
                      <w:kern w:val="2"/>
                      <w:sz w:val="21"/>
                      <w:szCs w:val="21"/>
                      <w:highlight w:val="none"/>
                      <w:lang w:eastAsia="zh-CN"/>
                    </w:rPr>
                    <w:t>—11月1日</w:t>
                  </w:r>
                </w:p>
              </w:tc>
              <w:tc>
                <w:tcPr>
                  <w:tcW w:w="993" w:type="pct"/>
                  <w:noWrap w:val="0"/>
                  <w:vAlign w:val="center"/>
                </w:tcPr>
                <w:p w14:paraId="2F8FC4D0">
                  <w:pPr>
                    <w:jc w:val="center"/>
                    <w:rPr>
                      <w:rFonts w:hint="default" w:ascii="Times New Roman" w:hAnsi="Times New Roman" w:eastAsia="仿宋" w:cs="Times New Roman"/>
                      <w:kern w:val="2"/>
                      <w:sz w:val="21"/>
                      <w:szCs w:val="21"/>
                      <w:highlight w:val="none"/>
                      <w:lang w:val="en-US" w:eastAsia="zh-CN"/>
                    </w:rPr>
                  </w:pPr>
                  <w:r>
                    <w:rPr>
                      <w:rFonts w:hint="eastAsia" w:ascii="Times New Roman" w:hAnsi="Times New Roman" w:eastAsia="仿宋" w:cs="Times New Roman"/>
                      <w:kern w:val="2"/>
                      <w:sz w:val="21"/>
                      <w:szCs w:val="21"/>
                      <w:highlight w:val="none"/>
                      <w:lang w:val="en-US" w:eastAsia="zh-CN"/>
                    </w:rPr>
                    <w:t>0.095</w:t>
                  </w:r>
                </w:p>
              </w:tc>
              <w:tc>
                <w:tcPr>
                  <w:tcW w:w="713" w:type="pct"/>
                  <w:tcBorders>
                    <w:right w:val="nil"/>
                  </w:tcBorders>
                  <w:noWrap w:val="0"/>
                  <w:vAlign w:val="center"/>
                </w:tcPr>
                <w:p w14:paraId="1AE0F713">
                  <w:pPr>
                    <w:widowControl/>
                    <w:jc w:val="center"/>
                    <w:textAlignment w:val="center"/>
                    <w:rPr>
                      <w:rFonts w:hint="default" w:eastAsia="仿宋"/>
                      <w:szCs w:val="21"/>
                      <w:lang w:val="en-US" w:eastAsia="zh-CN"/>
                    </w:rPr>
                  </w:pPr>
                  <w:r>
                    <w:rPr>
                      <w:rFonts w:hint="eastAsia" w:eastAsia="仿宋"/>
                      <w:szCs w:val="21"/>
                    </w:rPr>
                    <w:t>mg/m</w:t>
                  </w:r>
                  <w:r>
                    <w:rPr>
                      <w:rFonts w:hint="eastAsia" w:eastAsia="仿宋"/>
                      <w:szCs w:val="21"/>
                      <w:vertAlign w:val="superscript"/>
                    </w:rPr>
                    <w:t>3</w:t>
                  </w:r>
                </w:p>
              </w:tc>
            </w:tr>
            <w:tr w14:paraId="46C6F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94" w:type="pct"/>
                  <w:vMerge w:val="continue"/>
                  <w:tcBorders>
                    <w:left w:val="nil"/>
                    <w:bottom w:val="single" w:color="auto" w:sz="12" w:space="0"/>
                  </w:tcBorders>
                  <w:noWrap w:val="0"/>
                  <w:vAlign w:val="center"/>
                </w:tcPr>
                <w:p w14:paraId="06E05664">
                  <w:pPr>
                    <w:jc w:val="center"/>
                    <w:rPr>
                      <w:rFonts w:eastAsia="仿宋"/>
                      <w:szCs w:val="21"/>
                    </w:rPr>
                  </w:pPr>
                </w:p>
              </w:tc>
              <w:tc>
                <w:tcPr>
                  <w:tcW w:w="992" w:type="pct"/>
                  <w:vMerge w:val="continue"/>
                  <w:tcBorders>
                    <w:bottom w:val="single" w:color="auto" w:sz="12" w:space="0"/>
                  </w:tcBorders>
                  <w:noWrap w:val="0"/>
                  <w:vAlign w:val="center"/>
                </w:tcPr>
                <w:p w14:paraId="4AB285A3">
                  <w:pPr>
                    <w:jc w:val="center"/>
                    <w:rPr>
                      <w:rFonts w:eastAsia="仿宋"/>
                      <w:szCs w:val="21"/>
                    </w:rPr>
                  </w:pPr>
                </w:p>
              </w:tc>
              <w:tc>
                <w:tcPr>
                  <w:tcW w:w="1606" w:type="pct"/>
                  <w:tcBorders>
                    <w:bottom w:val="single" w:color="auto" w:sz="12" w:space="0"/>
                  </w:tcBorders>
                  <w:noWrap w:val="0"/>
                  <w:vAlign w:val="center"/>
                </w:tcPr>
                <w:p w14:paraId="7E0E3A14">
                  <w:pPr>
                    <w:jc w:val="center"/>
                    <w:rPr>
                      <w:rFonts w:eastAsia="仿宋"/>
                      <w:szCs w:val="21"/>
                      <w:highlight w:val="none"/>
                    </w:rPr>
                  </w:pPr>
                  <w:r>
                    <w:rPr>
                      <w:rFonts w:hint="eastAsia" w:eastAsia="仿宋"/>
                      <w:szCs w:val="21"/>
                      <w:highlight w:val="none"/>
                      <w:lang w:eastAsia="zh-CN"/>
                    </w:rPr>
                    <w:t>2025年11月1日～</w:t>
                  </w:r>
                  <w:r>
                    <w:rPr>
                      <w:rFonts w:hint="eastAsia" w:eastAsia="仿宋"/>
                      <w:kern w:val="2"/>
                      <w:sz w:val="21"/>
                      <w:szCs w:val="21"/>
                      <w:highlight w:val="none"/>
                      <w:lang w:val="en-US" w:eastAsia="zh-CN"/>
                    </w:rPr>
                    <w:t>02</w:t>
                  </w:r>
                  <w:r>
                    <w:rPr>
                      <w:rFonts w:hint="eastAsia" w:eastAsia="仿宋"/>
                      <w:kern w:val="2"/>
                      <w:sz w:val="21"/>
                      <w:szCs w:val="21"/>
                      <w:highlight w:val="none"/>
                    </w:rPr>
                    <w:t>日</w:t>
                  </w:r>
                </w:p>
              </w:tc>
              <w:tc>
                <w:tcPr>
                  <w:tcW w:w="993" w:type="pct"/>
                  <w:tcBorders>
                    <w:bottom w:val="single" w:color="auto" w:sz="12" w:space="0"/>
                  </w:tcBorders>
                  <w:noWrap w:val="0"/>
                  <w:vAlign w:val="center"/>
                </w:tcPr>
                <w:p w14:paraId="7D0C7926">
                  <w:pPr>
                    <w:jc w:val="center"/>
                    <w:rPr>
                      <w:rFonts w:hint="default" w:ascii="Times New Roman" w:hAnsi="Times New Roman" w:eastAsia="仿宋" w:cs="Times New Roman"/>
                      <w:kern w:val="2"/>
                      <w:sz w:val="21"/>
                      <w:szCs w:val="21"/>
                      <w:highlight w:val="none"/>
                      <w:lang w:val="en-US" w:eastAsia="zh-CN"/>
                    </w:rPr>
                  </w:pPr>
                  <w:r>
                    <w:rPr>
                      <w:rFonts w:hint="eastAsia" w:ascii="Times New Roman" w:hAnsi="Times New Roman" w:eastAsia="仿宋" w:cs="Times New Roman"/>
                      <w:kern w:val="2"/>
                      <w:sz w:val="21"/>
                      <w:szCs w:val="21"/>
                      <w:highlight w:val="none"/>
                      <w:lang w:val="en-US" w:eastAsia="zh-CN"/>
                    </w:rPr>
                    <w:t>0.114</w:t>
                  </w:r>
                </w:p>
              </w:tc>
              <w:tc>
                <w:tcPr>
                  <w:tcW w:w="713" w:type="pct"/>
                  <w:tcBorders>
                    <w:bottom w:val="single" w:color="auto" w:sz="12" w:space="0"/>
                    <w:right w:val="nil"/>
                  </w:tcBorders>
                  <w:noWrap w:val="0"/>
                  <w:vAlign w:val="center"/>
                </w:tcPr>
                <w:p w14:paraId="58207CE6">
                  <w:pPr>
                    <w:widowControl/>
                    <w:jc w:val="center"/>
                    <w:textAlignment w:val="center"/>
                    <w:rPr>
                      <w:rFonts w:hint="default" w:eastAsia="仿宋"/>
                      <w:szCs w:val="21"/>
                      <w:lang w:val="en-US" w:eastAsia="zh-CN"/>
                    </w:rPr>
                  </w:pPr>
                  <w:r>
                    <w:rPr>
                      <w:rFonts w:hint="eastAsia" w:eastAsia="仿宋"/>
                      <w:szCs w:val="21"/>
                    </w:rPr>
                    <w:t>mg/m</w:t>
                  </w:r>
                  <w:r>
                    <w:rPr>
                      <w:rFonts w:hint="eastAsia" w:eastAsia="仿宋"/>
                      <w:szCs w:val="21"/>
                      <w:vertAlign w:val="superscript"/>
                    </w:rPr>
                    <w:t>3</w:t>
                  </w:r>
                </w:p>
              </w:tc>
            </w:tr>
          </w:tbl>
          <w:p w14:paraId="089261FB">
            <w:pPr>
              <w:adjustRightInd w:val="0"/>
              <w:spacing w:line="360" w:lineRule="auto"/>
              <w:ind w:firstLine="480" w:firstLineChars="200"/>
              <w:contextualSpacing/>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根据表3.1-4可知，项目所在区域内特征污染因子颗粒物的现状监测点的浓度值可符合</w:t>
            </w:r>
            <w:r>
              <w:rPr>
                <w:rFonts w:hint="default" w:ascii="Times New Roman" w:hAnsi="Times New Roman" w:eastAsia="宋体" w:cs="Times New Roman"/>
                <w:color w:val="auto"/>
                <w:sz w:val="24"/>
                <w:highlight w:val="none"/>
              </w:rPr>
              <w:t>《环境空气质量标准》</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GB3095-2012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及其修改单中的二级标准</w:t>
            </w:r>
            <w:r>
              <w:rPr>
                <w:rFonts w:hint="eastAsia" w:ascii="Times New Roman" w:hAnsi="Times New Roman" w:eastAsia="宋体" w:cs="Times New Roman"/>
                <w:color w:val="auto"/>
                <w:sz w:val="24"/>
                <w:highlight w:val="none"/>
                <w:lang w:val="en-US" w:eastAsia="zh-CN"/>
              </w:rPr>
              <w:t>要求。</w:t>
            </w:r>
          </w:p>
          <w:p w14:paraId="1B35A964">
            <w:pPr>
              <w:widowControl w:val="0"/>
              <w:spacing w:after="0" w:line="360" w:lineRule="auto"/>
              <w:ind w:left="0" w:leftChars="0" w:firstLine="0" w:firstLineChars="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引用数据的有效性分析</w:t>
            </w:r>
          </w:p>
          <w:p w14:paraId="6BA67D0F">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highlight w:val="none"/>
                <w:lang w:val="en-US" w:eastAsia="zh-CN"/>
              </w:rPr>
              <w:t>根据《环境影响评价技术导则 大气环境》</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HJ2.2-2018</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的6.2.1.1要求：“项目所在区域达标判定，优先采用国家或地方生态环境主管部门发布的评价基准年环境质量公告或环境质量报告中的数据或结论”，根据</w:t>
            </w:r>
            <w:r>
              <w:rPr>
                <w:rFonts w:hint="eastAsia" w:ascii="Times New Roman" w:hAnsi="Times New Roman" w:eastAsia="宋体" w:cs="Times New Roman"/>
                <w:color w:val="auto"/>
                <w:sz w:val="24"/>
                <w:highlight w:val="none"/>
                <w:lang w:val="en-US" w:eastAsia="zh-CN"/>
              </w:rPr>
              <w:t>《建设项目环境影</w:t>
            </w:r>
            <w:r>
              <w:rPr>
                <w:rFonts w:hint="eastAsia" w:ascii="Times New Roman" w:hAnsi="Times New Roman" w:eastAsia="宋体" w:cs="Times New Roman"/>
                <w:color w:val="auto"/>
                <w:kern w:val="0"/>
                <w:sz w:val="24"/>
                <w:szCs w:val="24"/>
                <w:lang w:val="en-US" w:eastAsia="zh-CN" w:bidi="ar"/>
              </w:rPr>
              <w:t>响报告表编制技术指南（污染影响类）（试行）》（环办环评〔2020〕33号）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p>
          <w:p w14:paraId="5E6EB1F0">
            <w:pPr>
              <w:keepNext w:val="0"/>
              <w:keepLines w:val="0"/>
              <w:pageBreakBefore w:val="0"/>
              <w:widowControl/>
              <w:suppressLineNumbers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本次评价选取福建省生态环境厅</w:t>
            </w:r>
            <w:r>
              <w:rPr>
                <w:rFonts w:hint="eastAsia" w:ascii="Times New Roman" w:hAnsi="Times New Roman" w:eastAsia="宋体" w:cs="Times New Roman"/>
                <w:color w:val="auto"/>
                <w:kern w:val="0"/>
                <w:sz w:val="24"/>
                <w:szCs w:val="24"/>
                <w:lang w:val="en-US" w:eastAsia="zh-CN" w:bidi="ar"/>
              </w:rPr>
              <w:t>发</w:t>
            </w:r>
            <w:r>
              <w:rPr>
                <w:rFonts w:hint="default" w:ascii="Times New Roman" w:hAnsi="Times New Roman" w:eastAsia="宋体" w:cs="Times New Roman"/>
                <w:color w:val="auto"/>
                <w:kern w:val="0"/>
                <w:sz w:val="24"/>
                <w:szCs w:val="24"/>
                <w:lang w:val="en-US" w:eastAsia="zh-CN" w:bidi="ar"/>
              </w:rPr>
              <w:t>布的环境空气质量</w:t>
            </w:r>
            <w:r>
              <w:rPr>
                <w:rFonts w:hint="eastAsia" w:ascii="Times New Roman" w:hAnsi="Times New Roman" w:eastAsia="宋体" w:cs="Times New Roman"/>
                <w:color w:val="auto"/>
                <w:kern w:val="0"/>
                <w:sz w:val="24"/>
                <w:szCs w:val="24"/>
                <w:lang w:val="en-US" w:eastAsia="zh-CN" w:bidi="ar"/>
              </w:rPr>
              <w:t>数据</w:t>
            </w:r>
            <w:r>
              <w:rPr>
                <w:rFonts w:hint="default" w:ascii="Times New Roman" w:hAnsi="Times New Roman" w:eastAsia="宋体" w:cs="Times New Roman"/>
                <w:color w:val="auto"/>
                <w:kern w:val="0"/>
                <w:sz w:val="24"/>
                <w:szCs w:val="24"/>
                <w:lang w:val="en-US" w:eastAsia="zh-CN" w:bidi="ar"/>
              </w:rPr>
              <w:t>，符合《环境影响评价技术导则 大气环境》</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、《建设项目环境影响报告表编制技术指南（污染影响类）（试行）》的要求，环境现状监测数据可行。</w:t>
            </w:r>
          </w:p>
          <w:p w14:paraId="5B7C17B7">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.1.3</w:t>
            </w:r>
            <w:r>
              <w:rPr>
                <w:rFonts w:hint="eastAsia" w:ascii="Times New Roman" w:hAnsi="Times New Roman" w:eastAsia="宋体" w:cs="Times New Roman"/>
                <w:b/>
                <w:bCs/>
                <w:color w:val="auto"/>
                <w:kern w:val="2"/>
                <w:sz w:val="24"/>
                <w:szCs w:val="32"/>
                <w:highlight w:val="none"/>
                <w:lang w:val="en-US" w:eastAsia="zh-CN" w:bidi="ar-SA"/>
              </w:rPr>
              <w:t>声环境质量现状</w:t>
            </w:r>
          </w:p>
          <w:p w14:paraId="1E628B71">
            <w:pPr>
              <w:widowControl w:val="0"/>
              <w:numPr>
                <w:ilvl w:val="0"/>
                <w:numId w:val="8"/>
              </w:numPr>
              <w:tabs>
                <w:tab w:val="left" w:pos="0"/>
              </w:tabs>
              <w:autoSpaceDE w:val="0"/>
              <w:autoSpaceDN w:val="0"/>
              <w:spacing w:before="120" w:beforeLines="50" w:line="360" w:lineRule="auto"/>
              <w:ind w:left="425" w:leftChars="0" w:hanging="425" w:firstLineChars="0"/>
              <w:jc w:val="both"/>
              <w:rPr>
                <w:rFonts w:hint="eastAsia"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声环境功能区</w:t>
            </w:r>
          </w:p>
          <w:p w14:paraId="3CB3C41A">
            <w:pPr>
              <w:widowControl w:val="0"/>
              <w:shd w:val="clear"/>
              <w:tabs>
                <w:tab w:val="left" w:pos="0"/>
              </w:tabs>
              <w:autoSpaceDE w:val="0"/>
              <w:autoSpaceDN w:val="0"/>
              <w:bidi w:val="0"/>
              <w:spacing w:line="360" w:lineRule="auto"/>
              <w:ind w:firstLine="480" w:firstLineChars="200"/>
              <w:jc w:val="both"/>
              <w:rPr>
                <w:rFonts w:hint="eastAsia"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声环境功能执行《声环境质量标准》</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GB3096-2008</w:t>
            </w:r>
            <w:r>
              <w:rPr>
                <w:rFonts w:hint="eastAsia" w:cs="宋体"/>
                <w:color w:val="auto"/>
                <w:kern w:val="0"/>
                <w:sz w:val="24"/>
                <w:szCs w:val="20"/>
                <w:highlight w:val="none"/>
                <w:lang w:val="en-US" w:eastAsia="zh-CN" w:bidi="ar-SA"/>
              </w:rPr>
              <w:t>）</w:t>
            </w:r>
            <w:r>
              <w:rPr>
                <w:rFonts w:hint="eastAsia" w:ascii="Times New Roman" w:hAnsi="Times New Roman" w:eastAsia="宋体" w:cs="宋体"/>
                <w:color w:val="auto"/>
                <w:kern w:val="0"/>
                <w:sz w:val="24"/>
                <w:szCs w:val="20"/>
                <w:highlight w:val="none"/>
                <w:lang w:val="en-US" w:eastAsia="zh-CN" w:bidi="ar-SA"/>
              </w:rPr>
              <w:t>表1中3类标准；</w:t>
            </w:r>
          </w:p>
          <w:p w14:paraId="39776FE1">
            <w:pPr>
              <w:keepNext/>
              <w:keepLines/>
              <w:pageBreakBefore w:val="0"/>
              <w:widowControl w:val="0"/>
              <w:numPr>
                <w:ilvl w:val="7"/>
                <w:numId w:val="0"/>
              </w:numPr>
              <w:tabs>
                <w:tab w:val="left" w:pos="0"/>
                <w:tab w:val="left" w:pos="420"/>
              </w:tabs>
              <w:kinsoku/>
              <w:wordWrap/>
              <w:overflowPunct/>
              <w:topLinePunct w:val="0"/>
              <w:autoSpaceDE/>
              <w:autoSpaceDN/>
              <w:bidi w:val="0"/>
              <w:adjustRightInd/>
              <w:snapToGrid/>
              <w:spacing w:before="0" w:after="0" w:line="240" w:lineRule="auto"/>
              <w:ind w:left="630" w:leftChars="0" w:firstLine="0" w:firstLineChars="0"/>
              <w:jc w:val="center"/>
              <w:textAlignment w:val="auto"/>
              <w:rPr>
                <w:rFonts w:hint="eastAsia" w:ascii="Times New Roman" w:hAnsi="Times New Roman" w:eastAsia="宋体" w:cs="Times New Roman"/>
                <w:b/>
                <w:bCs/>
                <w:color w:val="auto"/>
                <w:kern w:val="2"/>
                <w:sz w:val="24"/>
                <w:szCs w:val="21"/>
                <w:highlight w:val="none"/>
                <w:lang w:val="en-US" w:eastAsia="zh-CN" w:bidi="ar-SA"/>
              </w:rPr>
            </w:pPr>
            <w:r>
              <w:rPr>
                <w:rFonts w:hint="eastAsia" w:ascii="Times New Roman" w:hAnsi="Times New Roman" w:eastAsia="宋体" w:cs="宋体"/>
                <w:b/>
                <w:bCs/>
                <w:color w:val="auto"/>
                <w:kern w:val="2"/>
                <w:sz w:val="24"/>
                <w:szCs w:val="21"/>
                <w:lang w:val="en-US" w:eastAsia="zh-CN" w:bidi="ar-SA"/>
              </w:rPr>
              <w:t>表1.1-5</w:t>
            </w:r>
            <w:r>
              <w:rPr>
                <w:rFonts w:hint="eastAsia" w:ascii="Times New Roman" w:hAnsi="Times New Roman" w:eastAsia="宋体" w:cs="Times New Roman"/>
                <w:b/>
                <w:bCs/>
                <w:color w:val="auto"/>
                <w:kern w:val="2"/>
                <w:sz w:val="24"/>
                <w:szCs w:val="21"/>
                <w:highlight w:val="none"/>
                <w:lang w:val="en-US" w:eastAsia="zh-CN" w:bidi="ar-SA"/>
              </w:rPr>
              <w:t>《声环境质量标准》</w:t>
            </w:r>
            <w:r>
              <w:rPr>
                <w:rFonts w:hint="eastAsia" w:cs="Times New Roman"/>
                <w:b/>
                <w:bCs/>
                <w:color w:val="auto"/>
                <w:kern w:val="2"/>
                <w:sz w:val="24"/>
                <w:szCs w:val="21"/>
                <w:highlight w:val="none"/>
                <w:lang w:val="en-US" w:eastAsia="zh-CN" w:bidi="ar-SA"/>
              </w:rPr>
              <w:t>（</w:t>
            </w:r>
            <w:r>
              <w:rPr>
                <w:rFonts w:hint="eastAsia" w:ascii="Times New Roman" w:hAnsi="Times New Roman" w:eastAsia="宋体" w:cs="Times New Roman"/>
                <w:b/>
                <w:bCs/>
                <w:color w:val="auto"/>
                <w:kern w:val="2"/>
                <w:sz w:val="24"/>
                <w:szCs w:val="21"/>
                <w:highlight w:val="none"/>
                <w:lang w:val="en-US" w:eastAsia="zh-CN" w:bidi="ar-SA"/>
              </w:rPr>
              <w:t>GB3096-2008</w:t>
            </w:r>
            <w:r>
              <w:rPr>
                <w:rFonts w:hint="eastAsia" w:cs="Times New Roman"/>
                <w:b/>
                <w:bCs/>
                <w:color w:val="auto"/>
                <w:kern w:val="2"/>
                <w:sz w:val="24"/>
                <w:szCs w:val="21"/>
                <w:highlight w:val="none"/>
                <w:lang w:val="en-US" w:eastAsia="zh-CN" w:bidi="ar-SA"/>
              </w:rPr>
              <w:t>）（</w:t>
            </w:r>
            <w:r>
              <w:rPr>
                <w:rFonts w:hint="eastAsia" w:ascii="Times New Roman" w:hAnsi="Times New Roman" w:eastAsia="宋体" w:cs="Times New Roman"/>
                <w:b/>
                <w:bCs/>
                <w:color w:val="auto"/>
                <w:kern w:val="2"/>
                <w:sz w:val="24"/>
                <w:szCs w:val="21"/>
                <w:highlight w:val="none"/>
                <w:lang w:val="en-US" w:eastAsia="zh-CN" w:bidi="ar-SA"/>
              </w:rPr>
              <w:t>摘录</w:t>
            </w:r>
            <w:r>
              <w:rPr>
                <w:rFonts w:hint="eastAsia" w:cs="Times New Roman"/>
                <w:b/>
                <w:bCs/>
                <w:color w:val="auto"/>
                <w:kern w:val="2"/>
                <w:sz w:val="24"/>
                <w:szCs w:val="21"/>
                <w:highlight w:val="none"/>
                <w:lang w:val="en-US" w:eastAsia="zh-CN" w:bidi="ar-SA"/>
              </w:rPr>
              <w:t>）</w:t>
            </w:r>
          </w:p>
          <w:tbl>
            <w:tblPr>
              <w:tblStyle w:val="23"/>
              <w:tblW w:w="5073" w:type="pct"/>
              <w:tblInd w:w="-79" w:type="dxa"/>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0" w:type="dxa"/>
                <w:bottom w:w="0" w:type="dxa"/>
                <w:right w:w="0" w:type="dxa"/>
              </w:tblCellMar>
            </w:tblPr>
            <w:tblGrid>
              <w:gridCol w:w="1018"/>
              <w:gridCol w:w="4636"/>
              <w:gridCol w:w="1531"/>
              <w:gridCol w:w="1561"/>
            </w:tblGrid>
            <w:tr w14:paraId="7024279B">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restart"/>
                  <w:tcBorders>
                    <w:bottom w:val="single" w:color="000000" w:sz="4" w:space="0"/>
                  </w:tcBorders>
                  <w:vAlign w:val="center"/>
                </w:tcPr>
                <w:p w14:paraId="34B74FC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6"/>
                      <w:kern w:val="2"/>
                      <w:sz w:val="21"/>
                      <w:szCs w:val="24"/>
                      <w:lang w:val="zh-CN" w:eastAsia="zh-CN" w:bidi="zh-CN"/>
                    </w:rPr>
                    <w:t>标准</w:t>
                  </w:r>
                  <w:r>
                    <w:rPr>
                      <w:rFonts w:ascii="Times New Roman" w:hAnsi="Times New Roman" w:eastAsia="宋体" w:cs="宋体"/>
                      <w:color w:val="auto"/>
                      <w:spacing w:val="-8"/>
                      <w:kern w:val="2"/>
                      <w:sz w:val="21"/>
                      <w:szCs w:val="24"/>
                      <w:lang w:val="zh-CN" w:eastAsia="zh-CN" w:bidi="zh-CN"/>
                    </w:rPr>
                    <w:t>类别</w:t>
                  </w:r>
                </w:p>
              </w:tc>
              <w:tc>
                <w:tcPr>
                  <w:tcW w:w="2650" w:type="pct"/>
                  <w:vMerge w:val="restart"/>
                  <w:tcBorders>
                    <w:bottom w:val="single" w:color="000000" w:sz="4" w:space="0"/>
                  </w:tcBorders>
                  <w:vAlign w:val="center"/>
                </w:tcPr>
                <w:p w14:paraId="1F5FDAA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7"/>
                      <w:kern w:val="2"/>
                      <w:sz w:val="21"/>
                      <w:szCs w:val="24"/>
                      <w:lang w:val="zh-CN" w:eastAsia="zh-CN" w:bidi="zh-CN"/>
                    </w:rPr>
                    <w:t>适用区域</w:t>
                  </w:r>
                </w:p>
              </w:tc>
              <w:tc>
                <w:tcPr>
                  <w:tcW w:w="1767" w:type="pct"/>
                  <w:gridSpan w:val="2"/>
                  <w:tcBorders>
                    <w:bottom w:val="single" w:color="000000" w:sz="4" w:space="0"/>
                  </w:tcBorders>
                  <w:vAlign w:val="center"/>
                </w:tcPr>
                <w:p w14:paraId="36411360">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spacing w:val="-12"/>
                      <w:kern w:val="2"/>
                      <w:position w:val="2"/>
                      <w:sz w:val="21"/>
                      <w:szCs w:val="24"/>
                      <w:lang w:val="zh-CN" w:eastAsia="zh-CN" w:bidi="zh-CN"/>
                    </w:rPr>
                  </w:pPr>
                  <w:r>
                    <w:rPr>
                      <w:rFonts w:ascii="Times New Roman" w:hAnsi="Times New Roman" w:eastAsia="宋体" w:cs="宋体"/>
                      <w:color w:val="auto"/>
                      <w:spacing w:val="-12"/>
                      <w:kern w:val="2"/>
                      <w:position w:val="2"/>
                      <w:sz w:val="21"/>
                      <w:szCs w:val="24"/>
                      <w:lang w:val="zh-CN" w:eastAsia="zh-CN" w:bidi="zh-CN"/>
                    </w:rPr>
                    <w:t xml:space="preserve">等效声级 </w:t>
                  </w:r>
                  <w:r>
                    <w:rPr>
                      <w:rFonts w:ascii="Times New Roman" w:hAnsi="Times New Roman" w:eastAsia="宋体" w:cs="宋体"/>
                      <w:color w:val="auto"/>
                      <w:spacing w:val="-4"/>
                      <w:kern w:val="2"/>
                      <w:position w:val="2"/>
                      <w:sz w:val="21"/>
                      <w:szCs w:val="24"/>
                      <w:lang w:val="zh-CN" w:eastAsia="zh-CN" w:bidi="zh-CN"/>
                    </w:rPr>
                    <w:t>L</w:t>
                  </w:r>
                  <w:r>
                    <w:rPr>
                      <w:rFonts w:ascii="Times New Roman" w:hAnsi="Times New Roman" w:eastAsia="宋体" w:cs="宋体"/>
                      <w:color w:val="auto"/>
                      <w:spacing w:val="-4"/>
                      <w:kern w:val="2"/>
                      <w:sz w:val="13"/>
                      <w:szCs w:val="24"/>
                      <w:lang w:val="zh-CN" w:eastAsia="zh-CN" w:bidi="zh-CN"/>
                    </w:rPr>
                    <w:t>eq</w:t>
                  </w:r>
                  <w:r>
                    <w:rPr>
                      <w:rFonts w:ascii="Times New Roman" w:hAnsi="Times New Roman" w:eastAsia="宋体" w:cs="宋体"/>
                      <w:color w:val="auto"/>
                      <w:spacing w:val="-4"/>
                      <w:kern w:val="2"/>
                      <w:position w:val="2"/>
                      <w:sz w:val="21"/>
                      <w:szCs w:val="24"/>
                      <w:lang w:val="zh-CN" w:eastAsia="zh-CN" w:bidi="zh-CN"/>
                    </w:rPr>
                    <w:t>(dB(A))</w:t>
                  </w:r>
                </w:p>
              </w:tc>
            </w:tr>
            <w:tr w14:paraId="4D007BBA">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397" w:hRule="atLeast"/>
              </w:trPr>
              <w:tc>
                <w:tcPr>
                  <w:tcW w:w="582" w:type="pct"/>
                  <w:vMerge w:val="continue"/>
                  <w:tcBorders>
                    <w:top w:val="single" w:color="000000" w:sz="4" w:space="0"/>
                    <w:tl2br w:val="nil"/>
                    <w:tr2bl w:val="nil"/>
                  </w:tcBorders>
                  <w:vAlign w:val="center"/>
                </w:tcPr>
                <w:p w14:paraId="10D5427B">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s="Times New Roman"/>
                      <w:color w:val="auto"/>
                      <w:sz w:val="2"/>
                      <w:szCs w:val="2"/>
                    </w:rPr>
                  </w:pPr>
                </w:p>
              </w:tc>
              <w:tc>
                <w:tcPr>
                  <w:tcW w:w="2650" w:type="pct"/>
                  <w:vMerge w:val="continue"/>
                  <w:tcBorders>
                    <w:top w:val="single" w:color="000000" w:sz="4" w:space="0"/>
                    <w:tl2br w:val="nil"/>
                    <w:tr2bl w:val="nil"/>
                  </w:tcBorders>
                  <w:vAlign w:val="center"/>
                </w:tcPr>
                <w:p w14:paraId="5696F101">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Times New Roman" w:hAnsi="Times New Roman" w:eastAsia="宋体" w:cs="Times New Roman"/>
                      <w:color w:val="auto"/>
                      <w:sz w:val="2"/>
                      <w:szCs w:val="2"/>
                    </w:rPr>
                  </w:pPr>
                </w:p>
              </w:tc>
              <w:tc>
                <w:tcPr>
                  <w:tcW w:w="875" w:type="pct"/>
                  <w:tcBorders>
                    <w:top w:val="single" w:color="000000" w:sz="4" w:space="0"/>
                    <w:tl2br w:val="nil"/>
                    <w:tr2bl w:val="nil"/>
                  </w:tcBorders>
                  <w:vAlign w:val="center"/>
                </w:tcPr>
                <w:p w14:paraId="78039B8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kern w:val="2"/>
                      <w:sz w:val="21"/>
                      <w:szCs w:val="24"/>
                      <w:lang w:val="zh-CN" w:eastAsia="zh-CN" w:bidi="zh-CN"/>
                    </w:rPr>
                  </w:pPr>
                  <w:r>
                    <w:rPr>
                      <w:rFonts w:ascii="Times New Roman" w:hAnsi="Times New Roman" w:eastAsia="宋体" w:cs="宋体"/>
                      <w:color w:val="auto"/>
                      <w:spacing w:val="-8"/>
                      <w:kern w:val="2"/>
                      <w:sz w:val="21"/>
                      <w:szCs w:val="24"/>
                      <w:lang w:val="zh-CN" w:eastAsia="zh-CN" w:bidi="zh-CN"/>
                    </w:rPr>
                    <w:t>昼间</w:t>
                  </w:r>
                </w:p>
              </w:tc>
              <w:tc>
                <w:tcPr>
                  <w:tcW w:w="891" w:type="pct"/>
                  <w:tcBorders>
                    <w:top w:val="single" w:color="000000" w:sz="4" w:space="0"/>
                    <w:tl2br w:val="nil"/>
                    <w:tr2bl w:val="nil"/>
                  </w:tcBorders>
                  <w:vAlign w:val="center"/>
                </w:tcPr>
                <w:p w14:paraId="5FA2A9DE">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8"/>
                      <w:kern w:val="2"/>
                      <w:sz w:val="21"/>
                      <w:szCs w:val="24"/>
                      <w:lang w:val="en-US" w:eastAsia="zh-CN" w:bidi="zh-CN"/>
                    </w:rPr>
                  </w:pPr>
                  <w:r>
                    <w:rPr>
                      <w:rFonts w:hint="eastAsia" w:ascii="Times New Roman" w:hAnsi="Times New Roman" w:eastAsia="宋体" w:cs="宋体"/>
                      <w:color w:val="auto"/>
                      <w:spacing w:val="-8"/>
                      <w:kern w:val="2"/>
                      <w:sz w:val="21"/>
                      <w:szCs w:val="24"/>
                      <w:lang w:val="en-US" w:eastAsia="zh-CN" w:bidi="zh-CN"/>
                    </w:rPr>
                    <w:t>夜间</w:t>
                  </w:r>
                </w:p>
              </w:tc>
            </w:tr>
            <w:tr w14:paraId="67727932">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0" w:type="dxa"/>
                  <w:bottom w:w="0" w:type="dxa"/>
                  <w:right w:w="0" w:type="dxa"/>
                </w:tblCellMar>
              </w:tblPrEx>
              <w:trPr>
                <w:trHeight w:val="679" w:hRule="atLeast"/>
              </w:trPr>
              <w:tc>
                <w:tcPr>
                  <w:tcW w:w="582" w:type="pct"/>
                  <w:tcBorders>
                    <w:tl2br w:val="nil"/>
                    <w:tr2bl w:val="nil"/>
                  </w:tcBorders>
                  <w:vAlign w:val="center"/>
                </w:tcPr>
                <w:p w14:paraId="58E61FC4">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10"/>
                      <w:kern w:val="2"/>
                      <w:sz w:val="21"/>
                      <w:szCs w:val="24"/>
                      <w:lang w:val="en-US" w:eastAsia="zh-CN" w:bidi="zh-CN"/>
                    </w:rPr>
                  </w:pPr>
                  <w:r>
                    <w:rPr>
                      <w:rFonts w:hint="eastAsia" w:ascii="Times New Roman" w:hAnsi="Times New Roman" w:eastAsia="宋体" w:cs="宋体"/>
                      <w:color w:val="auto"/>
                      <w:spacing w:val="-10"/>
                      <w:kern w:val="2"/>
                      <w:sz w:val="21"/>
                      <w:szCs w:val="24"/>
                      <w:lang w:val="en-US" w:eastAsia="zh-CN" w:bidi="zh-CN"/>
                    </w:rPr>
                    <w:t>3</w:t>
                  </w:r>
                </w:p>
              </w:tc>
              <w:tc>
                <w:tcPr>
                  <w:tcW w:w="2650" w:type="pct"/>
                  <w:tcBorders>
                    <w:tl2br w:val="nil"/>
                    <w:tr2bl w:val="nil"/>
                  </w:tcBorders>
                  <w:vAlign w:val="center"/>
                </w:tcPr>
                <w:p w14:paraId="597E36F9">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cs="宋体"/>
                      <w:color w:val="auto"/>
                      <w:spacing w:val="-3"/>
                      <w:kern w:val="2"/>
                      <w:sz w:val="21"/>
                      <w:szCs w:val="24"/>
                      <w:lang w:val="zh-CN" w:eastAsia="zh-CN" w:bidi="zh-CN"/>
                    </w:rPr>
                  </w:pPr>
                  <w:r>
                    <w:rPr>
                      <w:rFonts w:hint="eastAsia" w:ascii="Times New Roman" w:hAnsi="Times New Roman" w:eastAsia="宋体" w:cs="宋体"/>
                      <w:color w:val="auto"/>
                      <w:spacing w:val="-3"/>
                      <w:kern w:val="2"/>
                      <w:sz w:val="21"/>
                      <w:szCs w:val="24"/>
                      <w:lang w:val="zh-CN" w:eastAsia="zh-CN" w:bidi="zh-CN"/>
                    </w:rPr>
                    <w:t>指</w:t>
                  </w:r>
                  <w:r>
                    <w:rPr>
                      <w:rFonts w:hint="eastAsia" w:ascii="Times New Roman" w:hAnsi="Times New Roman" w:eastAsia="宋体" w:cs="宋体"/>
                      <w:color w:val="auto"/>
                      <w:spacing w:val="-3"/>
                      <w:kern w:val="2"/>
                      <w:sz w:val="21"/>
                      <w:szCs w:val="24"/>
                      <w:lang w:val="en-US" w:eastAsia="zh-CN" w:bidi="zh-CN"/>
                    </w:rPr>
                    <w:t>以工业生产、仓储物流为主要功能，需要防止工业噪声对周围环境产生严重影响的区域。</w:t>
                  </w:r>
                </w:p>
              </w:tc>
              <w:tc>
                <w:tcPr>
                  <w:tcW w:w="875" w:type="pct"/>
                  <w:tcBorders>
                    <w:tl2br w:val="nil"/>
                    <w:tr2bl w:val="nil"/>
                  </w:tcBorders>
                  <w:vAlign w:val="center"/>
                </w:tcPr>
                <w:p w14:paraId="319715A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cs="宋体"/>
                      <w:color w:val="auto"/>
                      <w:spacing w:val="-5"/>
                      <w:kern w:val="2"/>
                      <w:sz w:val="21"/>
                      <w:szCs w:val="24"/>
                      <w:lang w:val="zh-CN" w:eastAsia="zh-CN" w:bidi="zh-CN"/>
                    </w:rPr>
                  </w:pPr>
                  <w:r>
                    <w:rPr>
                      <w:rFonts w:ascii="Times New Roman" w:hAnsi="Times New Roman" w:eastAsia="宋体" w:cs="宋体"/>
                      <w:color w:val="auto"/>
                      <w:spacing w:val="-5"/>
                      <w:kern w:val="2"/>
                      <w:sz w:val="21"/>
                      <w:szCs w:val="24"/>
                      <w:lang w:val="zh-CN" w:eastAsia="zh-CN" w:bidi="zh-CN"/>
                    </w:rPr>
                    <w:t>≤6</w:t>
                  </w:r>
                  <w:r>
                    <w:rPr>
                      <w:rFonts w:hint="eastAsia" w:ascii="Times New Roman" w:hAnsi="Times New Roman" w:eastAsia="宋体" w:cs="宋体"/>
                      <w:color w:val="auto"/>
                      <w:spacing w:val="-5"/>
                      <w:kern w:val="2"/>
                      <w:sz w:val="21"/>
                      <w:szCs w:val="24"/>
                      <w:lang w:val="en-US" w:eastAsia="zh-CN" w:bidi="zh-CN"/>
                    </w:rPr>
                    <w:t>5</w:t>
                  </w:r>
                </w:p>
              </w:tc>
              <w:tc>
                <w:tcPr>
                  <w:tcW w:w="891" w:type="pct"/>
                  <w:tcBorders>
                    <w:tl2br w:val="nil"/>
                    <w:tr2bl w:val="nil"/>
                  </w:tcBorders>
                  <w:vAlign w:val="center"/>
                </w:tcPr>
                <w:p w14:paraId="48B06C3B">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宋体"/>
                      <w:color w:val="auto"/>
                      <w:spacing w:val="-5"/>
                      <w:kern w:val="2"/>
                      <w:sz w:val="21"/>
                      <w:szCs w:val="24"/>
                      <w:lang w:val="en-US" w:eastAsia="zh-CN" w:bidi="zh-CN"/>
                    </w:rPr>
                  </w:pPr>
                  <w:r>
                    <w:rPr>
                      <w:rFonts w:ascii="Times New Roman" w:hAnsi="Times New Roman" w:eastAsia="宋体" w:cs="宋体"/>
                      <w:color w:val="auto"/>
                      <w:spacing w:val="-5"/>
                      <w:kern w:val="2"/>
                      <w:sz w:val="21"/>
                      <w:szCs w:val="24"/>
                      <w:lang w:val="zh-CN" w:eastAsia="zh-CN" w:bidi="zh-CN"/>
                    </w:rPr>
                    <w:t>≤</w:t>
                  </w:r>
                  <w:r>
                    <w:rPr>
                      <w:rFonts w:hint="eastAsia" w:ascii="Times New Roman" w:hAnsi="Times New Roman" w:eastAsia="宋体" w:cs="宋体"/>
                      <w:color w:val="auto"/>
                      <w:spacing w:val="-5"/>
                      <w:kern w:val="2"/>
                      <w:sz w:val="21"/>
                      <w:szCs w:val="24"/>
                      <w:lang w:val="en-US" w:eastAsia="zh-CN" w:bidi="zh-CN"/>
                    </w:rPr>
                    <w:t>55</w:t>
                  </w:r>
                </w:p>
              </w:tc>
            </w:tr>
          </w:tbl>
          <w:p w14:paraId="24DB56EE">
            <w:pPr>
              <w:widowControl w:val="0"/>
              <w:numPr>
                <w:ilvl w:val="0"/>
                <w:numId w:val="8"/>
              </w:numPr>
              <w:tabs>
                <w:tab w:val="left" w:pos="0"/>
              </w:tabs>
              <w:autoSpaceDE w:val="0"/>
              <w:autoSpaceDN w:val="0"/>
              <w:spacing w:before="120" w:beforeLines="50" w:line="360" w:lineRule="auto"/>
              <w:ind w:left="425" w:leftChars="0" w:hanging="425" w:firstLineChars="0"/>
              <w:jc w:val="both"/>
              <w:rPr>
                <w:rFonts w:hint="eastAsia"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声环境质量现状</w:t>
            </w:r>
          </w:p>
          <w:p w14:paraId="56899798">
            <w:pPr>
              <w:widowControl w:val="0"/>
              <w:shd w:val="clear"/>
              <w:tabs>
                <w:tab w:val="left" w:pos="0"/>
              </w:tabs>
              <w:autoSpaceDE w:val="0"/>
              <w:autoSpaceDN w:val="0"/>
              <w:bidi w:val="0"/>
              <w:spacing w:line="360" w:lineRule="auto"/>
              <w:ind w:firstLine="480" w:firstLineChars="200"/>
              <w:jc w:val="both"/>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3B2BABC3">
            <w:pPr>
              <w:widowControl w:val="0"/>
              <w:shd w:val="clear"/>
              <w:tabs>
                <w:tab w:val="left" w:pos="0"/>
              </w:tabs>
              <w:autoSpaceDE w:val="0"/>
              <w:autoSpaceDN w:val="0"/>
              <w:bidi w:val="0"/>
              <w:spacing w:line="360" w:lineRule="auto"/>
              <w:ind w:firstLine="480" w:firstLineChars="200"/>
              <w:jc w:val="both"/>
              <w:rPr>
                <w:rFonts w:hint="default" w:ascii="Times New Roman" w:hAnsi="Times New Roman" w:eastAsia="宋体" w:cs="宋体"/>
                <w:color w:val="auto"/>
                <w:kern w:val="0"/>
                <w:sz w:val="24"/>
                <w:szCs w:val="20"/>
                <w:highlight w:val="none"/>
                <w:lang w:val="en-US" w:eastAsia="zh-CN" w:bidi="ar-SA"/>
              </w:rPr>
            </w:pPr>
            <w:r>
              <w:rPr>
                <w:rFonts w:hint="default" w:ascii="Times New Roman" w:hAnsi="Times New Roman" w:eastAsia="宋体" w:cs="宋体"/>
                <w:color w:val="auto"/>
                <w:kern w:val="0"/>
                <w:sz w:val="24"/>
                <w:szCs w:val="20"/>
                <w:highlight w:val="none"/>
                <w:lang w:val="en-US" w:eastAsia="zh-CN" w:bidi="ar-SA"/>
              </w:rPr>
              <w:t>根据现场勘查，项目厂界外50米范围内无声环境保护目标，无需开展声环境质量现状监测。</w:t>
            </w:r>
          </w:p>
          <w:p w14:paraId="5650E7E5">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.1.4</w:t>
            </w:r>
            <w:r>
              <w:rPr>
                <w:rFonts w:hint="eastAsia" w:ascii="Times New Roman" w:hAnsi="Times New Roman" w:eastAsia="宋体" w:cs="Times New Roman"/>
                <w:b/>
                <w:bCs/>
                <w:color w:val="auto"/>
                <w:kern w:val="2"/>
                <w:sz w:val="24"/>
                <w:szCs w:val="32"/>
                <w:highlight w:val="none"/>
                <w:lang w:val="en-US" w:eastAsia="zh-CN" w:bidi="ar-SA"/>
              </w:rPr>
              <w:t>生态环境</w:t>
            </w:r>
          </w:p>
          <w:p w14:paraId="57460F4A">
            <w:pPr>
              <w:keepNext w:val="0"/>
              <w:keepLines w:val="0"/>
              <w:pageBreakBefore w:val="0"/>
              <w:widowControl w:val="0"/>
              <w:tabs>
                <w:tab w:val="left" w:pos="0"/>
              </w:tabs>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eastAsia="宋体" w:cs="宋体"/>
                <w:color w:val="auto"/>
                <w:kern w:val="0"/>
                <w:sz w:val="24"/>
                <w:szCs w:val="20"/>
                <w:highlight w:val="none"/>
                <w:lang w:val="zh-CN" w:eastAsia="zh-CN" w:bidi="ar-SA"/>
              </w:rPr>
            </w:pPr>
            <w:r>
              <w:rPr>
                <w:rFonts w:hint="eastAsia" w:ascii="Times New Roman" w:hAnsi="Times New Roman" w:eastAsia="宋体" w:cs="宋体"/>
                <w:color w:val="auto"/>
                <w:kern w:val="0"/>
                <w:sz w:val="24"/>
                <w:szCs w:val="20"/>
                <w:highlight w:val="none"/>
                <w:lang w:val="zh-CN" w:eastAsia="zh-CN" w:bidi="ar-SA"/>
              </w:rPr>
              <w:t>根据《建设项目环境影响报告表编制技术指南（污染影响类）（试行）》，“产业园区外建设项目新增用地且用地范围内含生态环境保护目标时，应进行生态现状调查”。本项目位于福清市福清融侨经济技术开发区，</w:t>
            </w:r>
            <w:r>
              <w:rPr>
                <w:rFonts w:hint="eastAsia" w:ascii="Times New Roman" w:hAnsi="Times New Roman" w:eastAsia="宋体" w:cs="宋体"/>
                <w:color w:val="auto"/>
                <w:kern w:val="0"/>
                <w:sz w:val="24"/>
                <w:szCs w:val="20"/>
                <w:highlight w:val="none"/>
                <w:lang w:val="en-US" w:eastAsia="zh-CN" w:bidi="ar-SA"/>
              </w:rPr>
              <w:t>厂房已建设，</w:t>
            </w:r>
            <w:r>
              <w:rPr>
                <w:rFonts w:hint="eastAsia" w:ascii="Times New Roman" w:hAnsi="Times New Roman" w:eastAsia="宋体" w:cs="宋体"/>
                <w:color w:val="auto"/>
                <w:kern w:val="0"/>
                <w:sz w:val="24"/>
                <w:szCs w:val="20"/>
                <w:highlight w:val="none"/>
                <w:lang w:val="zh-CN" w:eastAsia="zh-CN" w:bidi="ar-SA"/>
              </w:rPr>
              <w:t>用地范围内无生态环境保护目标，无需进行生态现状调查。</w:t>
            </w:r>
          </w:p>
          <w:p w14:paraId="197D37F6">
            <w:pPr>
              <w:keepNext/>
              <w:keepLines/>
              <w:widowControl w:val="0"/>
              <w:numPr>
                <w:ilvl w:val="2"/>
                <w:numId w:val="0"/>
              </w:numPr>
              <w:tabs>
                <w:tab w:val="left" w:pos="0"/>
                <w:tab w:val="left" w:pos="420"/>
              </w:tabs>
              <w:bidi w:val="0"/>
              <w:spacing w:before="120" w:after="120" w:line="360" w:lineRule="auto"/>
              <w:ind w:left="720" w:leftChars="0" w:hanging="720" w:firstLineChars="0"/>
              <w:jc w:val="both"/>
              <w:outlineLvl w:val="2"/>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28"/>
                <w:lang w:val="en-US" w:eastAsia="zh-CN" w:bidi="ar-SA"/>
              </w:rPr>
              <w:t>3</w:t>
            </w:r>
            <w:r>
              <w:rPr>
                <w:rFonts w:hint="default" w:ascii="Times New Roman" w:hAnsi="Times New Roman" w:eastAsia="宋体" w:cs="Times New Roman"/>
                <w:b/>
                <w:bCs/>
                <w:color w:val="auto"/>
                <w:kern w:val="2"/>
                <w:sz w:val="24"/>
                <w:szCs w:val="28"/>
                <w:lang w:val="en-US" w:eastAsia="zh-CN" w:bidi="ar-SA"/>
              </w:rPr>
              <w:t>.1.5</w:t>
            </w:r>
            <w:r>
              <w:rPr>
                <w:rFonts w:hint="eastAsia" w:ascii="Times New Roman" w:hAnsi="Times New Roman" w:eastAsia="宋体" w:cs="Times New Roman"/>
                <w:b/>
                <w:bCs/>
                <w:color w:val="auto"/>
                <w:kern w:val="2"/>
                <w:sz w:val="24"/>
                <w:szCs w:val="32"/>
                <w:highlight w:val="none"/>
                <w:lang w:val="en-US" w:eastAsia="zh-CN" w:bidi="ar-SA"/>
              </w:rPr>
              <w:t>地下水、土壤环境</w:t>
            </w:r>
          </w:p>
          <w:p w14:paraId="5EAD7237">
            <w:pPr>
              <w:widowControl/>
              <w:spacing w:line="360" w:lineRule="auto"/>
              <w:ind w:firstLine="480" w:firstLineChars="200"/>
              <w:jc w:val="left"/>
              <w:rPr>
                <w:rFonts w:hint="eastAsia"/>
                <w:vertAlign w:val="baseline"/>
                <w:lang w:eastAsia="zh-CN"/>
              </w:rPr>
            </w:pPr>
            <w:r>
              <w:rPr>
                <w:rFonts w:hint="eastAsia" w:ascii="Times New Roman" w:hAnsi="Times New Roman" w:eastAsia="宋体" w:cs="宋体"/>
                <w:b w:val="0"/>
                <w:bCs w:val="0"/>
                <w:color w:val="auto"/>
                <w:kern w:val="0"/>
                <w:sz w:val="24"/>
                <w:szCs w:val="20"/>
                <w:highlight w:val="none"/>
                <w:lang w:val="zh-CN" w:eastAsia="zh-CN" w:bidi="ar-SA"/>
              </w:rPr>
              <w:t>根据《建设项目环境影响报告表编制技术指南（污染影响类）（试行）》中表明：原则上不开展地下水、土壤环境质量现状调查。本项目厂区车间经分区防渗后，项目基本不会对土壤、地下水产生影响</w:t>
            </w:r>
            <w:r>
              <w:rPr>
                <w:rFonts w:hint="eastAsia" w:cs="宋体"/>
                <w:b w:val="0"/>
                <w:bCs w:val="0"/>
                <w:color w:val="auto"/>
                <w:kern w:val="0"/>
                <w:sz w:val="24"/>
                <w:szCs w:val="20"/>
                <w:highlight w:val="none"/>
                <w:lang w:val="zh-CN" w:eastAsia="zh-CN" w:bidi="ar-SA"/>
              </w:rPr>
              <w:t>且</w:t>
            </w:r>
            <w:r>
              <w:rPr>
                <w:rFonts w:hint="eastAsia" w:ascii="Times New Roman" w:hAnsi="Times New Roman" w:eastAsia="宋体" w:cs="宋体"/>
                <w:b w:val="0"/>
                <w:bCs w:val="0"/>
                <w:color w:val="auto"/>
                <w:kern w:val="0"/>
                <w:sz w:val="24"/>
                <w:szCs w:val="20"/>
                <w:highlight w:val="none"/>
                <w:lang w:val="zh-CN" w:eastAsia="zh-CN" w:bidi="ar-SA"/>
              </w:rPr>
              <w:t>项目厂界外500m范围内无地下水集中式饮用水水源和热水、矿泉水、泉水等特殊地下水资源。因此，本项目不开展地下水、土壤环境质量现状调查。</w:t>
            </w:r>
            <w:bookmarkEnd w:id="41"/>
          </w:p>
        </w:tc>
      </w:tr>
      <w:tr w14:paraId="42EB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7" w:hRule="atLeast"/>
        </w:trPr>
        <w:tc>
          <w:tcPr>
            <w:tcW w:w="456" w:type="dxa"/>
            <w:vAlign w:val="center"/>
          </w:tcPr>
          <w:p w14:paraId="786291D9">
            <w:pPr>
              <w:jc w:val="center"/>
              <w:rPr>
                <w:rFonts w:hint="eastAsia"/>
                <w:vertAlign w:val="baseline"/>
                <w:lang w:eastAsia="zh-CN"/>
              </w:rPr>
            </w:pPr>
            <w:r>
              <w:rPr>
                <w:rFonts w:hint="eastAsia"/>
                <w:sz w:val="24"/>
                <w:szCs w:val="24"/>
                <w:vertAlign w:val="baseline"/>
                <w:lang w:eastAsia="zh-CN"/>
              </w:rPr>
              <w:t>环境保护目标</w:t>
            </w:r>
          </w:p>
        </w:tc>
        <w:tc>
          <w:tcPr>
            <w:tcW w:w="8749" w:type="dxa"/>
          </w:tcPr>
          <w:p w14:paraId="1A7E126E">
            <w:pPr>
              <w:pStyle w:val="47"/>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43" w:name="_Toc11230"/>
            <w:r>
              <w:rPr>
                <w:color w:val="auto"/>
                <w:szCs w:val="28"/>
              </w:rPr>
              <w:t>3.</w:t>
            </w:r>
            <w:r>
              <w:rPr>
                <w:rFonts w:hint="eastAsia"/>
                <w:color w:val="auto"/>
                <w:szCs w:val="28"/>
                <w:lang w:val="en-US" w:eastAsia="zh-CN"/>
              </w:rPr>
              <w:t>6</w:t>
            </w:r>
            <w:r>
              <w:rPr>
                <w:color w:val="auto"/>
                <w:szCs w:val="28"/>
              </w:rPr>
              <w:t>主要环境保护目标</w:t>
            </w:r>
            <w:bookmarkEnd w:id="43"/>
          </w:p>
          <w:p w14:paraId="5442EA35">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二</w:t>
            </w:r>
            <w:r>
              <w:rPr>
                <w:color w:val="auto"/>
                <w:sz w:val="24"/>
              </w:rPr>
              <w:t>。</w:t>
            </w:r>
          </w:p>
          <w:p w14:paraId="1B37BF86">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22"/>
              <w:gridCol w:w="1118"/>
              <w:gridCol w:w="1631"/>
              <w:gridCol w:w="1051"/>
              <w:gridCol w:w="3588"/>
            </w:tblGrid>
            <w:tr w14:paraId="4C54E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710" w:type="pct"/>
                  <w:noWrap w:val="0"/>
                  <w:vAlign w:val="center"/>
                </w:tcPr>
                <w:p w14:paraId="7F1430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635C3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947" w:type="pct"/>
                  <w:noWrap w:val="0"/>
                  <w:vAlign w:val="center"/>
                </w:tcPr>
                <w:p w14:paraId="79B06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288EA1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10" w:type="pct"/>
                  <w:noWrap w:val="0"/>
                  <w:vAlign w:val="center"/>
                </w:tcPr>
                <w:p w14:paraId="4AC4C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2082" w:type="pct"/>
                  <w:noWrap w:val="0"/>
                  <w:vAlign w:val="center"/>
                </w:tcPr>
                <w:p w14:paraId="2329F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011AEA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10" w:type="pct"/>
                  <w:vMerge w:val="restart"/>
                  <w:noWrap w:val="0"/>
                  <w:vAlign w:val="center"/>
                </w:tcPr>
                <w:p w14:paraId="43CD3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27BD4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下田村</w:t>
                  </w:r>
                </w:p>
              </w:tc>
              <w:tc>
                <w:tcPr>
                  <w:tcW w:w="947" w:type="pct"/>
                  <w:noWrap w:val="0"/>
                  <w:vAlign w:val="center"/>
                </w:tcPr>
                <w:p w14:paraId="5015C2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西南侧约</w:t>
                  </w:r>
                  <w:r>
                    <w:rPr>
                      <w:rFonts w:hint="eastAsia" w:cs="Times New Roman"/>
                      <w:color w:val="auto"/>
                      <w:sz w:val="21"/>
                      <w:szCs w:val="21"/>
                      <w:lang w:val="en-US" w:eastAsia="zh-CN"/>
                    </w:rPr>
                    <w:t>177</w:t>
                  </w:r>
                  <w:r>
                    <w:rPr>
                      <w:rFonts w:hint="default" w:ascii="Times New Roman" w:hAnsi="Times New Roman" w:eastAsia="宋体" w:cs="Times New Roman"/>
                      <w:color w:val="auto"/>
                      <w:sz w:val="21"/>
                      <w:szCs w:val="21"/>
                      <w:lang w:val="en-US" w:eastAsia="zh-CN"/>
                    </w:rPr>
                    <w:t>m</w:t>
                  </w:r>
                </w:p>
              </w:tc>
              <w:tc>
                <w:tcPr>
                  <w:tcW w:w="610" w:type="pct"/>
                  <w:noWrap w:val="0"/>
                  <w:vAlign w:val="center"/>
                </w:tcPr>
                <w:p w14:paraId="5CE0E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约30户/120人</w:t>
                  </w:r>
                </w:p>
              </w:tc>
              <w:tc>
                <w:tcPr>
                  <w:tcW w:w="2082" w:type="pct"/>
                  <w:vMerge w:val="restart"/>
                  <w:noWrap w:val="0"/>
                  <w:vAlign w:val="center"/>
                </w:tcPr>
                <w:p w14:paraId="6EE474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val="zh-CN"/>
                    </w:rPr>
                    <w:t>及</w:t>
                  </w:r>
                  <w:r>
                    <w:rPr>
                      <w:rFonts w:hint="default" w:ascii="Times New Roman" w:hAnsi="Times New Roman" w:eastAsia="宋体" w:cs="Times New Roman"/>
                      <w:color w:val="auto"/>
                      <w:sz w:val="21"/>
                      <w:szCs w:val="21"/>
                    </w:rPr>
                    <w:t>其修改单二级标准</w:t>
                  </w:r>
                </w:p>
              </w:tc>
            </w:tr>
            <w:tr w14:paraId="237089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8" w:hRule="atLeast"/>
                <w:jc w:val="center"/>
              </w:trPr>
              <w:tc>
                <w:tcPr>
                  <w:tcW w:w="710" w:type="pct"/>
                  <w:vMerge w:val="continue"/>
                  <w:noWrap w:val="0"/>
                  <w:vAlign w:val="center"/>
                </w:tcPr>
                <w:p w14:paraId="311EF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649" w:type="pct"/>
                  <w:noWrap w:val="0"/>
                  <w:vAlign w:val="center"/>
                </w:tcPr>
                <w:p w14:paraId="7E87AE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潘厝后</w:t>
                  </w:r>
                </w:p>
              </w:tc>
              <w:tc>
                <w:tcPr>
                  <w:tcW w:w="947" w:type="pct"/>
                  <w:noWrap w:val="0"/>
                  <w:vAlign w:val="center"/>
                </w:tcPr>
                <w:p w14:paraId="1E7C8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西南侧约437m</w:t>
                  </w:r>
                </w:p>
              </w:tc>
              <w:tc>
                <w:tcPr>
                  <w:tcW w:w="610" w:type="pct"/>
                  <w:noWrap w:val="0"/>
                  <w:vAlign w:val="center"/>
                </w:tcPr>
                <w:p w14:paraId="3B23F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约</w:t>
                  </w:r>
                  <w:r>
                    <w:rPr>
                      <w:rFonts w:hint="eastAsia" w:cs="Times New Roman"/>
                      <w:color w:val="auto"/>
                      <w:sz w:val="21"/>
                      <w:szCs w:val="21"/>
                      <w:lang w:val="en-US" w:eastAsia="zh-CN"/>
                    </w:rPr>
                    <w:t>50</w:t>
                  </w:r>
                  <w:r>
                    <w:rPr>
                      <w:rFonts w:hint="default" w:ascii="Times New Roman" w:hAnsi="Times New Roman" w:eastAsia="宋体" w:cs="Times New Roman"/>
                      <w:color w:val="auto"/>
                      <w:sz w:val="21"/>
                      <w:szCs w:val="21"/>
                      <w:lang w:val="en-US" w:eastAsia="zh-CN"/>
                    </w:rPr>
                    <w:t>户/20</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人</w:t>
                  </w:r>
                </w:p>
              </w:tc>
              <w:tc>
                <w:tcPr>
                  <w:tcW w:w="2082" w:type="pct"/>
                  <w:vMerge w:val="continue"/>
                  <w:noWrap w:val="0"/>
                  <w:vAlign w:val="center"/>
                </w:tcPr>
                <w:p w14:paraId="02516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r>
            <w:tr w14:paraId="2EA685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710" w:type="pct"/>
                  <w:noWrap w:val="0"/>
                  <w:vAlign w:val="center"/>
                </w:tcPr>
                <w:p w14:paraId="73E96B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7872E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罗汉溪</w:t>
                  </w:r>
                </w:p>
              </w:tc>
              <w:tc>
                <w:tcPr>
                  <w:tcW w:w="947" w:type="pct"/>
                  <w:noWrap w:val="0"/>
                  <w:vAlign w:val="center"/>
                </w:tcPr>
                <w:p w14:paraId="2D792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西北侧约</w:t>
                  </w:r>
                  <w:r>
                    <w:rPr>
                      <w:rFonts w:hint="eastAsia" w:cs="Times New Roman"/>
                      <w:color w:val="auto"/>
                      <w:sz w:val="21"/>
                      <w:szCs w:val="21"/>
                      <w:lang w:val="en-US" w:eastAsia="zh-CN"/>
                    </w:rPr>
                    <w:t>330</w:t>
                  </w:r>
                  <w:r>
                    <w:rPr>
                      <w:rFonts w:hint="default" w:ascii="Times New Roman" w:hAnsi="Times New Roman" w:eastAsia="宋体" w:cs="Times New Roman"/>
                      <w:color w:val="auto"/>
                      <w:sz w:val="21"/>
                      <w:szCs w:val="21"/>
                      <w:lang w:val="en-US" w:eastAsia="zh-CN"/>
                    </w:rPr>
                    <w:t>m</w:t>
                  </w:r>
                </w:p>
              </w:tc>
              <w:tc>
                <w:tcPr>
                  <w:tcW w:w="610" w:type="pct"/>
                  <w:noWrap w:val="0"/>
                  <w:vAlign w:val="center"/>
                </w:tcPr>
                <w:p w14:paraId="48FB00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河流</w:t>
                  </w:r>
                </w:p>
              </w:tc>
              <w:tc>
                <w:tcPr>
                  <w:tcW w:w="2082" w:type="pct"/>
                  <w:noWrap w:val="0"/>
                  <w:vAlign w:val="center"/>
                </w:tcPr>
                <w:p w14:paraId="0028C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《地表水环境质量标准》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GB3838-2002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Ⅲ类标准</w:t>
                  </w:r>
                </w:p>
              </w:tc>
            </w:tr>
            <w:tr w14:paraId="75125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0" w:type="pct"/>
                  <w:noWrap w:val="0"/>
                  <w:vAlign w:val="center"/>
                </w:tcPr>
                <w:p w14:paraId="1CFA47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9" w:type="pct"/>
                  <w:gridSpan w:val="4"/>
                  <w:noWrap w:val="0"/>
                  <w:vAlign w:val="center"/>
                </w:tcPr>
                <w:p w14:paraId="3F946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36ECCE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710" w:type="pct"/>
                  <w:noWrap w:val="0"/>
                  <w:vAlign w:val="center"/>
                </w:tcPr>
                <w:p w14:paraId="1177DD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9" w:type="pct"/>
                  <w:gridSpan w:val="4"/>
                  <w:noWrap w:val="0"/>
                  <w:vAlign w:val="center"/>
                </w:tcPr>
                <w:p w14:paraId="6F8A4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7C90BD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710" w:type="pct"/>
                  <w:noWrap w:val="0"/>
                  <w:vAlign w:val="center"/>
                </w:tcPr>
                <w:p w14:paraId="05D52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9" w:type="pct"/>
                  <w:gridSpan w:val="4"/>
                  <w:noWrap w:val="0"/>
                  <w:vAlign w:val="center"/>
                </w:tcPr>
                <w:p w14:paraId="5560A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本项目位于园区内，无生态环境保护目标</w:t>
                  </w:r>
                </w:p>
              </w:tc>
            </w:tr>
          </w:tbl>
          <w:p w14:paraId="1C14C79D">
            <w:pPr>
              <w:rPr>
                <w:rFonts w:hint="eastAsia"/>
                <w:vertAlign w:val="baseline"/>
                <w:lang w:eastAsia="zh-CN"/>
              </w:rPr>
            </w:pPr>
          </w:p>
        </w:tc>
      </w:tr>
      <w:tr w14:paraId="6F87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trPr>
        <w:tc>
          <w:tcPr>
            <w:tcW w:w="456" w:type="dxa"/>
            <w:vAlign w:val="center"/>
          </w:tcPr>
          <w:p w14:paraId="4A4FF1C9">
            <w:pPr>
              <w:jc w:val="center"/>
              <w:rPr>
                <w:rFonts w:hint="eastAsia"/>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6EA5CB8">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auto"/>
                <w:szCs w:val="28"/>
                <w:lang w:val="en-US" w:eastAsia="zh-CN"/>
              </w:rPr>
            </w:pPr>
            <w:bookmarkStart w:id="44" w:name="_Toc5981"/>
            <w:bookmarkStart w:id="45" w:name="_Toc4178"/>
            <w:bookmarkStart w:id="46" w:name="_Toc15260"/>
            <w:bookmarkStart w:id="47" w:name="_Toc10339"/>
            <w:bookmarkStart w:id="48" w:name="_Toc10661"/>
            <w:r>
              <w:rPr>
                <w:rFonts w:hint="default"/>
                <w:color w:val="auto"/>
                <w:szCs w:val="28"/>
                <w:lang w:val="en-US" w:eastAsia="zh-CN"/>
              </w:rPr>
              <w:t>3.7 污染物排放标准</w:t>
            </w:r>
            <w:bookmarkEnd w:id="44"/>
            <w:bookmarkEnd w:id="45"/>
            <w:bookmarkEnd w:id="46"/>
            <w:bookmarkEnd w:id="47"/>
            <w:bookmarkEnd w:id="48"/>
          </w:p>
          <w:p w14:paraId="75E1ADA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49" w:name="_Toc31771"/>
            <w:r>
              <w:rPr>
                <w:rFonts w:hint="eastAsia" w:ascii="Times New Roman" w:hAnsi="Times New Roman" w:eastAsia="宋体" w:cs="Times New Roman"/>
                <w:b/>
                <w:bCs/>
                <w:color w:val="auto"/>
                <w:sz w:val="24"/>
                <w:szCs w:val="24"/>
                <w:u w:val="none"/>
                <w:lang w:val="en-US" w:eastAsia="zh-CN"/>
              </w:rPr>
              <w:t xml:space="preserve">3.7.1 </w:t>
            </w:r>
            <w:r>
              <w:rPr>
                <w:rFonts w:hint="default" w:ascii="Times New Roman" w:hAnsi="Times New Roman" w:eastAsia="宋体" w:cs="Times New Roman"/>
                <w:b/>
                <w:bCs/>
                <w:color w:val="auto"/>
                <w:sz w:val="24"/>
                <w:szCs w:val="24"/>
                <w:u w:val="none"/>
                <w:lang w:val="en-US" w:eastAsia="zh-CN"/>
              </w:rPr>
              <w:t>废水</w:t>
            </w:r>
            <w:bookmarkEnd w:id="49"/>
          </w:p>
          <w:p w14:paraId="65DB6CC9">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（1）项目水污染物排放标准</w:t>
            </w:r>
          </w:p>
          <w:p w14:paraId="598F8698">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bCs/>
                <w:color w:val="auto"/>
                <w:kern w:val="2"/>
                <w:sz w:val="24"/>
                <w:szCs w:val="24"/>
                <w:lang w:val="en-US" w:eastAsia="zh-CN" w:bidi="ar-SA"/>
              </w:rPr>
              <w:t>项目</w:t>
            </w:r>
            <w:r>
              <w:rPr>
                <w:rFonts w:hint="eastAsia" w:ascii="Times New Roman" w:hAnsi="Times New Roman" w:eastAsia="宋体" w:cs="Times New Roman"/>
                <w:bCs/>
                <w:color w:val="auto"/>
                <w:kern w:val="2"/>
                <w:sz w:val="24"/>
                <w:szCs w:val="24"/>
                <w:lang w:val="en-US" w:eastAsia="zh-CN" w:bidi="ar-SA"/>
              </w:rPr>
              <w:t>运营期不产生生产废水排放，冷却水为间接冷却，不接触物料且循环使用不外排，因此不产生生产废水；仅产生职工生活污水</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color w:val="auto"/>
                <w:sz w:val="24"/>
                <w:szCs w:val="24"/>
              </w:rPr>
              <w:t>根据现场勘查，</w:t>
            </w:r>
            <w:r>
              <w:rPr>
                <w:rFonts w:hint="eastAsia" w:ascii="Times New Roman" w:hAnsi="Times New Roman" w:cs="Times New Roman"/>
                <w:color w:val="auto"/>
                <w:sz w:val="24"/>
                <w:szCs w:val="24"/>
                <w:highlight w:val="none"/>
                <w:lang w:val="en-US" w:eastAsia="zh-CN"/>
              </w:rPr>
              <w:t>项目生活污水依托</w:t>
            </w:r>
            <w:r>
              <w:rPr>
                <w:rFonts w:hint="eastAsia" w:ascii="Times New Roman" w:hAnsi="Times New Roman" w:eastAsia="宋体" w:cs="Times New Roman"/>
                <w:color w:val="auto"/>
                <w:sz w:val="24"/>
                <w:szCs w:val="24"/>
                <w:highlight w:val="none"/>
                <w:lang w:val="en-US" w:eastAsia="zh-CN"/>
              </w:rPr>
              <w:t>园区内已建化粪池预处理后，接入市政污水管网，纳入福清融元污水处理厂统一处理，尾水排入龙江。</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rPr>
              <w:t>属于</w:t>
            </w:r>
            <w:r>
              <w:rPr>
                <w:rFonts w:hint="default" w:ascii="Times New Roman" w:hAnsi="Times New Roman" w:cs="Times New Roman"/>
                <w:color w:val="auto"/>
                <w:sz w:val="24"/>
                <w:szCs w:val="24"/>
                <w:highlight w:val="none"/>
                <w:lang w:eastAsia="zh-CN"/>
              </w:rPr>
              <w:t>福清市融元污水处理厂</w:t>
            </w:r>
            <w:r>
              <w:rPr>
                <w:rFonts w:hint="default" w:ascii="Times New Roman" w:hAnsi="Times New Roman" w:cs="Times New Roman"/>
                <w:color w:val="auto"/>
                <w:sz w:val="24"/>
                <w:szCs w:val="24"/>
                <w:highlight w:val="none"/>
              </w:rPr>
              <w:t>服务范围</w:t>
            </w:r>
            <w:r>
              <w:rPr>
                <w:rFonts w:hint="eastAsia" w:cs="Times New Roman"/>
                <w:color w:val="auto"/>
                <w:sz w:val="24"/>
                <w:szCs w:val="24"/>
                <w:highlight w:val="none"/>
                <w:lang w:eastAsia="zh-CN"/>
              </w:rPr>
              <w:t>且</w:t>
            </w:r>
            <w:r>
              <w:rPr>
                <w:rFonts w:hint="default" w:ascii="Times New Roman" w:hAnsi="Times New Roman" w:cs="Times New Roman"/>
                <w:color w:val="auto"/>
                <w:sz w:val="24"/>
                <w:szCs w:val="24"/>
                <w:highlight w:val="none"/>
              </w:rPr>
              <w:t>污水管网已铺设到位，项目生活污水经</w:t>
            </w:r>
            <w:r>
              <w:rPr>
                <w:rFonts w:hint="eastAsia" w:ascii="Times New Roman" w:hAnsi="Times New Roman" w:cs="Times New Roman"/>
                <w:color w:val="auto"/>
                <w:sz w:val="24"/>
                <w:szCs w:val="24"/>
                <w:highlight w:val="none"/>
                <w:lang w:val="en-US" w:eastAsia="zh-CN"/>
              </w:rPr>
              <w:t>园区</w:t>
            </w:r>
            <w:r>
              <w:rPr>
                <w:rFonts w:hint="default" w:ascii="Times New Roman" w:hAnsi="Times New Roman" w:cs="Times New Roman"/>
                <w:color w:val="auto"/>
                <w:sz w:val="24"/>
                <w:szCs w:val="24"/>
                <w:highlight w:val="none"/>
              </w:rPr>
              <w:t>已建的化粪池预处理</w:t>
            </w:r>
            <w:r>
              <w:rPr>
                <w:rFonts w:hint="default" w:ascii="Times New Roman" w:hAnsi="Times New Roman" w:cs="Times New Roman"/>
                <w:color w:val="auto"/>
                <w:sz w:val="24"/>
                <w:szCs w:val="24"/>
                <w:highlight w:val="none"/>
                <w:lang w:val="en-US" w:eastAsia="zh-CN"/>
              </w:rPr>
              <w:t>后接入市政污水管网，外</w:t>
            </w:r>
            <w:r>
              <w:rPr>
                <w:rFonts w:hint="default" w:ascii="Times New Roman" w:hAnsi="Times New Roman" w:cs="Times New Roman"/>
                <w:color w:val="auto"/>
                <w:sz w:val="24"/>
                <w:szCs w:val="24"/>
                <w:lang w:val="en-US" w:eastAsia="zh-CN"/>
              </w:rPr>
              <w:t>排废水需</w:t>
            </w:r>
            <w:r>
              <w:rPr>
                <w:rFonts w:hint="default" w:ascii="Times New Roman" w:hAnsi="Times New Roman" w:cs="Times New Roman"/>
                <w:color w:val="auto"/>
                <w:sz w:val="24"/>
                <w:szCs w:val="24"/>
              </w:rPr>
              <w:t>达到《污水综合排放标准》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GB8978-1996</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表4中的三级标准后排入市政污水管网送往</w:t>
            </w:r>
            <w:r>
              <w:rPr>
                <w:rFonts w:hint="default" w:ascii="Times New Roman" w:hAnsi="Times New Roman" w:cs="Times New Roman"/>
                <w:color w:val="auto"/>
                <w:sz w:val="24"/>
                <w:szCs w:val="24"/>
                <w:lang w:eastAsia="zh-CN"/>
              </w:rPr>
              <w:t>福清市融元污水处理厂</w:t>
            </w:r>
            <w:r>
              <w:rPr>
                <w:rFonts w:hint="default" w:ascii="Times New Roman" w:hAnsi="Times New Roman" w:cs="Times New Roman"/>
                <w:color w:val="auto"/>
                <w:sz w:val="24"/>
                <w:szCs w:val="24"/>
              </w:rPr>
              <w:t>集中处理，</w:t>
            </w: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r>
              <w:rPr>
                <w:rFonts w:hint="default" w:ascii="Times New Roman" w:hAnsi="Times New Roman" w:cs="Times New Roman"/>
                <w:color w:val="auto"/>
                <w:sz w:val="24"/>
                <w:szCs w:val="24"/>
              </w:rPr>
              <w:t>参照执行《污水排入城镇下水道水质标准》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GB/T 31962-2015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表1中B级标准，详见表3.7-1。</w:t>
            </w:r>
          </w:p>
          <w:p w14:paraId="0A4DC80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表3.7-1</w:t>
            </w:r>
            <w:r>
              <w:rPr>
                <w:rFonts w:hint="default" w:ascii="Times New Roman" w:hAnsi="Times New Roman" w:eastAsia="宋体" w:cs="Times New Roman"/>
                <w:b/>
                <w:bCs/>
                <w:color w:val="auto"/>
                <w:sz w:val="24"/>
                <w:szCs w:val="24"/>
                <w:u w:val="none"/>
                <w:lang w:val="en-US" w:eastAsia="zh-CN"/>
              </w:rPr>
              <w:t>项目污水排放标准限值一览表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422"/>
              <w:gridCol w:w="3948"/>
              <w:gridCol w:w="1527"/>
              <w:gridCol w:w="1718"/>
            </w:tblGrid>
            <w:tr w14:paraId="38EF9C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6" w:hRule="exact"/>
                <w:jc w:val="center"/>
              </w:trPr>
              <w:tc>
                <w:tcPr>
                  <w:tcW w:w="825" w:type="pct"/>
                  <w:tcBorders>
                    <w:top w:val="single" w:color="auto" w:sz="12" w:space="0"/>
                  </w:tcBorders>
                  <w:noWrap w:val="0"/>
                  <w:vAlign w:val="center"/>
                </w:tcPr>
                <w:p w14:paraId="166C1B4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2291" w:type="pct"/>
                  <w:tcBorders>
                    <w:top w:val="single" w:color="auto" w:sz="12" w:space="0"/>
                  </w:tcBorders>
                  <w:noWrap w:val="0"/>
                  <w:vAlign w:val="center"/>
                </w:tcPr>
                <w:p w14:paraId="025A5A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标准名称</w:t>
                  </w:r>
                </w:p>
              </w:tc>
              <w:tc>
                <w:tcPr>
                  <w:tcW w:w="886" w:type="pct"/>
                  <w:tcBorders>
                    <w:top w:val="single" w:color="auto" w:sz="12" w:space="0"/>
                  </w:tcBorders>
                  <w:noWrap w:val="0"/>
                  <w:vAlign w:val="center"/>
                </w:tcPr>
                <w:p w14:paraId="767C4BD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997" w:type="pct"/>
                  <w:tcBorders>
                    <w:top w:val="single" w:color="auto" w:sz="12" w:space="0"/>
                  </w:tcBorders>
                  <w:noWrap w:val="0"/>
                  <w:vAlign w:val="center"/>
                </w:tcPr>
                <w:p w14:paraId="13B1D1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r>
            <w:tr w14:paraId="112CF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exact"/>
                <w:jc w:val="center"/>
              </w:trPr>
              <w:tc>
                <w:tcPr>
                  <w:tcW w:w="825" w:type="pct"/>
                  <w:vMerge w:val="restart"/>
                  <w:noWrap w:val="0"/>
                  <w:vAlign w:val="center"/>
                </w:tcPr>
                <w:p w14:paraId="7999417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2291" w:type="pct"/>
                  <w:vMerge w:val="restart"/>
                  <w:noWrap w:val="0"/>
                  <w:vAlign w:val="center"/>
                </w:tcPr>
                <w:p w14:paraId="506386D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w:t>
                  </w:r>
                </w:p>
                <w:p w14:paraId="36CC1C8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eastAsia" w:cs="Times New Roman"/>
                      <w:sz w:val="21"/>
                      <w:szCs w:val="21"/>
                      <w:lang w:eastAsia="zh-CN"/>
                    </w:rPr>
                    <w:t>（</w:t>
                  </w:r>
                  <w:r>
                    <w:rPr>
                      <w:rFonts w:hint="default" w:ascii="Times New Roman" w:hAnsi="Times New Roman" w:eastAsia="宋体" w:cs="Times New Roman"/>
                      <w:sz w:val="21"/>
                      <w:szCs w:val="21"/>
                    </w:rPr>
                    <w:t>GB8978-1996</w:t>
                  </w:r>
                  <w:r>
                    <w:rPr>
                      <w:rFonts w:hint="eastAsia" w:cs="Times New Roman"/>
                      <w:sz w:val="21"/>
                      <w:szCs w:val="21"/>
                      <w:lang w:eastAsia="zh-CN"/>
                    </w:rPr>
                    <w:t>）</w:t>
                  </w:r>
                  <w:r>
                    <w:rPr>
                      <w:rFonts w:hint="default" w:ascii="Times New Roman" w:hAnsi="Times New Roman" w:eastAsia="宋体" w:cs="Times New Roman"/>
                      <w:sz w:val="21"/>
                      <w:szCs w:val="21"/>
                    </w:rPr>
                    <w:t>表4三级标准</w:t>
                  </w:r>
                </w:p>
              </w:tc>
              <w:tc>
                <w:tcPr>
                  <w:tcW w:w="886" w:type="pct"/>
                  <w:noWrap w:val="0"/>
                  <w:vAlign w:val="center"/>
                </w:tcPr>
                <w:p w14:paraId="0A9F3DC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97" w:type="pct"/>
                  <w:noWrap w:val="0"/>
                  <w:vAlign w:val="center"/>
                </w:tcPr>
                <w:p w14:paraId="201D4E5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r>
                    <w:rPr>
                      <w:rFonts w:hint="eastAsia" w:cs="Times New Roman"/>
                      <w:sz w:val="21"/>
                      <w:szCs w:val="21"/>
                      <w:lang w:eastAsia="zh-CN"/>
                    </w:rPr>
                    <w:t>~</w:t>
                  </w:r>
                  <w:r>
                    <w:rPr>
                      <w:rFonts w:hint="default" w:ascii="Times New Roman" w:hAnsi="Times New Roman" w:eastAsia="宋体" w:cs="Times New Roman"/>
                      <w:sz w:val="21"/>
                      <w:szCs w:val="21"/>
                    </w:rPr>
                    <w:t>9</w:t>
                  </w:r>
                </w:p>
              </w:tc>
            </w:tr>
            <w:tr w14:paraId="5AF8FA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82" w:hRule="exact"/>
                <w:jc w:val="center"/>
              </w:trPr>
              <w:tc>
                <w:tcPr>
                  <w:tcW w:w="825" w:type="pct"/>
                  <w:vMerge w:val="continue"/>
                  <w:noWrap w:val="0"/>
                  <w:vAlign w:val="center"/>
                </w:tcPr>
                <w:p w14:paraId="2DB3B9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3B17024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048C178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997" w:type="pct"/>
                  <w:noWrap w:val="0"/>
                  <w:vAlign w:val="center"/>
                </w:tcPr>
                <w:p w14:paraId="4C0B7C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500mg/L</w:t>
                  </w:r>
                </w:p>
              </w:tc>
            </w:tr>
            <w:tr w14:paraId="0C1C8E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28" w:hRule="exact"/>
                <w:jc w:val="center"/>
              </w:trPr>
              <w:tc>
                <w:tcPr>
                  <w:tcW w:w="825" w:type="pct"/>
                  <w:vMerge w:val="continue"/>
                  <w:noWrap w:val="0"/>
                  <w:vAlign w:val="center"/>
                </w:tcPr>
                <w:p w14:paraId="7D5510B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0980151E">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5537C3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997" w:type="pct"/>
                  <w:noWrap w:val="0"/>
                  <w:vAlign w:val="center"/>
                </w:tcPr>
                <w:p w14:paraId="283A0F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300mg/L</w:t>
                  </w:r>
                </w:p>
              </w:tc>
            </w:tr>
            <w:tr w14:paraId="47234E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5" w:hRule="exact"/>
                <w:jc w:val="center"/>
              </w:trPr>
              <w:tc>
                <w:tcPr>
                  <w:tcW w:w="825" w:type="pct"/>
                  <w:vMerge w:val="continue"/>
                  <w:noWrap w:val="0"/>
                  <w:vAlign w:val="center"/>
                </w:tcPr>
                <w:p w14:paraId="1166289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vMerge w:val="continue"/>
                  <w:noWrap w:val="0"/>
                  <w:vAlign w:val="center"/>
                </w:tcPr>
                <w:p w14:paraId="3D34DDA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886" w:type="pct"/>
                  <w:noWrap w:val="0"/>
                  <w:vAlign w:val="center"/>
                </w:tcPr>
                <w:p w14:paraId="77C0F61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997" w:type="pct"/>
                  <w:noWrap w:val="0"/>
                  <w:vAlign w:val="center"/>
                </w:tcPr>
                <w:p w14:paraId="2B103B3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400mg/L</w:t>
                  </w:r>
                </w:p>
              </w:tc>
            </w:tr>
            <w:tr w14:paraId="570BC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20" w:hRule="exact"/>
                <w:jc w:val="center"/>
              </w:trPr>
              <w:tc>
                <w:tcPr>
                  <w:tcW w:w="825" w:type="pct"/>
                  <w:vMerge w:val="continue"/>
                  <w:noWrap w:val="0"/>
                  <w:vAlign w:val="center"/>
                </w:tcPr>
                <w:p w14:paraId="7ED3300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p>
              </w:tc>
              <w:tc>
                <w:tcPr>
                  <w:tcW w:w="2291" w:type="pct"/>
                  <w:noWrap w:val="0"/>
                  <w:vAlign w:val="center"/>
                </w:tcPr>
                <w:p w14:paraId="13F75E3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《污水排入城镇下水道水质标准》</w:t>
                  </w:r>
                </w:p>
                <w:p w14:paraId="1E2BACA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（GB/T31962-2015）</w:t>
                  </w:r>
                  <w:r>
                    <w:rPr>
                      <w:rFonts w:hint="default" w:ascii="Times New Roman" w:hAnsi="Times New Roman" w:eastAsia="宋体" w:cs="Times New Roman"/>
                      <w:sz w:val="21"/>
                      <w:szCs w:val="21"/>
                      <w:lang w:val="en-US" w:eastAsia="zh-CN"/>
                    </w:rPr>
                    <w:t>表1中B级标准</w:t>
                  </w:r>
                </w:p>
              </w:tc>
              <w:tc>
                <w:tcPr>
                  <w:tcW w:w="886" w:type="pct"/>
                  <w:noWrap w:val="0"/>
                  <w:vAlign w:val="center"/>
                </w:tcPr>
                <w:p w14:paraId="08288D15">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997" w:type="pct"/>
                  <w:noWrap w:val="0"/>
                  <w:vAlign w:val="center"/>
                </w:tcPr>
                <w:p w14:paraId="131A8A4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45mg/L</w:t>
                  </w:r>
                </w:p>
              </w:tc>
            </w:tr>
          </w:tbl>
          <w:p w14:paraId="2FA0C7AF">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（2）污水处理厂尾水排放标准</w:t>
            </w:r>
          </w:p>
          <w:p w14:paraId="46CD4FFE">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根据调查，</w:t>
            </w:r>
            <w:r>
              <w:rPr>
                <w:rFonts w:hint="eastAsia" w:ascii="Times New Roman" w:hAnsi="Times New Roman" w:eastAsia="宋体" w:cs="Times New Roman"/>
                <w:bCs/>
                <w:color w:val="auto"/>
                <w:kern w:val="2"/>
                <w:sz w:val="24"/>
                <w:szCs w:val="24"/>
                <w:lang w:val="en-US" w:eastAsia="zh-CN" w:bidi="ar-SA"/>
              </w:rPr>
              <w:t>福清市融元污水处理厂</w:t>
            </w:r>
            <w:r>
              <w:rPr>
                <w:rFonts w:hint="default" w:ascii="Times New Roman" w:hAnsi="Times New Roman" w:eastAsia="宋体" w:cs="Times New Roman"/>
                <w:bCs/>
                <w:color w:val="auto"/>
                <w:kern w:val="2"/>
                <w:sz w:val="24"/>
                <w:szCs w:val="24"/>
                <w:lang w:val="en-US" w:eastAsia="zh-CN" w:bidi="ar-SA"/>
              </w:rPr>
              <w:t>尾水</w:t>
            </w:r>
            <w:r>
              <w:rPr>
                <w:rFonts w:hint="eastAsia" w:ascii="Times New Roman" w:hAnsi="Times New Roman" w:eastAsia="宋体" w:cs="Times New Roman"/>
                <w:bCs/>
                <w:color w:val="auto"/>
                <w:kern w:val="2"/>
                <w:sz w:val="24"/>
                <w:szCs w:val="24"/>
                <w:lang w:val="en-US" w:eastAsia="zh-CN" w:bidi="ar-SA"/>
              </w:rPr>
              <w:t>目前</w:t>
            </w:r>
            <w:r>
              <w:rPr>
                <w:rFonts w:hint="default" w:ascii="Times New Roman" w:hAnsi="Times New Roman" w:eastAsia="宋体" w:cs="Times New Roman"/>
                <w:bCs/>
                <w:color w:val="auto"/>
                <w:kern w:val="2"/>
                <w:sz w:val="24"/>
                <w:szCs w:val="24"/>
                <w:lang w:val="en-US" w:eastAsia="zh-CN" w:bidi="ar-SA"/>
              </w:rPr>
              <w:t>排放执行《城镇污水处理厂污染物排放标准》</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GB18918-2002</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及其修改单表1的一级</w:t>
            </w:r>
            <w:r>
              <w:rPr>
                <w:rFonts w:hint="eastAsia" w:ascii="Times New Roman" w:hAnsi="Times New Roman" w:eastAsia="宋体" w:cs="Times New Roman"/>
                <w:bCs/>
                <w:color w:val="auto"/>
                <w:kern w:val="2"/>
                <w:sz w:val="24"/>
                <w:szCs w:val="24"/>
                <w:lang w:val="en-US" w:eastAsia="zh-CN" w:bidi="ar-SA"/>
              </w:rPr>
              <w:t>标准A</w:t>
            </w:r>
            <w:r>
              <w:rPr>
                <w:rFonts w:hint="default" w:ascii="Times New Roman" w:hAnsi="Times New Roman" w:eastAsia="宋体" w:cs="Times New Roman"/>
                <w:bCs/>
                <w:color w:val="auto"/>
                <w:kern w:val="2"/>
                <w:sz w:val="24"/>
                <w:szCs w:val="24"/>
                <w:lang w:val="en-US" w:eastAsia="zh-CN" w:bidi="ar-SA"/>
              </w:rPr>
              <w:t>标准，具体详见表3.</w:t>
            </w:r>
            <w:r>
              <w:rPr>
                <w:rFonts w:hint="eastAsia" w:ascii="Times New Roman" w:hAnsi="Times New Roman" w:eastAsia="宋体" w:cs="Times New Roman"/>
                <w:bCs/>
                <w:color w:val="auto"/>
                <w:kern w:val="2"/>
                <w:sz w:val="24"/>
                <w:szCs w:val="24"/>
                <w:lang w:val="en-US" w:eastAsia="zh-CN" w:bidi="ar-SA"/>
              </w:rPr>
              <w:t>7</w:t>
            </w:r>
            <w:r>
              <w:rPr>
                <w:rFonts w:hint="default" w:ascii="Times New Roman" w:hAnsi="Times New Roman" w:eastAsia="宋体"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2</w:t>
            </w:r>
            <w:r>
              <w:rPr>
                <w:rFonts w:hint="default" w:ascii="Times New Roman" w:hAnsi="Times New Roman" w:eastAsia="宋体" w:cs="Times New Roman"/>
                <w:bCs/>
                <w:color w:val="auto"/>
                <w:kern w:val="2"/>
                <w:sz w:val="24"/>
                <w:szCs w:val="24"/>
                <w:lang w:val="en-US" w:eastAsia="zh-CN" w:bidi="ar-SA"/>
              </w:rPr>
              <w:t>。</w:t>
            </w:r>
          </w:p>
          <w:p w14:paraId="6ACFC98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w:t>
            </w:r>
            <w:r>
              <w:rPr>
                <w:rFonts w:hint="eastAsia" w:ascii="Times New Roman" w:hAnsi="Times New Roman" w:eastAsia="宋体" w:cs="Times New Roman"/>
                <w:b/>
                <w:bCs/>
                <w:color w:val="auto"/>
                <w:sz w:val="24"/>
                <w:szCs w:val="24"/>
                <w:u w:val="none"/>
                <w:lang w:val="en-US" w:eastAsia="zh-CN"/>
              </w:rPr>
              <w:t>7-2福清市融元</w:t>
            </w:r>
            <w:r>
              <w:rPr>
                <w:rFonts w:hint="default" w:ascii="Times New Roman" w:hAnsi="Times New Roman" w:eastAsia="宋体" w:cs="Times New Roman"/>
                <w:b/>
                <w:bCs/>
                <w:color w:val="auto"/>
                <w:sz w:val="24"/>
                <w:szCs w:val="24"/>
                <w:u w:val="none"/>
                <w:lang w:val="en-US" w:eastAsia="zh-CN"/>
              </w:rPr>
              <w:t>污水处理厂尾水排放标准一览表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415"/>
              <w:gridCol w:w="2728"/>
              <w:gridCol w:w="3431"/>
            </w:tblGrid>
            <w:tr w14:paraId="6B4B2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04" w:type="pct"/>
                  <w:noWrap w:val="0"/>
                  <w:vAlign w:val="center"/>
                </w:tcPr>
                <w:p w14:paraId="2485B6E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序号</w:t>
                  </w:r>
                </w:p>
              </w:tc>
              <w:tc>
                <w:tcPr>
                  <w:tcW w:w="821" w:type="pct"/>
                  <w:noWrap w:val="0"/>
                  <w:vAlign w:val="center"/>
                </w:tcPr>
                <w:p w14:paraId="5B59126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污染物名称</w:t>
                  </w:r>
                </w:p>
              </w:tc>
              <w:tc>
                <w:tcPr>
                  <w:tcW w:w="1583" w:type="pct"/>
                  <w:noWrap w:val="0"/>
                  <w:vAlign w:val="center"/>
                </w:tcPr>
                <w:p w14:paraId="0411896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一级标准</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标准</w:t>
                  </w:r>
                </w:p>
              </w:tc>
              <w:tc>
                <w:tcPr>
                  <w:tcW w:w="1990" w:type="pct"/>
                  <w:noWrap w:val="0"/>
                  <w:vAlign w:val="center"/>
                </w:tcPr>
                <w:p w14:paraId="00A46E3D">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标准来源</w:t>
                  </w:r>
                </w:p>
              </w:tc>
            </w:tr>
            <w:tr w14:paraId="6A101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4" w:type="pct"/>
                  <w:noWrap w:val="0"/>
                  <w:vAlign w:val="center"/>
                </w:tcPr>
                <w:p w14:paraId="30BB5E98">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1</w:t>
                  </w:r>
                </w:p>
              </w:tc>
              <w:tc>
                <w:tcPr>
                  <w:tcW w:w="821" w:type="pct"/>
                  <w:noWrap w:val="0"/>
                  <w:vAlign w:val="center"/>
                </w:tcPr>
                <w:p w14:paraId="20087DE0">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pH</w:t>
                  </w:r>
                </w:p>
              </w:tc>
              <w:tc>
                <w:tcPr>
                  <w:tcW w:w="1583" w:type="pct"/>
                  <w:noWrap w:val="0"/>
                  <w:vAlign w:val="center"/>
                </w:tcPr>
                <w:p w14:paraId="1EFAE12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rPr>
                    <w:t xml:space="preserve">6～9 </w:t>
                  </w:r>
                  <w:r>
                    <w:rPr>
                      <w:rFonts w:hint="eastAsia" w:cs="Times New Roman"/>
                      <w:color w:val="auto"/>
                      <w:kern w:val="18"/>
                      <w:sz w:val="21"/>
                      <w:szCs w:val="21"/>
                      <w:lang w:eastAsia="zh-CN"/>
                    </w:rPr>
                    <w:t>（</w:t>
                  </w:r>
                  <w:r>
                    <w:rPr>
                      <w:rFonts w:hint="default" w:ascii="Times New Roman" w:hAnsi="Times New Roman" w:eastAsia="宋体" w:cs="Times New Roman"/>
                      <w:color w:val="auto"/>
                      <w:sz w:val="21"/>
                      <w:szCs w:val="21"/>
                    </w:rPr>
                    <w:t>无量纲</w:t>
                  </w:r>
                  <w:r>
                    <w:rPr>
                      <w:rFonts w:hint="eastAsia" w:cs="Times New Roman"/>
                      <w:color w:val="auto"/>
                      <w:sz w:val="21"/>
                      <w:szCs w:val="21"/>
                      <w:lang w:eastAsia="zh-CN"/>
                    </w:rPr>
                    <w:t>）</w:t>
                  </w:r>
                </w:p>
              </w:tc>
              <w:tc>
                <w:tcPr>
                  <w:tcW w:w="1990" w:type="pct"/>
                  <w:vMerge w:val="restart"/>
                  <w:noWrap w:val="0"/>
                  <w:vAlign w:val="center"/>
                </w:tcPr>
                <w:p w14:paraId="4655D1C5">
                  <w:pPr>
                    <w:widowControl/>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GB18918-2002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及其修改单表1</w:t>
                  </w:r>
                </w:p>
              </w:tc>
            </w:tr>
            <w:tr w14:paraId="2C8AE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FB734C3">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2</w:t>
                  </w:r>
                </w:p>
              </w:tc>
              <w:tc>
                <w:tcPr>
                  <w:tcW w:w="821" w:type="pct"/>
                  <w:noWrap w:val="0"/>
                  <w:vAlign w:val="center"/>
                </w:tcPr>
                <w:p w14:paraId="17F5532D">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COD</w:t>
                  </w:r>
                  <w:r>
                    <w:rPr>
                      <w:rFonts w:hint="default" w:ascii="Times New Roman" w:hAnsi="Times New Roman" w:eastAsia="宋体" w:cs="Times New Roman"/>
                      <w:color w:val="auto"/>
                      <w:kern w:val="18"/>
                      <w:sz w:val="21"/>
                      <w:szCs w:val="21"/>
                      <w:highlight w:val="none"/>
                      <w:lang w:val="en-US" w:eastAsia="zh-CN"/>
                    </w:rPr>
                    <w:t>cr</w:t>
                  </w:r>
                </w:p>
              </w:tc>
              <w:tc>
                <w:tcPr>
                  <w:tcW w:w="1583" w:type="pct"/>
                  <w:noWrap w:val="0"/>
                  <w:vAlign w:val="center"/>
                </w:tcPr>
                <w:p w14:paraId="7412B7AF">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6848B943">
                  <w:pPr>
                    <w:widowControl/>
                    <w:spacing w:line="340" w:lineRule="exact"/>
                    <w:jc w:val="left"/>
                    <w:rPr>
                      <w:rFonts w:hint="default" w:ascii="Times New Roman" w:hAnsi="Times New Roman" w:eastAsia="宋体" w:cs="Times New Roman"/>
                      <w:color w:val="auto"/>
                      <w:kern w:val="18"/>
                      <w:sz w:val="21"/>
                      <w:szCs w:val="21"/>
                    </w:rPr>
                  </w:pPr>
                </w:p>
              </w:tc>
            </w:tr>
            <w:tr w14:paraId="09BB62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127FC7B6">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3</w:t>
                  </w:r>
                </w:p>
              </w:tc>
              <w:tc>
                <w:tcPr>
                  <w:tcW w:w="821" w:type="pct"/>
                  <w:noWrap w:val="0"/>
                  <w:vAlign w:val="center"/>
                </w:tcPr>
                <w:p w14:paraId="39688BD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BOD</w:t>
                  </w:r>
                  <w:r>
                    <w:rPr>
                      <w:rFonts w:hint="default" w:ascii="Times New Roman" w:hAnsi="Times New Roman" w:eastAsia="宋体" w:cs="Times New Roman"/>
                      <w:color w:val="auto"/>
                      <w:kern w:val="18"/>
                      <w:sz w:val="21"/>
                      <w:szCs w:val="21"/>
                      <w:vertAlign w:val="subscript"/>
                    </w:rPr>
                    <w:t>5</w:t>
                  </w:r>
                </w:p>
              </w:tc>
              <w:tc>
                <w:tcPr>
                  <w:tcW w:w="1583" w:type="pct"/>
                  <w:noWrap w:val="0"/>
                  <w:vAlign w:val="center"/>
                </w:tcPr>
                <w:p w14:paraId="180E36D7">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0B3B5193">
                  <w:pPr>
                    <w:widowControl/>
                    <w:spacing w:line="340" w:lineRule="exact"/>
                    <w:jc w:val="left"/>
                    <w:rPr>
                      <w:rFonts w:hint="default" w:ascii="Times New Roman" w:hAnsi="Times New Roman" w:eastAsia="宋体" w:cs="Times New Roman"/>
                      <w:color w:val="auto"/>
                      <w:kern w:val="18"/>
                      <w:sz w:val="21"/>
                      <w:szCs w:val="21"/>
                    </w:rPr>
                  </w:pPr>
                </w:p>
              </w:tc>
            </w:tr>
            <w:tr w14:paraId="009D0E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538B5E72">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4</w:t>
                  </w:r>
                </w:p>
              </w:tc>
              <w:tc>
                <w:tcPr>
                  <w:tcW w:w="821" w:type="pct"/>
                  <w:noWrap w:val="0"/>
                  <w:vAlign w:val="center"/>
                </w:tcPr>
                <w:p w14:paraId="4428C2B5">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SS</w:t>
                  </w:r>
                </w:p>
              </w:tc>
              <w:tc>
                <w:tcPr>
                  <w:tcW w:w="1583" w:type="pct"/>
                  <w:noWrap w:val="0"/>
                  <w:vAlign w:val="center"/>
                </w:tcPr>
                <w:p w14:paraId="496D5FF2">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1</w:t>
                  </w:r>
                  <w:r>
                    <w:rPr>
                      <w:rFonts w:hint="default" w:ascii="Times New Roman" w:hAnsi="Times New Roman" w:eastAsia="宋体" w:cs="Times New Roman"/>
                      <w:color w:val="auto"/>
                      <w:kern w:val="18"/>
                      <w:sz w:val="21"/>
                      <w:szCs w:val="21"/>
                    </w:rPr>
                    <w:t>0mg/L</w:t>
                  </w:r>
                </w:p>
              </w:tc>
              <w:tc>
                <w:tcPr>
                  <w:tcW w:w="1990" w:type="pct"/>
                  <w:vMerge w:val="continue"/>
                  <w:noWrap w:val="0"/>
                  <w:vAlign w:val="center"/>
                </w:tcPr>
                <w:p w14:paraId="406B35F6">
                  <w:pPr>
                    <w:widowControl/>
                    <w:spacing w:line="340" w:lineRule="exact"/>
                    <w:jc w:val="left"/>
                    <w:rPr>
                      <w:rFonts w:hint="default" w:ascii="Times New Roman" w:hAnsi="Times New Roman" w:eastAsia="宋体" w:cs="Times New Roman"/>
                      <w:color w:val="auto"/>
                      <w:kern w:val="18"/>
                      <w:sz w:val="21"/>
                      <w:szCs w:val="21"/>
                    </w:rPr>
                  </w:pPr>
                </w:p>
              </w:tc>
            </w:tr>
            <w:tr w14:paraId="13A1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B828654">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5</w:t>
                  </w:r>
                </w:p>
              </w:tc>
              <w:tc>
                <w:tcPr>
                  <w:tcW w:w="821" w:type="pct"/>
                  <w:noWrap w:val="0"/>
                  <w:vAlign w:val="center"/>
                </w:tcPr>
                <w:p w14:paraId="5B5D755A">
                  <w:pPr>
                    <w:spacing w:line="340" w:lineRule="exact"/>
                    <w:jc w:val="center"/>
                    <w:rPr>
                      <w:rFonts w:hint="default" w:ascii="Times New Roman" w:hAnsi="Times New Roman" w:eastAsia="宋体" w:cs="Times New Roman"/>
                      <w:color w:val="auto"/>
                      <w:kern w:val="18"/>
                      <w:sz w:val="21"/>
                      <w:szCs w:val="21"/>
                    </w:rPr>
                  </w:pPr>
                  <w:r>
                    <w:rPr>
                      <w:rFonts w:hint="default" w:ascii="Times New Roman" w:hAnsi="Times New Roman" w:eastAsia="宋体" w:cs="Times New Roman"/>
                      <w:color w:val="auto"/>
                      <w:kern w:val="18"/>
                      <w:sz w:val="21"/>
                      <w:szCs w:val="21"/>
                    </w:rPr>
                    <w:t>NH</w:t>
                  </w:r>
                  <w:r>
                    <w:rPr>
                      <w:rFonts w:hint="default" w:ascii="Times New Roman" w:hAnsi="Times New Roman" w:eastAsia="宋体" w:cs="Times New Roman"/>
                      <w:color w:val="auto"/>
                      <w:kern w:val="18"/>
                      <w:sz w:val="21"/>
                      <w:szCs w:val="21"/>
                      <w:vertAlign w:val="subscript"/>
                    </w:rPr>
                    <w:t>3</w:t>
                  </w:r>
                  <w:r>
                    <w:rPr>
                      <w:rFonts w:hint="default" w:ascii="Times New Roman" w:hAnsi="Times New Roman" w:eastAsia="宋体" w:cs="Times New Roman"/>
                      <w:color w:val="auto"/>
                      <w:kern w:val="18"/>
                      <w:sz w:val="21"/>
                      <w:szCs w:val="21"/>
                    </w:rPr>
                    <w:t>-N</w:t>
                  </w:r>
                </w:p>
              </w:tc>
              <w:tc>
                <w:tcPr>
                  <w:tcW w:w="1583" w:type="pct"/>
                  <w:noWrap w:val="0"/>
                  <w:vAlign w:val="center"/>
                </w:tcPr>
                <w:p w14:paraId="3466C271">
                  <w:pPr>
                    <w:spacing w:line="340" w:lineRule="exact"/>
                    <w:jc w:val="center"/>
                    <w:rPr>
                      <w:rFonts w:hint="default" w:ascii="Times New Roman" w:hAnsi="Times New Roman" w:eastAsia="宋体" w:cs="Times New Roman"/>
                      <w:color w:val="auto"/>
                      <w:kern w:val="18"/>
                      <w:sz w:val="21"/>
                      <w:szCs w:val="21"/>
                      <w:lang w:val="en-US" w:eastAsia="zh-CN" w:bidi="ar-SA"/>
                    </w:rPr>
                  </w:pPr>
                  <w:r>
                    <w:rPr>
                      <w:rFonts w:hint="default" w:ascii="Times New Roman" w:hAnsi="Times New Roman" w:eastAsia="宋体" w:cs="Times New Roman"/>
                      <w:color w:val="auto"/>
                      <w:kern w:val="18"/>
                      <w:sz w:val="21"/>
                      <w:szCs w:val="21"/>
                      <w:lang w:val="en-US" w:eastAsia="zh-CN"/>
                    </w:rPr>
                    <w:t>5</w:t>
                  </w:r>
                  <w:r>
                    <w:rPr>
                      <w:rFonts w:hint="default" w:ascii="Times New Roman" w:hAnsi="Times New Roman" w:eastAsia="宋体" w:cs="Times New Roman"/>
                      <w:color w:val="auto"/>
                      <w:kern w:val="18"/>
                      <w:sz w:val="21"/>
                      <w:szCs w:val="21"/>
                    </w:rPr>
                    <w:t>mg/L</w:t>
                  </w:r>
                </w:p>
              </w:tc>
              <w:tc>
                <w:tcPr>
                  <w:tcW w:w="1990" w:type="pct"/>
                  <w:vMerge w:val="continue"/>
                  <w:noWrap w:val="0"/>
                  <w:vAlign w:val="center"/>
                </w:tcPr>
                <w:p w14:paraId="43252C4F">
                  <w:pPr>
                    <w:widowControl/>
                    <w:spacing w:line="340" w:lineRule="exact"/>
                    <w:jc w:val="center"/>
                    <w:rPr>
                      <w:rFonts w:hint="default" w:ascii="Times New Roman" w:hAnsi="Times New Roman" w:eastAsia="宋体" w:cs="Times New Roman"/>
                      <w:color w:val="auto"/>
                      <w:kern w:val="18"/>
                      <w:sz w:val="21"/>
                      <w:szCs w:val="21"/>
                    </w:rPr>
                  </w:pPr>
                </w:p>
              </w:tc>
            </w:tr>
          </w:tbl>
          <w:p w14:paraId="0086078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0" w:name="_Toc28740"/>
            <w:r>
              <w:rPr>
                <w:rFonts w:hint="eastAsia" w:ascii="Times New Roman" w:hAnsi="Times New Roman" w:eastAsia="宋体" w:cs="Times New Roman"/>
                <w:b/>
                <w:bCs/>
                <w:color w:val="auto"/>
                <w:sz w:val="24"/>
                <w:szCs w:val="24"/>
                <w:u w:val="none"/>
                <w:lang w:val="en-US" w:eastAsia="zh-CN"/>
              </w:rPr>
              <w:t>3.7.2 废气</w:t>
            </w:r>
            <w:bookmarkEnd w:id="50"/>
          </w:p>
          <w:p w14:paraId="6597508B">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（1）项目有组织废气污染物排放标准</w:t>
            </w:r>
          </w:p>
          <w:p w14:paraId="45B690D8">
            <w:pPr>
              <w:pStyle w:val="48"/>
              <w:keepNext w:val="0"/>
              <w:keepLines w:val="0"/>
              <w:pageBreakBefore w:val="0"/>
              <w:widowControl w:val="0"/>
              <w:kinsoku/>
              <w:wordWrap/>
              <w:overflowPunct/>
              <w:bidi w:val="0"/>
              <w:snapToGrid/>
              <w:ind w:firstLine="48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①</w:t>
            </w:r>
            <w:r>
              <w:rPr>
                <w:rFonts w:hint="eastAsia" w:cs="Times New Roman"/>
                <w:bCs/>
                <w:color w:val="auto"/>
                <w:kern w:val="2"/>
                <w:sz w:val="24"/>
                <w:szCs w:val="24"/>
                <w:lang w:val="en-US" w:eastAsia="zh-CN" w:bidi="ar-SA"/>
              </w:rPr>
              <w:t>工业连接器和工业线缆</w:t>
            </w:r>
            <w:r>
              <w:rPr>
                <w:rFonts w:hint="eastAsia" w:ascii="Times New Roman" w:hAnsi="Times New Roman" w:eastAsia="宋体" w:cs="Times New Roman"/>
                <w:bCs/>
                <w:color w:val="auto"/>
                <w:kern w:val="2"/>
                <w:sz w:val="24"/>
                <w:szCs w:val="24"/>
                <w:lang w:val="en-US" w:eastAsia="zh-CN" w:bidi="ar-SA"/>
              </w:rPr>
              <w:t>生产：</w:t>
            </w:r>
            <w:r>
              <w:rPr>
                <w:rFonts w:hint="eastAsia"/>
                <w:color w:val="262626"/>
                <w:sz w:val="24"/>
                <w:lang w:val="en-US" w:eastAsia="zh-CN"/>
              </w:rPr>
              <w:t>工业连接器和工业线缆生产时产生的</w:t>
            </w:r>
            <w:r>
              <w:rPr>
                <w:rFonts w:hint="eastAsia"/>
                <w:color w:val="262626"/>
                <w:sz w:val="24"/>
              </w:rPr>
              <w:t>注塑加热有机废气</w:t>
            </w:r>
            <w:r>
              <w:rPr>
                <w:rFonts w:hint="eastAsia"/>
                <w:color w:val="262626"/>
                <w:sz w:val="24"/>
                <w:lang w:eastAsia="zh-CN"/>
              </w:rPr>
              <w:t>（</w:t>
            </w:r>
            <w:r>
              <w:rPr>
                <w:color w:val="262626"/>
                <w:sz w:val="24"/>
              </w:rPr>
              <w:t>以非甲烷</w:t>
            </w:r>
            <w:r>
              <w:rPr>
                <w:rFonts w:hint="eastAsia"/>
                <w:color w:val="262626"/>
                <w:sz w:val="24"/>
              </w:rPr>
              <w:t>总烃</w:t>
            </w:r>
            <w:r>
              <w:rPr>
                <w:rFonts w:hint="eastAsia"/>
                <w:color w:val="262626"/>
                <w:sz w:val="24"/>
                <w:lang w:val="en-US" w:eastAsia="zh-CN"/>
              </w:rPr>
              <w:t>计）</w:t>
            </w:r>
            <w:r>
              <w:rPr>
                <w:rFonts w:hint="eastAsia"/>
                <w:color w:val="262626"/>
                <w:sz w:val="24"/>
                <w:lang w:eastAsia="zh-CN"/>
              </w:rPr>
              <w:t>、</w:t>
            </w:r>
            <w:r>
              <w:rPr>
                <w:rFonts w:hint="eastAsia"/>
                <w:color w:val="262626"/>
                <w:sz w:val="24"/>
              </w:rPr>
              <w:t>臭气</w:t>
            </w:r>
            <w:r>
              <w:rPr>
                <w:rFonts w:hint="eastAsia"/>
                <w:color w:val="262626"/>
                <w:sz w:val="24"/>
                <w:lang w:eastAsia="zh-CN"/>
              </w:rPr>
              <w:t>；</w:t>
            </w:r>
            <w:r>
              <w:rPr>
                <w:rFonts w:hint="eastAsia"/>
                <w:color w:val="262626"/>
                <w:sz w:val="24"/>
                <w:lang w:val="en-US" w:eastAsia="zh-CN"/>
              </w:rPr>
              <w:t>喷粉</w:t>
            </w:r>
            <w:r>
              <w:rPr>
                <w:rFonts w:hint="eastAsia"/>
                <w:color w:val="262626"/>
                <w:sz w:val="24"/>
                <w:lang w:eastAsia="zh-CN"/>
              </w:rPr>
              <w:t>废气（颗粒物）；</w:t>
            </w:r>
            <w:r>
              <w:rPr>
                <w:rFonts w:hint="eastAsia"/>
                <w:color w:val="262626"/>
                <w:sz w:val="24"/>
                <w:lang w:val="en-US" w:eastAsia="zh-CN"/>
              </w:rPr>
              <w:t>喷粉前除油废气、喷粉废气以及喷粉后烘烤废气。</w:t>
            </w:r>
            <w:r>
              <w:rPr>
                <w:rFonts w:hint="eastAsia" w:ascii="Times New Roman" w:hAnsi="Times New Roman" w:eastAsia="宋体" w:cs="Times New Roman"/>
                <w:bCs/>
                <w:color w:val="auto"/>
                <w:kern w:val="2"/>
                <w:sz w:val="24"/>
                <w:szCs w:val="24"/>
                <w:lang w:val="en-US" w:eastAsia="zh-CN" w:bidi="ar-SA"/>
              </w:rPr>
              <w:t>注塑废气（非甲烷总烃、</w:t>
            </w:r>
            <w:r>
              <w:rPr>
                <w:rFonts w:hint="eastAsia" w:cs="Times New Roman"/>
                <w:bCs/>
                <w:color w:val="auto"/>
                <w:kern w:val="2"/>
                <w:sz w:val="24"/>
                <w:szCs w:val="24"/>
                <w:lang w:val="en-US" w:eastAsia="zh-CN" w:bidi="ar-SA"/>
              </w:rPr>
              <w:t>氨、</w:t>
            </w:r>
            <w:r>
              <w:rPr>
                <w:rFonts w:hint="eastAsia"/>
                <w:bCs/>
                <w:color w:val="auto"/>
                <w:sz w:val="24"/>
                <w:lang w:val="en-US" w:eastAsia="zh-CN"/>
              </w:rPr>
              <w:t>甲苯二异氰酸酯（TDI）、二苯基甲烷二异氰酸酯（MDI）、异佛尔酮二异氰酸酯（IPDI）、多亚甲基多苯基异氰酸酯（PAPI）、</w:t>
            </w:r>
            <w:r>
              <w:rPr>
                <w:rFonts w:hint="eastAsia" w:ascii="Times New Roman" w:hAnsi="Times New Roman" w:eastAsia="宋体" w:cs="Times New Roman"/>
                <w:bCs/>
                <w:color w:val="auto"/>
                <w:kern w:val="2"/>
                <w:sz w:val="24"/>
                <w:szCs w:val="24"/>
                <w:lang w:val="en-US" w:eastAsia="zh-CN" w:bidi="ar-SA"/>
              </w:rPr>
              <w:t>臭气浓度）</w:t>
            </w:r>
            <w:r>
              <w:rPr>
                <w:rFonts w:hint="eastAsia" w:cs="Times New Roman"/>
                <w:bCs/>
                <w:color w:val="auto"/>
                <w:kern w:val="2"/>
                <w:sz w:val="24"/>
                <w:szCs w:val="24"/>
                <w:lang w:val="en-US" w:eastAsia="zh-CN" w:bidi="ar-SA"/>
              </w:rPr>
              <w:t>。</w:t>
            </w:r>
            <w:r>
              <w:rPr>
                <w:rFonts w:hint="eastAsia" w:ascii="Times New Roman" w:hAnsi="Times New Roman" w:eastAsia="宋体" w:cs="Times New Roman"/>
                <w:bCs/>
                <w:color w:val="auto"/>
                <w:kern w:val="2"/>
                <w:sz w:val="24"/>
                <w:szCs w:val="24"/>
                <w:lang w:val="en-US" w:eastAsia="zh-CN" w:bidi="ar-SA"/>
              </w:rPr>
              <w:t>非甲烷总烃</w:t>
            </w:r>
            <w:r>
              <w:rPr>
                <w:rFonts w:hint="eastAsia" w:cs="Times New Roman"/>
                <w:bCs/>
                <w:color w:val="auto"/>
                <w:kern w:val="2"/>
                <w:sz w:val="24"/>
                <w:szCs w:val="24"/>
                <w:lang w:val="en-US" w:eastAsia="zh-CN" w:bidi="ar-SA"/>
              </w:rPr>
              <w:t>、氨、</w:t>
            </w:r>
            <w:r>
              <w:rPr>
                <w:rFonts w:hint="eastAsia"/>
                <w:bCs/>
                <w:color w:val="auto"/>
                <w:sz w:val="24"/>
                <w:lang w:val="en-US" w:eastAsia="zh-CN"/>
              </w:rPr>
              <w:t>甲苯二异氰酸酯（TDI）、二苯基甲烷二异氰酸酯（MDI）、异佛尔酮二异氰酸酯（IPDI）、多亚甲基多苯基异氰酸酯（PAPI）</w:t>
            </w:r>
            <w:r>
              <w:rPr>
                <w:rFonts w:hint="eastAsia" w:ascii="Times New Roman" w:hAnsi="Times New Roman" w:eastAsia="宋体" w:cs="Times New Roman"/>
                <w:bCs/>
                <w:color w:val="auto"/>
                <w:kern w:val="2"/>
                <w:sz w:val="24"/>
                <w:szCs w:val="24"/>
                <w:lang w:val="en-US" w:eastAsia="zh-CN" w:bidi="ar-SA"/>
              </w:rPr>
              <w:t>执行</w:t>
            </w:r>
            <w:r>
              <w:rPr>
                <w:rFonts w:hint="eastAsia" w:ascii="Times New Roman" w:hAnsi="Times New Roman" w:eastAsia="宋体" w:cs="Times New Roman"/>
                <w:color w:val="auto"/>
                <w:sz w:val="24"/>
                <w:u w:val="none"/>
                <w:lang w:eastAsia="zh-CN"/>
              </w:rPr>
              <w:t>《合成树脂工业污染物排放标准》</w:t>
            </w:r>
            <w:r>
              <w:rPr>
                <w:rFonts w:hint="eastAsia" w:ascii="Times New Roman" w:hAnsi="Times New Roman" w:cs="Times New Roman"/>
                <w:color w:val="auto"/>
                <w:sz w:val="24"/>
                <w:u w:val="none"/>
                <w:lang w:eastAsia="zh-CN"/>
              </w:rPr>
              <w:t>（</w:t>
            </w:r>
            <w:r>
              <w:rPr>
                <w:rFonts w:hint="eastAsia" w:ascii="Times New Roman" w:hAnsi="Times New Roman" w:eastAsia="宋体" w:cs="Times New Roman"/>
                <w:color w:val="auto"/>
                <w:sz w:val="24"/>
                <w:u w:val="none"/>
                <w:lang w:eastAsia="zh-CN"/>
              </w:rPr>
              <w:t>GB31572-2015</w:t>
            </w:r>
            <w:r>
              <w:rPr>
                <w:rFonts w:hint="eastAsia" w:ascii="Times New Roman" w:hAnsi="Times New Roman" w:cs="Times New Roman"/>
                <w:color w:val="auto"/>
                <w:sz w:val="24"/>
                <w:u w:val="none"/>
                <w:lang w:eastAsia="zh-CN"/>
              </w:rPr>
              <w:t>）</w:t>
            </w:r>
            <w:r>
              <w:rPr>
                <w:rFonts w:hint="eastAsia" w:ascii="Times New Roman" w:hAnsi="Times New Roman" w:eastAsia="宋体" w:cs="Times New Roman"/>
                <w:color w:val="auto"/>
                <w:sz w:val="24"/>
                <w:u w:val="none"/>
                <w:lang w:eastAsia="zh-CN"/>
              </w:rPr>
              <w:t>及修改单</w:t>
            </w:r>
            <w:r>
              <w:rPr>
                <w:rFonts w:hint="eastAsia" w:ascii="Times New Roman" w:hAnsi="Times New Roman" w:cs="Times New Roman"/>
                <w:color w:val="auto"/>
                <w:sz w:val="24"/>
                <w:u w:val="none"/>
                <w:lang w:val="en-US" w:eastAsia="zh-CN"/>
              </w:rPr>
              <w:t>（</w:t>
            </w:r>
            <w:r>
              <w:rPr>
                <w:rFonts w:ascii="Times New Roman" w:hAnsi="Times New Roman" w:eastAsia="宋体" w:cs="Times New Roman"/>
                <w:color w:val="auto"/>
                <w:kern w:val="0"/>
                <w:sz w:val="24"/>
                <w:szCs w:val="24"/>
                <w:u w:val="none"/>
                <w:lang w:val="en-US" w:eastAsia="zh-CN" w:bidi="ar"/>
              </w:rPr>
              <w:t>2024年7月1日起实施</w:t>
            </w:r>
            <w:r>
              <w:rPr>
                <w:rFonts w:hint="eastAsia" w:ascii="Times New Roman" w:hAnsi="Times New Roman" w:cs="Times New Roman"/>
                <w:color w:val="auto"/>
                <w:sz w:val="24"/>
                <w:u w:val="none"/>
                <w:lang w:val="en-US" w:eastAsia="zh-CN"/>
              </w:rPr>
              <w:t>）</w:t>
            </w:r>
            <w:r>
              <w:rPr>
                <w:rFonts w:hint="eastAsia" w:ascii="Times New Roman" w:hAnsi="Times New Roman" w:eastAsia="宋体" w:cs="Times New Roman"/>
                <w:color w:val="auto"/>
                <w:sz w:val="24"/>
                <w:u w:val="none"/>
                <w:lang w:eastAsia="zh-CN"/>
              </w:rPr>
              <w:t>的表</w:t>
            </w:r>
            <w:r>
              <w:rPr>
                <w:rFonts w:hint="eastAsia" w:ascii="Times New Roman" w:hAnsi="Times New Roman" w:eastAsia="宋体" w:cs="Times New Roman"/>
                <w:color w:val="auto"/>
                <w:sz w:val="24"/>
                <w:u w:val="none"/>
                <w:lang w:val="en-US" w:eastAsia="zh-CN"/>
              </w:rPr>
              <w:t>5</w:t>
            </w:r>
            <w:r>
              <w:rPr>
                <w:rFonts w:hint="eastAsia" w:ascii="Times New Roman" w:hAnsi="Times New Roman" w:eastAsia="宋体" w:cs="Times New Roman"/>
                <w:color w:val="auto"/>
                <w:sz w:val="24"/>
                <w:u w:val="none"/>
                <w:lang w:eastAsia="zh-CN"/>
              </w:rPr>
              <w:t>的</w:t>
            </w:r>
            <w:r>
              <w:rPr>
                <w:rFonts w:hint="default" w:ascii="Times New Roman" w:hAnsi="Times New Roman" w:eastAsia="宋体" w:cs="Times New Roman"/>
                <w:bCs/>
                <w:color w:val="auto"/>
                <w:kern w:val="2"/>
                <w:sz w:val="24"/>
                <w:szCs w:val="24"/>
                <w:u w:val="none"/>
                <w:lang w:val="en-US" w:eastAsia="zh-CN" w:bidi="ar-SA"/>
              </w:rPr>
              <w:t>大气污染物特别排放限值</w:t>
            </w:r>
            <w:r>
              <w:rPr>
                <w:rFonts w:hint="eastAsia" w:ascii="Times New Roman" w:hAnsi="Times New Roman" w:cs="Times New Roman"/>
                <w:bCs/>
                <w:color w:val="auto"/>
                <w:kern w:val="2"/>
                <w:sz w:val="24"/>
                <w:szCs w:val="24"/>
                <w:u w:val="none"/>
                <w:lang w:val="en-US" w:eastAsia="zh-CN" w:bidi="ar-SA"/>
              </w:rPr>
              <w:t>，臭气浓度执行</w:t>
            </w:r>
            <w:r>
              <w:rPr>
                <w:rFonts w:hint="eastAsia" w:ascii="Times New Roman" w:hAnsi="Times New Roman" w:eastAsia="宋体" w:cs="Times New Roman"/>
                <w:color w:val="auto"/>
                <w:sz w:val="24"/>
                <w:u w:val="none"/>
                <w:lang w:eastAsia="zh-CN"/>
              </w:rPr>
              <w:t>《恶臭污染物排放标准》</w:t>
            </w:r>
            <w:r>
              <w:rPr>
                <w:rFonts w:hint="eastAsia" w:cs="Times New Roman"/>
                <w:color w:val="auto"/>
                <w:sz w:val="24"/>
                <w:u w:val="none"/>
                <w:lang w:eastAsia="zh-CN"/>
              </w:rPr>
              <w:t>（</w:t>
            </w:r>
            <w:r>
              <w:rPr>
                <w:rFonts w:hint="eastAsia" w:ascii="Times New Roman" w:hAnsi="Times New Roman" w:eastAsia="宋体" w:cs="Times New Roman"/>
                <w:color w:val="auto"/>
                <w:sz w:val="24"/>
                <w:u w:val="none"/>
                <w:lang w:eastAsia="zh-CN"/>
              </w:rPr>
              <w:t>GB14554-93</w:t>
            </w:r>
            <w:r>
              <w:rPr>
                <w:rFonts w:hint="eastAsia" w:cs="Times New Roman"/>
                <w:color w:val="auto"/>
                <w:sz w:val="24"/>
                <w:u w:val="none"/>
                <w:lang w:eastAsia="zh-CN"/>
              </w:rPr>
              <w:t>）</w:t>
            </w:r>
            <w:r>
              <w:rPr>
                <w:rFonts w:hint="eastAsia" w:ascii="Times New Roman" w:hAnsi="Times New Roman" w:eastAsia="宋体" w:cs="Times New Roman"/>
                <w:color w:val="auto"/>
                <w:sz w:val="24"/>
                <w:u w:val="none"/>
                <w:lang w:eastAsia="zh-CN"/>
              </w:rPr>
              <w:t>表2标准限值</w:t>
            </w:r>
            <w:r>
              <w:rPr>
                <w:rFonts w:hint="eastAsia" w:cs="Times New Roman"/>
                <w:color w:val="auto"/>
                <w:sz w:val="24"/>
                <w:u w:val="none"/>
                <w:lang w:eastAsia="zh-CN"/>
              </w:rPr>
              <w:t>；</w:t>
            </w:r>
            <w:r>
              <w:rPr>
                <w:rFonts w:hint="eastAsia" w:cs="Times New Roman"/>
                <w:color w:val="auto"/>
                <w:sz w:val="24"/>
                <w:u w:val="none"/>
                <w:lang w:val="en-US" w:eastAsia="zh-CN"/>
              </w:rPr>
              <w:t>喷粉废气（颗粒物）和投料废气（颗粒物）执行《合成树脂工业污染物排放标准》（GB31572-2015）中表5大气污染物排放限值，</w:t>
            </w:r>
            <w:r>
              <w:rPr>
                <w:rFonts w:hint="eastAsia" w:ascii="Times New Roman" w:hAnsi="Times New Roman" w:eastAsia="宋体" w:cs="Times New Roman"/>
                <w:color w:val="auto"/>
                <w:sz w:val="24"/>
                <w:u w:val="none"/>
                <w:lang w:eastAsia="zh-CN"/>
              </w:rPr>
              <w:t>上述标准具体详见表3.7-3。</w:t>
            </w:r>
          </w:p>
          <w:p w14:paraId="31E0F824">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表3.7-3 有组织废气污染物排放标准</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368"/>
              <w:gridCol w:w="1162"/>
              <w:gridCol w:w="944"/>
              <w:gridCol w:w="962"/>
              <w:gridCol w:w="3226"/>
            </w:tblGrid>
            <w:tr w14:paraId="3CDF3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4" w:type="pct"/>
                  <w:tcBorders>
                    <w:tl2br w:val="nil"/>
                    <w:tr2bl w:val="nil"/>
                  </w:tcBorders>
                  <w:vAlign w:val="center"/>
                </w:tcPr>
                <w:p w14:paraId="4925A6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污染物产生工段</w:t>
                  </w:r>
                </w:p>
              </w:tc>
              <w:tc>
                <w:tcPr>
                  <w:tcW w:w="794" w:type="pct"/>
                  <w:tcBorders>
                    <w:tl2br w:val="nil"/>
                    <w:tr2bl w:val="nil"/>
                  </w:tcBorders>
                  <w:vAlign w:val="center"/>
                </w:tcPr>
                <w:p w14:paraId="04E5BA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污染物名称</w:t>
                  </w:r>
                </w:p>
              </w:tc>
              <w:tc>
                <w:tcPr>
                  <w:tcW w:w="674" w:type="pct"/>
                  <w:tcBorders>
                    <w:tl2br w:val="nil"/>
                    <w:tr2bl w:val="nil"/>
                  </w:tcBorders>
                  <w:vAlign w:val="center"/>
                </w:tcPr>
                <w:p w14:paraId="24A345E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最高允许排放浓度</w:t>
                  </w:r>
                  <w:r>
                    <w:rPr>
                      <w:rFonts w:hint="default" w:ascii="Times New Roman" w:hAnsi="Times New Roman" w:eastAsia="宋体" w:cs="Times New Roman"/>
                      <w:b w:val="0"/>
                      <w:bCs w:val="0"/>
                      <w:color w:val="auto"/>
                      <w:sz w:val="21"/>
                      <w:szCs w:val="21"/>
                      <w:u w:val="none"/>
                      <w:lang w:val="en-US" w:eastAsia="zh-CN"/>
                    </w:rPr>
                    <w:t>mg/m</w:t>
                  </w:r>
                  <w:r>
                    <w:rPr>
                      <w:rFonts w:hint="default" w:ascii="Times New Roman" w:hAnsi="Times New Roman" w:eastAsia="宋体" w:cs="Times New Roman"/>
                      <w:b w:val="0"/>
                      <w:bCs w:val="0"/>
                      <w:color w:val="auto"/>
                      <w:sz w:val="21"/>
                      <w:szCs w:val="21"/>
                      <w:u w:val="none"/>
                      <w:vertAlign w:val="superscript"/>
                      <w:lang w:val="en-US" w:eastAsia="zh-CN"/>
                    </w:rPr>
                    <w:t>3</w:t>
                  </w:r>
                </w:p>
              </w:tc>
              <w:tc>
                <w:tcPr>
                  <w:tcW w:w="548" w:type="pct"/>
                  <w:tcBorders>
                    <w:tl2br w:val="nil"/>
                    <w:tr2bl w:val="nil"/>
                  </w:tcBorders>
                  <w:vAlign w:val="center"/>
                </w:tcPr>
                <w:p w14:paraId="2F3BC5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排气筒编号</w:t>
                  </w:r>
                </w:p>
              </w:tc>
              <w:tc>
                <w:tcPr>
                  <w:tcW w:w="558" w:type="pct"/>
                  <w:tcBorders>
                    <w:tl2br w:val="nil"/>
                    <w:tr2bl w:val="nil"/>
                  </w:tcBorders>
                  <w:vAlign w:val="center"/>
                </w:tcPr>
                <w:p w14:paraId="361DCC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排气筒高度</w:t>
                  </w:r>
                </w:p>
                <w:p w14:paraId="093FCF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w:t>
                  </w:r>
                </w:p>
              </w:tc>
              <w:tc>
                <w:tcPr>
                  <w:tcW w:w="1870" w:type="pct"/>
                  <w:tcBorders>
                    <w:tl2br w:val="nil"/>
                    <w:tr2bl w:val="nil"/>
                  </w:tcBorders>
                  <w:vAlign w:val="center"/>
                </w:tcPr>
                <w:p w14:paraId="60CB8E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执行标准</w:t>
                  </w:r>
                </w:p>
              </w:tc>
            </w:tr>
            <w:tr w14:paraId="3E84F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restart"/>
                  <w:tcBorders>
                    <w:tl2br w:val="nil"/>
                    <w:tr2bl w:val="nil"/>
                  </w:tcBorders>
                  <w:vAlign w:val="center"/>
                </w:tcPr>
                <w:p w14:paraId="2BF6EB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注塑</w:t>
                  </w:r>
                  <w:r>
                    <w:rPr>
                      <w:rFonts w:hint="eastAsia" w:cs="Times New Roman"/>
                      <w:b w:val="0"/>
                      <w:bCs w:val="0"/>
                      <w:sz w:val="21"/>
                      <w:szCs w:val="21"/>
                      <w:vertAlign w:val="baseline"/>
                      <w:lang w:val="en-US" w:eastAsia="zh-CN"/>
                    </w:rPr>
                    <w:t>、包胶、烘烤、除油</w:t>
                  </w:r>
                </w:p>
              </w:tc>
              <w:tc>
                <w:tcPr>
                  <w:tcW w:w="794" w:type="pct"/>
                  <w:tcBorders>
                    <w:tl2br w:val="nil"/>
                    <w:tr2bl w:val="nil"/>
                  </w:tcBorders>
                  <w:vAlign w:val="center"/>
                </w:tcPr>
                <w:p w14:paraId="5F5518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674" w:type="pct"/>
                  <w:tcBorders>
                    <w:tl2br w:val="nil"/>
                    <w:tr2bl w:val="nil"/>
                  </w:tcBorders>
                  <w:vAlign w:val="center"/>
                </w:tcPr>
                <w:p w14:paraId="75165E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60</w:t>
                  </w:r>
                </w:p>
              </w:tc>
              <w:tc>
                <w:tcPr>
                  <w:tcW w:w="548" w:type="pct"/>
                  <w:vMerge w:val="restart"/>
                  <w:tcBorders>
                    <w:tl2br w:val="nil"/>
                    <w:tr2bl w:val="nil"/>
                  </w:tcBorders>
                  <w:shd w:val="clear" w:color="auto" w:fill="auto"/>
                  <w:vAlign w:val="center"/>
                </w:tcPr>
                <w:p w14:paraId="62205A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DA001</w:t>
                  </w:r>
                </w:p>
              </w:tc>
              <w:tc>
                <w:tcPr>
                  <w:tcW w:w="558" w:type="pct"/>
                  <w:vMerge w:val="restart"/>
                  <w:tcBorders>
                    <w:tl2br w:val="nil"/>
                    <w:tr2bl w:val="nil"/>
                  </w:tcBorders>
                  <w:shd w:val="clear" w:color="auto" w:fill="auto"/>
                  <w:vAlign w:val="center"/>
                </w:tcPr>
                <w:p w14:paraId="180FEA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15</w:t>
                  </w:r>
                </w:p>
              </w:tc>
              <w:tc>
                <w:tcPr>
                  <w:tcW w:w="1870" w:type="pct"/>
                  <w:vMerge w:val="restart"/>
                  <w:tcBorders>
                    <w:tl2br w:val="nil"/>
                    <w:tr2bl w:val="nil"/>
                  </w:tcBorders>
                  <w:vAlign w:val="center"/>
                </w:tcPr>
                <w:p w14:paraId="795D7C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《合成树脂工业污染物排放标准》（GB31572-2015）及修改单（2024年7月1日起实施）的表5的大气污染物特别排放限值</w:t>
                  </w:r>
                </w:p>
              </w:tc>
            </w:tr>
            <w:tr w14:paraId="5645E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continue"/>
                  <w:tcBorders>
                    <w:tl2br w:val="nil"/>
                    <w:tr2bl w:val="nil"/>
                  </w:tcBorders>
                  <w:vAlign w:val="center"/>
                </w:tcPr>
                <w:p w14:paraId="1FDD56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0CBB2A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氨</w:t>
                  </w:r>
                </w:p>
              </w:tc>
              <w:tc>
                <w:tcPr>
                  <w:tcW w:w="674" w:type="pct"/>
                  <w:tcBorders>
                    <w:tl2br w:val="nil"/>
                    <w:tr2bl w:val="nil"/>
                  </w:tcBorders>
                  <w:vAlign w:val="center"/>
                </w:tcPr>
                <w:p w14:paraId="17290C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w:t>
                  </w:r>
                </w:p>
              </w:tc>
              <w:tc>
                <w:tcPr>
                  <w:tcW w:w="548" w:type="pct"/>
                  <w:vMerge w:val="continue"/>
                  <w:tcBorders>
                    <w:tl2br w:val="nil"/>
                    <w:tr2bl w:val="nil"/>
                  </w:tcBorders>
                  <w:shd w:val="clear" w:color="auto" w:fill="auto"/>
                  <w:vAlign w:val="center"/>
                </w:tcPr>
                <w:p w14:paraId="259CD4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shd w:val="clear" w:color="auto" w:fill="auto"/>
                  <w:vAlign w:val="center"/>
                </w:tcPr>
                <w:p w14:paraId="620BA1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vMerge w:val="continue"/>
                  <w:tcBorders>
                    <w:tl2br w:val="nil"/>
                    <w:tr2bl w:val="nil"/>
                  </w:tcBorders>
                  <w:vAlign w:val="center"/>
                </w:tcPr>
                <w:p w14:paraId="539FED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047DA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continue"/>
                  <w:tcBorders>
                    <w:tl2br w:val="nil"/>
                    <w:tr2bl w:val="nil"/>
                  </w:tcBorders>
                  <w:vAlign w:val="center"/>
                </w:tcPr>
                <w:p w14:paraId="34B7F6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6E09A7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甲苯二异氰酸酯</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TDI</w:t>
                  </w:r>
                  <w:r>
                    <w:rPr>
                      <w:rFonts w:hint="eastAsia" w:cs="Times New Roman"/>
                      <w:b w:val="0"/>
                      <w:bCs w:val="0"/>
                      <w:color w:val="auto"/>
                      <w:sz w:val="21"/>
                      <w:szCs w:val="21"/>
                      <w:vertAlign w:val="baseline"/>
                      <w:lang w:val="en-US" w:eastAsia="zh-CN"/>
                    </w:rPr>
                    <w:t>）*</w:t>
                  </w:r>
                </w:p>
              </w:tc>
              <w:tc>
                <w:tcPr>
                  <w:tcW w:w="674" w:type="pct"/>
                  <w:tcBorders>
                    <w:tl2br w:val="nil"/>
                    <w:tr2bl w:val="nil"/>
                  </w:tcBorders>
                  <w:vAlign w:val="center"/>
                </w:tcPr>
                <w:p w14:paraId="57F8E4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548" w:type="pct"/>
                  <w:vMerge w:val="continue"/>
                  <w:tcBorders>
                    <w:tl2br w:val="nil"/>
                    <w:tr2bl w:val="nil"/>
                  </w:tcBorders>
                  <w:shd w:val="clear" w:color="auto" w:fill="auto"/>
                  <w:vAlign w:val="center"/>
                </w:tcPr>
                <w:p w14:paraId="031F1E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shd w:val="clear" w:color="auto" w:fill="auto"/>
                  <w:vAlign w:val="center"/>
                </w:tcPr>
                <w:p w14:paraId="5C58337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vMerge w:val="continue"/>
                  <w:tcBorders>
                    <w:tl2br w:val="nil"/>
                    <w:tr2bl w:val="nil"/>
                  </w:tcBorders>
                  <w:vAlign w:val="center"/>
                </w:tcPr>
                <w:p w14:paraId="02CCAF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3C0D7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continue"/>
                  <w:tcBorders>
                    <w:tl2br w:val="nil"/>
                    <w:tr2bl w:val="nil"/>
                  </w:tcBorders>
                  <w:vAlign w:val="center"/>
                </w:tcPr>
                <w:p w14:paraId="4CA28E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1764E0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二苯基甲烷二异氰酸酯</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MDI</w:t>
                  </w:r>
                  <w:r>
                    <w:rPr>
                      <w:rFonts w:hint="eastAsia" w:cs="Times New Roman"/>
                      <w:b w:val="0"/>
                      <w:bCs w:val="0"/>
                      <w:color w:val="auto"/>
                      <w:sz w:val="21"/>
                      <w:szCs w:val="21"/>
                      <w:vertAlign w:val="baseline"/>
                      <w:lang w:val="en-US" w:eastAsia="zh-CN"/>
                    </w:rPr>
                    <w:t>）*</w:t>
                  </w:r>
                </w:p>
              </w:tc>
              <w:tc>
                <w:tcPr>
                  <w:tcW w:w="674" w:type="pct"/>
                  <w:tcBorders>
                    <w:tl2br w:val="nil"/>
                    <w:tr2bl w:val="nil"/>
                  </w:tcBorders>
                  <w:vAlign w:val="center"/>
                </w:tcPr>
                <w:p w14:paraId="05605B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548" w:type="pct"/>
                  <w:vMerge w:val="continue"/>
                  <w:tcBorders>
                    <w:tl2br w:val="nil"/>
                    <w:tr2bl w:val="nil"/>
                  </w:tcBorders>
                  <w:shd w:val="clear" w:color="auto" w:fill="auto"/>
                  <w:vAlign w:val="center"/>
                </w:tcPr>
                <w:p w14:paraId="4BEFB6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shd w:val="clear" w:color="auto" w:fill="auto"/>
                  <w:vAlign w:val="center"/>
                </w:tcPr>
                <w:p w14:paraId="740659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vMerge w:val="continue"/>
                  <w:tcBorders>
                    <w:tl2br w:val="nil"/>
                    <w:tr2bl w:val="nil"/>
                  </w:tcBorders>
                  <w:vAlign w:val="center"/>
                </w:tcPr>
                <w:p w14:paraId="3EBEAC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5D581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continue"/>
                  <w:tcBorders>
                    <w:tl2br w:val="nil"/>
                    <w:tr2bl w:val="nil"/>
                  </w:tcBorders>
                  <w:vAlign w:val="center"/>
                </w:tcPr>
                <w:p w14:paraId="2877BE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34670C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异佛尔酮二异氰酸酯</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IPDI</w:t>
                  </w:r>
                  <w:r>
                    <w:rPr>
                      <w:rFonts w:hint="eastAsia" w:cs="Times New Roman"/>
                      <w:b w:val="0"/>
                      <w:bCs w:val="0"/>
                      <w:color w:val="auto"/>
                      <w:sz w:val="21"/>
                      <w:szCs w:val="21"/>
                      <w:vertAlign w:val="baseline"/>
                      <w:lang w:val="en-US" w:eastAsia="zh-CN"/>
                    </w:rPr>
                    <w:t>）*</w:t>
                  </w:r>
                </w:p>
              </w:tc>
              <w:tc>
                <w:tcPr>
                  <w:tcW w:w="674" w:type="pct"/>
                  <w:tcBorders>
                    <w:tl2br w:val="nil"/>
                    <w:tr2bl w:val="nil"/>
                  </w:tcBorders>
                  <w:vAlign w:val="center"/>
                </w:tcPr>
                <w:p w14:paraId="74BBDC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548" w:type="pct"/>
                  <w:vMerge w:val="continue"/>
                  <w:tcBorders>
                    <w:tl2br w:val="nil"/>
                    <w:tr2bl w:val="nil"/>
                  </w:tcBorders>
                  <w:shd w:val="clear" w:color="auto" w:fill="auto"/>
                  <w:vAlign w:val="center"/>
                </w:tcPr>
                <w:p w14:paraId="037411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shd w:val="clear" w:color="auto" w:fill="auto"/>
                  <w:vAlign w:val="center"/>
                </w:tcPr>
                <w:p w14:paraId="5B0731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vMerge w:val="continue"/>
                  <w:tcBorders>
                    <w:tl2br w:val="nil"/>
                    <w:tr2bl w:val="nil"/>
                  </w:tcBorders>
                  <w:vAlign w:val="center"/>
                </w:tcPr>
                <w:p w14:paraId="0706B2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66DBD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54" w:type="pct"/>
                  <w:vMerge w:val="continue"/>
                  <w:tcBorders>
                    <w:tl2br w:val="nil"/>
                    <w:tr2bl w:val="nil"/>
                  </w:tcBorders>
                  <w:vAlign w:val="center"/>
                </w:tcPr>
                <w:p w14:paraId="73E4CC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29D243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多亚甲基多苯基异氰酸酯</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PAPI</w:t>
                  </w:r>
                  <w:r>
                    <w:rPr>
                      <w:rFonts w:hint="eastAsia" w:cs="Times New Roman"/>
                      <w:b w:val="0"/>
                      <w:bCs w:val="0"/>
                      <w:color w:val="auto"/>
                      <w:sz w:val="21"/>
                      <w:szCs w:val="21"/>
                      <w:vertAlign w:val="baseline"/>
                      <w:lang w:val="en-US" w:eastAsia="zh-CN"/>
                    </w:rPr>
                    <w:t>）*</w:t>
                  </w:r>
                </w:p>
              </w:tc>
              <w:tc>
                <w:tcPr>
                  <w:tcW w:w="674" w:type="pct"/>
                  <w:tcBorders>
                    <w:tl2br w:val="nil"/>
                    <w:tr2bl w:val="nil"/>
                  </w:tcBorders>
                  <w:vAlign w:val="center"/>
                </w:tcPr>
                <w:p w14:paraId="6E249F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w:t>
                  </w:r>
                </w:p>
              </w:tc>
              <w:tc>
                <w:tcPr>
                  <w:tcW w:w="548" w:type="pct"/>
                  <w:vMerge w:val="continue"/>
                  <w:tcBorders>
                    <w:tl2br w:val="nil"/>
                    <w:tr2bl w:val="nil"/>
                  </w:tcBorders>
                  <w:shd w:val="clear" w:color="auto" w:fill="auto"/>
                  <w:vAlign w:val="center"/>
                </w:tcPr>
                <w:p w14:paraId="347A98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shd w:val="clear" w:color="auto" w:fill="auto"/>
                  <w:vAlign w:val="center"/>
                </w:tcPr>
                <w:p w14:paraId="0D45AA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vMerge w:val="continue"/>
                  <w:tcBorders>
                    <w:tl2br w:val="nil"/>
                    <w:tr2bl w:val="nil"/>
                  </w:tcBorders>
                  <w:vAlign w:val="center"/>
                </w:tcPr>
                <w:p w14:paraId="2B50B2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0C529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554" w:type="pct"/>
                  <w:vMerge w:val="continue"/>
                  <w:tcBorders>
                    <w:tl2br w:val="nil"/>
                    <w:tr2bl w:val="nil"/>
                  </w:tcBorders>
                  <w:vAlign w:val="center"/>
                </w:tcPr>
                <w:p w14:paraId="6A5EB5C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794" w:type="pct"/>
                  <w:tcBorders>
                    <w:tl2br w:val="nil"/>
                    <w:tr2bl w:val="nil"/>
                  </w:tcBorders>
                  <w:vAlign w:val="center"/>
                </w:tcPr>
                <w:p w14:paraId="26737B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臭气浓度</w:t>
                  </w:r>
                </w:p>
              </w:tc>
              <w:tc>
                <w:tcPr>
                  <w:tcW w:w="674" w:type="pct"/>
                  <w:tcBorders>
                    <w:tl2br w:val="nil"/>
                    <w:tr2bl w:val="nil"/>
                  </w:tcBorders>
                  <w:vAlign w:val="center"/>
                </w:tcPr>
                <w:p w14:paraId="069400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2000</w:t>
                  </w:r>
                </w:p>
                <w:p w14:paraId="4AAD15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无量纲</w:t>
                  </w:r>
                </w:p>
              </w:tc>
              <w:tc>
                <w:tcPr>
                  <w:tcW w:w="548" w:type="pct"/>
                  <w:vMerge w:val="continue"/>
                  <w:tcBorders>
                    <w:tl2br w:val="nil"/>
                    <w:tr2bl w:val="nil"/>
                  </w:tcBorders>
                  <w:vAlign w:val="center"/>
                </w:tcPr>
                <w:p w14:paraId="23CF8C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558" w:type="pct"/>
                  <w:vMerge w:val="continue"/>
                  <w:tcBorders>
                    <w:tl2br w:val="nil"/>
                    <w:tr2bl w:val="nil"/>
                  </w:tcBorders>
                  <w:vAlign w:val="center"/>
                </w:tcPr>
                <w:p w14:paraId="60B122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870" w:type="pct"/>
                  <w:tcBorders>
                    <w:tl2br w:val="nil"/>
                    <w:tr2bl w:val="nil"/>
                  </w:tcBorders>
                  <w:vAlign w:val="center"/>
                </w:tcPr>
                <w:p w14:paraId="666EC8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《恶臭污染物排放标准》</w:t>
                  </w:r>
                  <w:r>
                    <w:rPr>
                      <w:rFonts w:hint="eastAsia"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GB14554-93</w:t>
                  </w:r>
                  <w:r>
                    <w:rPr>
                      <w:rFonts w:hint="eastAsia"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rPr>
                    <w:t>表2标准限值</w:t>
                  </w:r>
                </w:p>
              </w:tc>
            </w:tr>
            <w:tr w14:paraId="4008C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554" w:type="pct"/>
                  <w:tcBorders>
                    <w:tl2br w:val="nil"/>
                    <w:tr2bl w:val="nil"/>
                  </w:tcBorders>
                  <w:vAlign w:val="center"/>
                </w:tcPr>
                <w:p w14:paraId="2C6A98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喷粉、投料</w:t>
                  </w:r>
                </w:p>
              </w:tc>
              <w:tc>
                <w:tcPr>
                  <w:tcW w:w="794" w:type="pct"/>
                  <w:tcBorders>
                    <w:tl2br w:val="nil"/>
                    <w:tr2bl w:val="nil"/>
                  </w:tcBorders>
                  <w:vAlign w:val="center"/>
                </w:tcPr>
                <w:p w14:paraId="2D4DA3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674" w:type="pct"/>
                  <w:tcBorders>
                    <w:tl2br w:val="nil"/>
                    <w:tr2bl w:val="nil"/>
                  </w:tcBorders>
                  <w:vAlign w:val="center"/>
                </w:tcPr>
                <w:p w14:paraId="1404BB3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w:t>
                  </w:r>
                </w:p>
              </w:tc>
              <w:tc>
                <w:tcPr>
                  <w:tcW w:w="548" w:type="pct"/>
                  <w:vMerge w:val="continue"/>
                  <w:tcBorders>
                    <w:tl2br w:val="nil"/>
                    <w:tr2bl w:val="nil"/>
                  </w:tcBorders>
                  <w:shd w:val="clear" w:color="auto" w:fill="auto"/>
                  <w:vAlign w:val="center"/>
                </w:tcPr>
                <w:p w14:paraId="5D84AB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p>
              </w:tc>
              <w:tc>
                <w:tcPr>
                  <w:tcW w:w="558" w:type="pct"/>
                  <w:vMerge w:val="continue"/>
                  <w:tcBorders>
                    <w:tl2br w:val="nil"/>
                    <w:tr2bl w:val="nil"/>
                  </w:tcBorders>
                  <w:shd w:val="clear" w:color="auto" w:fill="auto"/>
                  <w:vAlign w:val="center"/>
                </w:tcPr>
                <w:p w14:paraId="60360F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p>
              </w:tc>
              <w:tc>
                <w:tcPr>
                  <w:tcW w:w="1870" w:type="pct"/>
                  <w:tcBorders>
                    <w:tl2br w:val="nil"/>
                    <w:tr2bl w:val="nil"/>
                  </w:tcBorders>
                  <w:vAlign w:val="center"/>
                </w:tcPr>
                <w:p w14:paraId="4CA2ED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《合成树脂工业污染物排放标准》（GB31572-2015）中表5大气污染物排放限值</w:t>
                  </w:r>
                </w:p>
              </w:tc>
            </w:tr>
            <w:tr w14:paraId="050ED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000" w:type="pct"/>
                  <w:gridSpan w:val="6"/>
                  <w:tcBorders>
                    <w:tl2br w:val="nil"/>
                    <w:tr2bl w:val="nil"/>
                  </w:tcBorders>
                  <w:vAlign w:val="center"/>
                </w:tcPr>
                <w:p w14:paraId="08DB83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color w:val="auto"/>
                      <w:spacing w:val="0"/>
                      <w:sz w:val="21"/>
                      <w:szCs w:val="21"/>
                      <w:highlight w:val="none"/>
                      <w:lang w:val="en-US" w:eastAsia="zh-CN" w:bidi="he-IL"/>
                    </w:rPr>
                  </w:pPr>
                  <w:r>
                    <w:rPr>
                      <w:rFonts w:hint="eastAsia" w:cs="Times New Roman"/>
                      <w:b w:val="0"/>
                      <w:bCs w:val="0"/>
                      <w:color w:val="auto"/>
                      <w:sz w:val="21"/>
                      <w:szCs w:val="21"/>
                      <w:vertAlign w:val="baseline"/>
                      <w:lang w:val="en-US" w:eastAsia="zh-CN"/>
                    </w:rPr>
                    <w:t>*注：*待国家污染物监测方法标准发布后实施。</w:t>
                  </w:r>
                </w:p>
              </w:tc>
            </w:tr>
          </w:tbl>
          <w:p w14:paraId="513E7D93">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（2）项目无组织废气污染物排放标准</w:t>
            </w:r>
          </w:p>
          <w:p w14:paraId="079A8EFC">
            <w:pPr>
              <w:pStyle w:val="48"/>
              <w:keepNext w:val="0"/>
              <w:keepLines w:val="0"/>
              <w:pageBreakBefore w:val="0"/>
              <w:widowControl w:val="0"/>
              <w:kinsoku/>
              <w:wordWrap/>
              <w:overflowPunct/>
              <w:bidi w:val="0"/>
              <w:snapToGrid/>
              <w:ind w:firstLine="480"/>
              <w:rPr>
                <w:rFonts w:hint="default" w:ascii="Times New Roman" w:hAnsi="Times New Roman" w:eastAsia="宋体" w:cs="Times New Roman"/>
                <w:sz w:val="24"/>
                <w:szCs w:val="22"/>
                <w:lang w:val="en-US" w:eastAsia="zh-CN"/>
              </w:rPr>
            </w:pPr>
            <w:r>
              <w:rPr>
                <w:rFonts w:hint="default" w:ascii="Times New Roman" w:hAnsi="Times New Roman" w:eastAsia="宋体" w:cs="Times New Roman"/>
                <w:bCs/>
                <w:color w:val="auto"/>
                <w:kern w:val="2"/>
                <w:sz w:val="24"/>
                <w:szCs w:val="24"/>
                <w:lang w:val="en-US" w:eastAsia="zh-CN" w:bidi="ar-SA"/>
              </w:rPr>
              <w:t>项目所使用的塑料颗粒均为颗粒状，塑料颗粒直径范围在2</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5mm之间，粒径较大</w:t>
            </w:r>
            <w:r>
              <w:rPr>
                <w:rFonts w:hint="eastAsia"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因此投料工序无粉尘产生。</w:t>
            </w:r>
            <w:r>
              <w:rPr>
                <w:rFonts w:hint="eastAsia" w:cs="Times New Roman"/>
                <w:bCs/>
                <w:color w:val="auto"/>
                <w:kern w:val="2"/>
                <w:sz w:val="24"/>
                <w:szCs w:val="24"/>
                <w:lang w:val="en-US" w:eastAsia="zh-CN" w:bidi="ar-SA"/>
              </w:rPr>
              <w:t>料头经过粉碎后外售，此过程会产生粉碎粉尘（颗粒物）。</w:t>
            </w:r>
            <w:r>
              <w:rPr>
                <w:rFonts w:hint="default" w:ascii="Times New Roman" w:hAnsi="Times New Roman" w:eastAsia="宋体" w:cs="Times New Roman"/>
                <w:bCs/>
                <w:color w:val="auto"/>
                <w:kern w:val="2"/>
                <w:sz w:val="24"/>
                <w:szCs w:val="24"/>
                <w:lang w:val="en-US" w:eastAsia="zh-CN" w:bidi="ar-SA"/>
              </w:rPr>
              <w:t>注塑</w:t>
            </w:r>
            <w:r>
              <w:rPr>
                <w:rFonts w:hint="eastAsia" w:cs="Times New Roman"/>
                <w:bCs/>
                <w:color w:val="auto"/>
                <w:kern w:val="2"/>
                <w:sz w:val="24"/>
                <w:szCs w:val="24"/>
                <w:lang w:val="en-US" w:eastAsia="zh-CN" w:bidi="ar-SA"/>
              </w:rPr>
              <w:t>、包胶烘烤、除油</w:t>
            </w:r>
            <w:r>
              <w:rPr>
                <w:rFonts w:hint="default" w:ascii="Times New Roman" w:hAnsi="Times New Roman" w:eastAsia="宋体" w:cs="Times New Roman"/>
                <w:bCs/>
                <w:color w:val="auto"/>
                <w:kern w:val="2"/>
                <w:sz w:val="24"/>
                <w:szCs w:val="24"/>
                <w:lang w:val="en-US" w:eastAsia="zh-CN" w:bidi="ar-SA"/>
              </w:rPr>
              <w:t>工序未收集到的废气（非甲烷总烃、臭气浓度）车间内无组织排放执行</w:t>
            </w:r>
            <w:r>
              <w:rPr>
                <w:rFonts w:hint="default" w:ascii="Times New Roman" w:hAnsi="Times New Roman" w:eastAsia="宋体" w:cs="Times New Roman"/>
                <w:sz w:val="24"/>
                <w:szCs w:val="22"/>
              </w:rPr>
              <w:t>《合成树脂工业污染物排放标准》</w:t>
            </w:r>
            <w:r>
              <w:rPr>
                <w:rFonts w:hint="eastAsia" w:cs="Times New Roman"/>
                <w:sz w:val="24"/>
                <w:szCs w:val="22"/>
                <w:lang w:eastAsia="zh-CN"/>
              </w:rPr>
              <w:t>（</w:t>
            </w:r>
            <w:r>
              <w:rPr>
                <w:rFonts w:hint="default" w:ascii="Times New Roman" w:hAnsi="Times New Roman" w:eastAsia="宋体" w:cs="Times New Roman"/>
                <w:sz w:val="24"/>
                <w:szCs w:val="22"/>
              </w:rPr>
              <w:t>GB 31572—2015，含2024年修改单</w:t>
            </w:r>
            <w:r>
              <w:rPr>
                <w:rFonts w:hint="eastAsia" w:cs="Times New Roman"/>
                <w:sz w:val="24"/>
                <w:szCs w:val="22"/>
                <w:lang w:eastAsia="zh-CN"/>
              </w:rPr>
              <w:t>）</w:t>
            </w:r>
            <w:r>
              <w:rPr>
                <w:rFonts w:hint="default" w:ascii="Times New Roman" w:hAnsi="Times New Roman" w:eastAsia="宋体" w:cs="Times New Roman"/>
                <w:sz w:val="24"/>
                <w:szCs w:val="22"/>
              </w:rPr>
              <w:t>中表9企业边界大气污染物浓度限值；非甲烷总烃无组织排放同时应符合《挥发性有机物无组织排放控制标准》（GB 37822-2019）表A.1标准特别排放限值</w:t>
            </w:r>
            <w:r>
              <w:rPr>
                <w:rFonts w:hint="eastAsia" w:ascii="Times New Roman" w:hAnsi="Times New Roman" w:eastAsia="宋体" w:cs="Times New Roman"/>
                <w:sz w:val="24"/>
                <w:szCs w:val="22"/>
                <w:lang w:eastAsia="zh-CN"/>
              </w:rPr>
              <w:t>；</w:t>
            </w:r>
            <w:r>
              <w:rPr>
                <w:rFonts w:hint="eastAsia" w:ascii="Times New Roman" w:hAnsi="Times New Roman" w:eastAsia="宋体" w:cs="Times New Roman"/>
                <w:sz w:val="24"/>
                <w:szCs w:val="22"/>
                <w:lang w:val="en-US" w:eastAsia="zh-CN"/>
              </w:rPr>
              <w:t>臭气浓度</w:t>
            </w:r>
            <w:r>
              <w:rPr>
                <w:rFonts w:hint="eastAsia" w:cs="Times New Roman"/>
                <w:sz w:val="24"/>
                <w:szCs w:val="22"/>
                <w:lang w:val="en-US" w:eastAsia="zh-CN"/>
              </w:rPr>
              <w:t>、氨</w:t>
            </w:r>
            <w:r>
              <w:rPr>
                <w:rFonts w:hint="eastAsia" w:ascii="Times New Roman" w:hAnsi="Times New Roman" w:eastAsia="宋体" w:cs="Times New Roman"/>
                <w:sz w:val="24"/>
                <w:szCs w:val="22"/>
                <w:lang w:val="en-US" w:eastAsia="zh-CN"/>
              </w:rPr>
              <w:t>执行《恶臭污染物排放标准》</w:t>
            </w:r>
            <w:r>
              <w:rPr>
                <w:rFonts w:hint="eastAsia" w:cs="Times New Roman"/>
                <w:sz w:val="24"/>
                <w:szCs w:val="22"/>
                <w:lang w:val="en-US" w:eastAsia="zh-CN"/>
              </w:rPr>
              <w:t>（</w:t>
            </w:r>
            <w:r>
              <w:rPr>
                <w:rFonts w:hint="eastAsia" w:ascii="Times New Roman" w:hAnsi="Times New Roman" w:eastAsia="宋体" w:cs="Times New Roman"/>
                <w:sz w:val="24"/>
                <w:szCs w:val="22"/>
                <w:lang w:val="en-US" w:eastAsia="zh-CN"/>
              </w:rPr>
              <w:t>GB14554-93</w:t>
            </w:r>
            <w:r>
              <w:rPr>
                <w:rFonts w:hint="eastAsia" w:cs="Times New Roman"/>
                <w:sz w:val="24"/>
                <w:szCs w:val="22"/>
                <w:lang w:val="en-US" w:eastAsia="zh-CN"/>
              </w:rPr>
              <w:t>）</w:t>
            </w:r>
            <w:r>
              <w:rPr>
                <w:rFonts w:hint="eastAsia" w:ascii="Times New Roman" w:hAnsi="Times New Roman" w:eastAsia="宋体" w:cs="Times New Roman"/>
                <w:sz w:val="24"/>
                <w:szCs w:val="22"/>
                <w:lang w:val="en-US" w:eastAsia="zh-CN"/>
              </w:rPr>
              <w:t>表1标准限值</w:t>
            </w:r>
            <w:r>
              <w:rPr>
                <w:rFonts w:hint="eastAsia" w:cs="Times New Roman"/>
                <w:sz w:val="24"/>
                <w:szCs w:val="22"/>
                <w:lang w:val="en-US" w:eastAsia="zh-CN"/>
              </w:rPr>
              <w:t>；</w:t>
            </w:r>
            <w:r>
              <w:rPr>
                <w:rFonts w:hint="eastAsia" w:cs="Times New Roman"/>
                <w:sz w:val="24"/>
                <w:szCs w:val="22"/>
                <w:highlight w:val="none"/>
                <w:lang w:val="en-US" w:eastAsia="zh-CN"/>
              </w:rPr>
              <w:t>破碎工序未收集到的粉尘（颗粒物）车间内无组织排放执行</w:t>
            </w:r>
            <w:r>
              <w:rPr>
                <w:rFonts w:hint="eastAsia"/>
              </w:rPr>
              <w:t>《合成树脂工业污染物排放标准》（GB 31572-2015）（含2024年修改单）表9企业边界大气污染物浓度限值</w:t>
            </w:r>
            <w:r>
              <w:rPr>
                <w:rFonts w:hint="eastAsia" w:ascii="Times New Roman" w:hAnsi="Times New Roman" w:eastAsia="宋体" w:cs="Times New Roman"/>
                <w:sz w:val="24"/>
                <w:szCs w:val="22"/>
                <w:lang w:val="en-US" w:eastAsia="zh-CN"/>
              </w:rPr>
              <w:t>；</w:t>
            </w:r>
            <w:r>
              <w:rPr>
                <w:rFonts w:hint="eastAsia" w:ascii="Times New Roman" w:hAnsi="Times New Roman" w:eastAsia="宋体" w:cs="Times New Roman"/>
                <w:sz w:val="24"/>
                <w:szCs w:val="22"/>
                <w:lang w:eastAsia="zh-CN"/>
              </w:rPr>
              <w:t>上述标准具体详见表3.7-</w:t>
            </w:r>
            <w:r>
              <w:rPr>
                <w:rFonts w:hint="eastAsia" w:ascii="Times New Roman" w:hAnsi="Times New Roman" w:eastAsia="宋体" w:cs="Times New Roman"/>
                <w:sz w:val="24"/>
                <w:szCs w:val="22"/>
                <w:lang w:val="en-US" w:eastAsia="zh-CN"/>
              </w:rPr>
              <w:t>4</w:t>
            </w:r>
            <w:r>
              <w:rPr>
                <w:rFonts w:hint="eastAsia" w:ascii="Times New Roman" w:hAnsi="Times New Roman" w:eastAsia="宋体" w:cs="Times New Roman"/>
                <w:sz w:val="24"/>
                <w:szCs w:val="22"/>
                <w:lang w:eastAsia="zh-CN"/>
              </w:rPr>
              <w:t>。</w:t>
            </w:r>
          </w:p>
          <w:p w14:paraId="5010DA7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表3.7-4 无组织废气污染物排放标准</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851"/>
              <w:gridCol w:w="1387"/>
              <w:gridCol w:w="4481"/>
            </w:tblGrid>
            <w:tr w14:paraId="4F04F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520" w:type="pct"/>
                  <w:vMerge w:val="restart"/>
                  <w:tcBorders>
                    <w:tl2br w:val="nil"/>
                    <w:tr2bl w:val="nil"/>
                  </w:tcBorders>
                  <w:vAlign w:val="center"/>
                </w:tcPr>
                <w:p w14:paraId="1BA52EB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污染物名称</w:t>
                  </w:r>
                </w:p>
              </w:tc>
              <w:tc>
                <w:tcPr>
                  <w:tcW w:w="1879" w:type="pct"/>
                  <w:gridSpan w:val="2"/>
                  <w:tcBorders>
                    <w:tl2br w:val="nil"/>
                    <w:tr2bl w:val="nil"/>
                  </w:tcBorders>
                  <w:vAlign w:val="center"/>
                </w:tcPr>
                <w:p w14:paraId="237B6CE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无组织排放浓度限值</w:t>
                  </w:r>
                </w:p>
              </w:tc>
              <w:tc>
                <w:tcPr>
                  <w:tcW w:w="2600" w:type="pct"/>
                  <w:vMerge w:val="restart"/>
                  <w:tcBorders>
                    <w:tl2br w:val="nil"/>
                    <w:tr2bl w:val="nil"/>
                  </w:tcBorders>
                  <w:vAlign w:val="center"/>
                </w:tcPr>
                <w:p w14:paraId="2018ABC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执行标准</w:t>
                  </w:r>
                </w:p>
              </w:tc>
            </w:tr>
            <w:tr w14:paraId="28994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20" w:type="pct"/>
                  <w:vMerge w:val="continue"/>
                  <w:tcBorders>
                    <w:tl2br w:val="nil"/>
                    <w:tr2bl w:val="nil"/>
                  </w:tcBorders>
                  <w:vAlign w:val="center"/>
                </w:tcPr>
                <w:p w14:paraId="626A0C8E">
                  <w:pPr>
                    <w:pageBreakBefore w:val="0"/>
                    <w:widowControl w:val="0"/>
                    <w:kinsoku/>
                    <w:wordWrap/>
                    <w:overflowPunct/>
                    <w:topLinePunct w:val="0"/>
                    <w:autoSpaceDE/>
                    <w:autoSpaceDN/>
                    <w:bidi w:val="0"/>
                    <w:adjustRightInd/>
                    <w:snapToGrid/>
                    <w:spacing w:line="240" w:lineRule="auto"/>
                    <w:jc w:val="center"/>
                    <w:textAlignment w:val="auto"/>
                    <w:outlineLvl w:val="9"/>
                  </w:pPr>
                </w:p>
              </w:tc>
              <w:tc>
                <w:tcPr>
                  <w:tcW w:w="1074" w:type="pct"/>
                  <w:tcBorders>
                    <w:tl2br w:val="nil"/>
                    <w:tr2bl w:val="nil"/>
                  </w:tcBorders>
                  <w:vAlign w:val="center"/>
                </w:tcPr>
                <w:p w14:paraId="2BA18EC0">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监控点</w:t>
                  </w:r>
                </w:p>
              </w:tc>
              <w:tc>
                <w:tcPr>
                  <w:tcW w:w="804" w:type="pct"/>
                  <w:tcBorders>
                    <w:tl2br w:val="nil"/>
                    <w:tr2bl w:val="nil"/>
                  </w:tcBorders>
                  <w:vAlign w:val="center"/>
                </w:tcPr>
                <w:p w14:paraId="151C349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浓度mg/m</w:t>
                  </w:r>
                  <w:r>
                    <w:rPr>
                      <w:rFonts w:hint="eastAsia" w:ascii="Times New Roman" w:hAnsi="Times New Roman" w:eastAsia="宋体" w:cs="Times New Roman"/>
                      <w:b w:val="0"/>
                      <w:bCs w:val="0"/>
                      <w:sz w:val="21"/>
                      <w:szCs w:val="21"/>
                      <w:vertAlign w:val="superscript"/>
                      <w:lang w:val="en-US" w:eastAsia="zh-CN"/>
                    </w:rPr>
                    <w:t>3</w:t>
                  </w:r>
                </w:p>
              </w:tc>
              <w:tc>
                <w:tcPr>
                  <w:tcW w:w="2600" w:type="pct"/>
                  <w:vMerge w:val="continue"/>
                  <w:tcBorders>
                    <w:tl2br w:val="nil"/>
                    <w:tr2bl w:val="nil"/>
                  </w:tcBorders>
                  <w:vAlign w:val="center"/>
                </w:tcPr>
                <w:p w14:paraId="7E3199C4">
                  <w:pPr>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p>
              </w:tc>
            </w:tr>
            <w:tr w14:paraId="0DC5D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20" w:type="pct"/>
                  <w:vMerge w:val="restart"/>
                  <w:tcBorders>
                    <w:tl2br w:val="nil"/>
                    <w:tr2bl w:val="nil"/>
                  </w:tcBorders>
                  <w:vAlign w:val="center"/>
                </w:tcPr>
                <w:p w14:paraId="20D1BD4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非甲烷总烃</w:t>
                  </w:r>
                </w:p>
              </w:tc>
              <w:tc>
                <w:tcPr>
                  <w:tcW w:w="1074" w:type="pct"/>
                  <w:tcBorders>
                    <w:tl2br w:val="nil"/>
                    <w:tr2bl w:val="nil"/>
                  </w:tcBorders>
                  <w:vAlign w:val="center"/>
                </w:tcPr>
                <w:p w14:paraId="5538EC7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企业边界</w:t>
                  </w:r>
                </w:p>
              </w:tc>
              <w:tc>
                <w:tcPr>
                  <w:tcW w:w="804" w:type="pct"/>
                  <w:tcBorders>
                    <w:tl2br w:val="nil"/>
                    <w:tr2bl w:val="nil"/>
                  </w:tcBorders>
                  <w:vAlign w:val="center"/>
                </w:tcPr>
                <w:p w14:paraId="7C0BE52B">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4.0</w:t>
                  </w:r>
                </w:p>
              </w:tc>
              <w:tc>
                <w:tcPr>
                  <w:tcW w:w="2600" w:type="pct"/>
                  <w:tcBorders>
                    <w:tl2br w:val="nil"/>
                    <w:tr2bl w:val="nil"/>
                  </w:tcBorders>
                  <w:vAlign w:val="center"/>
                </w:tcPr>
                <w:p w14:paraId="0F6A304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ascii="Times New Roman"/>
                      <w:color w:val="auto"/>
                      <w:u w:val="none"/>
                      <w:lang w:bidi="he-IL"/>
                    </w:rPr>
                    <w:t>《合成树脂工业污染物排放标准》</w:t>
                  </w:r>
                  <w:r>
                    <w:rPr>
                      <w:rFonts w:hint="eastAsia"/>
                      <w:color w:val="auto"/>
                      <w:u w:val="none"/>
                      <w:lang w:eastAsia="zh-CN" w:bidi="he-IL"/>
                    </w:rPr>
                    <w:t>（</w:t>
                  </w:r>
                  <w:r>
                    <w:rPr>
                      <w:rFonts w:ascii="Times New Roman"/>
                      <w:color w:val="auto"/>
                      <w:u w:val="none"/>
                      <w:lang w:bidi="he-IL"/>
                    </w:rPr>
                    <w:t>GB31572-2015</w:t>
                  </w:r>
                  <w:r>
                    <w:rPr>
                      <w:rFonts w:hint="eastAsia"/>
                      <w:color w:val="auto"/>
                      <w:u w:val="none"/>
                      <w:lang w:eastAsia="zh-CN" w:bidi="he-IL"/>
                    </w:rPr>
                    <w:t>）</w:t>
                  </w:r>
                  <w:r>
                    <w:rPr>
                      <w:rFonts w:hint="eastAsia" w:ascii="Times New Roman"/>
                      <w:color w:val="auto"/>
                      <w:u w:val="none"/>
                      <w:lang w:eastAsia="zh-CN" w:bidi="he-IL"/>
                    </w:rPr>
                    <w:t>及修改单</w:t>
                  </w:r>
                  <w:r>
                    <w:rPr>
                      <w:rFonts w:hint="eastAsia" w:ascii="Times New Roman"/>
                      <w:color w:val="auto"/>
                      <w:u w:val="none"/>
                      <w:lang w:bidi="he-IL"/>
                    </w:rPr>
                    <w:t>表</w:t>
                  </w:r>
                  <w:r>
                    <w:rPr>
                      <w:rFonts w:hint="eastAsia" w:ascii="Times New Roman"/>
                      <w:color w:val="auto"/>
                      <w:u w:val="none"/>
                      <w:lang w:val="en-US" w:eastAsia="zh-CN" w:bidi="he-IL"/>
                    </w:rPr>
                    <w:t>9</w:t>
                  </w:r>
                </w:p>
              </w:tc>
            </w:tr>
            <w:tr w14:paraId="6BE0C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520" w:type="pct"/>
                  <w:vMerge w:val="continue"/>
                  <w:tcBorders>
                    <w:tl2br w:val="nil"/>
                    <w:tr2bl w:val="nil"/>
                  </w:tcBorders>
                  <w:vAlign w:val="center"/>
                </w:tcPr>
                <w:p w14:paraId="419DBFBC">
                  <w:pPr>
                    <w:pageBreakBefore w:val="0"/>
                    <w:widowControl w:val="0"/>
                    <w:kinsoku/>
                    <w:wordWrap/>
                    <w:overflowPunct/>
                    <w:topLinePunct w:val="0"/>
                    <w:autoSpaceDE/>
                    <w:autoSpaceDN/>
                    <w:bidi w:val="0"/>
                    <w:adjustRightInd/>
                    <w:snapToGrid/>
                    <w:spacing w:line="240" w:lineRule="auto"/>
                    <w:jc w:val="center"/>
                    <w:textAlignment w:val="auto"/>
                    <w:outlineLvl w:val="9"/>
                  </w:pPr>
                </w:p>
              </w:tc>
              <w:tc>
                <w:tcPr>
                  <w:tcW w:w="1074" w:type="pct"/>
                  <w:tcBorders>
                    <w:tl2br w:val="nil"/>
                    <w:tr2bl w:val="nil"/>
                  </w:tcBorders>
                  <w:vAlign w:val="center"/>
                </w:tcPr>
                <w:p w14:paraId="341624A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厂区内监控点处1小时平均浓度值</w:t>
                  </w:r>
                </w:p>
              </w:tc>
              <w:tc>
                <w:tcPr>
                  <w:tcW w:w="804" w:type="pct"/>
                  <w:tcBorders>
                    <w:tl2br w:val="nil"/>
                    <w:tr2bl w:val="nil"/>
                  </w:tcBorders>
                  <w:vAlign w:val="center"/>
                </w:tcPr>
                <w:p w14:paraId="2655039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w:t>
                  </w:r>
                </w:p>
              </w:tc>
              <w:tc>
                <w:tcPr>
                  <w:tcW w:w="2600" w:type="pct"/>
                  <w:vMerge w:val="restart"/>
                  <w:tcBorders>
                    <w:tl2br w:val="nil"/>
                    <w:tr2bl w:val="nil"/>
                  </w:tcBorders>
                  <w:vAlign w:val="center"/>
                </w:tcPr>
                <w:p w14:paraId="3B4306B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color w:val="000000"/>
                      <w:highlight w:val="none"/>
                    </w:rPr>
                    <w:t>《挥发性有机物无组织排放控制标准》（GB37822-2019）附录A表A.1</w:t>
                  </w:r>
                  <w:r>
                    <w:rPr>
                      <w:rFonts w:hint="eastAsia"/>
                      <w:color w:val="000000"/>
                      <w:highlight w:val="none"/>
                      <w:lang w:val="en-US" w:eastAsia="zh-CN"/>
                    </w:rPr>
                    <w:t>标准特别排放限值</w:t>
                  </w:r>
                </w:p>
              </w:tc>
            </w:tr>
            <w:tr w14:paraId="55A0A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20" w:type="pct"/>
                  <w:vMerge w:val="continue"/>
                  <w:tcBorders>
                    <w:tl2br w:val="nil"/>
                    <w:tr2bl w:val="nil"/>
                  </w:tcBorders>
                  <w:vAlign w:val="center"/>
                </w:tcPr>
                <w:p w14:paraId="78B2D105">
                  <w:pPr>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c>
                <w:tcPr>
                  <w:tcW w:w="1074" w:type="pct"/>
                  <w:tcBorders>
                    <w:tl2br w:val="nil"/>
                    <w:tr2bl w:val="nil"/>
                  </w:tcBorders>
                  <w:vAlign w:val="center"/>
                </w:tcPr>
                <w:p w14:paraId="523C8C86">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厂区内监控点处任意一次浓度值</w:t>
                  </w:r>
                </w:p>
              </w:tc>
              <w:tc>
                <w:tcPr>
                  <w:tcW w:w="804" w:type="pct"/>
                  <w:tcBorders>
                    <w:tl2br w:val="nil"/>
                    <w:tr2bl w:val="nil"/>
                  </w:tcBorders>
                  <w:vAlign w:val="center"/>
                </w:tcPr>
                <w:p w14:paraId="2D27DDF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w:t>
                  </w:r>
                </w:p>
              </w:tc>
              <w:tc>
                <w:tcPr>
                  <w:tcW w:w="2600" w:type="pct"/>
                  <w:vMerge w:val="continue"/>
                  <w:tcBorders>
                    <w:tl2br w:val="nil"/>
                    <w:tr2bl w:val="nil"/>
                  </w:tcBorders>
                  <w:vAlign w:val="center"/>
                </w:tcPr>
                <w:p w14:paraId="7C7F621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r w14:paraId="401D17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tcBorders>
                    <w:tl2br w:val="nil"/>
                    <w:tr2bl w:val="nil"/>
                  </w:tcBorders>
                  <w:shd w:val="clear" w:color="auto" w:fill="auto"/>
                  <w:vAlign w:val="center"/>
                </w:tcPr>
                <w:p w14:paraId="18A9F89A">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颗粒物</w:t>
                  </w:r>
                </w:p>
              </w:tc>
              <w:tc>
                <w:tcPr>
                  <w:tcW w:w="1074" w:type="pct"/>
                  <w:tcBorders>
                    <w:tl2br w:val="nil"/>
                    <w:tr2bl w:val="nil"/>
                  </w:tcBorders>
                  <w:shd w:val="clear" w:color="auto" w:fill="auto"/>
                  <w:vAlign w:val="center"/>
                </w:tcPr>
                <w:p w14:paraId="2FDF1799">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企业边界</w:t>
                  </w:r>
                </w:p>
              </w:tc>
              <w:tc>
                <w:tcPr>
                  <w:tcW w:w="804" w:type="pct"/>
                  <w:tcBorders>
                    <w:tl2br w:val="nil"/>
                    <w:tr2bl w:val="nil"/>
                  </w:tcBorders>
                  <w:shd w:val="clear" w:color="auto" w:fill="auto"/>
                  <w:vAlign w:val="center"/>
                </w:tcPr>
                <w:p w14:paraId="28CE3D52">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1.0</w:t>
                  </w:r>
                </w:p>
              </w:tc>
              <w:tc>
                <w:tcPr>
                  <w:tcW w:w="2600" w:type="pct"/>
                  <w:tcBorders>
                    <w:tl2br w:val="nil"/>
                    <w:tr2bl w:val="nil"/>
                  </w:tcBorders>
                  <w:shd w:val="clear" w:color="auto" w:fill="auto"/>
                  <w:vAlign w:val="center"/>
                </w:tcPr>
                <w:p w14:paraId="35C68A83">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rPr>
                  </w:pPr>
                  <w:r>
                    <w:rPr>
                      <w:rFonts w:hint="eastAsia"/>
                    </w:rPr>
                    <w:t>《合成树脂工业污染物排放标准》</w:t>
                  </w:r>
                </w:p>
                <w:p w14:paraId="50011A41">
                  <w:pPr>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rPr>
                    <w:t>（GB 31572-2015）（含2024年修改单）表9企业边界大气污染物浓度限值</w:t>
                  </w:r>
                </w:p>
              </w:tc>
            </w:tr>
            <w:tr w14:paraId="77F7F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0" w:type="pct"/>
                  <w:tcBorders>
                    <w:tl2br w:val="nil"/>
                    <w:tr2bl w:val="nil"/>
                  </w:tcBorders>
                  <w:vAlign w:val="center"/>
                </w:tcPr>
                <w:p w14:paraId="629DF1F4">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臭气浓度</w:t>
                  </w:r>
                </w:p>
              </w:tc>
              <w:tc>
                <w:tcPr>
                  <w:tcW w:w="1074" w:type="pct"/>
                  <w:tcBorders>
                    <w:tl2br w:val="nil"/>
                    <w:tr2bl w:val="nil"/>
                  </w:tcBorders>
                  <w:vAlign w:val="center"/>
                </w:tcPr>
                <w:p w14:paraId="1FD47C2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企业边界</w:t>
                  </w:r>
                </w:p>
              </w:tc>
              <w:tc>
                <w:tcPr>
                  <w:tcW w:w="804" w:type="pct"/>
                  <w:tcBorders>
                    <w:tl2br w:val="nil"/>
                    <w:tr2bl w:val="nil"/>
                  </w:tcBorders>
                  <w:vAlign w:val="center"/>
                </w:tcPr>
                <w:p w14:paraId="16D288AD">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20（无量纲）</w:t>
                  </w:r>
                </w:p>
              </w:tc>
              <w:tc>
                <w:tcPr>
                  <w:tcW w:w="2600" w:type="pct"/>
                  <w:vMerge w:val="restart"/>
                  <w:tcBorders>
                    <w:tl2br w:val="nil"/>
                    <w:tr2bl w:val="nil"/>
                  </w:tcBorders>
                  <w:vAlign w:val="center"/>
                </w:tcPr>
                <w:p w14:paraId="2168ED8E">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《恶臭污染物排放标准》</w:t>
                  </w:r>
                </w:p>
                <w:p w14:paraId="31C7C88F">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GB14554-93</w:t>
                  </w:r>
                  <w:r>
                    <w:rPr>
                      <w:rFonts w:hint="eastAsia" w:cs="Times New Roman"/>
                      <w:b w:val="0"/>
                      <w:bCs w:val="0"/>
                      <w:sz w:val="21"/>
                      <w:szCs w:val="21"/>
                      <w:vertAlign w:val="baseline"/>
                      <w:lang w:val="en-US" w:eastAsia="zh-CN"/>
                    </w:rPr>
                    <w:t>）</w:t>
                  </w:r>
                  <w:r>
                    <w:rPr>
                      <w:rFonts w:hint="eastAsia" w:ascii="Times New Roman" w:hAnsi="Times New Roman" w:eastAsia="宋体" w:cs="Times New Roman"/>
                      <w:b w:val="0"/>
                      <w:bCs w:val="0"/>
                      <w:sz w:val="21"/>
                      <w:szCs w:val="21"/>
                      <w:vertAlign w:val="baseline"/>
                      <w:lang w:val="en-US" w:eastAsia="zh-CN"/>
                    </w:rPr>
                    <w:t>表</w:t>
                  </w:r>
                  <w:r>
                    <w:rPr>
                      <w:rFonts w:hint="eastAsia" w:cs="Times New Roman"/>
                      <w:b w:val="0"/>
                      <w:bCs w:val="0"/>
                      <w:sz w:val="21"/>
                      <w:szCs w:val="21"/>
                      <w:vertAlign w:val="baseline"/>
                      <w:lang w:val="en-US" w:eastAsia="zh-CN"/>
                    </w:rPr>
                    <w:t>1</w:t>
                  </w:r>
                  <w:r>
                    <w:rPr>
                      <w:rFonts w:hint="eastAsia" w:ascii="Times New Roman" w:hAnsi="Times New Roman" w:eastAsia="宋体" w:cs="Times New Roman"/>
                      <w:b w:val="0"/>
                      <w:bCs w:val="0"/>
                      <w:sz w:val="21"/>
                      <w:szCs w:val="21"/>
                      <w:vertAlign w:val="baseline"/>
                      <w:lang w:val="en-US" w:eastAsia="zh-CN"/>
                    </w:rPr>
                    <w:t>标准限值-新扩改建标准限值</w:t>
                  </w:r>
                </w:p>
              </w:tc>
            </w:tr>
            <w:tr w14:paraId="5F2DA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0" w:type="pct"/>
                  <w:tcBorders>
                    <w:tl2br w:val="nil"/>
                    <w:tr2bl w:val="nil"/>
                  </w:tcBorders>
                  <w:vAlign w:val="center"/>
                </w:tcPr>
                <w:p w14:paraId="491B96B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bookmarkStart w:id="51" w:name="_Toc9325"/>
                  <w:r>
                    <w:rPr>
                      <w:rFonts w:hint="eastAsia" w:cs="Times New Roman"/>
                      <w:b w:val="0"/>
                      <w:bCs w:val="0"/>
                      <w:sz w:val="21"/>
                      <w:szCs w:val="21"/>
                      <w:vertAlign w:val="baseline"/>
                      <w:lang w:val="en-US" w:eastAsia="zh-CN"/>
                    </w:rPr>
                    <w:t>氨</w:t>
                  </w:r>
                </w:p>
              </w:tc>
              <w:tc>
                <w:tcPr>
                  <w:tcW w:w="1074" w:type="pct"/>
                  <w:tcBorders>
                    <w:tl2br w:val="nil"/>
                    <w:tr2bl w:val="nil"/>
                  </w:tcBorders>
                  <w:vAlign w:val="center"/>
                </w:tcPr>
                <w:p w14:paraId="20B1FE38">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企业边界</w:t>
                  </w:r>
                </w:p>
              </w:tc>
              <w:tc>
                <w:tcPr>
                  <w:tcW w:w="804" w:type="pct"/>
                  <w:tcBorders>
                    <w:tl2br w:val="nil"/>
                    <w:tr2bl w:val="nil"/>
                  </w:tcBorders>
                  <w:vAlign w:val="center"/>
                </w:tcPr>
                <w:p w14:paraId="65945B09">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1.5</w:t>
                  </w:r>
                </w:p>
              </w:tc>
              <w:tc>
                <w:tcPr>
                  <w:tcW w:w="2600" w:type="pct"/>
                  <w:vMerge w:val="continue"/>
                  <w:tcBorders>
                    <w:tl2br w:val="nil"/>
                    <w:tr2bl w:val="nil"/>
                  </w:tcBorders>
                  <w:vAlign w:val="center"/>
                </w:tcPr>
                <w:p w14:paraId="1A8A1D4C">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sz w:val="21"/>
                      <w:szCs w:val="21"/>
                      <w:vertAlign w:val="baseline"/>
                      <w:lang w:val="en-US" w:eastAsia="zh-CN"/>
                    </w:rPr>
                  </w:pPr>
                </w:p>
              </w:tc>
            </w:tr>
          </w:tbl>
          <w:p w14:paraId="2B36A3A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3.7.3噪声</w:t>
            </w:r>
            <w:bookmarkEnd w:id="51"/>
          </w:p>
          <w:p w14:paraId="62BA359E">
            <w:pPr>
              <w:widowControl/>
              <w:spacing w:line="360" w:lineRule="auto"/>
              <w:ind w:firstLine="480" w:firstLineChars="200"/>
              <w:jc w:val="both"/>
              <w:rPr>
                <w:rFonts w:hint="default" w:eastAsia="宋体"/>
                <w:sz w:val="24"/>
                <w:lang w:val="en-US" w:eastAsia="zh-CN"/>
              </w:rPr>
            </w:pPr>
            <w:r>
              <w:rPr>
                <w:sz w:val="24"/>
                <w:lang w:val="zh-CN"/>
              </w:rPr>
              <w:t>项目</w:t>
            </w:r>
            <w:r>
              <w:rPr>
                <w:rFonts w:hint="default" w:ascii="Times New Roman" w:hAnsi="Times New Roman" w:eastAsia="宋体" w:cs="Times New Roman"/>
                <w:color w:val="auto"/>
                <w:sz w:val="24"/>
                <w:szCs w:val="24"/>
              </w:rPr>
              <w:t>运营期</w:t>
            </w:r>
            <w:r>
              <w:rPr>
                <w:sz w:val="24"/>
                <w:lang w:val="zh-CN"/>
              </w:rPr>
              <w:t>厂界噪声排放执行《工业企业厂界环境噪声排放标准》</w:t>
            </w:r>
            <w:r>
              <w:rPr>
                <w:rFonts w:hint="eastAsia"/>
                <w:sz w:val="24"/>
                <w:lang w:val="zh-CN"/>
              </w:rPr>
              <w:t>（</w:t>
            </w:r>
            <w:r>
              <w:rPr>
                <w:sz w:val="24"/>
                <w:lang w:val="zh-CN"/>
              </w:rPr>
              <w:t>GB12348-2008</w:t>
            </w:r>
            <w:r>
              <w:rPr>
                <w:rFonts w:hint="eastAsia"/>
                <w:sz w:val="24"/>
                <w:lang w:val="zh-CN"/>
              </w:rPr>
              <w:t>）</w:t>
            </w:r>
            <w:r>
              <w:rPr>
                <w:rFonts w:hint="eastAsia"/>
                <w:sz w:val="24"/>
                <w:lang w:val="en-US" w:eastAsia="zh-CN"/>
              </w:rPr>
              <w:t>表1</w:t>
            </w:r>
            <w:r>
              <w:rPr>
                <w:sz w:val="24"/>
                <w:lang w:val="zh-CN"/>
              </w:rPr>
              <w:t>中的3类标准。</w:t>
            </w:r>
            <w:r>
              <w:rPr>
                <w:rFonts w:hint="eastAsia"/>
                <w:sz w:val="24"/>
                <w:lang w:val="en-US" w:eastAsia="zh-CN"/>
              </w:rPr>
              <w:t>详见表3.7-5。</w:t>
            </w:r>
          </w:p>
          <w:p w14:paraId="7F02133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bookmarkStart w:id="52" w:name="_Toc8302"/>
            <w:bookmarkStart w:id="53" w:name="_Toc19195"/>
            <w:bookmarkStart w:id="54" w:name="_Toc31199"/>
            <w:bookmarkStart w:id="55" w:name="_Toc25865"/>
            <w:r>
              <w:rPr>
                <w:rFonts w:hint="default" w:ascii="Times New Roman" w:hAnsi="Times New Roman" w:eastAsia="宋体" w:cs="Times New Roman"/>
                <w:b/>
                <w:bCs/>
                <w:color w:val="auto"/>
                <w:sz w:val="24"/>
                <w:szCs w:val="24"/>
                <w:u w:val="none"/>
                <w:lang w:val="en-US" w:eastAsia="zh-CN"/>
              </w:rPr>
              <w:t>表3.7-5 《工业企业厂界环境噪声排放标准》（GB12348-2008）表1（摘录）</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35"/>
              <w:gridCol w:w="1527"/>
              <w:gridCol w:w="1446"/>
              <w:gridCol w:w="1507"/>
            </w:tblGrid>
            <w:tr w14:paraId="171CB8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399" w:type="pct"/>
                  <w:tcBorders>
                    <w:tl2br w:val="single" w:color="auto" w:sz="2" w:space="0"/>
                  </w:tcBorders>
                  <w:noWrap w:val="0"/>
                  <w:vAlign w:val="center"/>
                </w:tcPr>
                <w:p w14:paraId="7A0FA6AA">
                  <w:pPr>
                    <w:snapToGrid w:val="0"/>
                    <w:spacing w:line="340" w:lineRule="exact"/>
                    <w:jc w:val="right"/>
                    <w:rPr>
                      <w:snapToGrid w:val="0"/>
                      <w:kern w:val="18"/>
                      <w:szCs w:val="21"/>
                    </w:rPr>
                  </w:pPr>
                  <w:r>
                    <w:rPr>
                      <w:snapToGrid w:val="0"/>
                      <w:kern w:val="18"/>
                      <w:szCs w:val="21"/>
                    </w:rPr>
                    <w:t>时段</w:t>
                  </w:r>
                </w:p>
                <w:p w14:paraId="2953F71A">
                  <w:pPr>
                    <w:snapToGrid w:val="0"/>
                    <w:spacing w:line="340" w:lineRule="exact"/>
                    <w:rPr>
                      <w:snapToGrid w:val="0"/>
                      <w:kern w:val="18"/>
                      <w:szCs w:val="21"/>
                    </w:rPr>
                  </w:pPr>
                  <w:r>
                    <w:rPr>
                      <w:snapToGrid w:val="0"/>
                      <w:kern w:val="18"/>
                      <w:szCs w:val="21"/>
                    </w:rPr>
                    <w:t>厂界外声环境功能区类别</w:t>
                  </w:r>
                </w:p>
              </w:tc>
              <w:tc>
                <w:tcPr>
                  <w:tcW w:w="886" w:type="pct"/>
                  <w:noWrap w:val="0"/>
                  <w:vAlign w:val="center"/>
                </w:tcPr>
                <w:p w14:paraId="50F769CC">
                  <w:pPr>
                    <w:snapToGrid w:val="0"/>
                    <w:spacing w:line="340" w:lineRule="exact"/>
                    <w:jc w:val="center"/>
                    <w:rPr>
                      <w:rFonts w:hint="eastAsia" w:eastAsia="宋体"/>
                      <w:snapToGrid w:val="0"/>
                      <w:kern w:val="18"/>
                      <w:szCs w:val="21"/>
                      <w:lang w:val="en-US" w:eastAsia="zh-CN"/>
                    </w:rPr>
                  </w:pPr>
                  <w:r>
                    <w:rPr>
                      <w:rFonts w:hint="eastAsia"/>
                      <w:snapToGrid w:val="0"/>
                      <w:kern w:val="18"/>
                      <w:szCs w:val="21"/>
                      <w:lang w:val="en-US" w:eastAsia="zh-CN"/>
                    </w:rPr>
                    <w:t>单位</w:t>
                  </w:r>
                </w:p>
              </w:tc>
              <w:tc>
                <w:tcPr>
                  <w:tcW w:w="839" w:type="pct"/>
                  <w:noWrap w:val="0"/>
                  <w:vAlign w:val="center"/>
                </w:tcPr>
                <w:p w14:paraId="1E0DCE97">
                  <w:pPr>
                    <w:snapToGrid w:val="0"/>
                    <w:spacing w:line="340" w:lineRule="exact"/>
                    <w:jc w:val="center"/>
                    <w:rPr>
                      <w:rFonts w:hint="default" w:eastAsia="宋体"/>
                      <w:snapToGrid w:val="0"/>
                      <w:kern w:val="18"/>
                      <w:szCs w:val="21"/>
                      <w:lang w:val="en-US" w:eastAsia="zh-CN"/>
                    </w:rPr>
                  </w:pPr>
                  <w:r>
                    <w:rPr>
                      <w:rFonts w:hint="eastAsia" w:eastAsia="宋体"/>
                      <w:snapToGrid w:val="0"/>
                      <w:kern w:val="18"/>
                      <w:szCs w:val="21"/>
                      <w:lang w:val="en-US" w:eastAsia="zh-CN"/>
                    </w:rPr>
                    <w:t>昼间</w:t>
                  </w:r>
                </w:p>
              </w:tc>
              <w:tc>
                <w:tcPr>
                  <w:tcW w:w="874" w:type="pct"/>
                  <w:noWrap w:val="0"/>
                  <w:vAlign w:val="center"/>
                </w:tcPr>
                <w:p w14:paraId="224C07D4">
                  <w:pPr>
                    <w:snapToGrid w:val="0"/>
                    <w:spacing w:line="340" w:lineRule="exact"/>
                    <w:jc w:val="center"/>
                    <w:rPr>
                      <w:rFonts w:hint="default"/>
                      <w:snapToGrid w:val="0"/>
                      <w:kern w:val="18"/>
                      <w:szCs w:val="21"/>
                      <w:lang w:val="en-US" w:eastAsia="zh-CN"/>
                    </w:rPr>
                  </w:pPr>
                  <w:r>
                    <w:rPr>
                      <w:rFonts w:hint="eastAsia"/>
                      <w:snapToGrid w:val="0"/>
                      <w:kern w:val="18"/>
                      <w:szCs w:val="21"/>
                      <w:lang w:val="en-US" w:eastAsia="zh-CN"/>
                    </w:rPr>
                    <w:t>夜间</w:t>
                  </w:r>
                </w:p>
              </w:tc>
            </w:tr>
            <w:tr w14:paraId="5D05AC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99" w:type="pct"/>
                  <w:noWrap w:val="0"/>
                  <w:vAlign w:val="center"/>
                </w:tcPr>
                <w:p w14:paraId="50BA90A3">
                  <w:pPr>
                    <w:snapToGrid w:val="0"/>
                    <w:spacing w:line="340" w:lineRule="exact"/>
                    <w:jc w:val="center"/>
                    <w:rPr>
                      <w:snapToGrid w:val="0"/>
                      <w:kern w:val="18"/>
                      <w:szCs w:val="21"/>
                    </w:rPr>
                  </w:pPr>
                  <w:r>
                    <w:rPr>
                      <w:rFonts w:hint="eastAsia"/>
                      <w:snapToGrid w:val="0"/>
                      <w:kern w:val="18"/>
                      <w:szCs w:val="21"/>
                    </w:rPr>
                    <w:t>3</w:t>
                  </w:r>
                  <w:r>
                    <w:rPr>
                      <w:snapToGrid w:val="0"/>
                      <w:kern w:val="18"/>
                      <w:szCs w:val="21"/>
                    </w:rPr>
                    <w:t>类</w:t>
                  </w:r>
                </w:p>
              </w:tc>
              <w:tc>
                <w:tcPr>
                  <w:tcW w:w="886" w:type="pct"/>
                  <w:noWrap w:val="0"/>
                  <w:vAlign w:val="center"/>
                </w:tcPr>
                <w:p w14:paraId="00A0E510">
                  <w:pPr>
                    <w:snapToGrid w:val="0"/>
                    <w:spacing w:line="340" w:lineRule="exact"/>
                    <w:jc w:val="center"/>
                    <w:rPr>
                      <w:rFonts w:hint="default" w:eastAsia="宋体"/>
                      <w:snapToGrid w:val="0"/>
                      <w:kern w:val="18"/>
                      <w:szCs w:val="21"/>
                      <w:lang w:val="en-US" w:eastAsia="zh-CN"/>
                    </w:rPr>
                  </w:pPr>
                  <w:r>
                    <w:rPr>
                      <w:rFonts w:hint="eastAsia"/>
                      <w:snapToGrid w:val="0"/>
                      <w:kern w:val="18"/>
                      <w:szCs w:val="21"/>
                      <w:lang w:val="en-US" w:eastAsia="zh-CN"/>
                    </w:rPr>
                    <w:t>dB(A)</w:t>
                  </w:r>
                </w:p>
              </w:tc>
              <w:tc>
                <w:tcPr>
                  <w:tcW w:w="839" w:type="pct"/>
                  <w:noWrap w:val="0"/>
                  <w:vAlign w:val="center"/>
                </w:tcPr>
                <w:p w14:paraId="5164E84F">
                  <w:pPr>
                    <w:snapToGrid w:val="0"/>
                    <w:spacing w:line="340" w:lineRule="exact"/>
                    <w:jc w:val="center"/>
                    <w:rPr>
                      <w:rFonts w:hint="default"/>
                      <w:snapToGrid w:val="0"/>
                      <w:kern w:val="18"/>
                      <w:szCs w:val="21"/>
                      <w:lang w:val="en-US"/>
                    </w:rPr>
                  </w:pPr>
                  <w:r>
                    <w:rPr>
                      <w:snapToGrid w:val="0"/>
                      <w:kern w:val="18"/>
                      <w:szCs w:val="21"/>
                    </w:rPr>
                    <w:t>≤</w:t>
                  </w:r>
                  <w:r>
                    <w:rPr>
                      <w:rFonts w:hint="eastAsia"/>
                      <w:snapToGrid w:val="0"/>
                      <w:kern w:val="18"/>
                      <w:szCs w:val="21"/>
                      <w:lang w:val="en-US" w:eastAsia="zh-CN"/>
                    </w:rPr>
                    <w:t>65</w:t>
                  </w:r>
                </w:p>
              </w:tc>
              <w:tc>
                <w:tcPr>
                  <w:tcW w:w="874" w:type="pct"/>
                  <w:noWrap w:val="0"/>
                  <w:vAlign w:val="center"/>
                </w:tcPr>
                <w:p w14:paraId="2A2DF823">
                  <w:pPr>
                    <w:snapToGrid w:val="0"/>
                    <w:spacing w:line="340" w:lineRule="exact"/>
                    <w:jc w:val="center"/>
                    <w:rPr>
                      <w:rFonts w:hint="default" w:eastAsia="宋体"/>
                      <w:snapToGrid w:val="0"/>
                      <w:kern w:val="18"/>
                      <w:szCs w:val="21"/>
                      <w:lang w:val="en-US" w:eastAsia="zh-CN"/>
                    </w:rPr>
                  </w:pPr>
                  <w:r>
                    <w:rPr>
                      <w:snapToGrid w:val="0"/>
                      <w:kern w:val="18"/>
                      <w:szCs w:val="21"/>
                    </w:rPr>
                    <w:t>≤</w:t>
                  </w:r>
                  <w:r>
                    <w:rPr>
                      <w:rFonts w:hint="eastAsia"/>
                      <w:snapToGrid w:val="0"/>
                      <w:kern w:val="18"/>
                      <w:szCs w:val="21"/>
                      <w:lang w:val="en-US" w:eastAsia="zh-CN"/>
                    </w:rPr>
                    <w:t>55</w:t>
                  </w:r>
                </w:p>
              </w:tc>
            </w:tr>
          </w:tbl>
          <w:p w14:paraId="50C059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6" w:name="_Toc28789"/>
            <w:r>
              <w:rPr>
                <w:rFonts w:hint="eastAsia" w:ascii="Times New Roman" w:hAnsi="Times New Roman" w:eastAsia="宋体" w:cs="Times New Roman"/>
                <w:b/>
                <w:bCs/>
                <w:color w:val="auto"/>
                <w:sz w:val="24"/>
                <w:szCs w:val="24"/>
                <w:u w:val="none"/>
                <w:lang w:val="en-US" w:eastAsia="zh-CN"/>
              </w:rPr>
              <w:t>3.7.4固废</w:t>
            </w:r>
            <w:bookmarkEnd w:id="52"/>
            <w:bookmarkEnd w:id="53"/>
            <w:bookmarkEnd w:id="54"/>
            <w:bookmarkEnd w:id="55"/>
            <w:bookmarkEnd w:id="56"/>
          </w:p>
          <w:p w14:paraId="46F11FE3">
            <w:pPr>
              <w:pStyle w:val="48"/>
              <w:keepNext w:val="0"/>
              <w:keepLines w:val="0"/>
              <w:pageBreakBefore w:val="0"/>
              <w:widowControl w:val="0"/>
              <w:kinsoku/>
              <w:wordWrap/>
              <w:overflowPunct/>
              <w:bidi w:val="0"/>
              <w:snapToGrid/>
              <w:ind w:firstLine="480"/>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lang w:val="en-US" w:eastAsia="zh-CN"/>
              </w:rPr>
              <w:t>运营期项目内产生的一般工业固废</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应按照</w:t>
            </w:r>
            <w:r>
              <w:rPr>
                <w:rFonts w:hint="eastAsia" w:ascii="Times New Roman" w:hAnsi="Times New Roman" w:eastAsia="宋体" w:cs="Times New Roman"/>
                <w:lang w:val="en-US" w:eastAsia="zh-CN"/>
              </w:rPr>
              <w:t>《一般工业固体废物贮存和填埋污染控制标准》</w:t>
            </w:r>
            <w:r>
              <w:rPr>
                <w:rFonts w:hint="eastAsia" w:cs="Times New Roman"/>
                <w:lang w:val="en-US" w:eastAsia="zh-CN"/>
              </w:rPr>
              <w:t>（</w:t>
            </w:r>
            <w:r>
              <w:rPr>
                <w:rFonts w:hint="eastAsia" w:ascii="Times New Roman" w:hAnsi="Times New Roman" w:eastAsia="宋体" w:cs="Times New Roman"/>
                <w:lang w:val="en-US" w:eastAsia="zh-CN"/>
              </w:rPr>
              <w:t>GB18599-2020</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项目产生的危险废物</w:t>
            </w:r>
            <w:r>
              <w:rPr>
                <w:rFonts w:hint="eastAsia" w:ascii="Times New Roman" w:hAnsi="Times New Roman" w:eastAsia="宋体" w:cs="Times New Roman"/>
                <w:lang w:val="en-US" w:eastAsia="zh-CN"/>
              </w:rPr>
              <w:t>贮存</w:t>
            </w:r>
            <w:r>
              <w:rPr>
                <w:rFonts w:hint="default" w:ascii="Times New Roman" w:hAnsi="Times New Roman" w:eastAsia="宋体" w:cs="Times New Roman"/>
                <w:lang w:val="en-US" w:eastAsia="zh-CN"/>
              </w:rPr>
              <w:t>按照</w:t>
            </w:r>
            <w:r>
              <w:rPr>
                <w:rFonts w:hint="eastAsia" w:ascii="Times New Roman" w:hAnsi="Times New Roman" w:eastAsia="宋体" w:cs="Times New Roman"/>
                <w:lang w:val="en-US" w:eastAsia="zh-CN"/>
              </w:rPr>
              <w:t>《危险废物贮存污染控制标准》</w:t>
            </w:r>
            <w:r>
              <w:rPr>
                <w:rFonts w:hint="eastAsia" w:cs="Times New Roman"/>
                <w:lang w:val="en-US" w:eastAsia="zh-CN"/>
              </w:rPr>
              <w:t>（</w:t>
            </w:r>
            <w:r>
              <w:rPr>
                <w:rFonts w:hint="eastAsia" w:ascii="Times New Roman" w:hAnsi="Times New Roman" w:eastAsia="宋体" w:cs="Times New Roman"/>
                <w:lang w:val="en-US" w:eastAsia="zh-CN"/>
              </w:rPr>
              <w:t>GB18597-2023</w:t>
            </w:r>
            <w:r>
              <w:rPr>
                <w:rFonts w:hint="eastAsia" w:cs="Times New Roman"/>
                <w:lang w:val="en-US" w:eastAsia="zh-CN"/>
              </w:rPr>
              <w:t>）</w:t>
            </w:r>
            <w:r>
              <w:rPr>
                <w:rFonts w:hint="eastAsia" w:ascii="Times New Roman" w:hAnsi="Times New Roman" w:eastAsia="宋体" w:cs="Times New Roman"/>
                <w:lang w:val="en-US" w:eastAsia="zh-CN"/>
              </w:rPr>
              <w:t>要求</w:t>
            </w:r>
            <w:r>
              <w:rPr>
                <w:rFonts w:hint="default" w:ascii="Times New Roman" w:hAnsi="Times New Roman" w:eastAsia="宋体" w:cs="Times New Roman"/>
                <w:lang w:val="en-US" w:eastAsia="zh-CN"/>
              </w:rPr>
              <w:t>进行</w:t>
            </w:r>
            <w:r>
              <w:rPr>
                <w:rFonts w:hint="eastAsia" w:ascii="Times New Roman" w:hAnsi="Times New Roman" w:eastAsia="宋体" w:cs="Times New Roman"/>
                <w:lang w:val="en-US" w:eastAsia="zh-CN"/>
              </w:rPr>
              <w:t>，危险废物识别标志按照《危险废物识别标志设置技术规范》</w:t>
            </w:r>
            <w:r>
              <w:rPr>
                <w:rFonts w:hint="eastAsia" w:cs="Times New Roman"/>
                <w:lang w:val="en-US" w:eastAsia="zh-CN"/>
              </w:rPr>
              <w:t>（</w:t>
            </w:r>
            <w:r>
              <w:rPr>
                <w:rFonts w:hint="eastAsia" w:ascii="Times New Roman" w:hAnsi="Times New Roman" w:eastAsia="宋体" w:cs="Times New Roman"/>
                <w:lang w:val="en-US" w:eastAsia="zh-CN"/>
              </w:rPr>
              <w:t>HJ 1276-2022</w:t>
            </w:r>
            <w:r>
              <w:rPr>
                <w:rFonts w:hint="eastAsia" w:cs="Times New Roman"/>
                <w:lang w:val="en-US" w:eastAsia="zh-CN"/>
              </w:rPr>
              <w:t>）</w:t>
            </w:r>
            <w:r>
              <w:rPr>
                <w:rFonts w:hint="eastAsia" w:ascii="Times New Roman" w:hAnsi="Times New Roman" w:eastAsia="宋体" w:cs="Times New Roman"/>
                <w:lang w:val="en-US" w:eastAsia="zh-CN"/>
              </w:rPr>
              <w:t>要求进行</w:t>
            </w:r>
            <w:r>
              <w:rPr>
                <w:rFonts w:hint="default" w:ascii="Times New Roman" w:hAnsi="Times New Roman" w:eastAsia="宋体" w:cs="Times New Roman"/>
                <w:lang w:val="en-US" w:eastAsia="zh-CN"/>
              </w:rPr>
              <w:t>设置</w:t>
            </w:r>
            <w:r>
              <w:rPr>
                <w:rFonts w:hint="eastAsia" w:ascii="Times New Roman" w:hAnsi="Times New Roman" w:eastAsia="宋体" w:cs="Times New Roman"/>
                <w:lang w:val="en-US" w:eastAsia="zh-CN"/>
              </w:rPr>
              <w:t>，危险废物转移按照《危险废物转移管理办法》要求进行</w:t>
            </w:r>
            <w:r>
              <w:rPr>
                <w:rFonts w:hint="default" w:ascii="Times New Roman" w:hAnsi="Times New Roman" w:eastAsia="宋体" w:cs="Times New Roman"/>
                <w:lang w:val="en-US" w:eastAsia="zh-CN"/>
              </w:rPr>
              <w:t>。</w:t>
            </w:r>
          </w:p>
        </w:tc>
      </w:tr>
      <w:tr w14:paraId="5250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56" w:type="dxa"/>
            <w:vAlign w:val="center"/>
          </w:tcPr>
          <w:p w14:paraId="7266A429">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4"/>
                <w:szCs w:val="24"/>
                <w:lang w:val="en-US" w:eastAsia="zh-CN"/>
              </w:rPr>
              <w:t>总量控制指标</w:t>
            </w:r>
          </w:p>
        </w:tc>
        <w:tc>
          <w:tcPr>
            <w:tcW w:w="8749" w:type="dxa"/>
          </w:tcPr>
          <w:p w14:paraId="5672193B">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auto"/>
                <w:szCs w:val="28"/>
                <w:lang w:val="en-US" w:eastAsia="zh-CN"/>
              </w:rPr>
            </w:pPr>
            <w:bookmarkStart w:id="57" w:name="_Toc17281"/>
            <w:r>
              <w:rPr>
                <w:rFonts w:hint="eastAsia"/>
                <w:color w:val="auto"/>
                <w:szCs w:val="28"/>
                <w:lang w:val="en-US" w:eastAsia="zh-CN"/>
              </w:rPr>
              <w:t>3.8总量控制</w:t>
            </w:r>
            <w:bookmarkEnd w:id="57"/>
          </w:p>
          <w:p w14:paraId="6A5BE09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000000"/>
                <w:lang w:val="en-US" w:eastAsia="zh-CN"/>
              </w:rPr>
            </w:pPr>
            <w:r>
              <w:rPr>
                <w:rFonts w:hint="default" w:ascii="Times New Roman" w:hAnsi="Times New Roman" w:eastAsia="宋体" w:cs="宋体"/>
                <w:color w:val="000000"/>
                <w:lang w:val="en-US" w:eastAsia="zh-CN"/>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000000"/>
                <w:vertAlign w:val="subscript"/>
                <w:lang w:val="en-US" w:eastAsia="zh-CN"/>
              </w:rPr>
              <w:t>3</w:t>
            </w:r>
            <w:r>
              <w:rPr>
                <w:rFonts w:hint="default" w:ascii="Times New Roman" w:hAnsi="Times New Roman" w:eastAsia="宋体" w:cs="宋体"/>
                <w:color w:val="000000"/>
                <w:lang w:val="en-US" w:eastAsia="zh-CN"/>
              </w:rPr>
              <w:t>-N、SO</w:t>
            </w:r>
            <w:r>
              <w:rPr>
                <w:rFonts w:hint="default" w:ascii="Times New Roman" w:hAnsi="Times New Roman" w:eastAsia="宋体" w:cs="宋体"/>
                <w:color w:val="000000"/>
                <w:vertAlign w:val="subscript"/>
                <w:lang w:val="en-US" w:eastAsia="zh-CN"/>
              </w:rPr>
              <w:t>2</w:t>
            </w:r>
            <w:r>
              <w:rPr>
                <w:rFonts w:hint="default" w:ascii="Times New Roman" w:hAnsi="Times New Roman" w:eastAsia="宋体" w:cs="宋体"/>
                <w:color w:val="000000"/>
                <w:lang w:val="en-US" w:eastAsia="zh-CN"/>
              </w:rPr>
              <w:t>及NOx</w:t>
            </w:r>
            <w:r>
              <w:rPr>
                <w:rFonts w:hint="eastAsia" w:ascii="Times New Roman" w:hAnsi="Times New Roman" w:cs="宋体"/>
                <w:color w:val="000000"/>
                <w:lang w:val="en-US" w:eastAsia="zh-CN"/>
              </w:rPr>
              <w:t>。</w:t>
            </w:r>
            <w:r>
              <w:rPr>
                <w:rFonts w:hint="default" w:ascii="Times New Roman" w:hAnsi="Times New Roman" w:eastAsia="宋体" w:cs="宋体"/>
                <w:color w:val="000000"/>
                <w:lang w:val="en-US" w:eastAsia="zh-CN"/>
              </w:rPr>
              <w:t>建议性控制指标为VOCs。</w:t>
            </w:r>
          </w:p>
          <w:p w14:paraId="13A63E0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8" w:name="_Toc4837"/>
            <w:r>
              <w:rPr>
                <w:rFonts w:hint="eastAsia" w:ascii="Times New Roman" w:hAnsi="Times New Roman" w:eastAsia="宋体" w:cs="Times New Roman"/>
                <w:b/>
                <w:bCs/>
                <w:color w:val="auto"/>
                <w:sz w:val="24"/>
                <w:szCs w:val="24"/>
                <w:u w:val="none"/>
                <w:lang w:val="en-US" w:eastAsia="zh-CN"/>
              </w:rPr>
              <w:t>3.8.1废水总量</w:t>
            </w:r>
            <w:bookmarkEnd w:id="58"/>
          </w:p>
          <w:p w14:paraId="54956B36">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宋体"/>
                <w:color w:val="000000"/>
                <w:lang w:val="en-US" w:eastAsia="zh-CN"/>
              </w:rPr>
              <w:t>本项目</w:t>
            </w:r>
            <w:r>
              <w:rPr>
                <w:rFonts w:hint="eastAsia" w:ascii="Times New Roman" w:hAnsi="Times New Roman" w:eastAsia="宋体" w:cs="宋体"/>
                <w:color w:val="000000"/>
                <w:lang w:val="en-US" w:eastAsia="zh-CN"/>
              </w:rPr>
              <w:t>生产过程中仅产生间接冷却水，不外排。</w:t>
            </w:r>
            <w:r>
              <w:rPr>
                <w:rFonts w:hint="default" w:ascii="Times New Roman" w:hAnsi="Times New Roman" w:eastAsia="宋体" w:cs="宋体"/>
                <w:color w:val="000000"/>
                <w:lang w:val="en-US" w:eastAsia="zh-CN"/>
              </w:rPr>
              <w:t>生活</w:t>
            </w:r>
            <w:r>
              <w:rPr>
                <w:rFonts w:hint="eastAsia" w:ascii="Times New Roman" w:hAnsi="Times New Roman" w:eastAsia="宋体" w:cs="宋体"/>
                <w:color w:val="000000"/>
                <w:lang w:val="en-US" w:eastAsia="zh-CN"/>
              </w:rPr>
              <w:t>污水经化粪池</w:t>
            </w:r>
            <w:r>
              <w:rPr>
                <w:rFonts w:hint="default" w:ascii="Times New Roman" w:hAnsi="Times New Roman" w:eastAsia="宋体" w:cs="宋体"/>
                <w:color w:val="000000"/>
                <w:lang w:val="en-US" w:eastAsia="zh-CN"/>
              </w:rPr>
              <w:t>处理后排入市政污水管网，送</w:t>
            </w:r>
            <w:r>
              <w:rPr>
                <w:rFonts w:hint="default" w:ascii="Times New Roman" w:hAnsi="Times New Roman" w:eastAsia="宋体" w:cs="宋体"/>
                <w:color w:val="auto"/>
                <w:lang w:val="en-US" w:eastAsia="zh-CN"/>
              </w:rPr>
              <w:t>往福清市融元污水处理厂进行</w:t>
            </w:r>
            <w:r>
              <w:rPr>
                <w:rFonts w:hint="default" w:ascii="Times New Roman" w:hAnsi="Times New Roman" w:eastAsia="宋体" w:cs="宋体"/>
                <w:color w:val="000000"/>
                <w:lang w:val="en-US" w:eastAsia="zh-CN"/>
              </w:rPr>
              <w:t>处理</w:t>
            </w:r>
            <w:r>
              <w:rPr>
                <w:rFonts w:hint="eastAsia" w:ascii="Times New Roman" w:hAnsi="Times New Roman" w:eastAsia="宋体" w:cs="宋体"/>
                <w:color w:val="000000"/>
                <w:lang w:val="en-US" w:eastAsia="zh-CN"/>
              </w:rPr>
              <w:t>。</w:t>
            </w:r>
            <w:r>
              <w:rPr>
                <w:rFonts w:hint="default" w:ascii="Times New Roman" w:hAnsi="Times New Roman" w:eastAsia="宋体" w:cs="Times New Roman"/>
                <w:color w:val="auto"/>
                <w:sz w:val="24"/>
                <w:szCs w:val="24"/>
                <w:highlight w:val="none"/>
                <w:u w:val="none"/>
              </w:rPr>
              <w:t>根据《福建省环保厅关于进一步明确排污权工作有关问题的通知》</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闽环保财</w:t>
            </w:r>
            <w:r>
              <w:rPr>
                <w:rFonts w:hint="eastAsia" w:ascii="Times New Roman" w:hAnsi="Times New Roman" w:cs="Times New Roman"/>
                <w:color w:val="auto"/>
                <w:sz w:val="24"/>
                <w:szCs w:val="24"/>
                <w:highlight w:val="none"/>
                <w:u w:val="none"/>
                <w:lang w:eastAsia="zh-CN"/>
              </w:rPr>
              <w:t>〔2017〕22号）</w:t>
            </w:r>
            <w:r>
              <w:rPr>
                <w:rFonts w:hint="default" w:ascii="Times New Roman" w:hAnsi="Times New Roman" w:eastAsia="宋体" w:cs="Times New Roman"/>
                <w:color w:val="auto"/>
                <w:sz w:val="24"/>
                <w:szCs w:val="24"/>
                <w:highlight w:val="none"/>
                <w:u w:val="none"/>
              </w:rPr>
              <w:t>，现有工业排污单位的水污染物的初始排污权只核定工业废水部分，</w:t>
            </w:r>
            <w:r>
              <w:rPr>
                <w:rFonts w:hint="eastAsia" w:ascii="Times New Roman" w:hAnsi="Times New Roman" w:eastAsia="宋体" w:cs="Times New Roman"/>
                <w:color w:val="auto"/>
                <w:sz w:val="24"/>
                <w:szCs w:val="24"/>
                <w:highlight w:val="none"/>
                <w:u w:val="none"/>
                <w:lang w:eastAsia="zh-CN"/>
              </w:rPr>
              <w:t>本项目无生产废水的排放，</w:t>
            </w:r>
            <w:r>
              <w:rPr>
                <w:rFonts w:hint="default" w:ascii="Times New Roman" w:hAnsi="Times New Roman" w:eastAsia="宋体" w:cs="Times New Roman"/>
                <w:color w:val="auto"/>
                <w:sz w:val="24"/>
                <w:szCs w:val="24"/>
                <w:highlight w:val="none"/>
                <w:u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u w:val="none"/>
              </w:rPr>
              <w:t>无需申请总量控制指标。</w:t>
            </w:r>
          </w:p>
          <w:p w14:paraId="4DC0CE3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59" w:name="_Toc16722"/>
            <w:r>
              <w:rPr>
                <w:rFonts w:hint="eastAsia" w:ascii="Times New Roman" w:hAnsi="Times New Roman" w:eastAsia="宋体" w:cs="Times New Roman"/>
                <w:b/>
                <w:bCs/>
                <w:color w:val="auto"/>
                <w:sz w:val="24"/>
                <w:szCs w:val="24"/>
                <w:u w:val="none"/>
                <w:lang w:val="en-US" w:eastAsia="zh-CN"/>
              </w:rPr>
              <w:t>3.8.2废气总量</w:t>
            </w:r>
            <w:bookmarkEnd w:id="59"/>
          </w:p>
          <w:p w14:paraId="4068C3BF">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《福建省环保局关于做好建设项目环保审批污染物总量控制有关工作的通知》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闽环保监</w:t>
            </w:r>
            <w:r>
              <w:rPr>
                <w:rFonts w:hint="default" w:ascii="Times New Roman" w:hAnsi="Times New Roman" w:eastAsia="宋体" w:cs="Times New Roman"/>
                <w:color w:val="auto"/>
                <w:sz w:val="24"/>
                <w:szCs w:val="24"/>
                <w:highlight w:val="none"/>
                <w:lang w:eastAsia="zh-CN"/>
              </w:rPr>
              <w:t>〔2007〕52号</w:t>
            </w:r>
            <w:r>
              <w:rPr>
                <w:rFonts w:hint="default" w:ascii="Times New Roman" w:hAnsi="Times New Roman" w:eastAsia="宋体" w:cs="Times New Roman"/>
                <w:color w:val="auto"/>
                <w:sz w:val="24"/>
                <w:szCs w:val="24"/>
                <w:highlight w:val="none"/>
              </w:rPr>
              <w:t>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主要污染物总量控制规划编制技术指南》的有关总量</w:t>
            </w:r>
            <w:r>
              <w:rPr>
                <w:rFonts w:hint="default" w:ascii="Times New Roman" w:hAnsi="Times New Roman" w:eastAsia="宋体" w:cs="Times New Roman"/>
                <w:color w:val="auto"/>
                <w:sz w:val="24"/>
                <w:szCs w:val="24"/>
                <w:highlight w:val="none"/>
                <w:shd w:val="clear" w:color="auto" w:fill="FFFFFF"/>
              </w:rPr>
              <w:t>调剂</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项目排放的</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val="en-US" w:eastAsia="zh-CN"/>
              </w:rPr>
              <w:t>为颗粒物、VOCs（以非甲烷总烃计），</w:t>
            </w:r>
            <w:r>
              <w:rPr>
                <w:rFonts w:hint="default" w:ascii="Times New Roman" w:hAnsi="Times New Roman" w:eastAsia="宋体" w:cs="Times New Roman"/>
                <w:color w:val="auto"/>
                <w:kern w:val="2"/>
                <w:szCs w:val="24"/>
                <w:shd w:val="clear" w:color="auto" w:fill="FFFFFF"/>
              </w:rPr>
              <w:t>项目废气不涉及SO</w:t>
            </w:r>
            <w:r>
              <w:rPr>
                <w:rFonts w:hint="default" w:ascii="Times New Roman" w:hAnsi="Times New Roman" w:eastAsia="宋体" w:cs="Times New Roman"/>
                <w:color w:val="auto"/>
                <w:kern w:val="2"/>
                <w:szCs w:val="24"/>
                <w:shd w:val="clear" w:color="auto" w:fill="FFFFFF"/>
                <w:vertAlign w:val="subscript"/>
              </w:rPr>
              <w:t>2</w:t>
            </w:r>
            <w:r>
              <w:rPr>
                <w:rFonts w:hint="default" w:ascii="Times New Roman" w:hAnsi="Times New Roman" w:eastAsia="宋体" w:cs="Times New Roman"/>
                <w:color w:val="auto"/>
                <w:kern w:val="2"/>
                <w:szCs w:val="24"/>
                <w:shd w:val="clear" w:color="auto" w:fill="FFFFFF"/>
              </w:rPr>
              <w:t>、NO</w:t>
            </w:r>
            <w:r>
              <w:rPr>
                <w:rFonts w:hint="default" w:ascii="Times New Roman" w:hAnsi="Times New Roman" w:eastAsia="宋体" w:cs="Times New Roman"/>
                <w:color w:val="auto"/>
                <w:kern w:val="2"/>
                <w:szCs w:val="24"/>
                <w:shd w:val="clear" w:color="auto" w:fill="FFFFFF"/>
                <w:vertAlign w:val="subscript"/>
              </w:rPr>
              <w:t>x</w:t>
            </w:r>
            <w:r>
              <w:rPr>
                <w:rFonts w:hint="default" w:ascii="Times New Roman" w:hAnsi="Times New Roman" w:eastAsia="宋体" w:cs="Times New Roman"/>
                <w:color w:val="auto"/>
                <w:kern w:val="2"/>
                <w:szCs w:val="24"/>
                <w:shd w:val="clear" w:color="auto" w:fill="FFFFFF"/>
              </w:rPr>
              <w:t>等属于国家和地方有偿使用和交易的排污权总量指标</w:t>
            </w:r>
            <w:r>
              <w:rPr>
                <w:rFonts w:hint="default" w:ascii="Times New Roman" w:hAnsi="Times New Roman" w:eastAsia="宋体" w:cs="Times New Roman"/>
                <w:color w:val="auto"/>
                <w:kern w:val="2"/>
                <w:szCs w:val="24"/>
                <w:shd w:val="clear" w:color="auto" w:fill="FFFFFF"/>
                <w:lang w:eastAsia="zh-CN"/>
              </w:rPr>
              <w:t>。</w:t>
            </w:r>
            <w:r>
              <w:rPr>
                <w:rFonts w:hint="default" w:ascii="Times New Roman" w:hAnsi="Times New Roman" w:eastAsia="宋体" w:cs="Times New Roman"/>
                <w:color w:val="auto"/>
                <w:kern w:val="2"/>
                <w:szCs w:val="24"/>
                <w:shd w:val="clear" w:color="auto" w:fill="FFFFFF"/>
                <w:lang w:val="en-US" w:eastAsia="zh-CN"/>
              </w:rPr>
              <w:t>因此，本项目废气总量控制指标为VOCs。</w:t>
            </w:r>
            <w:r>
              <w:rPr>
                <w:rFonts w:hint="default" w:ascii="Times New Roman" w:hAnsi="Times New Roman" w:eastAsia="宋体" w:cs="Times New Roman"/>
                <w:color w:val="auto"/>
                <w:kern w:val="2"/>
                <w:szCs w:val="24"/>
                <w:shd w:val="clear" w:color="auto" w:fill="FFFFFF"/>
              </w:rPr>
              <w:t>项目</w:t>
            </w:r>
            <w:r>
              <w:rPr>
                <w:rFonts w:hint="default" w:ascii="Times New Roman" w:hAnsi="Times New Roman" w:eastAsia="宋体" w:cs="Times New Roman"/>
                <w:color w:val="auto"/>
                <w:kern w:val="2"/>
                <w:szCs w:val="24"/>
                <w:shd w:val="clear" w:color="auto" w:fill="FFFFFF"/>
                <w:lang w:eastAsia="zh-CN"/>
              </w:rPr>
              <w:t>废气</w:t>
            </w:r>
            <w:r>
              <w:rPr>
                <w:rFonts w:hint="default" w:ascii="Times New Roman" w:hAnsi="Times New Roman" w:eastAsia="宋体" w:cs="Times New Roman"/>
                <w:color w:val="auto"/>
                <w:kern w:val="2"/>
                <w:szCs w:val="24"/>
                <w:shd w:val="clear" w:color="auto" w:fill="FFFFFF"/>
              </w:rPr>
              <w:t>总量指标详见表3.8-1。</w:t>
            </w:r>
          </w:p>
          <w:p w14:paraId="7BF2A18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GB" w:eastAsia="zh-CN"/>
              </w:rPr>
              <w:t>表3.</w:t>
            </w:r>
            <w:r>
              <w:rPr>
                <w:rFonts w:hint="eastAsia" w:ascii="Times New Roman" w:hAnsi="Times New Roman" w:eastAsia="宋体" w:cs="Times New Roman"/>
                <w:b/>
                <w:bCs/>
                <w:color w:val="auto"/>
                <w:sz w:val="24"/>
                <w:szCs w:val="24"/>
                <w:highlight w:val="none"/>
                <w:u w:val="none"/>
                <w:lang w:val="en-US" w:eastAsia="zh-CN"/>
              </w:rPr>
              <w:t>9</w:t>
            </w:r>
            <w:r>
              <w:rPr>
                <w:rFonts w:hint="default" w:ascii="Times New Roman" w:hAnsi="Times New Roman" w:eastAsia="宋体" w:cs="Times New Roman"/>
                <w:b/>
                <w:bCs/>
                <w:color w:val="auto"/>
                <w:sz w:val="24"/>
                <w:szCs w:val="24"/>
                <w:highlight w:val="none"/>
                <w:u w:val="none"/>
                <w:lang w:val="en-GB" w:eastAsia="zh-CN"/>
              </w:rPr>
              <w:t>-</w:t>
            </w:r>
            <w:r>
              <w:rPr>
                <w:rFonts w:hint="eastAsia" w:ascii="Times New Roman" w:hAnsi="Times New Roman" w:eastAsia="宋体" w:cs="Times New Roman"/>
                <w:b/>
                <w:bCs/>
                <w:color w:val="auto"/>
                <w:sz w:val="24"/>
                <w:szCs w:val="24"/>
                <w:highlight w:val="none"/>
                <w:u w:val="none"/>
                <w:lang w:val="en-US" w:eastAsia="zh-CN"/>
              </w:rPr>
              <w:t xml:space="preserve">1 </w:t>
            </w:r>
            <w:r>
              <w:rPr>
                <w:rFonts w:hint="default" w:ascii="Times New Roman" w:hAnsi="Times New Roman" w:eastAsia="宋体" w:cs="Times New Roman"/>
                <w:b/>
                <w:bCs/>
                <w:color w:val="auto"/>
                <w:sz w:val="24"/>
                <w:szCs w:val="24"/>
                <w:highlight w:val="none"/>
                <w:u w:val="none"/>
                <w:lang w:val="en-GB" w:eastAsia="zh-CN"/>
              </w:rPr>
              <w:t>项目废气污染物排放总量指标一览表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745"/>
              <w:gridCol w:w="1834"/>
              <w:gridCol w:w="1819"/>
              <w:gridCol w:w="2219"/>
            </w:tblGrid>
            <w:tr w14:paraId="77F4D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92" w:type="pct"/>
                  <w:noWrap w:val="0"/>
                  <w:vAlign w:val="center"/>
                </w:tcPr>
                <w:p w14:paraId="582D1B3D">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污染物</w:t>
                  </w:r>
                </w:p>
              </w:tc>
              <w:tc>
                <w:tcPr>
                  <w:tcW w:w="1064" w:type="pct"/>
                  <w:noWrap w:val="0"/>
                  <w:vAlign w:val="center"/>
                </w:tcPr>
                <w:p w14:paraId="3AD2E0B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有组织排放量</w:t>
                  </w:r>
                </w:p>
              </w:tc>
              <w:tc>
                <w:tcPr>
                  <w:tcW w:w="1055" w:type="pct"/>
                  <w:noWrap w:val="0"/>
                  <w:vAlign w:val="center"/>
                </w:tcPr>
                <w:p w14:paraId="25C12D0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rPr>
                  </w:pPr>
                  <w:r>
                    <w:rPr>
                      <w:rFonts w:hint="eastAsia" w:ascii="Times New Roman" w:hAnsi="Times New Roman" w:eastAsia="宋体" w:cs="Times New Roman"/>
                      <w:snapToGrid w:val="0"/>
                      <w:color w:val="auto"/>
                      <w:kern w:val="18"/>
                      <w:sz w:val="21"/>
                      <w:szCs w:val="21"/>
                      <w:lang w:val="en-US" w:eastAsia="zh-CN"/>
                    </w:rPr>
                    <w:t>无组织排放量</w:t>
                  </w:r>
                </w:p>
              </w:tc>
              <w:tc>
                <w:tcPr>
                  <w:tcW w:w="1287" w:type="pct"/>
                  <w:noWrap w:val="0"/>
                  <w:vAlign w:val="center"/>
                </w:tcPr>
                <w:p w14:paraId="09ED7B3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全厂合计排放量</w:t>
                  </w:r>
                </w:p>
              </w:tc>
            </w:tr>
            <w:tr w14:paraId="1C8633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592" w:type="pct"/>
                  <w:noWrap w:val="0"/>
                  <w:vAlign w:val="center"/>
                </w:tcPr>
                <w:p w14:paraId="4CA98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非甲烷总烃</w:t>
                  </w:r>
                  <w:r>
                    <w:rPr>
                      <w:rFonts w:hint="eastAsia" w:ascii="Times New Roman" w:hAnsi="Times New Roman" w:eastAsia="宋体" w:cs="Times New Roman"/>
                      <w:color w:val="auto"/>
                      <w:kern w:val="0"/>
                      <w:sz w:val="21"/>
                      <w:szCs w:val="21"/>
                      <w:lang w:val="en-US" w:eastAsia="zh-CN"/>
                    </w:rPr>
                    <w:t>（VOCs）</w:t>
                  </w:r>
                  <w:r>
                    <w:rPr>
                      <w:rFonts w:hint="eastAsia" w:cs="Times New Roman"/>
                      <w:color w:val="auto"/>
                      <w:kern w:val="0"/>
                      <w:sz w:val="21"/>
                      <w:szCs w:val="21"/>
                      <w:lang w:val="en-US" w:eastAsia="zh-CN"/>
                    </w:rPr>
                    <w:t>（t/a）</w:t>
                  </w:r>
                </w:p>
              </w:tc>
              <w:tc>
                <w:tcPr>
                  <w:tcW w:w="1064" w:type="pct"/>
                  <w:noWrap w:val="0"/>
                  <w:vAlign w:val="center"/>
                </w:tcPr>
                <w:p w14:paraId="19894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0.0179</w:t>
                  </w:r>
                </w:p>
              </w:tc>
              <w:tc>
                <w:tcPr>
                  <w:tcW w:w="1055" w:type="pct"/>
                  <w:noWrap w:val="0"/>
                  <w:vAlign w:val="center"/>
                </w:tcPr>
                <w:p w14:paraId="34238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0.0179</w:t>
                  </w:r>
                </w:p>
              </w:tc>
              <w:tc>
                <w:tcPr>
                  <w:tcW w:w="1287" w:type="pct"/>
                  <w:noWrap w:val="0"/>
                  <w:vAlign w:val="center"/>
                </w:tcPr>
                <w:p w14:paraId="70C38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0.0358</w:t>
                  </w:r>
                </w:p>
              </w:tc>
            </w:tr>
          </w:tbl>
          <w:p w14:paraId="22246E3D">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shd w:val="clear" w:color="auto" w:fill="FFFFFF"/>
                <w:lang w:val="en-US" w:eastAsia="zh-CN"/>
              </w:rPr>
            </w:pPr>
            <w:r>
              <w:rPr>
                <w:rFonts w:hint="eastAsia" w:ascii="Times New Roman" w:hAnsi="Times New Roman" w:eastAsia="宋体" w:cs="Times New Roman"/>
                <w:color w:val="auto"/>
                <w:kern w:val="2"/>
                <w:szCs w:val="24"/>
                <w:shd w:val="clear" w:color="auto" w:fill="FFFFFF"/>
                <w:lang w:val="en-US" w:eastAsia="zh-CN"/>
              </w:rPr>
              <w:t>根据</w:t>
            </w:r>
            <w:r>
              <w:rPr>
                <w:rFonts w:hint="default" w:ascii="Times New Roman" w:hAnsi="Times New Roman" w:eastAsia="宋体" w:cs="Times New Roman"/>
                <w:color w:val="auto"/>
                <w:kern w:val="2"/>
                <w:szCs w:val="24"/>
                <w:shd w:val="clear" w:color="auto" w:fill="FFFFFF"/>
                <w:lang w:val="en-US" w:eastAsia="zh-CN"/>
              </w:rPr>
              <w:t>福建省环保厅关于印发《福建省建设项目主要污染物排放总量指标管理办法（试行）》的通知</w:t>
            </w:r>
            <w:r>
              <w:rPr>
                <w:rFonts w:hint="eastAsia" w:ascii="Times New Roman" w:hAnsi="Times New Roman" w:eastAsia="宋体" w:cs="Times New Roman"/>
                <w:color w:val="auto"/>
                <w:kern w:val="2"/>
                <w:szCs w:val="24"/>
                <w:shd w:val="clear" w:color="auto" w:fill="FFFFFF"/>
                <w:lang w:val="en-US" w:eastAsia="zh-CN"/>
              </w:rPr>
              <w:t>（闽环发〔2014〕13号）：“</w:t>
            </w:r>
            <w:r>
              <w:rPr>
                <w:rFonts w:hint="default" w:ascii="Times New Roman" w:hAnsi="Times New Roman" w:eastAsia="宋体" w:cs="Times New Roman"/>
                <w:color w:val="auto"/>
                <w:kern w:val="2"/>
                <w:szCs w:val="24"/>
                <w:shd w:val="clear" w:color="auto" w:fill="FFFFFF"/>
                <w:lang w:val="en-US" w:eastAsia="zh-CN"/>
              </w:rPr>
              <w:t>第十条实行重点区域和行业总量倍量调剂，其倍量调剂比例为以下各单项比例的乘积：（四）工业园区外的工业企业的新增排放量，按不低于1.2倍调剂</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根据《福州市</w:t>
            </w:r>
            <w:r>
              <w:rPr>
                <w:rFonts w:hint="eastAsia" w:ascii="Times New Roman" w:hAnsi="Times New Roman" w:eastAsia="宋体" w:cs="Times New Roman"/>
                <w:color w:val="auto"/>
                <w:kern w:val="2"/>
                <w:szCs w:val="24"/>
                <w:shd w:val="clear" w:color="auto" w:fill="FFFFFF"/>
                <w:lang w:val="en-US" w:eastAsia="zh-CN"/>
              </w:rPr>
              <w:t>生态环境局</w:t>
            </w:r>
            <w:r>
              <w:rPr>
                <w:rFonts w:hint="default" w:ascii="Times New Roman" w:hAnsi="Times New Roman" w:eastAsia="宋体" w:cs="Times New Roman"/>
                <w:color w:val="auto"/>
                <w:kern w:val="2"/>
                <w:szCs w:val="24"/>
                <w:shd w:val="clear" w:color="auto" w:fill="FFFFFF"/>
                <w:lang w:val="en-US" w:eastAsia="zh-CN"/>
              </w:rPr>
              <w:t>关于印发福州市</w:t>
            </w:r>
            <w:r>
              <w:rPr>
                <w:rFonts w:hint="eastAsia" w:ascii="Times New Roman" w:hAnsi="Times New Roman" w:eastAsia="宋体" w:cs="Times New Roman"/>
                <w:color w:val="auto"/>
                <w:kern w:val="2"/>
                <w:szCs w:val="24"/>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shd w:val="clear" w:color="auto" w:fill="FFFFFF"/>
                <w:lang w:val="en-US" w:eastAsia="zh-CN"/>
              </w:rPr>
              <w:t>》榕环保综</w:t>
            </w:r>
            <w:r>
              <w:rPr>
                <w:rFonts w:hint="eastAsia" w:ascii="Times New Roman" w:hAnsi="Times New Roman" w:eastAsia="宋体" w:cs="Times New Roman"/>
                <w:color w:val="auto"/>
                <w:kern w:val="2"/>
                <w:szCs w:val="24"/>
                <w:shd w:val="clear" w:color="auto" w:fill="FFFFFF"/>
                <w:lang w:val="en-US" w:eastAsia="zh-CN"/>
              </w:rPr>
              <w:t>〔2018〕386号</w:t>
            </w:r>
            <w:r>
              <w:rPr>
                <w:rFonts w:hint="default" w:ascii="Times New Roman" w:hAnsi="Times New Roman" w:eastAsia="宋体" w:cs="Times New Roman"/>
                <w:color w:val="auto"/>
                <w:kern w:val="2"/>
                <w:szCs w:val="24"/>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无</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榕环委办</w:t>
            </w:r>
            <w:r>
              <w:rPr>
                <w:rFonts w:hint="eastAsia" w:ascii="Times New Roman" w:hAnsi="Times New Roman" w:eastAsia="宋体" w:cs="Times New Roman"/>
                <w:color w:val="auto"/>
                <w:kern w:val="2"/>
                <w:szCs w:val="24"/>
                <w:shd w:val="clear" w:color="auto" w:fill="FFFFFF"/>
                <w:lang w:val="en-US" w:eastAsia="zh-CN"/>
              </w:rPr>
              <w:t>〔2022〕49号</w:t>
            </w:r>
            <w:r>
              <w:rPr>
                <w:rFonts w:hint="eastAsia" w:ascii="Times New Roman" w:hAnsi="Times New Roman" w:cs="Times New Roman"/>
                <w:color w:val="auto"/>
                <w:kern w:val="2"/>
                <w:szCs w:val="24"/>
                <w:shd w:val="clear" w:color="auto" w:fill="FFFFFF"/>
                <w:lang w:val="en-US" w:eastAsia="zh-CN"/>
              </w:rPr>
              <w:t>）</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实施新建项目VOC</w:t>
            </w:r>
            <w:r>
              <w:rPr>
                <w:rFonts w:hint="eastAsia" w:ascii="Times New Roman" w:hAnsi="Times New Roman" w:eastAsia="宋体" w:cs="Times New Roman"/>
                <w:color w:val="auto"/>
                <w:kern w:val="2"/>
                <w:szCs w:val="24"/>
                <w:shd w:val="clear" w:color="auto" w:fill="FFFFFF"/>
                <w:lang w:val="en-US" w:eastAsia="zh-CN"/>
              </w:rPr>
              <w:t>s</w:t>
            </w:r>
            <w:r>
              <w:rPr>
                <w:rFonts w:hint="default" w:ascii="Times New Roman" w:hAnsi="Times New Roman" w:eastAsia="宋体" w:cs="Times New Roman"/>
                <w:color w:val="auto"/>
                <w:kern w:val="2"/>
                <w:szCs w:val="24"/>
                <w:shd w:val="clear" w:color="auto" w:fill="FFFFFF"/>
                <w:lang w:val="en-US" w:eastAsia="zh-CN"/>
              </w:rPr>
              <w:t>排放区域内倍量替代。</w:t>
            </w:r>
            <w:r>
              <w:rPr>
                <w:rFonts w:hint="eastAsia" w:ascii="Times New Roman" w:hAnsi="Times New Roman" w:eastAsia="宋体" w:cs="Times New Roman"/>
                <w:color w:val="auto"/>
                <w:kern w:val="2"/>
                <w:szCs w:val="24"/>
                <w:shd w:val="clear" w:color="auto" w:fill="FFFFFF"/>
                <w:lang w:val="en-US" w:eastAsia="zh-CN"/>
              </w:rPr>
              <w:t>本项目VOCs（以非甲烷总烃计）的排放总量为</w:t>
            </w:r>
            <w:r>
              <w:rPr>
                <w:rFonts w:hint="eastAsia" w:ascii="Times New Roman" w:hAnsi="Times New Roman" w:eastAsia="宋体" w:cs="Times New Roman"/>
                <w:color w:val="auto"/>
                <w:kern w:val="2"/>
                <w:szCs w:val="24"/>
                <w:highlight w:val="none"/>
                <w:shd w:val="clear" w:color="auto" w:fill="FFFFFF"/>
                <w:lang w:val="en-US" w:eastAsia="zh-CN"/>
              </w:rPr>
              <w:t>：</w:t>
            </w:r>
            <w:r>
              <w:rPr>
                <w:rFonts w:hint="eastAsia" w:ascii="Times New Roman" w:hAnsi="Times New Roman" w:cs="Times New Roman"/>
                <w:color w:val="auto"/>
                <w:kern w:val="2"/>
                <w:szCs w:val="24"/>
                <w:highlight w:val="none"/>
                <w:shd w:val="clear" w:color="auto" w:fill="FFFFFF"/>
                <w:lang w:val="en-US" w:eastAsia="zh-CN"/>
              </w:rPr>
              <w:t>0.0358</w:t>
            </w:r>
            <w:r>
              <w:rPr>
                <w:rFonts w:hint="eastAsia" w:ascii="Times New Roman" w:hAnsi="Times New Roman" w:eastAsia="宋体" w:cs="Times New Roman"/>
                <w:color w:val="auto"/>
                <w:kern w:val="2"/>
                <w:szCs w:val="24"/>
                <w:highlight w:val="none"/>
                <w:shd w:val="clear" w:color="auto" w:fill="FFFFFF"/>
                <w:lang w:val="en-US" w:eastAsia="zh-CN"/>
              </w:rPr>
              <w:t>t/a</w:t>
            </w:r>
            <w:r>
              <w:rPr>
                <w:rFonts w:hint="eastAsia" w:ascii="Times New Roman" w:hAnsi="Times New Roman" w:eastAsia="宋体" w:cs="Times New Roman"/>
                <w:color w:val="auto"/>
                <w:kern w:val="2"/>
                <w:szCs w:val="24"/>
                <w:shd w:val="clear" w:color="auto" w:fill="FFFFFF"/>
                <w:lang w:val="en-US" w:eastAsia="zh-CN"/>
              </w:rPr>
              <w:t>。因此，本项目排放的VOCs总量</w:t>
            </w:r>
            <w:r>
              <w:rPr>
                <w:rFonts w:hint="default" w:ascii="Times New Roman" w:hAnsi="Times New Roman" w:eastAsia="宋体" w:cs="Times New Roman"/>
                <w:color w:val="auto"/>
                <w:kern w:val="2"/>
                <w:szCs w:val="24"/>
                <w:shd w:val="clear" w:color="auto" w:fill="FFFFFF"/>
                <w:lang w:val="en-US" w:eastAsia="zh-CN"/>
              </w:rPr>
              <w:t>由建设单位向</w:t>
            </w:r>
            <w:r>
              <w:rPr>
                <w:rFonts w:hint="eastAsia" w:ascii="Times New Roman" w:hAnsi="Times New Roman" w:eastAsia="宋体" w:cs="Times New Roman"/>
                <w:color w:val="auto"/>
                <w:kern w:val="2"/>
                <w:szCs w:val="24"/>
                <w:shd w:val="clear" w:color="auto" w:fill="FFFFFF"/>
                <w:lang w:val="en-US" w:eastAsia="zh-CN"/>
              </w:rPr>
              <w:t>福州市福清生态环境局</w:t>
            </w:r>
            <w:r>
              <w:rPr>
                <w:rFonts w:hint="default" w:ascii="Times New Roman" w:hAnsi="Times New Roman" w:eastAsia="宋体" w:cs="Times New Roman"/>
                <w:color w:val="auto"/>
                <w:kern w:val="2"/>
                <w:szCs w:val="24"/>
                <w:shd w:val="clear" w:color="auto" w:fill="FFFFFF"/>
                <w:lang w:val="en-US" w:eastAsia="zh-CN"/>
              </w:rPr>
              <w:t>申请区域</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建设单位承诺在项目投产前取得</w:t>
            </w:r>
            <w:r>
              <w:rPr>
                <w:rFonts w:hint="eastAsia" w:ascii="Times New Roman" w:hAnsi="Times New Roman" w:eastAsia="宋体" w:cs="Times New Roman"/>
                <w:color w:val="auto"/>
                <w:kern w:val="2"/>
                <w:szCs w:val="24"/>
                <w:shd w:val="clear" w:color="auto" w:fill="FFFFFF"/>
                <w:lang w:val="en-US" w:eastAsia="zh-CN"/>
              </w:rPr>
              <w:t>各污染</w:t>
            </w:r>
            <w:r>
              <w:rPr>
                <w:rFonts w:hint="default" w:ascii="Times New Roman" w:hAnsi="Times New Roman" w:eastAsia="宋体" w:cs="Times New Roman"/>
                <w:color w:val="auto"/>
                <w:kern w:val="2"/>
                <w:szCs w:val="24"/>
                <w:shd w:val="clear" w:color="auto" w:fill="FFFFFF"/>
                <w:lang w:val="en-US" w:eastAsia="zh-CN"/>
              </w:rPr>
              <w:t>VOCs</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以非甲烷总烃计</w:t>
            </w:r>
            <w:r>
              <w:rPr>
                <w:rFonts w:hint="eastAsia" w:ascii="Times New Roman" w:hAnsi="Times New Roman" w:eastAsia="宋体" w:cs="Times New Roman"/>
                <w:color w:val="auto"/>
                <w:kern w:val="2"/>
                <w:szCs w:val="24"/>
                <w:shd w:val="clear" w:color="auto" w:fill="FFFFFF"/>
                <w:lang w:val="en-US" w:eastAsia="zh-CN"/>
              </w:rPr>
              <w:t>）总量</w:t>
            </w:r>
            <w:r>
              <w:rPr>
                <w:rFonts w:hint="default" w:ascii="Times New Roman" w:hAnsi="Times New Roman" w:eastAsia="宋体" w:cs="Times New Roman"/>
                <w:color w:val="auto"/>
                <w:kern w:val="2"/>
                <w:szCs w:val="24"/>
                <w:shd w:val="clear" w:color="auto" w:fill="FFFFFF"/>
                <w:lang w:val="en-US" w:eastAsia="zh-CN"/>
              </w:rPr>
              <w:t>的</w:t>
            </w:r>
            <w:r>
              <w:rPr>
                <w:rFonts w:hint="eastAsia" w:ascii="Times New Roman" w:hAnsi="Times New Roman" w:eastAsia="宋体" w:cs="Times New Roman"/>
                <w:color w:val="auto"/>
                <w:kern w:val="2"/>
                <w:szCs w:val="24"/>
                <w:shd w:val="clear" w:color="auto" w:fill="FFFFFF"/>
                <w:lang w:val="en-US" w:eastAsia="zh-CN"/>
              </w:rPr>
              <w:t>倍量</w:t>
            </w:r>
            <w:r>
              <w:rPr>
                <w:rFonts w:hint="default" w:ascii="Times New Roman" w:hAnsi="Times New Roman" w:eastAsia="宋体" w:cs="Times New Roman"/>
                <w:color w:val="auto"/>
                <w:kern w:val="2"/>
                <w:szCs w:val="24"/>
                <w:shd w:val="clear" w:color="auto" w:fill="FFFFFF"/>
                <w:lang w:val="en-US" w:eastAsia="zh-CN"/>
              </w:rPr>
              <w:t>替代</w:t>
            </w:r>
            <w:r>
              <w:rPr>
                <w:rFonts w:hint="eastAsia" w:ascii="Times New Roman" w:hAnsi="Times New Roman" w:eastAsia="宋体" w:cs="Times New Roman"/>
                <w:color w:val="auto"/>
                <w:kern w:val="2"/>
                <w:szCs w:val="24"/>
                <w:shd w:val="clear" w:color="auto" w:fill="FFFFFF"/>
                <w:lang w:val="en-US" w:eastAsia="zh-CN"/>
              </w:rPr>
              <w:t>，</w:t>
            </w:r>
            <w:r>
              <w:rPr>
                <w:rFonts w:hint="default" w:ascii="Times New Roman" w:hAnsi="Times New Roman" w:eastAsia="宋体" w:cs="Times New Roman"/>
                <w:color w:val="auto"/>
                <w:kern w:val="2"/>
                <w:szCs w:val="24"/>
                <w:shd w:val="clear" w:color="auto" w:fill="FFFFFF"/>
                <w:lang w:val="en-US" w:eastAsia="zh-CN"/>
              </w:rPr>
              <w:t>并依法</w:t>
            </w:r>
            <w:r>
              <w:rPr>
                <w:rFonts w:hint="eastAsia" w:ascii="Times New Roman" w:hAnsi="Times New Roman" w:eastAsia="宋体" w:cs="Times New Roman"/>
                <w:color w:val="auto"/>
                <w:kern w:val="2"/>
                <w:szCs w:val="24"/>
                <w:shd w:val="clear" w:color="auto" w:fill="FFFFFF"/>
                <w:lang w:val="en-US" w:eastAsia="zh-CN"/>
              </w:rPr>
              <w:t>办理</w:t>
            </w:r>
            <w:r>
              <w:rPr>
                <w:rFonts w:hint="default" w:ascii="Times New Roman" w:hAnsi="Times New Roman" w:eastAsia="宋体" w:cs="Times New Roman"/>
                <w:color w:val="auto"/>
                <w:kern w:val="2"/>
                <w:szCs w:val="24"/>
                <w:shd w:val="clear" w:color="auto" w:fill="FFFFFF"/>
                <w:lang w:val="en-US" w:eastAsia="zh-CN"/>
              </w:rPr>
              <w:t>排污许可</w:t>
            </w:r>
            <w:r>
              <w:rPr>
                <w:rFonts w:hint="eastAsia" w:ascii="Times New Roman" w:hAnsi="Times New Roman" w:eastAsia="宋体" w:cs="Times New Roman"/>
                <w:color w:val="auto"/>
                <w:kern w:val="2"/>
                <w:szCs w:val="24"/>
                <w:shd w:val="clear" w:color="auto" w:fill="FFFFFF"/>
                <w:lang w:val="en-US" w:eastAsia="zh-CN"/>
              </w:rPr>
              <w:t>手续。</w:t>
            </w:r>
          </w:p>
        </w:tc>
      </w:tr>
    </w:tbl>
    <w:p w14:paraId="7BD1B22A">
      <w:pPr>
        <w:rPr>
          <w:rFonts w:hint="eastAsia"/>
          <w:lang w:eastAsia="zh-CN"/>
        </w:rPr>
      </w:pPr>
      <w:r>
        <w:rPr>
          <w:rFonts w:hint="eastAsia"/>
          <w:lang w:eastAsia="zh-CN"/>
        </w:rPr>
        <w:br w:type="page"/>
      </w:r>
    </w:p>
    <w:p w14:paraId="3C7A643E">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60" w:name="_Toc3502"/>
      <w:bookmarkStart w:id="61" w:name="_Toc15792"/>
      <w:r>
        <w:rPr>
          <w:rFonts w:hint="eastAsia" w:ascii="Times New Roman" w:hAnsi="Times New Roman" w:eastAsia="黑体" w:cs="Times New Roman"/>
          <w:snapToGrid w:val="0"/>
          <w:color w:val="auto"/>
          <w:sz w:val="30"/>
          <w:szCs w:val="30"/>
          <w:u w:val="none"/>
          <w:lang w:val="en-US" w:eastAsia="zh-CN"/>
        </w:rPr>
        <w:t>四、</w:t>
      </w:r>
      <w:r>
        <w:rPr>
          <w:rFonts w:hint="default" w:ascii="Times New Roman" w:hAnsi="Times New Roman" w:eastAsia="黑体" w:cs="Times New Roman"/>
          <w:snapToGrid w:val="0"/>
          <w:color w:val="auto"/>
          <w:sz w:val="30"/>
          <w:szCs w:val="30"/>
          <w:u w:val="none"/>
          <w:lang w:val="en-US" w:eastAsia="zh-CN"/>
        </w:rPr>
        <w:t>主要环境影响和保护措施</w:t>
      </w:r>
      <w:bookmarkEnd w:id="60"/>
      <w:bookmarkEnd w:id="61"/>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7F7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trPr>
        <w:tc>
          <w:tcPr>
            <w:tcW w:w="533" w:type="dxa"/>
            <w:vAlign w:val="center"/>
          </w:tcPr>
          <w:p w14:paraId="72F94C6B">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15C2AE0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eastAsia"/>
                <w:vertAlign w:val="baseline"/>
                <w:lang w:eastAsia="zh-CN"/>
              </w:rPr>
            </w:pPr>
            <w:bookmarkStart w:id="62" w:name="_Toc211967612"/>
            <w:bookmarkStart w:id="63" w:name="_Toc212261317"/>
            <w:bookmarkStart w:id="64" w:name="_Toc17361639"/>
            <w:bookmarkStart w:id="65" w:name="_Toc234833275"/>
            <w:bookmarkStart w:id="66" w:name="_Toc213206595"/>
            <w:bookmarkStart w:id="67" w:name="_Toc222825971"/>
            <w:bookmarkStart w:id="68" w:name="_Toc56498971"/>
            <w:bookmarkStart w:id="69" w:name="_Toc235065596"/>
            <w:bookmarkStart w:id="70" w:name="_Toc232930955"/>
            <w:bookmarkStart w:id="71" w:name="_Toc224713628"/>
            <w:bookmarkStart w:id="72" w:name="_Toc225766861"/>
            <w:bookmarkStart w:id="73" w:name="_Toc278977997"/>
            <w:bookmarkStart w:id="74" w:name="_Toc235459029"/>
            <w:bookmarkStart w:id="75" w:name="_Toc279492221"/>
            <w:bookmarkStart w:id="76" w:name="_Toc233386843"/>
            <w:bookmarkStart w:id="77" w:name="_Toc281777364"/>
            <w:bookmarkStart w:id="78" w:name="_Toc17361640"/>
            <w:bookmarkStart w:id="79" w:name="_Toc85178610"/>
            <w:bookmarkStart w:id="80" w:name="_Toc56498815"/>
            <w:r>
              <w:rPr>
                <w:rFonts w:hint="default" w:ascii="Times New Roman" w:hAnsi="Times New Roman" w:eastAsia="宋体" w:cs="Times New Roman"/>
                <w:color w:val="auto"/>
                <w:kern w:val="2"/>
                <w:sz w:val="24"/>
                <w:szCs w:val="24"/>
                <w:shd w:val="clear" w:color="auto" w:fill="FFFFFF"/>
                <w:lang w:val="en-US" w:eastAsia="zh-CN"/>
              </w:rPr>
              <w:t>本项目位于</w:t>
            </w:r>
            <w:r>
              <w:rPr>
                <w:rFonts w:hint="eastAsia" w:cs="Times New Roman"/>
                <w:color w:val="auto"/>
                <w:sz w:val="24"/>
                <w:szCs w:val="24"/>
                <w:u w:val="none"/>
                <w:lang w:val="en-US" w:eastAsia="zh-CN"/>
              </w:rPr>
              <w:t>福清融侨经济技术开发区（均和云谷·福清科技港39#厂房）</w:t>
            </w:r>
            <w:r>
              <w:rPr>
                <w:rFonts w:hint="default" w:ascii="Times New Roman" w:hAnsi="Times New Roman" w:eastAsia="宋体" w:cs="Times New Roman"/>
                <w:color w:val="auto"/>
                <w:sz w:val="24"/>
                <w:szCs w:val="24"/>
                <w:u w:val="none"/>
                <w:lang w:val="en-US" w:eastAsia="zh-CN"/>
              </w:rPr>
              <w:t>）。</w:t>
            </w:r>
            <w:r>
              <w:rPr>
                <w:rFonts w:hint="default" w:ascii="Times New Roman" w:hAnsi="Times New Roman" w:eastAsia="宋体" w:cs="Times New Roman"/>
                <w:color w:val="auto"/>
                <w:kern w:val="2"/>
                <w:sz w:val="24"/>
                <w:szCs w:val="24"/>
                <w:shd w:val="clear" w:color="auto" w:fill="FFFFFF"/>
                <w:lang w:val="en-US" w:eastAsia="zh-CN"/>
              </w:rPr>
              <w:t>利用现有厂房进行生产，根据现场勘查，该厂房已建成，因此不存在厂房等主体工程施工期环境影响。项目施工期主要为设备安装、调试阶段产生的环境问题，本项目设备安装、调试简单</w:t>
            </w:r>
            <w:r>
              <w:rPr>
                <w:rFonts w:hint="eastAsia" w:cs="Times New Roman"/>
                <w:color w:val="auto"/>
                <w:kern w:val="2"/>
                <w:sz w:val="24"/>
                <w:szCs w:val="24"/>
                <w:shd w:val="clear" w:color="auto" w:fill="FFFFFF"/>
                <w:lang w:val="en-US" w:eastAsia="zh-CN"/>
              </w:rPr>
              <w:t>且</w:t>
            </w:r>
            <w:r>
              <w:rPr>
                <w:rFonts w:hint="default" w:ascii="Times New Roman" w:hAnsi="Times New Roman" w:eastAsia="宋体" w:cs="Times New Roman"/>
                <w:color w:val="auto"/>
                <w:kern w:val="2"/>
                <w:sz w:val="24"/>
                <w:szCs w:val="24"/>
                <w:shd w:val="clear" w:color="auto" w:fill="FFFFFF"/>
                <w:lang w:val="en-US" w:eastAsia="zh-CN"/>
              </w:rPr>
              <w:t>时间较短，因此，随着设备安装、调试完毕后，项目施工期也将结束，施工期环境影响也随着消失，</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hint="default" w:ascii="Times New Roman" w:hAnsi="Times New Roman" w:eastAsia="宋体" w:cs="Times New Roman"/>
                <w:color w:val="auto"/>
                <w:kern w:val="2"/>
                <w:sz w:val="24"/>
                <w:szCs w:val="24"/>
                <w:shd w:val="clear" w:color="auto" w:fill="FFFFFF"/>
                <w:lang w:val="zh-CN" w:eastAsia="zh-CN"/>
              </w:rPr>
              <w:t>对周围环境的影响较小，故本环评对此不再作出具体分析。</w:t>
            </w:r>
          </w:p>
        </w:tc>
      </w:tr>
      <w:tr w14:paraId="6066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3" w:type="dxa"/>
            <w:vAlign w:val="center"/>
          </w:tcPr>
          <w:p w14:paraId="2ACFA6F4">
            <w:pPr>
              <w:jc w:val="center"/>
              <w:rPr>
                <w:rFonts w:hint="default"/>
                <w:vertAlign w:val="baseline"/>
                <w:lang w:val="en-US" w:eastAsia="zh-CN"/>
              </w:rPr>
            </w:pPr>
            <w:r>
              <w:rPr>
                <w:rFonts w:hint="eastAsia" w:ascii="Times New Roman" w:hAnsi="Times New Roman" w:eastAsia="宋体" w:cs="Times New Roman"/>
                <w:color w:val="auto"/>
                <w:kern w:val="0"/>
                <w:sz w:val="24"/>
                <w:szCs w:val="24"/>
                <w:lang w:val="en-US" w:eastAsia="zh-CN"/>
              </w:rPr>
              <w:t>运营期环境影响和保护措施</w:t>
            </w:r>
          </w:p>
        </w:tc>
        <w:tc>
          <w:tcPr>
            <w:tcW w:w="8755" w:type="dxa"/>
          </w:tcPr>
          <w:p w14:paraId="4CF2A80D">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sz w:val="28"/>
                <w:szCs w:val="28"/>
              </w:rPr>
            </w:pPr>
            <w:bookmarkStart w:id="81" w:name="_Toc22868"/>
            <w:r>
              <w:rPr>
                <w:rFonts w:hint="eastAsia"/>
                <w:b/>
                <w:sz w:val="28"/>
                <w:szCs w:val="28"/>
                <w:lang w:val="en-US" w:eastAsia="zh-CN"/>
              </w:rPr>
              <w:t>4</w:t>
            </w:r>
            <w:r>
              <w:rPr>
                <w:b/>
                <w:sz w:val="28"/>
                <w:szCs w:val="28"/>
              </w:rPr>
              <w:t>.1</w:t>
            </w:r>
            <w:r>
              <w:rPr>
                <w:rFonts w:eastAsia="宋体"/>
                <w:b/>
                <w:sz w:val="28"/>
                <w:szCs w:val="28"/>
              </w:rPr>
              <w:t>大气环境影响分析和污染防治措施</w:t>
            </w:r>
            <w:bookmarkEnd w:id="81"/>
          </w:p>
          <w:p w14:paraId="36D57AE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262626"/>
                <w:kern w:val="0"/>
                <w:sz w:val="24"/>
              </w:rPr>
            </w:pPr>
            <w:bookmarkStart w:id="82" w:name="_Toc7455"/>
            <w:bookmarkStart w:id="83" w:name="_Toc5618"/>
            <w:r>
              <w:rPr>
                <w:b/>
                <w:color w:val="262626"/>
                <w:kern w:val="0"/>
                <w:sz w:val="24"/>
              </w:rPr>
              <w:t>4.1.1 运营期废气源强核算</w:t>
            </w:r>
            <w:bookmarkEnd w:id="82"/>
            <w:bookmarkEnd w:id="83"/>
          </w:p>
          <w:p w14:paraId="22AFFF28">
            <w:pPr>
              <w:adjustRightInd w:val="0"/>
              <w:snapToGrid w:val="0"/>
              <w:spacing w:line="348" w:lineRule="auto"/>
              <w:ind w:firstLine="480" w:firstLineChars="200"/>
              <w:rPr>
                <w:color w:val="262626"/>
                <w:sz w:val="24"/>
              </w:rPr>
            </w:pPr>
            <w:r>
              <w:rPr>
                <w:rFonts w:hint="eastAsia"/>
                <w:color w:val="262626"/>
                <w:sz w:val="24"/>
              </w:rPr>
              <w:t>根据生产工艺流程图可知，项目运营期废气</w:t>
            </w:r>
            <w:r>
              <w:rPr>
                <w:rFonts w:hint="eastAsia"/>
                <w:color w:val="262626"/>
                <w:sz w:val="24"/>
                <w:lang w:val="en-US" w:eastAsia="zh-CN"/>
              </w:rPr>
              <w:t>来源是工业连接器和工业线缆生产时产生的</w:t>
            </w:r>
            <w:r>
              <w:rPr>
                <w:rFonts w:hint="eastAsia"/>
                <w:color w:val="262626"/>
                <w:sz w:val="24"/>
              </w:rPr>
              <w:t>注塑</w:t>
            </w:r>
            <w:r>
              <w:rPr>
                <w:rFonts w:hint="eastAsia"/>
                <w:color w:val="262626"/>
                <w:sz w:val="24"/>
                <w:lang w:eastAsia="zh-CN"/>
              </w:rPr>
              <w:t>、</w:t>
            </w:r>
            <w:r>
              <w:rPr>
                <w:rFonts w:hint="eastAsia"/>
                <w:color w:val="262626"/>
                <w:sz w:val="24"/>
                <w:lang w:val="en-US" w:eastAsia="zh-CN"/>
              </w:rPr>
              <w:t>包胶</w:t>
            </w:r>
            <w:r>
              <w:rPr>
                <w:rFonts w:hint="eastAsia"/>
                <w:color w:val="262626"/>
                <w:sz w:val="24"/>
              </w:rPr>
              <w:t>有机废气</w:t>
            </w:r>
            <w:r>
              <w:rPr>
                <w:rFonts w:hint="eastAsia"/>
                <w:color w:val="262626"/>
                <w:sz w:val="24"/>
                <w:lang w:eastAsia="zh-CN"/>
              </w:rPr>
              <w:t>（</w:t>
            </w:r>
            <w:r>
              <w:rPr>
                <w:color w:val="262626"/>
                <w:sz w:val="24"/>
              </w:rPr>
              <w:t>以非甲烷</w:t>
            </w:r>
            <w:r>
              <w:rPr>
                <w:rFonts w:hint="eastAsia"/>
                <w:color w:val="262626"/>
                <w:sz w:val="24"/>
              </w:rPr>
              <w:t>总烃</w:t>
            </w:r>
            <w:r>
              <w:rPr>
                <w:rFonts w:hint="eastAsia" w:cs="Times New Roman"/>
                <w:color w:val="auto"/>
                <w:kern w:val="0"/>
                <w:sz w:val="24"/>
                <w:szCs w:val="24"/>
                <w:lang w:val="en-US" w:eastAsia="zh-CN" w:bidi="ar-SA"/>
              </w:rPr>
              <w:t>表征</w:t>
            </w:r>
            <w:r>
              <w:rPr>
                <w:rFonts w:hint="eastAsia"/>
                <w:color w:val="262626"/>
                <w:sz w:val="24"/>
                <w:lang w:val="en-US" w:eastAsia="zh-CN"/>
              </w:rPr>
              <w:t>）</w:t>
            </w:r>
            <w:r>
              <w:rPr>
                <w:rFonts w:hint="eastAsia"/>
                <w:color w:val="262626"/>
                <w:sz w:val="24"/>
                <w:lang w:eastAsia="zh-CN"/>
              </w:rPr>
              <w:t>、</w:t>
            </w:r>
            <w:r>
              <w:rPr>
                <w:rFonts w:hint="eastAsia"/>
                <w:color w:val="262626"/>
                <w:sz w:val="24"/>
              </w:rPr>
              <w:t>臭气</w:t>
            </w:r>
            <w:r>
              <w:rPr>
                <w:rFonts w:hint="eastAsia"/>
                <w:color w:val="262626"/>
                <w:sz w:val="24"/>
                <w:lang w:eastAsia="zh-CN"/>
              </w:rPr>
              <w:t>；</w:t>
            </w:r>
            <w:r>
              <w:rPr>
                <w:rFonts w:hint="eastAsia"/>
                <w:color w:val="262626"/>
                <w:sz w:val="24"/>
                <w:lang w:val="en-US" w:eastAsia="zh-CN"/>
              </w:rPr>
              <w:t>料头粉碎</w:t>
            </w:r>
            <w:r>
              <w:rPr>
                <w:rFonts w:hint="eastAsia"/>
                <w:color w:val="262626"/>
                <w:sz w:val="24"/>
                <w:lang w:eastAsia="zh-CN"/>
              </w:rPr>
              <w:t>过程中产生的粉尘废气（颗粒物）；</w:t>
            </w:r>
            <w:r>
              <w:rPr>
                <w:rFonts w:hint="eastAsia"/>
                <w:color w:val="262626"/>
                <w:sz w:val="24"/>
                <w:lang w:val="en-US" w:eastAsia="zh-CN"/>
              </w:rPr>
              <w:t>喷粉前除油废气、喷粉废气、喷粉后烘烤废气和投料废气（色粉投入时产生的废气）。</w:t>
            </w:r>
            <w:r>
              <w:rPr>
                <w:rFonts w:hint="eastAsia" w:ascii="Times New Roman" w:hAnsi="Times New Roman" w:eastAsia="宋体" w:cs="Times New Roman"/>
                <w:color w:val="262626"/>
                <w:sz w:val="24"/>
                <w:lang w:val="en-US" w:eastAsia="zh-CN"/>
              </w:rPr>
              <w:t>本项目废气源强</w:t>
            </w:r>
            <w:r>
              <w:rPr>
                <w:rFonts w:hint="eastAsia"/>
                <w:color w:val="262626"/>
                <w:kern w:val="0"/>
                <w:sz w:val="24"/>
                <w:szCs w:val="20"/>
              </w:rPr>
              <w:t>核算参照《污染源源强核算技术指南 准则》</w:t>
            </w:r>
            <w:r>
              <w:rPr>
                <w:rFonts w:hint="eastAsia"/>
                <w:color w:val="262626"/>
                <w:kern w:val="0"/>
                <w:sz w:val="24"/>
                <w:szCs w:val="20"/>
                <w:lang w:eastAsia="zh-CN"/>
              </w:rPr>
              <w:t>《</w:t>
            </w:r>
            <w:r>
              <w:rPr>
                <w:rFonts w:hint="eastAsia"/>
                <w:color w:val="262626"/>
                <w:kern w:val="0"/>
                <w:sz w:val="24"/>
                <w:szCs w:val="20"/>
                <w:lang w:val="en-US" w:eastAsia="zh-CN"/>
              </w:rPr>
              <w:t>排放源统计调查产排污核算方法和系数手册</w:t>
            </w:r>
            <w:r>
              <w:rPr>
                <w:rFonts w:hint="eastAsia"/>
                <w:color w:val="262626"/>
                <w:kern w:val="0"/>
                <w:sz w:val="24"/>
                <w:szCs w:val="20"/>
                <w:lang w:eastAsia="zh-CN"/>
              </w:rPr>
              <w:t>》</w:t>
            </w:r>
            <w:r>
              <w:rPr>
                <w:rFonts w:hint="eastAsia"/>
                <w:color w:val="262626"/>
                <w:kern w:val="0"/>
                <w:sz w:val="24"/>
                <w:szCs w:val="20"/>
              </w:rPr>
              <w:t>等相关要求进行。项目</w:t>
            </w:r>
            <w:r>
              <w:rPr>
                <w:color w:val="262626"/>
                <w:kern w:val="0"/>
                <w:sz w:val="24"/>
                <w:szCs w:val="20"/>
              </w:rPr>
              <w:t>废气污染源</w:t>
            </w:r>
            <w:r>
              <w:rPr>
                <w:rFonts w:hint="eastAsia"/>
                <w:color w:val="262626"/>
                <w:kern w:val="0"/>
                <w:sz w:val="24"/>
                <w:szCs w:val="20"/>
              </w:rPr>
              <w:t>源强分析如下：</w:t>
            </w:r>
          </w:p>
          <w:p w14:paraId="505A3694">
            <w:pPr>
              <w:adjustRightInd w:val="0"/>
              <w:snapToGrid w:val="0"/>
              <w:spacing w:line="348" w:lineRule="auto"/>
              <w:ind w:firstLine="480" w:firstLineChars="200"/>
              <w:rPr>
                <w:rFonts w:hint="eastAsia" w:ascii="Times New Roman" w:hAnsi="Times New Roman" w:eastAsia="宋体" w:cs="Times New Roman"/>
                <w:color w:val="262626"/>
                <w:sz w:val="24"/>
                <w:lang w:eastAsia="zh-CN"/>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1</w:t>
            </w:r>
            <w:r>
              <w:rPr>
                <w:rFonts w:hint="eastAsia" w:ascii="Times New Roman" w:hAnsi="Times New Roman" w:eastAsia="宋体" w:cs="Times New Roman"/>
                <w:color w:val="262626"/>
                <w:sz w:val="24"/>
                <w:lang w:eastAsia="zh-CN"/>
              </w:rPr>
              <w:t>）</w:t>
            </w:r>
            <w:r>
              <w:rPr>
                <w:rFonts w:hint="eastAsia" w:cs="Times New Roman"/>
                <w:color w:val="262626"/>
                <w:sz w:val="24"/>
                <w:lang w:val="en-US" w:eastAsia="zh-CN"/>
              </w:rPr>
              <w:t>有机</w:t>
            </w:r>
            <w:r>
              <w:rPr>
                <w:rFonts w:hint="eastAsia" w:ascii="Times New Roman" w:hAnsi="Times New Roman" w:eastAsia="宋体" w:cs="Times New Roman"/>
                <w:color w:val="262626"/>
                <w:sz w:val="24"/>
                <w:lang w:eastAsia="zh-CN"/>
              </w:rPr>
              <w:t>废气</w:t>
            </w:r>
            <w:r>
              <w:rPr>
                <w:rFonts w:hint="eastAsia" w:cs="Times New Roman"/>
                <w:color w:val="262626"/>
                <w:sz w:val="24"/>
                <w:lang w:eastAsia="zh-CN"/>
              </w:rPr>
              <w:t>（</w:t>
            </w:r>
            <w:r>
              <w:rPr>
                <w:rFonts w:hint="eastAsia" w:cs="Times New Roman"/>
                <w:color w:val="262626"/>
                <w:sz w:val="24"/>
                <w:lang w:val="en-US" w:eastAsia="zh-CN"/>
              </w:rPr>
              <w:t>注塑、包胶</w:t>
            </w:r>
            <w:r>
              <w:rPr>
                <w:rFonts w:hint="eastAsia" w:cs="Times New Roman"/>
                <w:color w:val="262626"/>
                <w:sz w:val="24"/>
                <w:lang w:eastAsia="zh-CN"/>
              </w:rPr>
              <w:t>）</w:t>
            </w:r>
          </w:p>
          <w:p w14:paraId="6DF0CF3E">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本项目在生产过程中使用PA、PC、TPU塑料颗粒。项目注塑机加热温度为260</w:t>
            </w:r>
            <w:r>
              <w:rPr>
                <w:rFonts w:hint="default" w:ascii="Times New Roman" w:hAnsi="Times New Roman" w:cs="Times New Roman"/>
                <w:bCs/>
                <w:color w:val="auto"/>
                <w:sz w:val="24"/>
                <w:lang w:val="en-US" w:eastAsia="zh-CN"/>
              </w:rPr>
              <w:t>℃~300℃</w:t>
            </w:r>
            <w:r>
              <w:rPr>
                <w:rFonts w:hint="eastAsia"/>
                <w:bCs/>
                <w:color w:val="auto"/>
                <w:sz w:val="24"/>
                <w:lang w:val="en-US" w:eastAsia="zh-CN"/>
              </w:rPr>
              <w:t>，各材料情况分析如下：</w:t>
            </w:r>
          </w:p>
          <w:p w14:paraId="7EC6BBC4">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PA的热分解温度在300</w:t>
            </w:r>
            <w:r>
              <w:rPr>
                <w:rFonts w:hint="default" w:ascii="Times New Roman" w:hAnsi="Times New Roman" w:cs="Times New Roman"/>
                <w:bCs/>
                <w:color w:val="auto"/>
                <w:sz w:val="24"/>
                <w:lang w:val="en-US" w:eastAsia="zh-CN"/>
              </w:rPr>
              <w:t>℃</w:t>
            </w:r>
            <w:r>
              <w:rPr>
                <w:rFonts w:hint="eastAsia"/>
                <w:bCs/>
                <w:color w:val="auto"/>
                <w:sz w:val="24"/>
                <w:lang w:val="en-US" w:eastAsia="zh-CN"/>
              </w:rPr>
              <w:t>以上，本项目注塑温度未达到其热分解温度，但在加热过程中会产生少量氨。本项目注塑工序PA加热温度230</w:t>
            </w:r>
            <w:r>
              <w:rPr>
                <w:rFonts w:hint="default" w:ascii="Times New Roman" w:hAnsi="Times New Roman" w:cs="Times New Roman"/>
                <w:bCs/>
                <w:color w:val="auto"/>
                <w:sz w:val="24"/>
                <w:lang w:val="en-US" w:eastAsia="zh-CN"/>
              </w:rPr>
              <w:t>℃</w:t>
            </w:r>
            <w:r>
              <w:rPr>
                <w:rFonts w:hint="eastAsia"/>
                <w:bCs/>
                <w:color w:val="auto"/>
                <w:sz w:val="24"/>
                <w:lang w:val="en-US" w:eastAsia="zh-CN"/>
              </w:rPr>
              <w:t>～250</w:t>
            </w:r>
            <w:r>
              <w:rPr>
                <w:rFonts w:hint="default" w:ascii="Times New Roman" w:hAnsi="Times New Roman" w:cs="Times New Roman"/>
                <w:bCs/>
                <w:color w:val="auto"/>
                <w:sz w:val="24"/>
                <w:lang w:val="en-US" w:eastAsia="zh-CN"/>
              </w:rPr>
              <w:t>℃</w:t>
            </w:r>
            <w:r>
              <w:rPr>
                <w:rFonts w:hint="eastAsia"/>
                <w:bCs/>
                <w:color w:val="auto"/>
                <w:sz w:val="24"/>
                <w:lang w:val="en-US" w:eastAsia="zh-CN"/>
              </w:rPr>
              <w:t>，低于其300</w:t>
            </w:r>
            <w:r>
              <w:rPr>
                <w:rFonts w:hint="default" w:ascii="Times New Roman" w:hAnsi="Times New Roman" w:cs="Times New Roman"/>
                <w:bCs/>
                <w:color w:val="auto"/>
                <w:sz w:val="24"/>
                <w:lang w:val="en-US" w:eastAsia="zh-CN"/>
              </w:rPr>
              <w:t>℃</w:t>
            </w:r>
            <w:r>
              <w:rPr>
                <w:rFonts w:hint="eastAsia"/>
                <w:bCs/>
                <w:color w:val="auto"/>
                <w:sz w:val="24"/>
                <w:lang w:val="en-US" w:eastAsia="zh-CN"/>
              </w:rPr>
              <w:t>热分解温度，理论上不发生显著裂解。但熔融过程中，酰胺键在剪切、热氧化作用下可微量断裂，释放游离氨；该过程属于“熔融态次级反应”，具有瞬时、微量、间歇排放特点。氨为碱性恶臭气体，嗅阈值低，易被感知，但排放量极小，排放时间仅与换料、喷嘴启闭同步，持续数秒至数十秒；车间内已设机械排风系统，厂界氨浓度执行《恶臭污染物排放标准》（GB 14554-93）表1二级新扩改建限值（1.5mg/m³）。本环评仅对氨做定性说明，不再量化核算，要求企业加强车间通风、规范操作，确保厂界氨浓度达标。</w:t>
            </w:r>
          </w:p>
          <w:p w14:paraId="0A61301A">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PC的热分解温度为350</w:t>
            </w:r>
            <w:r>
              <w:rPr>
                <w:rFonts w:hint="default" w:ascii="Times New Roman" w:hAnsi="Times New Roman" w:cs="Times New Roman"/>
                <w:bCs/>
                <w:color w:val="auto"/>
                <w:sz w:val="24"/>
                <w:lang w:val="en-US" w:eastAsia="zh-CN"/>
              </w:rPr>
              <w:t>℃</w:t>
            </w:r>
            <w:r>
              <w:rPr>
                <w:rFonts w:hint="eastAsia"/>
                <w:bCs/>
                <w:color w:val="auto"/>
                <w:sz w:val="24"/>
                <w:lang w:val="en-US" w:eastAsia="zh-CN"/>
              </w:rPr>
              <w:t>，本项目注塑温度并未超过PC热分解温度且氯苯、酚类是PC在加热至350</w:t>
            </w:r>
            <w:r>
              <w:rPr>
                <w:rFonts w:hint="default" w:ascii="Times New Roman" w:hAnsi="Times New Roman" w:cs="Times New Roman"/>
                <w:bCs/>
                <w:color w:val="auto"/>
                <w:sz w:val="24"/>
                <w:lang w:val="en-US" w:eastAsia="zh-CN"/>
              </w:rPr>
              <w:t>℃</w:t>
            </w:r>
            <w:r>
              <w:rPr>
                <w:rFonts w:hint="eastAsia"/>
                <w:bCs/>
                <w:color w:val="auto"/>
                <w:sz w:val="24"/>
                <w:lang w:val="en-US" w:eastAsia="zh-CN"/>
              </w:rPr>
              <w:t>以上才产生的特征热分解产物，故本项目注塑加热过程中不会产生酚类及氯苯；本项目所使用的PC由熔融酯交换法（非光气法）缩聚工艺生产而成，该工艺决定了所用PC原料不含二氯甲烷。附件二十一的PC塑料颗粒检验报告结果显示为阴性，进一步证实了原料中不存在二氯甲烷。因此，本项目在生产过程中不会产生二氯甲烷。</w:t>
            </w:r>
          </w:p>
          <w:p w14:paraId="44DF20BD">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TPU热分解温度为260℃，本项目注塑温度达到TPU的理论分解条件。但考虑到TPU年用量较少且实际注塑过程中物料在高温段停留时间较短、热分解反应需要持续能量累积，实际热降解程度有限。根据《污染源源强核算技术指南 准则》（HJ884-2018）中“针对不同污染源类型确定核算方法”的原则，参照同类环评实践，TPU可能产生的甲苯二异氰酸酯（TDI）、二苯基甲烷二异氰酸酯（MDI）、异佛尔酮二异氰酸酯（IPDI）、多亚甲基多苯基异氰酸酯（PAPI）量很小，故对于TPU热分解产物仅做定性分析。</w:t>
            </w:r>
          </w:p>
          <w:p w14:paraId="10CB5EC7">
            <w:pPr>
              <w:adjustRightInd w:val="0"/>
              <w:snapToGrid w:val="0"/>
              <w:spacing w:line="360" w:lineRule="auto"/>
              <w:ind w:firstLine="480" w:firstLineChars="200"/>
              <w:rPr>
                <w:bCs/>
                <w:color w:val="262626"/>
                <w:sz w:val="24"/>
              </w:rPr>
            </w:pPr>
            <w:r>
              <w:rPr>
                <w:rFonts w:hint="eastAsia" w:cs="Times New Roman"/>
                <w:color w:val="auto"/>
                <w:kern w:val="0"/>
                <w:sz w:val="24"/>
                <w:szCs w:val="24"/>
                <w:lang w:val="en-US" w:eastAsia="zh-CN" w:bidi="ar-SA"/>
              </w:rPr>
              <w:t>注塑、包胶工序会产生有机废气（以非甲烷总烃表征）产生，</w:t>
            </w:r>
            <w:r>
              <w:rPr>
                <w:rFonts w:hint="eastAsia"/>
                <w:color w:val="262626"/>
                <w:kern w:val="0"/>
                <w:sz w:val="24"/>
                <w:szCs w:val="20"/>
              </w:rPr>
              <w:t>根据《排放源统计调查产排污核算方法和系数手册》</w:t>
            </w:r>
            <w:r>
              <w:rPr>
                <w:color w:val="262626"/>
                <w:kern w:val="0"/>
                <w:sz w:val="24"/>
                <w:szCs w:val="20"/>
              </w:rPr>
              <w:t>292</w:t>
            </w:r>
            <w:r>
              <w:rPr>
                <w:rFonts w:hint="eastAsia"/>
                <w:color w:val="262626"/>
                <w:kern w:val="0"/>
                <w:sz w:val="24"/>
                <w:szCs w:val="20"/>
              </w:rPr>
              <w:t>塑料制品行业系数手册中“</w:t>
            </w:r>
            <w:r>
              <w:rPr>
                <w:rFonts w:hint="eastAsia"/>
                <w:color w:val="262626"/>
                <w:kern w:val="0"/>
                <w:sz w:val="24"/>
                <w:szCs w:val="20"/>
                <w:lang w:val="en-US" w:eastAsia="zh-CN"/>
              </w:rPr>
              <w:t>2929</w:t>
            </w:r>
            <w:r>
              <w:rPr>
                <w:rFonts w:hint="eastAsia"/>
                <w:color w:val="262626"/>
                <w:kern w:val="0"/>
                <w:sz w:val="24"/>
                <w:szCs w:val="20"/>
              </w:rPr>
              <w:t>塑料零件及其他塑料制品制造行业系数表”</w:t>
            </w:r>
            <w:r>
              <w:rPr>
                <w:bCs/>
                <w:color w:val="262626"/>
                <w:sz w:val="24"/>
              </w:rPr>
              <w:t>进行计算，产污系数详见表4.1-</w:t>
            </w:r>
            <w:r>
              <w:rPr>
                <w:rFonts w:hint="eastAsia"/>
                <w:bCs/>
                <w:color w:val="262626"/>
                <w:sz w:val="24"/>
              </w:rPr>
              <w:t>1</w:t>
            </w:r>
            <w:r>
              <w:rPr>
                <w:bCs/>
                <w:color w:val="262626"/>
                <w:sz w:val="24"/>
              </w:rPr>
              <w:t>。</w:t>
            </w:r>
          </w:p>
          <w:p w14:paraId="02D6EB0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表4.1-</w:t>
            </w:r>
            <w:r>
              <w:rPr>
                <w:rFonts w:hint="eastAsia" w:ascii="Times New Roman" w:hAnsi="Times New Roman" w:eastAsia="宋体" w:cs="Times New Roman"/>
                <w:b/>
                <w:bCs/>
                <w:color w:val="auto"/>
                <w:sz w:val="24"/>
                <w:szCs w:val="24"/>
                <w:u w:val="none"/>
                <w:lang w:val="en-US" w:eastAsia="zh-CN"/>
              </w:rPr>
              <w:t xml:space="preserve">1 </w:t>
            </w:r>
            <w:r>
              <w:rPr>
                <w:rFonts w:hint="default" w:ascii="Times New Roman" w:hAnsi="Times New Roman" w:eastAsia="宋体" w:cs="Times New Roman"/>
                <w:b/>
                <w:bCs/>
                <w:color w:val="auto"/>
                <w:sz w:val="24"/>
                <w:szCs w:val="24"/>
                <w:u w:val="none"/>
                <w:lang w:val="en-US" w:eastAsia="zh-CN"/>
              </w:rPr>
              <w:t>292</w:t>
            </w:r>
            <w:r>
              <w:rPr>
                <w:rFonts w:hint="eastAsia" w:ascii="Times New Roman" w:hAnsi="Times New Roman" w:eastAsia="宋体" w:cs="Times New Roman"/>
                <w:b/>
                <w:bCs/>
                <w:color w:val="auto"/>
                <w:sz w:val="24"/>
                <w:szCs w:val="24"/>
                <w:u w:val="none"/>
                <w:lang w:val="en-US" w:eastAsia="zh-CN"/>
              </w:rPr>
              <w:t>9</w:t>
            </w:r>
            <w:r>
              <w:rPr>
                <w:rFonts w:hint="default" w:ascii="Times New Roman" w:hAnsi="Times New Roman" w:eastAsia="宋体" w:cs="Times New Roman"/>
                <w:b/>
                <w:bCs/>
                <w:color w:val="auto"/>
                <w:sz w:val="24"/>
                <w:szCs w:val="24"/>
                <w:u w:val="none"/>
                <w:lang w:val="en-US" w:eastAsia="zh-CN"/>
              </w:rPr>
              <w:t>塑料制品行业系数手册</w:t>
            </w:r>
            <w:r>
              <w:rPr>
                <w:rFonts w:hint="eastAsia" w:ascii="Times New Roman" w:hAnsi="Times New Roman" w:eastAsia="宋体" w:cs="Times New Roman"/>
                <w:b/>
                <w:bCs/>
                <w:color w:val="auto"/>
                <w:sz w:val="24"/>
                <w:szCs w:val="24"/>
                <w:u w:val="none"/>
                <w:lang w:val="en-US" w:eastAsia="zh-CN"/>
              </w:rPr>
              <w:t>产排污核算系数一览表（摘录）</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97"/>
              <w:gridCol w:w="2508"/>
              <w:gridCol w:w="790"/>
              <w:gridCol w:w="994"/>
              <w:gridCol w:w="954"/>
              <w:gridCol w:w="954"/>
              <w:gridCol w:w="698"/>
            </w:tblGrid>
            <w:tr w14:paraId="5BC6F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5B0CE5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产品</w:t>
                  </w:r>
                </w:p>
                <w:p w14:paraId="374167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526" w:type="pct"/>
                  <w:noWrap w:val="0"/>
                  <w:vAlign w:val="center"/>
                </w:tcPr>
                <w:p w14:paraId="699319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原料</w:t>
                  </w:r>
                </w:p>
                <w:p w14:paraId="4218BC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1470" w:type="pct"/>
                  <w:noWrap w:val="0"/>
                  <w:vAlign w:val="center"/>
                </w:tcPr>
                <w:p w14:paraId="2BDAD9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工艺</w:t>
                  </w:r>
                </w:p>
                <w:p w14:paraId="40A17C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名称</w:t>
                  </w:r>
                </w:p>
              </w:tc>
              <w:tc>
                <w:tcPr>
                  <w:tcW w:w="463" w:type="pct"/>
                  <w:noWrap w:val="0"/>
                  <w:vAlign w:val="center"/>
                </w:tcPr>
                <w:p w14:paraId="7B6B93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规模等级</w:t>
                  </w:r>
                </w:p>
              </w:tc>
              <w:tc>
                <w:tcPr>
                  <w:tcW w:w="583" w:type="pct"/>
                  <w:noWrap w:val="0"/>
                  <w:vAlign w:val="center"/>
                </w:tcPr>
                <w:p w14:paraId="221555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污染物类别</w:t>
                  </w:r>
                </w:p>
              </w:tc>
              <w:tc>
                <w:tcPr>
                  <w:tcW w:w="559" w:type="pct"/>
                  <w:noWrap w:val="0"/>
                  <w:vAlign w:val="center"/>
                </w:tcPr>
                <w:p w14:paraId="384E79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污染物指标</w:t>
                  </w:r>
                </w:p>
              </w:tc>
              <w:tc>
                <w:tcPr>
                  <w:tcW w:w="559" w:type="pct"/>
                  <w:noWrap w:val="0"/>
                  <w:vAlign w:val="center"/>
                </w:tcPr>
                <w:p w14:paraId="4FF3C3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单位</w:t>
                  </w:r>
                </w:p>
              </w:tc>
              <w:tc>
                <w:tcPr>
                  <w:tcW w:w="404" w:type="pct"/>
                  <w:noWrap w:val="0"/>
                  <w:vAlign w:val="center"/>
                </w:tcPr>
                <w:p w14:paraId="497D71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产污系数</w:t>
                  </w:r>
                </w:p>
              </w:tc>
            </w:tr>
            <w:tr w14:paraId="039AF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noWrap w:val="0"/>
                  <w:vAlign w:val="center"/>
                </w:tcPr>
                <w:p w14:paraId="29C969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塑料</w:t>
                  </w:r>
                </w:p>
                <w:p w14:paraId="370878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零件</w:t>
                  </w:r>
                </w:p>
              </w:tc>
              <w:tc>
                <w:tcPr>
                  <w:tcW w:w="526" w:type="pct"/>
                  <w:noWrap w:val="0"/>
                  <w:vAlign w:val="center"/>
                </w:tcPr>
                <w:p w14:paraId="214076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树脂、</w:t>
                  </w:r>
                </w:p>
                <w:p w14:paraId="0CA2C7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助剂</w:t>
                  </w:r>
                </w:p>
              </w:tc>
              <w:tc>
                <w:tcPr>
                  <w:tcW w:w="1470" w:type="pct"/>
                  <w:noWrap w:val="0"/>
                  <w:vAlign w:val="center"/>
                </w:tcPr>
                <w:p w14:paraId="304E3D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配料混合挤出/注塑</w:t>
                  </w:r>
                </w:p>
              </w:tc>
              <w:tc>
                <w:tcPr>
                  <w:tcW w:w="463" w:type="pct"/>
                  <w:noWrap w:val="0"/>
                  <w:vAlign w:val="center"/>
                </w:tcPr>
                <w:p w14:paraId="1AD986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所有规模</w:t>
                  </w:r>
                </w:p>
              </w:tc>
              <w:tc>
                <w:tcPr>
                  <w:tcW w:w="583" w:type="pct"/>
                  <w:noWrap w:val="0"/>
                  <w:vAlign w:val="center"/>
                </w:tcPr>
                <w:p w14:paraId="61D6F7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废气</w:t>
                  </w:r>
                </w:p>
              </w:tc>
              <w:tc>
                <w:tcPr>
                  <w:tcW w:w="559" w:type="pct"/>
                  <w:noWrap w:val="0"/>
                  <w:vAlign w:val="center"/>
                </w:tcPr>
                <w:p w14:paraId="16A4DF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挥发性有机物*</w:t>
                  </w:r>
                </w:p>
              </w:tc>
              <w:tc>
                <w:tcPr>
                  <w:tcW w:w="559" w:type="pct"/>
                  <w:noWrap w:val="0"/>
                  <w:vAlign w:val="center"/>
                </w:tcPr>
                <w:p w14:paraId="6359F3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千克/吨-产品</w:t>
                  </w:r>
                </w:p>
              </w:tc>
              <w:tc>
                <w:tcPr>
                  <w:tcW w:w="404" w:type="pct"/>
                  <w:noWrap w:val="0"/>
                  <w:vAlign w:val="center"/>
                </w:tcPr>
                <w:p w14:paraId="2D74D8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2.7</w:t>
                  </w:r>
                </w:p>
              </w:tc>
            </w:tr>
            <w:tr w14:paraId="632FF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noWrap w:val="0"/>
                  <w:vAlign w:val="center"/>
                </w:tcPr>
                <w:p w14:paraId="44F5AF9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注：挥发性有机物以非甲烷总烃计。</w:t>
                  </w:r>
                </w:p>
              </w:tc>
            </w:tr>
          </w:tbl>
          <w:p w14:paraId="4F89506A">
            <w:pPr>
              <w:pStyle w:val="51"/>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eastAsia"/>
                <w:color w:val="auto"/>
                <w:highlight w:val="none"/>
                <w:lang w:eastAsia="zh-CN"/>
              </w:rPr>
            </w:pPr>
            <w:r>
              <w:rPr>
                <w:rFonts w:hint="eastAsia"/>
                <w:color w:val="auto"/>
                <w:lang w:val="en-US" w:eastAsia="zh-CN"/>
              </w:rPr>
              <w:t>本项目年加工工业连接器300万件、6KV以下工业线缆200万件，本项目工业连接器以及工业线缆每件的重量根据客户不同需求定制，产品总重量约2100t，扣除端子、壳体、线束等金属/外购件后，进入注塑机的塑料粒子年耗量约为30t（30.02t），以此作为产品基准量。</w:t>
            </w:r>
            <w:r>
              <w:rPr>
                <w:spacing w:val="-14"/>
              </w:rPr>
              <w:t>即注塑过程中所产生的注塑件产能约</w:t>
            </w:r>
            <w:r>
              <w:rPr>
                <w:rFonts w:hint="eastAsia" w:ascii="Times New Roman" w:hAnsi="Times New Roman" w:eastAsia="宋体" w:cs="Times New Roman"/>
                <w:spacing w:val="-14"/>
                <w:lang w:val="en-US" w:eastAsia="zh-CN"/>
              </w:rPr>
              <w:t>30</w:t>
            </w:r>
            <w:r>
              <w:rPr>
                <w:spacing w:val="-14"/>
              </w:rPr>
              <w:t>吨</w:t>
            </w:r>
            <w:r>
              <w:rPr>
                <w:rFonts w:hint="eastAsia"/>
                <w:color w:val="auto"/>
                <w:lang w:val="en-US" w:eastAsia="zh-CN"/>
              </w:rPr>
              <w:t>。根据系数手册可知产污系数为2.7kg/吨-产品，则非甲烷总烃（VOCs）产生量为30</w:t>
            </w:r>
            <w:r>
              <w:rPr>
                <w:rFonts w:hint="eastAsia"/>
                <w:color w:val="auto"/>
                <w:highlight w:val="none"/>
                <w:lang w:val="en-US" w:eastAsia="zh-CN"/>
              </w:rPr>
              <w:t>t产品×2.7kg/吨-产品÷1000=0.081t/a。</w:t>
            </w:r>
            <w:r>
              <w:rPr>
                <w:rFonts w:hint="eastAsia"/>
                <w:color w:val="auto"/>
                <w:highlight w:val="none"/>
              </w:rPr>
              <w:t>经计算，非甲烷总烃</w:t>
            </w:r>
            <w:r>
              <w:rPr>
                <w:rFonts w:hint="eastAsia"/>
                <w:color w:val="auto"/>
                <w:highlight w:val="none"/>
                <w:lang w:eastAsia="zh-CN"/>
              </w:rPr>
              <w:t>（</w:t>
            </w:r>
            <w:r>
              <w:rPr>
                <w:rFonts w:hint="eastAsia"/>
                <w:color w:val="auto"/>
                <w:highlight w:val="none"/>
                <w:lang w:val="en-US" w:eastAsia="zh-CN"/>
              </w:rPr>
              <w:t>VOCs</w:t>
            </w:r>
            <w:r>
              <w:rPr>
                <w:rFonts w:hint="eastAsia"/>
                <w:color w:val="auto"/>
                <w:highlight w:val="none"/>
                <w:lang w:eastAsia="zh-CN"/>
              </w:rPr>
              <w:t>）</w:t>
            </w:r>
            <w:r>
              <w:rPr>
                <w:rFonts w:hint="eastAsia"/>
                <w:color w:val="auto"/>
                <w:highlight w:val="none"/>
              </w:rPr>
              <w:t>产生量</w:t>
            </w:r>
            <w:r>
              <w:rPr>
                <w:rFonts w:hint="eastAsia"/>
                <w:color w:val="auto"/>
                <w:highlight w:val="none"/>
                <w:lang w:val="en-US" w:eastAsia="zh-CN"/>
              </w:rPr>
              <w:t>为0.081</w:t>
            </w:r>
            <w:r>
              <w:rPr>
                <w:rFonts w:hint="eastAsia"/>
                <w:color w:val="auto"/>
                <w:highlight w:val="none"/>
              </w:rPr>
              <w:t>t/a</w:t>
            </w:r>
            <w:r>
              <w:rPr>
                <w:rFonts w:hint="eastAsia"/>
                <w:color w:val="auto"/>
                <w:highlight w:val="none"/>
                <w:lang w:eastAsia="zh-CN"/>
              </w:rPr>
              <w:t>。</w:t>
            </w:r>
          </w:p>
          <w:p w14:paraId="13AB6C3F">
            <w:pPr>
              <w:pStyle w:val="51"/>
              <w:keepNext w:val="0"/>
              <w:keepLines w:val="0"/>
              <w:pageBreakBefore w:val="0"/>
              <w:widowControl w:val="0"/>
              <w:kinsoku/>
              <w:wordWrap/>
              <w:overflowPunct/>
              <w:topLinePunct w:val="0"/>
              <w:autoSpaceDE/>
              <w:autoSpaceDN/>
              <w:bidi w:val="0"/>
              <w:spacing w:after="0" w:line="360" w:lineRule="auto"/>
              <w:ind w:left="0" w:leftChars="0" w:firstLine="480" w:firstLineChars="200"/>
              <w:jc w:val="both"/>
              <w:textAlignment w:val="auto"/>
              <w:rPr>
                <w:rFonts w:hint="default" w:ascii="Times New Roman" w:hAnsi="Times New Roman" w:eastAsia="宋体" w:cs="Times New Roman"/>
                <w:color w:val="262626"/>
                <w:kern w:val="0"/>
                <w:sz w:val="24"/>
                <w:szCs w:val="24"/>
                <w:lang w:val="en-US" w:eastAsia="zh-CN" w:bidi="ar-SA"/>
              </w:rPr>
            </w:pPr>
            <w:r>
              <w:rPr>
                <w:rFonts w:hint="eastAsia"/>
                <w:color w:val="auto"/>
                <w:sz w:val="24"/>
                <w:szCs w:val="24"/>
              </w:rPr>
              <w:t>根据《主要污染物总量减排核算技术指南（</w:t>
            </w:r>
            <w:r>
              <w:rPr>
                <w:color w:val="auto"/>
                <w:sz w:val="24"/>
                <w:szCs w:val="24"/>
              </w:rPr>
              <w:t>2022</w:t>
            </w:r>
            <w:r>
              <w:rPr>
                <w:rFonts w:hint="eastAsia"/>
                <w:color w:val="auto"/>
                <w:sz w:val="24"/>
                <w:szCs w:val="24"/>
              </w:rPr>
              <w:t>年修订）》中表</w:t>
            </w:r>
            <w:r>
              <w:rPr>
                <w:color w:val="auto"/>
                <w:sz w:val="24"/>
                <w:szCs w:val="24"/>
              </w:rPr>
              <w:t>2-3</w:t>
            </w:r>
            <w:r>
              <w:rPr>
                <w:rFonts w:hint="eastAsia"/>
                <w:color w:val="auto"/>
                <w:sz w:val="24"/>
                <w:szCs w:val="24"/>
              </w:rPr>
              <w:t>废气收集效率通用系数，项目拟密闭车间，设置单层密闭正压，设施集气效率为</w:t>
            </w:r>
            <w:r>
              <w:rPr>
                <w:color w:val="auto"/>
                <w:sz w:val="24"/>
                <w:szCs w:val="24"/>
              </w:rPr>
              <w:t>80%</w:t>
            </w:r>
            <w:r>
              <w:rPr>
                <w:rFonts w:hint="eastAsia"/>
                <w:color w:val="auto"/>
                <w:sz w:val="24"/>
                <w:szCs w:val="24"/>
              </w:rPr>
              <w:t>。</w:t>
            </w:r>
            <w:r>
              <w:rPr>
                <w:rFonts w:hint="eastAsia"/>
                <w:color w:val="auto"/>
                <w:sz w:val="24"/>
                <w:szCs w:val="24"/>
                <w:highlight w:val="none"/>
              </w:rPr>
              <w:t>建设单位拟将注塑工序废气收集后引</w:t>
            </w:r>
            <w:bookmarkStart w:id="146" w:name="_GoBack"/>
            <w:bookmarkEnd w:id="146"/>
            <w:r>
              <w:rPr>
                <w:rFonts w:hint="eastAsia"/>
                <w:color w:val="auto"/>
                <w:sz w:val="24"/>
                <w:szCs w:val="24"/>
                <w:highlight w:val="none"/>
              </w:rPr>
              <w:t>至1套“</w:t>
            </w:r>
            <w:r>
              <w:rPr>
                <w:rFonts w:hint="eastAsia"/>
                <w:color w:val="auto"/>
                <w:sz w:val="24"/>
                <w:szCs w:val="24"/>
                <w:highlight w:val="none"/>
                <w:lang w:val="en-US" w:eastAsia="zh-CN"/>
              </w:rPr>
              <w:t>二级</w:t>
            </w:r>
            <w:r>
              <w:rPr>
                <w:rFonts w:hint="eastAsia"/>
                <w:color w:val="auto"/>
                <w:sz w:val="24"/>
                <w:szCs w:val="24"/>
                <w:highlight w:val="none"/>
              </w:rPr>
              <w:t>活性炭吸附装置”处理后经过1根</w:t>
            </w:r>
            <w:r>
              <w:rPr>
                <w:rFonts w:hint="eastAsia"/>
                <w:color w:val="auto"/>
                <w:sz w:val="24"/>
                <w:szCs w:val="24"/>
                <w:highlight w:val="none"/>
                <w:lang w:val="en-US" w:eastAsia="zh-CN"/>
              </w:rPr>
              <w:t>15</w:t>
            </w:r>
            <w:r>
              <w:rPr>
                <w:rFonts w:hint="eastAsia"/>
                <w:color w:val="auto"/>
                <w:sz w:val="24"/>
                <w:szCs w:val="24"/>
                <w:highlight w:val="none"/>
              </w:rPr>
              <w:t>m高排气筒排放（DA00</w:t>
            </w:r>
            <w:r>
              <w:rPr>
                <w:rFonts w:hint="eastAsia"/>
                <w:color w:val="auto"/>
                <w:sz w:val="24"/>
                <w:szCs w:val="24"/>
                <w:highlight w:val="none"/>
                <w:lang w:val="en-US" w:eastAsia="zh-CN"/>
              </w:rPr>
              <w:t>1</w:t>
            </w:r>
            <w:r>
              <w:rPr>
                <w:rFonts w:hint="eastAsia"/>
                <w:color w:val="auto"/>
                <w:sz w:val="24"/>
                <w:szCs w:val="24"/>
                <w:highlight w:val="none"/>
              </w:rPr>
              <w:t>）</w:t>
            </w:r>
            <w:r>
              <w:rPr>
                <w:rFonts w:hint="eastAsia"/>
                <w:color w:val="auto"/>
                <w:sz w:val="24"/>
                <w:szCs w:val="24"/>
                <w:highlight w:val="none"/>
                <w:lang w:eastAsia="zh-CN"/>
              </w:rPr>
              <w:t>，</w:t>
            </w: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主要污染物总量减排核算技术指南（2022年修订）〉的通知</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〔2022〕350号</w:t>
            </w:r>
            <w:r>
              <w:rPr>
                <w:rFonts w:hint="eastAsia" w:ascii="Times New Roman" w:hAnsi="Times New Roman" w:eastAsia="宋体" w:cs="Times New Roman"/>
                <w:color w:val="auto"/>
                <w:sz w:val="24"/>
                <w:szCs w:val="24"/>
                <w:lang w:val="en-US" w:eastAsia="zh-CN"/>
              </w:rPr>
              <w:t>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（1-50%）=75%。因此本项目活性炭</w:t>
            </w:r>
            <w:r>
              <w:rPr>
                <w:rFonts w:hint="eastAsia" w:ascii="Times New Roman" w:hAnsi="Times New Roman" w:eastAsia="宋体" w:cs="Times New Roman"/>
                <w:color w:val="auto"/>
                <w:sz w:val="24"/>
                <w:szCs w:val="24"/>
                <w:highlight w:val="none"/>
                <w:lang w:val="en-US" w:eastAsia="zh-CN"/>
              </w:rPr>
              <w:t>处理效率以75%计</w:t>
            </w:r>
            <w:r>
              <w:rPr>
                <w:rFonts w:hint="eastAsia" w:eastAsia="宋体" w:cs="Times New Roman"/>
                <w:color w:val="auto"/>
                <w:sz w:val="24"/>
                <w:szCs w:val="24"/>
                <w:highlight w:val="none"/>
                <w:lang w:val="en-US" w:eastAsia="zh-CN"/>
              </w:rPr>
              <w:t>，则本项目非甲烷总烃（VOCs）有组织排放量为</w:t>
            </w:r>
            <w:r>
              <w:rPr>
                <w:rFonts w:hint="eastAsia" w:cs="Times New Roman"/>
                <w:color w:val="auto"/>
                <w:sz w:val="24"/>
                <w:szCs w:val="24"/>
                <w:highlight w:val="none"/>
                <w:lang w:val="en-US" w:eastAsia="zh-CN"/>
              </w:rPr>
              <w:t>0.0162</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无组织排放量为</w:t>
            </w:r>
            <w:r>
              <w:rPr>
                <w:rFonts w:hint="eastAsia" w:cs="Times New Roman"/>
                <w:color w:val="auto"/>
                <w:sz w:val="24"/>
                <w:szCs w:val="24"/>
                <w:highlight w:val="none"/>
                <w:lang w:val="en-US" w:eastAsia="zh-CN"/>
              </w:rPr>
              <w:t>0.0162</w:t>
            </w:r>
            <w:r>
              <w:rPr>
                <w:rFonts w:hint="eastAsia" w:eastAsia="宋体" w:cs="Times New Roman"/>
                <w:color w:val="auto"/>
                <w:sz w:val="24"/>
                <w:szCs w:val="24"/>
                <w:highlight w:val="none"/>
                <w:lang w:val="en-US" w:eastAsia="zh-CN"/>
              </w:rPr>
              <w:t>t/a</w:t>
            </w:r>
            <w:r>
              <w:rPr>
                <w:rFonts w:hint="eastAsia" w:cs="Times New Roman"/>
                <w:color w:val="auto"/>
                <w:sz w:val="24"/>
                <w:szCs w:val="24"/>
                <w:highlight w:val="none"/>
                <w:lang w:val="en-US" w:eastAsia="zh-CN"/>
              </w:rPr>
              <w:t>；</w:t>
            </w:r>
            <w:r>
              <w:rPr>
                <w:rFonts w:hint="eastAsia" w:cs="Times New Roman"/>
                <w:bCs/>
                <w:color w:val="auto"/>
                <w:kern w:val="2"/>
                <w:sz w:val="24"/>
                <w:szCs w:val="24"/>
                <w:lang w:val="en-US" w:eastAsia="zh-CN" w:bidi="ar-SA"/>
              </w:rPr>
              <w:t>注塑废气经集气罩收集后通过二级活性炭处理，</w:t>
            </w:r>
            <w:r>
              <w:rPr>
                <w:rFonts w:hint="eastAsia" w:ascii="Times New Roman" w:hAnsi="Times New Roman" w:eastAsia="宋体" w:cs="Times New Roman"/>
                <w:color w:val="262626"/>
                <w:kern w:val="0"/>
                <w:sz w:val="24"/>
                <w:szCs w:val="24"/>
                <w:lang w:val="en-US" w:eastAsia="zh-CN" w:bidi="ar-SA"/>
              </w:rPr>
              <w:t>由15m高排气DA001排放，造成的环境影响可以忽略不计，本环评仅做定性分析。</w:t>
            </w:r>
          </w:p>
          <w:p w14:paraId="78C070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（2）臭气</w:t>
            </w:r>
            <w:r>
              <w:rPr>
                <w:rFonts w:hint="eastAsia" w:cs="Times New Roman"/>
                <w:color w:val="262626"/>
                <w:kern w:val="0"/>
                <w:sz w:val="24"/>
                <w:szCs w:val="24"/>
                <w:lang w:val="en-US" w:eastAsia="zh-CN" w:bidi="ar-SA"/>
              </w:rPr>
              <w:t>浓度</w:t>
            </w:r>
          </w:p>
          <w:p w14:paraId="7CA1FEAE">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ascii="Times New Roman" w:hAnsi="Times New Roman" w:eastAsia="宋体" w:cs="Times New Roman"/>
                <w:color w:val="262626"/>
                <w:kern w:val="0"/>
                <w:sz w:val="24"/>
                <w:szCs w:val="24"/>
                <w:lang w:val="en-US" w:eastAsia="zh-CN" w:bidi="ar-SA"/>
              </w:rPr>
              <w:t>本项目</w:t>
            </w:r>
            <w:r>
              <w:rPr>
                <w:rFonts w:hint="eastAsia" w:ascii="Times New Roman" w:hAnsi="Times New Roman" w:eastAsia="宋体" w:cs="Times New Roman"/>
                <w:color w:val="262626"/>
                <w:kern w:val="0"/>
                <w:sz w:val="24"/>
                <w:szCs w:val="24"/>
                <w:lang w:val="en-US" w:eastAsia="zh-CN" w:bidi="ar-SA"/>
              </w:rPr>
              <w:t>塑料颗粒</w:t>
            </w:r>
            <w:r>
              <w:rPr>
                <w:rFonts w:ascii="Times New Roman" w:hAnsi="Times New Roman" w:eastAsia="宋体" w:cs="Times New Roman"/>
                <w:color w:val="262626"/>
                <w:kern w:val="0"/>
                <w:sz w:val="24"/>
                <w:szCs w:val="24"/>
                <w:lang w:val="en-US" w:eastAsia="zh-CN" w:bidi="ar-SA"/>
              </w:rPr>
              <w:t>在</w:t>
            </w:r>
            <w:r>
              <w:rPr>
                <w:rFonts w:hint="eastAsia" w:ascii="Times New Roman" w:hAnsi="Times New Roman" w:eastAsia="宋体" w:cs="Times New Roman"/>
                <w:color w:val="262626"/>
                <w:kern w:val="0"/>
                <w:sz w:val="24"/>
                <w:szCs w:val="24"/>
                <w:lang w:val="en-US" w:eastAsia="zh-CN" w:bidi="ar-SA"/>
              </w:rPr>
              <w:t>注塑加热</w:t>
            </w:r>
            <w:r>
              <w:rPr>
                <w:rFonts w:ascii="Times New Roman" w:hAnsi="Times New Roman" w:eastAsia="宋体" w:cs="Times New Roman"/>
                <w:color w:val="262626"/>
                <w:kern w:val="0"/>
                <w:sz w:val="24"/>
                <w:szCs w:val="24"/>
                <w:lang w:val="en-US" w:eastAsia="zh-CN" w:bidi="ar-SA"/>
              </w:rPr>
              <w:t>过程会产生少量的臭气，主要为塑料颗粒在高温加热工序，发生反应，挥发而成。项目原料受热情况下，原料中残存未聚合的反应单体以及从聚合物中分解出的单体可挥发至空气中，其组分较复杂，因此本项目用臭气浓度指标来衡量项目生产过</w:t>
            </w:r>
            <w:r>
              <w:rPr>
                <w:rFonts w:hint="eastAsia" w:ascii="Times New Roman" w:hAnsi="Times New Roman" w:eastAsia="宋体" w:cs="Times New Roman"/>
                <w:color w:val="262626"/>
                <w:kern w:val="0"/>
                <w:sz w:val="24"/>
                <w:szCs w:val="24"/>
                <w:lang w:val="en-US" w:eastAsia="zh-CN" w:bidi="ar-SA"/>
              </w:rPr>
              <w:t>程中</w:t>
            </w:r>
            <w:r>
              <w:rPr>
                <w:rFonts w:ascii="Times New Roman" w:hAnsi="Times New Roman" w:eastAsia="宋体" w:cs="Times New Roman"/>
                <w:color w:val="262626"/>
                <w:kern w:val="0"/>
                <w:sz w:val="24"/>
                <w:szCs w:val="24"/>
                <w:lang w:val="en-US" w:eastAsia="zh-CN" w:bidi="ar-SA"/>
              </w:rPr>
              <w:t>产生的恶臭污染程度，本项目臭气经收集后</w:t>
            </w:r>
            <w:r>
              <w:rPr>
                <w:rFonts w:hint="eastAsia" w:ascii="Times New Roman" w:hAnsi="Times New Roman" w:eastAsia="宋体" w:cs="Times New Roman"/>
                <w:color w:val="262626"/>
                <w:kern w:val="0"/>
                <w:sz w:val="24"/>
                <w:szCs w:val="24"/>
                <w:lang w:val="en-US" w:eastAsia="zh-CN" w:bidi="ar-SA"/>
              </w:rPr>
              <w:t>通过</w:t>
            </w:r>
            <w:r>
              <w:rPr>
                <w:rFonts w:hint="eastAsia" w:cs="Times New Roman"/>
                <w:color w:val="262626"/>
                <w:kern w:val="0"/>
                <w:sz w:val="24"/>
                <w:szCs w:val="24"/>
                <w:lang w:val="en-US" w:eastAsia="zh-CN" w:bidi="ar-SA"/>
              </w:rPr>
              <w:t>二级</w:t>
            </w:r>
            <w:r>
              <w:rPr>
                <w:rFonts w:ascii="Times New Roman" w:hAnsi="Times New Roman" w:eastAsia="宋体" w:cs="Times New Roman"/>
                <w:color w:val="262626"/>
                <w:kern w:val="0"/>
                <w:sz w:val="24"/>
                <w:szCs w:val="24"/>
                <w:lang w:val="en-US" w:eastAsia="zh-CN" w:bidi="ar-SA"/>
              </w:rPr>
              <w:t>活性炭吸附治理后</w:t>
            </w:r>
            <w:r>
              <w:rPr>
                <w:rFonts w:hint="eastAsia" w:ascii="Times New Roman" w:hAnsi="Times New Roman" w:eastAsia="宋体" w:cs="Times New Roman"/>
                <w:color w:val="262626"/>
                <w:kern w:val="0"/>
                <w:sz w:val="24"/>
                <w:szCs w:val="24"/>
                <w:lang w:val="en-US" w:eastAsia="zh-CN" w:bidi="ar-SA"/>
              </w:rPr>
              <w:t>高空排放</w:t>
            </w:r>
            <w:r>
              <w:rPr>
                <w:rFonts w:ascii="Times New Roman" w:hAnsi="Times New Roman" w:eastAsia="宋体" w:cs="Times New Roman"/>
                <w:color w:val="262626"/>
                <w:kern w:val="0"/>
                <w:sz w:val="24"/>
                <w:szCs w:val="24"/>
                <w:lang w:val="en-US" w:eastAsia="zh-CN" w:bidi="ar-SA"/>
              </w:rPr>
              <w:t>，能够减轻项目</w:t>
            </w:r>
            <w:r>
              <w:rPr>
                <w:rFonts w:hint="eastAsia" w:ascii="Times New Roman" w:hAnsi="Times New Roman" w:eastAsia="宋体" w:cs="Times New Roman"/>
                <w:color w:val="262626"/>
                <w:kern w:val="0"/>
                <w:sz w:val="24"/>
                <w:szCs w:val="24"/>
                <w:lang w:val="en-US" w:eastAsia="zh-CN" w:bidi="ar-SA"/>
              </w:rPr>
              <w:t>原料</w:t>
            </w:r>
            <w:r>
              <w:rPr>
                <w:rFonts w:ascii="Times New Roman" w:hAnsi="Times New Roman" w:eastAsia="宋体" w:cs="Times New Roman"/>
                <w:color w:val="262626"/>
                <w:kern w:val="0"/>
                <w:sz w:val="24"/>
                <w:szCs w:val="24"/>
                <w:lang w:val="en-US" w:eastAsia="zh-CN" w:bidi="ar-SA"/>
              </w:rPr>
              <w:t>加热</w:t>
            </w:r>
            <w:r>
              <w:rPr>
                <w:rFonts w:hint="eastAsia" w:ascii="Times New Roman" w:hAnsi="Times New Roman" w:eastAsia="宋体" w:cs="Times New Roman"/>
                <w:color w:val="262626"/>
                <w:kern w:val="0"/>
                <w:sz w:val="24"/>
                <w:szCs w:val="24"/>
                <w:lang w:val="en-US" w:eastAsia="zh-CN" w:bidi="ar-SA"/>
              </w:rPr>
              <w:t>挤出</w:t>
            </w:r>
            <w:r>
              <w:rPr>
                <w:rFonts w:ascii="Times New Roman" w:hAnsi="Times New Roman" w:eastAsia="宋体" w:cs="Times New Roman"/>
                <w:color w:val="262626"/>
                <w:kern w:val="0"/>
                <w:sz w:val="24"/>
                <w:szCs w:val="24"/>
                <w:lang w:val="en-US" w:eastAsia="zh-CN" w:bidi="ar-SA"/>
              </w:rPr>
              <w:t>过程中</w:t>
            </w:r>
            <w:r>
              <w:rPr>
                <w:rFonts w:hint="eastAsia" w:ascii="Times New Roman" w:hAnsi="Times New Roman" w:eastAsia="宋体" w:cs="Times New Roman"/>
                <w:color w:val="262626"/>
                <w:kern w:val="0"/>
                <w:sz w:val="24"/>
                <w:szCs w:val="24"/>
                <w:lang w:val="en-US" w:eastAsia="zh-CN" w:bidi="ar-SA"/>
              </w:rPr>
              <w:t>产生</w:t>
            </w:r>
            <w:r>
              <w:rPr>
                <w:rFonts w:ascii="Times New Roman" w:hAnsi="Times New Roman" w:eastAsia="宋体" w:cs="Times New Roman"/>
                <w:color w:val="262626"/>
                <w:kern w:val="0"/>
                <w:sz w:val="24"/>
                <w:szCs w:val="24"/>
                <w:lang w:val="en-US" w:eastAsia="zh-CN" w:bidi="ar-SA"/>
              </w:rPr>
              <w:t>的异味，</w:t>
            </w:r>
            <w:r>
              <w:rPr>
                <w:rFonts w:hint="eastAsia" w:ascii="Times New Roman" w:hAnsi="Times New Roman" w:eastAsia="宋体" w:cs="Times New Roman"/>
                <w:color w:val="262626"/>
                <w:kern w:val="0"/>
                <w:sz w:val="24"/>
                <w:szCs w:val="24"/>
                <w:lang w:val="en-US" w:eastAsia="zh-CN" w:bidi="ar-SA"/>
              </w:rPr>
              <w:t>项目周边以工业企业为主，项目周边最近的环境敏感点为项目西南侧177m的下田村，有一定距离，项目产生的臭气经收集治理（</w:t>
            </w:r>
            <w:r>
              <w:rPr>
                <w:rFonts w:hint="eastAsia" w:cs="Times New Roman"/>
                <w:color w:val="262626"/>
                <w:kern w:val="0"/>
                <w:sz w:val="24"/>
                <w:szCs w:val="24"/>
                <w:lang w:val="en-US" w:eastAsia="zh-CN" w:bidi="ar-SA"/>
              </w:rPr>
              <w:t>二级</w:t>
            </w:r>
            <w:r>
              <w:rPr>
                <w:rFonts w:hint="eastAsia" w:ascii="Times New Roman" w:hAnsi="Times New Roman" w:eastAsia="宋体" w:cs="Times New Roman"/>
                <w:color w:val="262626"/>
                <w:kern w:val="0"/>
                <w:sz w:val="24"/>
                <w:szCs w:val="24"/>
                <w:lang w:val="en-US" w:eastAsia="zh-CN" w:bidi="ar-SA"/>
              </w:rPr>
              <w:t>活性炭吸附）后，对周边环境不会造成显著影响，因此，</w:t>
            </w:r>
            <w:r>
              <w:rPr>
                <w:rFonts w:ascii="Times New Roman" w:hAnsi="Times New Roman" w:eastAsia="宋体" w:cs="Times New Roman"/>
                <w:color w:val="262626"/>
                <w:kern w:val="0"/>
                <w:sz w:val="24"/>
                <w:szCs w:val="24"/>
                <w:lang w:val="en-US" w:eastAsia="zh-CN" w:bidi="ar-SA"/>
              </w:rPr>
              <w:t>本评价</w:t>
            </w:r>
            <w:r>
              <w:rPr>
                <w:rFonts w:hint="eastAsia" w:ascii="Times New Roman" w:hAnsi="Times New Roman" w:eastAsia="宋体" w:cs="Times New Roman"/>
                <w:color w:val="262626"/>
                <w:kern w:val="0"/>
                <w:sz w:val="24"/>
                <w:szCs w:val="24"/>
                <w:lang w:val="en-US" w:eastAsia="zh-CN" w:bidi="ar-SA"/>
              </w:rPr>
              <w:t>仅</w:t>
            </w:r>
            <w:r>
              <w:rPr>
                <w:rFonts w:ascii="Times New Roman" w:hAnsi="Times New Roman" w:eastAsia="宋体" w:cs="Times New Roman"/>
                <w:color w:val="262626"/>
                <w:kern w:val="0"/>
                <w:sz w:val="24"/>
                <w:szCs w:val="24"/>
                <w:lang w:val="en-US" w:eastAsia="zh-CN" w:bidi="ar-SA"/>
              </w:rPr>
              <w:t>做定性分析。</w:t>
            </w:r>
          </w:p>
          <w:p w14:paraId="56129C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（3）</w:t>
            </w:r>
            <w:r>
              <w:rPr>
                <w:rFonts w:hint="eastAsia" w:cs="Times New Roman"/>
                <w:color w:val="262626"/>
                <w:kern w:val="0"/>
                <w:sz w:val="24"/>
                <w:szCs w:val="24"/>
                <w:lang w:val="en-US" w:eastAsia="zh-CN" w:bidi="ar-SA"/>
              </w:rPr>
              <w:t>粉</w:t>
            </w:r>
            <w:r>
              <w:rPr>
                <w:rFonts w:hint="eastAsia" w:ascii="Times New Roman" w:hAnsi="Times New Roman" w:eastAsia="宋体" w:cs="Times New Roman"/>
                <w:color w:val="262626"/>
                <w:kern w:val="0"/>
                <w:sz w:val="24"/>
                <w:szCs w:val="24"/>
                <w:lang w:val="en-US" w:eastAsia="zh-CN" w:bidi="ar-SA"/>
              </w:rPr>
              <w:t>碎废气（颗粒物）</w:t>
            </w:r>
          </w:p>
          <w:p w14:paraId="70B1A4B9">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color w:val="000000"/>
                <w:sz w:val="24"/>
                <w:szCs w:val="24"/>
              </w:rPr>
            </w:pPr>
            <w:r>
              <w:rPr>
                <w:rFonts w:hint="eastAsia" w:ascii="Times New Roman" w:hAnsi="Times New Roman" w:eastAsia="宋体" w:cs="Times New Roman"/>
                <w:color w:val="262626"/>
                <w:kern w:val="0"/>
                <w:sz w:val="24"/>
                <w:szCs w:val="24"/>
                <w:lang w:val="en-US" w:eastAsia="zh-CN" w:bidi="ar-SA"/>
              </w:rPr>
              <w:t>项目在工业连接器和工业线缆注塑过程中会产生料头，料头在粉碎过程中会有少量粉尘（以颗粒物计）产生，粉碎产生的颗粒物参考《排放源统计调查产排污核算方法和系数手册废弃资源综合利</w:t>
            </w:r>
            <w:r>
              <w:rPr>
                <w:rFonts w:hint="eastAsia"/>
                <w:color w:val="000000"/>
                <w:sz w:val="24"/>
                <w:szCs w:val="24"/>
              </w:rPr>
              <w:t>用行业系数手册》，其中“42废弃资源综合利用行业系数手册”，再生塑料粒子破碎工段中，废PE/PP产尘系数为375g/t-原料，废PS/ABS产尘系数为425g/t-原料，由于手册中未规定废PA</w:t>
            </w:r>
            <w:r>
              <w:rPr>
                <w:rFonts w:hint="eastAsia"/>
                <w:color w:val="000000"/>
                <w:sz w:val="24"/>
                <w:szCs w:val="24"/>
                <w:lang w:val="en-US" w:eastAsia="zh-CN"/>
              </w:rPr>
              <w:t>/PC/TPU</w:t>
            </w:r>
            <w:r>
              <w:rPr>
                <w:rFonts w:hint="eastAsia"/>
                <w:color w:val="000000"/>
                <w:sz w:val="24"/>
                <w:szCs w:val="24"/>
              </w:rPr>
              <w:t>的产尘系数，本次评价参照废PS/ABS执行。根据建设单位提供的信息，注塑过程中产生的料头约为原料塑料粒子用量</w:t>
            </w:r>
            <w:r>
              <w:rPr>
                <w:rFonts w:hint="eastAsia"/>
                <w:color w:val="000000"/>
                <w:sz w:val="24"/>
                <w:szCs w:val="24"/>
                <w:lang w:val="en-US" w:eastAsia="zh-CN"/>
              </w:rPr>
              <w:t>30</w:t>
            </w:r>
            <w:r>
              <w:rPr>
                <w:rFonts w:hint="eastAsia"/>
                <w:color w:val="000000"/>
                <w:sz w:val="24"/>
                <w:szCs w:val="24"/>
              </w:rPr>
              <w:t>t/a的1%～2%（本项目以2%计），则粉碎量为</w:t>
            </w:r>
            <w:r>
              <w:rPr>
                <w:rFonts w:hint="eastAsia"/>
                <w:color w:val="000000"/>
                <w:sz w:val="24"/>
                <w:szCs w:val="24"/>
                <w:lang w:val="en-US" w:eastAsia="zh-CN"/>
              </w:rPr>
              <w:t>0.6</w:t>
            </w:r>
            <w:r>
              <w:rPr>
                <w:rFonts w:hint="eastAsia"/>
                <w:color w:val="000000"/>
                <w:sz w:val="24"/>
                <w:szCs w:val="24"/>
              </w:rPr>
              <w:t>t/a，故颗粒物产生量约0.000</w:t>
            </w:r>
            <w:r>
              <w:rPr>
                <w:rFonts w:hint="eastAsia"/>
                <w:color w:val="000000"/>
                <w:sz w:val="24"/>
                <w:szCs w:val="24"/>
                <w:lang w:val="en-US" w:eastAsia="zh-CN"/>
              </w:rPr>
              <w:t>255</w:t>
            </w:r>
            <w:r>
              <w:rPr>
                <w:rFonts w:hint="eastAsia"/>
                <w:color w:val="000000"/>
                <w:sz w:val="24"/>
                <w:szCs w:val="24"/>
              </w:rPr>
              <w:t>t/a。</w:t>
            </w:r>
          </w:p>
          <w:p w14:paraId="29A302D0">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color w:val="000000"/>
                <w:sz w:val="24"/>
                <w:szCs w:val="24"/>
                <w:lang w:val="en-US" w:eastAsia="zh-CN"/>
              </w:rPr>
            </w:pPr>
            <w:r>
              <w:rPr>
                <w:rFonts w:hint="default"/>
                <w:color w:val="000000"/>
                <w:sz w:val="24"/>
                <w:szCs w:val="24"/>
                <w:lang w:val="en-US" w:eastAsia="zh-CN"/>
              </w:rPr>
              <w:t>综上所述，本项目粉碎工序颗粒物产生量共</w:t>
            </w:r>
            <w:r>
              <w:rPr>
                <w:rFonts w:hint="eastAsia"/>
                <w:color w:val="000000"/>
                <w:sz w:val="24"/>
                <w:szCs w:val="24"/>
              </w:rPr>
              <w:t>0.000</w:t>
            </w:r>
            <w:r>
              <w:rPr>
                <w:rFonts w:hint="eastAsia"/>
                <w:color w:val="000000"/>
                <w:sz w:val="24"/>
                <w:szCs w:val="24"/>
                <w:lang w:val="en-US" w:eastAsia="zh-CN"/>
              </w:rPr>
              <w:t>255</w:t>
            </w:r>
            <w:r>
              <w:rPr>
                <w:rFonts w:hint="default"/>
                <w:color w:val="000000"/>
                <w:sz w:val="24"/>
                <w:szCs w:val="24"/>
                <w:lang w:val="en-US" w:eastAsia="zh-CN"/>
              </w:rPr>
              <w:t>t/a，粉碎工序产生的颗粒物拟采用移动除尘器处理后加强车间通风无组织排放（收集效率约90%，处理效率约90%），则无组织排放量约为</w:t>
            </w:r>
            <w:r>
              <w:rPr>
                <w:rFonts w:hint="eastAsia"/>
                <w:color w:val="000000"/>
                <w:sz w:val="24"/>
                <w:szCs w:val="24"/>
                <w:lang w:val="en-US" w:eastAsia="zh-CN"/>
              </w:rPr>
              <w:t>0.000048</w:t>
            </w:r>
            <w:r>
              <w:rPr>
                <w:rFonts w:hint="default"/>
                <w:color w:val="000000"/>
                <w:sz w:val="24"/>
                <w:szCs w:val="24"/>
                <w:lang w:val="en-US" w:eastAsia="zh-CN"/>
              </w:rPr>
              <w:t>t/a</w:t>
            </w:r>
            <w:r>
              <w:rPr>
                <w:rFonts w:hint="eastAsia"/>
                <w:color w:val="000000"/>
                <w:sz w:val="24"/>
                <w:szCs w:val="24"/>
                <w:lang w:val="en-US" w:eastAsia="zh-CN"/>
              </w:rPr>
              <w:t>（0.000255</w:t>
            </w:r>
            <w:r>
              <w:rPr>
                <w:rFonts w:hint="eastAsia" w:ascii="Times New Roman" w:hAnsi="Times New Roman" w:eastAsia="宋体" w:cs="Times New Roman"/>
                <w:color w:val="262626"/>
                <w:kern w:val="0"/>
                <w:sz w:val="24"/>
                <w:szCs w:val="24"/>
                <w:lang w:val="en-US" w:eastAsia="zh-CN" w:bidi="ar-SA"/>
              </w:rPr>
              <w:t>×</w:t>
            </w:r>
            <w:r>
              <w:rPr>
                <w:rFonts w:hint="eastAsia"/>
                <w:color w:val="000000"/>
                <w:sz w:val="24"/>
                <w:szCs w:val="24"/>
                <w:lang w:val="en-US" w:eastAsia="zh-CN"/>
              </w:rPr>
              <w:t>0.1+0.000255</w:t>
            </w:r>
            <w:r>
              <w:rPr>
                <w:rFonts w:hint="eastAsia" w:ascii="Times New Roman" w:hAnsi="Times New Roman" w:eastAsia="宋体" w:cs="Times New Roman"/>
                <w:color w:val="262626"/>
                <w:kern w:val="0"/>
                <w:sz w:val="24"/>
                <w:szCs w:val="24"/>
                <w:lang w:val="en-US" w:eastAsia="zh-CN" w:bidi="ar-SA"/>
              </w:rPr>
              <w:t>×</w:t>
            </w:r>
            <w:r>
              <w:rPr>
                <w:rFonts w:hint="eastAsia"/>
                <w:color w:val="000000"/>
                <w:sz w:val="24"/>
                <w:szCs w:val="24"/>
                <w:lang w:val="en-US" w:eastAsia="zh-CN"/>
              </w:rPr>
              <w:t>0.9</w:t>
            </w:r>
            <w:r>
              <w:rPr>
                <w:rFonts w:hint="eastAsia" w:ascii="Times New Roman" w:hAnsi="Times New Roman" w:eastAsia="宋体" w:cs="Times New Roman"/>
                <w:color w:val="262626"/>
                <w:kern w:val="0"/>
                <w:sz w:val="24"/>
                <w:szCs w:val="24"/>
                <w:lang w:val="en-US" w:eastAsia="zh-CN" w:bidi="ar-SA"/>
              </w:rPr>
              <w:t>×</w:t>
            </w:r>
            <w:r>
              <w:rPr>
                <w:rFonts w:hint="eastAsia"/>
                <w:color w:val="000000"/>
                <w:sz w:val="24"/>
                <w:szCs w:val="24"/>
                <w:lang w:val="en-US" w:eastAsia="zh-CN"/>
              </w:rPr>
              <w:t>（1-90%））</w:t>
            </w:r>
            <w:r>
              <w:rPr>
                <w:rFonts w:hint="default"/>
                <w:color w:val="000000"/>
                <w:sz w:val="24"/>
                <w:szCs w:val="24"/>
                <w:lang w:val="en-US" w:eastAsia="zh-CN"/>
              </w:rPr>
              <w:t>。</w:t>
            </w:r>
          </w:p>
          <w:p w14:paraId="46767F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4</w:t>
            </w: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喷粉废气</w:t>
            </w:r>
            <w:r>
              <w:rPr>
                <w:rFonts w:hint="eastAsia" w:ascii="Times New Roman" w:hAnsi="Times New Roman" w:eastAsia="宋体" w:cs="Times New Roman"/>
                <w:color w:val="262626"/>
                <w:kern w:val="0"/>
                <w:sz w:val="24"/>
                <w:szCs w:val="24"/>
                <w:lang w:val="en-US" w:eastAsia="zh-CN" w:bidi="ar-SA"/>
              </w:rPr>
              <w:t>（颗粒物）</w:t>
            </w:r>
          </w:p>
          <w:p w14:paraId="645CB0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262626"/>
                <w:kern w:val="0"/>
                <w:sz w:val="24"/>
                <w:szCs w:val="24"/>
                <w:lang w:val="en-US" w:eastAsia="zh-CN" w:bidi="ar-SA"/>
              </w:rPr>
            </w:pPr>
            <w:r>
              <w:rPr>
                <w:rFonts w:hint="default" w:ascii="Times New Roman" w:hAnsi="Times New Roman" w:eastAsia="宋体" w:cs="Times New Roman"/>
                <w:color w:val="262626"/>
                <w:kern w:val="0"/>
                <w:sz w:val="24"/>
                <w:szCs w:val="24"/>
                <w:lang w:val="en-US" w:eastAsia="zh-CN" w:bidi="ar-SA"/>
              </w:rPr>
              <w:t>本项目喷粉工序年使用塑粉1.5t，参照《排放源统计调查产排污核算方法和系数手册》中“粉末喷涂”工段产污系数6.0kg/t-原料，颗粒物产生量为0.009t/a。喷粉柜采用</w:t>
            </w:r>
            <w:r>
              <w:rPr>
                <w:rFonts w:hint="eastAsia" w:cs="Times New Roman"/>
                <w:color w:val="262626"/>
                <w:kern w:val="0"/>
                <w:sz w:val="24"/>
                <w:szCs w:val="24"/>
                <w:lang w:val="en-US" w:eastAsia="zh-CN" w:bidi="ar-SA"/>
              </w:rPr>
              <w:t>正压</w:t>
            </w:r>
            <w:r>
              <w:rPr>
                <w:rFonts w:hint="default" w:ascii="Times New Roman" w:hAnsi="Times New Roman" w:eastAsia="宋体" w:cs="Times New Roman"/>
                <w:color w:val="262626"/>
                <w:kern w:val="0"/>
                <w:sz w:val="24"/>
                <w:szCs w:val="24"/>
                <w:lang w:val="en-US" w:eastAsia="zh-CN" w:bidi="ar-SA"/>
              </w:rPr>
              <w:t>收集+滤芯回收系统，收集效率90%，处理效率95%，则有组织排放量为0.000405t/a，无组织排放量为0.0009t/a，合计0.001305t/a，排放浓度0.27mg/m</w:t>
            </w:r>
            <w:r>
              <w:rPr>
                <w:rFonts w:hint="eastAsia" w:cs="Times New Roman"/>
                <w:color w:val="262626"/>
                <w:kern w:val="0"/>
                <w:sz w:val="24"/>
                <w:szCs w:val="24"/>
                <w:vertAlign w:val="superscript"/>
                <w:lang w:val="en-US" w:eastAsia="zh-CN" w:bidi="ar-SA"/>
              </w:rPr>
              <w:t>3</w:t>
            </w:r>
            <w:r>
              <w:rPr>
                <w:rFonts w:hint="default" w:ascii="Times New Roman" w:hAnsi="Times New Roman" w:eastAsia="宋体" w:cs="Times New Roman"/>
                <w:color w:val="262626"/>
                <w:kern w:val="0"/>
                <w:sz w:val="24"/>
                <w:szCs w:val="24"/>
                <w:lang w:val="en-US" w:eastAsia="zh-CN" w:bidi="ar-SA"/>
              </w:rPr>
              <w:t>。</w:t>
            </w:r>
          </w:p>
          <w:p w14:paraId="3FF93F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5</w:t>
            </w: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烘烤废气</w:t>
            </w:r>
            <w:r>
              <w:rPr>
                <w:rFonts w:hint="eastAsia" w:ascii="Times New Roman" w:hAnsi="Times New Roman" w:eastAsia="宋体" w:cs="Times New Roman"/>
                <w:color w:val="262626"/>
                <w:kern w:val="0"/>
                <w:sz w:val="24"/>
                <w:szCs w:val="24"/>
                <w:lang w:val="en-US" w:eastAsia="zh-CN" w:bidi="ar-SA"/>
              </w:rPr>
              <w:t>（VOCs）</w:t>
            </w:r>
          </w:p>
          <w:p w14:paraId="465DC2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cs="Times New Roman"/>
                <w:color w:val="262626"/>
                <w:kern w:val="0"/>
                <w:sz w:val="24"/>
                <w:szCs w:val="24"/>
                <w:lang w:val="en-US" w:eastAsia="zh-CN" w:bidi="ar-SA"/>
              </w:rPr>
              <w:t>烘烤工序过程会产生少量有机废气（以非甲烷总烃表征）产生，</w:t>
            </w:r>
            <w:r>
              <w:rPr>
                <w:rFonts w:hint="eastAsia" w:ascii="Times New Roman" w:hAnsi="Times New Roman" w:eastAsia="宋体" w:cs="Times New Roman"/>
                <w:color w:val="262626"/>
                <w:kern w:val="0"/>
                <w:sz w:val="24"/>
                <w:szCs w:val="24"/>
                <w:lang w:val="en-US" w:eastAsia="zh-CN" w:bidi="ar-SA"/>
              </w:rPr>
              <w:t>参照《排放源统计调查产排污核算方法和系数手册》中“金属表面处理及热处理加工行业—粉末喷涂固化”工段给出的VOCs产污系数1.5kg/t-原料，本项目年用塑粉1.5t，则VOCs产生量＝1.5t×1.5kg/t÷1000＝0.00225t；经密闭烘道90%收集后引入二级活性炭装置（处理效率75%），有组织排放量＝0.00225t×90%×(</w:t>
            </w:r>
            <w:r>
              <w:rPr>
                <w:rFonts w:hint="eastAsia" w:cs="Times New Roman"/>
                <w:color w:val="262626"/>
                <w:kern w:val="0"/>
                <w:sz w:val="24"/>
                <w:szCs w:val="24"/>
                <w:lang w:val="en-US" w:eastAsia="zh-CN" w:bidi="ar-SA"/>
              </w:rPr>
              <w:t>1%—75%</w:t>
            </w:r>
            <w:r>
              <w:rPr>
                <w:rFonts w:hint="eastAsia" w:ascii="Times New Roman" w:hAnsi="Times New Roman" w:eastAsia="宋体" w:cs="Times New Roman"/>
                <w:color w:val="262626"/>
                <w:kern w:val="0"/>
                <w:sz w:val="24"/>
                <w:szCs w:val="24"/>
                <w:lang w:val="en-US" w:eastAsia="zh-CN" w:bidi="ar-SA"/>
              </w:rPr>
              <w:t>)＝0.00051t，无组织排放量＝0.00225t×10%＝0.000225t，合计0.000735t。</w:t>
            </w:r>
          </w:p>
          <w:p w14:paraId="4AF33DB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6</w:t>
            </w: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除油废气</w:t>
            </w:r>
            <w:r>
              <w:rPr>
                <w:rFonts w:hint="eastAsia" w:ascii="Times New Roman" w:hAnsi="Times New Roman" w:eastAsia="宋体" w:cs="Times New Roman"/>
                <w:color w:val="262626"/>
                <w:kern w:val="0"/>
                <w:sz w:val="24"/>
                <w:szCs w:val="24"/>
                <w:lang w:val="en-US" w:eastAsia="zh-CN" w:bidi="ar-SA"/>
              </w:rPr>
              <w:t>（VOCs）</w:t>
            </w:r>
          </w:p>
          <w:p w14:paraId="0FC236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除油工序碱性清洗废气（碱雾）源强采用《排放源统计调查产排污核算方法和系数手册》“金属表面处理行业——碱性清洗”工段产污系数1.0kg/t-除油剂计算：本项目年用除油剂0.3t，则碱雾产生量=0.3t×1.0kg/t÷1000=0.003t/a。废气经集气罩收集（收集效率80%）后，汇入二级活性炭吸附装置，参照《吸附法工业有机废气治理工程技术规范》HJ1093-2020对水溶性气溶胶的实测下限，去除效率取50%，故有组织排放量=0.003t/a×80%×(1-50%)=0.0012t/a，无组织排放量=0.003t/a×20%=0.0006t/a，合计0.0018t/a（排放速率0.00075kg/h），最终由DA001排气筒（15m）达标排放。</w:t>
            </w:r>
          </w:p>
          <w:p w14:paraId="4E2178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w:t>
            </w:r>
            <w:r>
              <w:rPr>
                <w:rFonts w:hint="eastAsia" w:cs="Times New Roman"/>
                <w:color w:val="262626"/>
                <w:kern w:val="0"/>
                <w:sz w:val="24"/>
                <w:szCs w:val="24"/>
                <w:lang w:val="en-US" w:eastAsia="zh-CN" w:bidi="ar-SA"/>
              </w:rPr>
              <w:t>7</w:t>
            </w:r>
            <w:r>
              <w:rPr>
                <w:rFonts w:hint="eastAsia" w:ascii="Times New Roman" w:hAnsi="Times New Roman" w:eastAsia="宋体" w:cs="Times New Roman"/>
                <w:color w:val="262626"/>
                <w:kern w:val="0"/>
                <w:sz w:val="24"/>
                <w:szCs w:val="24"/>
                <w:lang w:val="en-US" w:eastAsia="zh-CN" w:bidi="ar-SA"/>
              </w:rPr>
              <w:t>）投料废气（</w:t>
            </w:r>
            <w:r>
              <w:rPr>
                <w:rFonts w:hint="eastAsia" w:cs="Times New Roman"/>
                <w:color w:val="262626"/>
                <w:kern w:val="0"/>
                <w:sz w:val="24"/>
                <w:szCs w:val="24"/>
                <w:lang w:val="en-US" w:eastAsia="zh-CN" w:bidi="ar-SA"/>
              </w:rPr>
              <w:t>色粉投料产生的</w:t>
            </w:r>
            <w:r>
              <w:rPr>
                <w:rFonts w:hint="eastAsia" w:ascii="Times New Roman" w:hAnsi="Times New Roman" w:eastAsia="宋体" w:cs="Times New Roman"/>
                <w:color w:val="262626"/>
                <w:kern w:val="0"/>
                <w:sz w:val="24"/>
                <w:szCs w:val="24"/>
                <w:lang w:val="en-US" w:eastAsia="zh-CN" w:bidi="ar-SA"/>
              </w:rPr>
              <w:t>颗粒物）</w:t>
            </w:r>
          </w:p>
          <w:p w14:paraId="5C27A1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262626"/>
                <w:kern w:val="0"/>
                <w:sz w:val="24"/>
                <w:szCs w:val="24"/>
                <w:lang w:val="en-US" w:eastAsia="zh-CN" w:bidi="ar-SA"/>
              </w:rPr>
            </w:pPr>
            <w:r>
              <w:rPr>
                <w:rFonts w:hint="eastAsia" w:ascii="Times New Roman" w:hAnsi="Times New Roman" w:eastAsia="宋体" w:cs="Times New Roman"/>
                <w:color w:val="262626"/>
                <w:kern w:val="0"/>
                <w:sz w:val="24"/>
                <w:szCs w:val="24"/>
                <w:lang w:val="en-US" w:eastAsia="zh-CN" w:bidi="ar-SA"/>
              </w:rPr>
              <w:t>项目在注塑工序时色粉的投料过程会产生投料粉尘（颗粒物），因</w:t>
            </w:r>
            <w:r>
              <w:rPr>
                <w:rFonts w:hint="eastAsia"/>
                <w:color w:val="262626"/>
                <w:kern w:val="0"/>
                <w:sz w:val="24"/>
                <w:szCs w:val="20"/>
              </w:rPr>
              <w:t>《排放源统计调查产排污核算方法和系数手册》</w:t>
            </w:r>
            <w:r>
              <w:rPr>
                <w:color w:val="262626"/>
                <w:kern w:val="0"/>
                <w:sz w:val="24"/>
                <w:szCs w:val="20"/>
              </w:rPr>
              <w:t>292</w:t>
            </w:r>
            <w:r>
              <w:rPr>
                <w:rFonts w:hint="eastAsia"/>
                <w:color w:val="262626"/>
                <w:kern w:val="0"/>
                <w:sz w:val="24"/>
                <w:szCs w:val="20"/>
              </w:rPr>
              <w:t>塑料制品行业系数手册</w:t>
            </w:r>
            <w:r>
              <w:rPr>
                <w:rFonts w:hint="eastAsia"/>
                <w:color w:val="262626"/>
                <w:kern w:val="0"/>
                <w:sz w:val="24"/>
                <w:szCs w:val="20"/>
                <w:lang w:val="en-US" w:eastAsia="zh-CN"/>
              </w:rPr>
              <w:t>未对这个工序推荐颗粒物产物系数，故参照</w:t>
            </w:r>
            <w:r>
              <w:rPr>
                <w:rFonts w:hint="eastAsia"/>
                <w:color w:val="262626"/>
                <w:kern w:val="0"/>
                <w:sz w:val="24"/>
                <w:szCs w:val="20"/>
              </w:rPr>
              <w:t>《</w:t>
            </w:r>
            <w:r>
              <w:rPr>
                <w:rFonts w:hint="eastAsia"/>
                <w:color w:val="262626"/>
                <w:kern w:val="0"/>
                <w:sz w:val="24"/>
                <w:szCs w:val="20"/>
                <w:lang w:val="en-US" w:eastAsia="zh-CN"/>
              </w:rPr>
              <w:t>逸散性工业粉尘控制技术</w:t>
            </w:r>
            <w:r>
              <w:rPr>
                <w:rFonts w:hint="eastAsia"/>
                <w:color w:val="262626"/>
                <w:kern w:val="0"/>
                <w:sz w:val="24"/>
                <w:szCs w:val="20"/>
              </w:rPr>
              <w:t>》</w:t>
            </w:r>
            <w:r>
              <w:rPr>
                <w:rFonts w:hint="eastAsia"/>
                <w:color w:val="262626"/>
                <w:kern w:val="0"/>
                <w:sz w:val="24"/>
                <w:szCs w:val="20"/>
                <w:lang w:val="en-US" w:eastAsia="zh-CN"/>
              </w:rPr>
              <w:t>颗粒物产生系数，投料工序颗粒物产生系数为0.1kg/t装（卸）料，配料混合工序投料时原料总量为0.02t/a，则投料颗粒物产生量为0.002kg/a（0.002*10</w:t>
            </w:r>
            <w:r>
              <w:rPr>
                <w:rFonts w:hint="eastAsia"/>
                <w:color w:val="262626"/>
                <w:kern w:val="0"/>
                <w:sz w:val="24"/>
                <w:szCs w:val="20"/>
                <w:vertAlign w:val="superscript"/>
                <w:lang w:val="en-US" w:eastAsia="zh-CN"/>
              </w:rPr>
              <w:t>-3</w:t>
            </w:r>
            <w:r>
              <w:rPr>
                <w:rFonts w:hint="eastAsia"/>
                <w:color w:val="262626"/>
                <w:kern w:val="0"/>
                <w:sz w:val="24"/>
                <w:szCs w:val="20"/>
                <w:lang w:val="en-US" w:eastAsia="zh-CN"/>
              </w:rPr>
              <w:t>t/a）。综上所述，项目投料工序颗粒物产生源强极小，在采取报告所述的密闭化投料措施后，逸散量微乎其微。该部分极微量粉尘可经车间排风系统稀释扩散，并随注塑有机废气处理系统协同处理，对周边大气环境影响很小。</w:t>
            </w:r>
          </w:p>
        </w:tc>
      </w:tr>
    </w:tbl>
    <w:p w14:paraId="7403CE54">
      <w:pPr>
        <w:jc w:val="center"/>
        <w:rPr>
          <w:rFonts w:hint="default" w:ascii="Times New Roman" w:hAnsi="Times New Roman" w:eastAsia="宋体" w:cs="Times New Roman"/>
          <w:color w:val="auto"/>
          <w:kern w:val="0"/>
          <w:sz w:val="24"/>
          <w:szCs w:val="24"/>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18" w:charSpace="0"/>
        </w:sectPr>
      </w:pP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3339"/>
      </w:tblGrid>
      <w:tr w14:paraId="7A33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3" w:type="pct"/>
            <w:vAlign w:val="center"/>
          </w:tcPr>
          <w:p w14:paraId="6F72F227">
            <w:pPr>
              <w:jc w:val="center"/>
              <w:rPr>
                <w:rFonts w:hint="default" w:ascii="Times New Roman" w:hAnsi="Times New Roman" w:eastAsia="宋体" w:cs="Times New Roman"/>
                <w:color w:val="auto"/>
                <w:kern w:val="0"/>
                <w:sz w:val="24"/>
                <w:szCs w:val="24"/>
                <w:lang w:val="en-US" w:eastAsia="zh-CN"/>
              </w:rPr>
            </w:pPr>
          </w:p>
        </w:tc>
        <w:tc>
          <w:tcPr>
            <w:tcW w:w="4806" w:type="pct"/>
          </w:tcPr>
          <w:p w14:paraId="541CCA9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84" w:name="_Toc29384"/>
            <w:r>
              <w:rPr>
                <w:rFonts w:hint="eastAsia"/>
                <w:b/>
                <w:color w:val="262626"/>
                <w:kern w:val="0"/>
                <w:sz w:val="24"/>
                <w:lang w:val="en-US" w:eastAsia="zh-CN"/>
              </w:rPr>
              <w:t>4.1.2 废气产排情况一览表</w:t>
            </w:r>
            <w:bookmarkEnd w:id="84"/>
          </w:p>
          <w:p w14:paraId="057C37A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表4.1-3 项目废气产排情况一览表</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53"/>
              <w:gridCol w:w="449"/>
              <w:gridCol w:w="1032"/>
              <w:gridCol w:w="1222"/>
              <w:gridCol w:w="1179"/>
              <w:gridCol w:w="699"/>
              <w:gridCol w:w="808"/>
              <w:gridCol w:w="807"/>
              <w:gridCol w:w="1222"/>
              <w:gridCol w:w="1117"/>
              <w:gridCol w:w="813"/>
              <w:gridCol w:w="867"/>
              <w:gridCol w:w="488"/>
              <w:gridCol w:w="640"/>
              <w:gridCol w:w="684"/>
            </w:tblGrid>
            <w:tr w14:paraId="211D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Merge w:val="restart"/>
                  <w:tcBorders>
                    <w:tl2br w:val="nil"/>
                    <w:tr2bl w:val="nil"/>
                  </w:tcBorders>
                  <w:vAlign w:val="center"/>
                </w:tcPr>
                <w:p w14:paraId="68B25E3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排放形式</w:t>
                  </w:r>
                </w:p>
              </w:tc>
              <w:tc>
                <w:tcPr>
                  <w:tcW w:w="0" w:type="auto"/>
                  <w:vMerge w:val="restart"/>
                  <w:tcBorders>
                    <w:tl2br w:val="nil"/>
                    <w:tr2bl w:val="nil"/>
                  </w:tcBorders>
                  <w:vAlign w:val="center"/>
                </w:tcPr>
                <w:p w14:paraId="072F9A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产污工序</w:t>
                  </w:r>
                </w:p>
              </w:tc>
              <w:tc>
                <w:tcPr>
                  <w:tcW w:w="0" w:type="auto"/>
                  <w:vMerge w:val="restart"/>
                  <w:tcBorders>
                    <w:tl2br w:val="nil"/>
                    <w:tr2bl w:val="nil"/>
                  </w:tcBorders>
                  <w:vAlign w:val="center"/>
                </w:tcPr>
                <w:p w14:paraId="6A1085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污染物</w:t>
                  </w:r>
                </w:p>
              </w:tc>
              <w:tc>
                <w:tcPr>
                  <w:tcW w:w="0" w:type="auto"/>
                  <w:vMerge w:val="restart"/>
                  <w:tcBorders>
                    <w:tl2br w:val="nil"/>
                    <w:tr2bl w:val="nil"/>
                  </w:tcBorders>
                  <w:vAlign w:val="center"/>
                </w:tcPr>
                <w:p w14:paraId="7BE585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设计</w:t>
                  </w:r>
                  <w:r>
                    <w:rPr>
                      <w:rFonts w:hint="default" w:ascii="Times New Roman" w:hAnsi="Times New Roman" w:eastAsia="宋体" w:cs="Times New Roman"/>
                      <w:b w:val="0"/>
                      <w:bCs w:val="0"/>
                      <w:color w:val="auto"/>
                      <w:sz w:val="21"/>
                      <w:szCs w:val="21"/>
                      <w:u w:val="none"/>
                      <w:vertAlign w:val="baseline"/>
                      <w:lang w:val="en-US" w:eastAsia="zh-CN"/>
                    </w:rPr>
                    <w:t>风量</w:t>
                  </w:r>
                </w:p>
              </w:tc>
              <w:tc>
                <w:tcPr>
                  <w:tcW w:w="0" w:type="auto"/>
                  <w:gridSpan w:val="3"/>
                  <w:tcBorders>
                    <w:tl2br w:val="nil"/>
                    <w:tr2bl w:val="nil"/>
                  </w:tcBorders>
                  <w:vAlign w:val="center"/>
                </w:tcPr>
                <w:p w14:paraId="2D13E6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产生情况</w:t>
                  </w:r>
                </w:p>
              </w:tc>
              <w:tc>
                <w:tcPr>
                  <w:tcW w:w="0" w:type="auto"/>
                  <w:gridSpan w:val="2"/>
                  <w:vMerge w:val="restart"/>
                  <w:tcBorders>
                    <w:tl2br w:val="nil"/>
                    <w:tr2bl w:val="nil"/>
                  </w:tcBorders>
                  <w:vAlign w:val="center"/>
                </w:tcPr>
                <w:p w14:paraId="7A7D89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治理措施</w:t>
                  </w:r>
                </w:p>
              </w:tc>
              <w:tc>
                <w:tcPr>
                  <w:tcW w:w="0" w:type="auto"/>
                  <w:gridSpan w:val="3"/>
                  <w:tcBorders>
                    <w:tl2br w:val="nil"/>
                    <w:tr2bl w:val="nil"/>
                  </w:tcBorders>
                  <w:vAlign w:val="center"/>
                </w:tcPr>
                <w:p w14:paraId="0FFCB17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排放情况</w:t>
                  </w:r>
                </w:p>
              </w:tc>
              <w:tc>
                <w:tcPr>
                  <w:tcW w:w="0" w:type="auto"/>
                  <w:gridSpan w:val="4"/>
                  <w:tcBorders>
                    <w:tl2br w:val="nil"/>
                    <w:tr2bl w:val="nil"/>
                  </w:tcBorders>
                  <w:vAlign w:val="center"/>
                </w:tcPr>
                <w:p w14:paraId="330DA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排气口基本情况</w:t>
                  </w:r>
                </w:p>
              </w:tc>
            </w:tr>
            <w:tr w14:paraId="45509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0" w:type="auto"/>
                  <w:vMerge w:val="continue"/>
                  <w:tcBorders>
                    <w:tl2br w:val="nil"/>
                    <w:tr2bl w:val="nil"/>
                  </w:tcBorders>
                  <w:vAlign w:val="center"/>
                </w:tcPr>
                <w:p w14:paraId="35B4FC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6E9AC1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16425E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vMerge w:val="continue"/>
                  <w:tcBorders>
                    <w:tl2br w:val="nil"/>
                    <w:tr2bl w:val="nil"/>
                  </w:tcBorders>
                  <w:vAlign w:val="center"/>
                </w:tcPr>
                <w:p w14:paraId="146861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sz w:val="21"/>
                      <w:szCs w:val="21"/>
                    </w:rPr>
                  </w:pPr>
                </w:p>
              </w:tc>
              <w:tc>
                <w:tcPr>
                  <w:tcW w:w="0" w:type="auto"/>
                  <w:tcBorders>
                    <w:tl2br w:val="nil"/>
                    <w:tr2bl w:val="nil"/>
                  </w:tcBorders>
                  <w:vAlign w:val="center"/>
                </w:tcPr>
                <w:p w14:paraId="0D60EE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产生量</w:t>
                  </w:r>
                </w:p>
              </w:tc>
              <w:tc>
                <w:tcPr>
                  <w:tcW w:w="1179" w:type="dxa"/>
                  <w:tcBorders>
                    <w:tl2br w:val="nil"/>
                    <w:tr2bl w:val="nil"/>
                  </w:tcBorders>
                  <w:vAlign w:val="center"/>
                </w:tcPr>
                <w:p w14:paraId="57D54C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产生速率</w:t>
                  </w:r>
                </w:p>
              </w:tc>
              <w:tc>
                <w:tcPr>
                  <w:tcW w:w="699" w:type="dxa"/>
                  <w:tcBorders>
                    <w:tl2br w:val="nil"/>
                    <w:tr2bl w:val="nil"/>
                  </w:tcBorders>
                  <w:vAlign w:val="center"/>
                </w:tcPr>
                <w:p w14:paraId="3447F9A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产生浓度</w:t>
                  </w:r>
                </w:p>
              </w:tc>
              <w:tc>
                <w:tcPr>
                  <w:tcW w:w="0" w:type="auto"/>
                  <w:gridSpan w:val="2"/>
                  <w:vMerge w:val="continue"/>
                  <w:tcBorders>
                    <w:tl2br w:val="nil"/>
                    <w:tr2bl w:val="nil"/>
                  </w:tcBorders>
                  <w:vAlign w:val="center"/>
                </w:tcPr>
                <w:p w14:paraId="6C5DC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1C38E0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排放量</w:t>
                  </w:r>
                </w:p>
              </w:tc>
              <w:tc>
                <w:tcPr>
                  <w:tcW w:w="0" w:type="auto"/>
                  <w:tcBorders>
                    <w:tl2br w:val="nil"/>
                    <w:tr2bl w:val="nil"/>
                  </w:tcBorders>
                  <w:vAlign w:val="center"/>
                </w:tcPr>
                <w:p w14:paraId="28CAD9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排放速率</w:t>
                  </w:r>
                </w:p>
              </w:tc>
              <w:tc>
                <w:tcPr>
                  <w:tcW w:w="0" w:type="auto"/>
                  <w:tcBorders>
                    <w:tl2br w:val="nil"/>
                    <w:tr2bl w:val="nil"/>
                  </w:tcBorders>
                  <w:vAlign w:val="center"/>
                </w:tcPr>
                <w:p w14:paraId="149A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排放浓度</w:t>
                  </w:r>
                </w:p>
              </w:tc>
              <w:tc>
                <w:tcPr>
                  <w:tcW w:w="0" w:type="auto"/>
                  <w:tcBorders>
                    <w:tl2br w:val="nil"/>
                    <w:tr2bl w:val="nil"/>
                  </w:tcBorders>
                  <w:vAlign w:val="center"/>
                </w:tcPr>
                <w:p w14:paraId="583BF1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排气筒编号</w:t>
                  </w:r>
                </w:p>
              </w:tc>
              <w:tc>
                <w:tcPr>
                  <w:tcW w:w="0" w:type="auto"/>
                  <w:tcBorders>
                    <w:tl2br w:val="nil"/>
                    <w:tr2bl w:val="nil"/>
                  </w:tcBorders>
                  <w:vAlign w:val="center"/>
                </w:tcPr>
                <w:p w14:paraId="44E4AA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类型</w:t>
                  </w:r>
                </w:p>
              </w:tc>
              <w:tc>
                <w:tcPr>
                  <w:tcW w:w="0" w:type="auto"/>
                  <w:tcBorders>
                    <w:tl2br w:val="nil"/>
                    <w:tr2bl w:val="nil"/>
                  </w:tcBorders>
                  <w:vAlign w:val="center"/>
                </w:tcPr>
                <w:p w14:paraId="347F75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排气筒高度</w:t>
                  </w:r>
                </w:p>
              </w:tc>
              <w:tc>
                <w:tcPr>
                  <w:tcW w:w="0" w:type="auto"/>
                  <w:tcBorders>
                    <w:tl2br w:val="nil"/>
                    <w:tr2bl w:val="nil"/>
                  </w:tcBorders>
                  <w:vAlign w:val="center"/>
                </w:tcPr>
                <w:p w14:paraId="467DC6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排气筒温度</w:t>
                  </w:r>
                </w:p>
              </w:tc>
            </w:tr>
            <w:tr w14:paraId="16ECC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restart"/>
                  <w:tcBorders>
                    <w:tl2br w:val="nil"/>
                    <w:tr2bl w:val="nil"/>
                  </w:tcBorders>
                  <w:vAlign w:val="center"/>
                </w:tcPr>
                <w:p w14:paraId="223B00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0" w:type="auto"/>
                  <w:tcBorders>
                    <w:tl2br w:val="nil"/>
                    <w:tr2bl w:val="nil"/>
                  </w:tcBorders>
                  <w:vAlign w:val="center"/>
                </w:tcPr>
                <w:p w14:paraId="18A2C4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注塑、包胶</w:t>
                  </w:r>
                </w:p>
              </w:tc>
              <w:tc>
                <w:tcPr>
                  <w:tcW w:w="0" w:type="auto"/>
                  <w:tcBorders>
                    <w:tl2br w:val="nil"/>
                    <w:tr2bl w:val="nil"/>
                  </w:tcBorders>
                  <w:vAlign w:val="center"/>
                </w:tcPr>
                <w:p w14:paraId="698A5E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非甲烷总烃</w:t>
                  </w:r>
                </w:p>
              </w:tc>
              <w:tc>
                <w:tcPr>
                  <w:tcW w:w="0" w:type="auto"/>
                  <w:vMerge w:val="restart"/>
                  <w:tcBorders>
                    <w:tl2br w:val="nil"/>
                    <w:tr2bl w:val="nil"/>
                  </w:tcBorders>
                  <w:vAlign w:val="center"/>
                </w:tcPr>
                <w:p w14:paraId="43DDDF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8000</w:t>
                  </w:r>
                  <w:r>
                    <w:rPr>
                      <w:rFonts w:hint="default" w:ascii="Times New Roman" w:hAnsi="Times New Roman" w:eastAsia="宋体" w:cs="Times New Roman"/>
                      <w:b w:val="0"/>
                      <w:bCs w:val="0"/>
                      <w:color w:val="auto"/>
                      <w:sz w:val="21"/>
                      <w:szCs w:val="21"/>
                      <w:u w:val="none"/>
                      <w:vertAlign w:val="baseline"/>
                      <w:lang w:val="en-US" w:eastAsia="zh-CN"/>
                    </w:rPr>
                    <w:t>m</w:t>
                  </w:r>
                  <w:r>
                    <w:rPr>
                      <w:rFonts w:hint="default" w:ascii="Times New Roman" w:hAnsi="Times New Roman" w:eastAsia="宋体" w:cs="Times New Roman"/>
                      <w:b w:val="0"/>
                      <w:bCs w:val="0"/>
                      <w:color w:val="auto"/>
                      <w:sz w:val="21"/>
                      <w:szCs w:val="21"/>
                      <w:u w:val="none"/>
                      <w:vertAlign w:val="superscript"/>
                      <w:lang w:val="en-US" w:eastAsia="zh-CN"/>
                    </w:rPr>
                    <w:t>3</w:t>
                  </w:r>
                  <w:r>
                    <w:rPr>
                      <w:rFonts w:hint="default" w:ascii="Times New Roman" w:hAnsi="Times New Roman" w:eastAsia="宋体" w:cs="Times New Roman"/>
                      <w:b w:val="0"/>
                      <w:bCs w:val="0"/>
                      <w:color w:val="auto"/>
                      <w:sz w:val="21"/>
                      <w:szCs w:val="21"/>
                      <w:u w:val="none"/>
                      <w:vertAlign w:val="baseline"/>
                      <w:lang w:val="en-US" w:eastAsia="zh-CN"/>
                    </w:rPr>
                    <w:t>/h</w:t>
                  </w:r>
                </w:p>
              </w:tc>
              <w:tc>
                <w:tcPr>
                  <w:tcW w:w="0" w:type="auto"/>
                  <w:tcBorders>
                    <w:tl2br w:val="nil"/>
                    <w:tr2bl w:val="nil"/>
                  </w:tcBorders>
                  <w:vAlign w:val="center"/>
                </w:tcPr>
                <w:p w14:paraId="24ADBB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0.081</w:t>
                  </w:r>
                </w:p>
              </w:tc>
              <w:tc>
                <w:tcPr>
                  <w:tcW w:w="1179" w:type="dxa"/>
                  <w:tcBorders>
                    <w:tl2br w:val="nil"/>
                    <w:tr2bl w:val="nil"/>
                  </w:tcBorders>
                  <w:vAlign w:val="center"/>
                </w:tcPr>
                <w:p w14:paraId="651D99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0.0169</w:t>
                  </w:r>
                </w:p>
              </w:tc>
              <w:tc>
                <w:tcPr>
                  <w:tcW w:w="699" w:type="dxa"/>
                  <w:tcBorders>
                    <w:tl2br w:val="nil"/>
                    <w:tr2bl w:val="nil"/>
                  </w:tcBorders>
                  <w:vAlign w:val="center"/>
                </w:tcPr>
                <w:p w14:paraId="783734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2.11</w:t>
                  </w:r>
                </w:p>
              </w:tc>
              <w:tc>
                <w:tcPr>
                  <w:tcW w:w="0" w:type="auto"/>
                  <w:gridSpan w:val="2"/>
                  <w:vMerge w:val="restart"/>
                  <w:tcBorders>
                    <w:tl2br w:val="nil"/>
                    <w:tr2bl w:val="nil"/>
                  </w:tcBorders>
                  <w:vAlign w:val="center"/>
                </w:tcPr>
                <w:p w14:paraId="7309FF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集气罩+二级活性炭吸附装置（TA001）</w:t>
                  </w:r>
                  <w:r>
                    <w:rPr>
                      <w:rFonts w:hint="eastAsia" w:ascii="Times New Roman" w:hAnsi="Times New Roman" w:eastAsia="宋体" w:cs="Times New Roman"/>
                      <w:b w:val="0"/>
                      <w:bCs w:val="0"/>
                      <w:color w:val="auto"/>
                      <w:sz w:val="21"/>
                      <w:szCs w:val="21"/>
                      <w:highlight w:val="none"/>
                      <w:u w:val="none"/>
                      <w:vertAlign w:val="baseline"/>
                      <w:lang w:val="en-US" w:eastAsia="zh-CN"/>
                    </w:rPr>
                    <w:t>+15m排气筒（DA001）</w:t>
                  </w:r>
                </w:p>
              </w:tc>
              <w:tc>
                <w:tcPr>
                  <w:tcW w:w="0" w:type="auto"/>
                  <w:tcBorders>
                    <w:tl2br w:val="nil"/>
                    <w:tr2bl w:val="nil"/>
                  </w:tcBorders>
                  <w:vAlign w:val="center"/>
                </w:tcPr>
                <w:p w14:paraId="1FE4E7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0.0162</w:t>
                  </w:r>
                </w:p>
              </w:tc>
              <w:tc>
                <w:tcPr>
                  <w:tcW w:w="0" w:type="auto"/>
                  <w:tcBorders>
                    <w:tl2br w:val="nil"/>
                    <w:tr2bl w:val="nil"/>
                  </w:tcBorders>
                  <w:vAlign w:val="center"/>
                </w:tcPr>
                <w:p w14:paraId="636F8C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0.0034</w:t>
                  </w:r>
                </w:p>
              </w:tc>
              <w:tc>
                <w:tcPr>
                  <w:tcW w:w="0" w:type="auto"/>
                  <w:tcBorders>
                    <w:tl2br w:val="nil"/>
                    <w:tr2bl w:val="nil"/>
                  </w:tcBorders>
                  <w:vAlign w:val="center"/>
                </w:tcPr>
                <w:p w14:paraId="7E5840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0.42</w:t>
                  </w:r>
                </w:p>
              </w:tc>
              <w:tc>
                <w:tcPr>
                  <w:tcW w:w="0" w:type="auto"/>
                  <w:vMerge w:val="restart"/>
                  <w:tcBorders>
                    <w:tl2br w:val="nil"/>
                    <w:tr2bl w:val="nil"/>
                  </w:tcBorders>
                  <w:vAlign w:val="center"/>
                </w:tcPr>
                <w:p w14:paraId="6A022C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DA001</w:t>
                  </w:r>
                </w:p>
              </w:tc>
              <w:tc>
                <w:tcPr>
                  <w:tcW w:w="0" w:type="auto"/>
                  <w:vMerge w:val="restart"/>
                  <w:tcBorders>
                    <w:tl2br w:val="nil"/>
                    <w:tr2bl w:val="nil"/>
                  </w:tcBorders>
                  <w:vAlign w:val="center"/>
                </w:tcPr>
                <w:p w14:paraId="7098EF9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一般排放口</w:t>
                  </w:r>
                </w:p>
              </w:tc>
              <w:tc>
                <w:tcPr>
                  <w:tcW w:w="0" w:type="auto"/>
                  <w:vMerge w:val="restart"/>
                  <w:tcBorders>
                    <w:tl2br w:val="nil"/>
                    <w:tr2bl w:val="nil"/>
                  </w:tcBorders>
                  <w:vAlign w:val="center"/>
                </w:tcPr>
                <w:p w14:paraId="7BEF65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15m</w:t>
                  </w:r>
                </w:p>
              </w:tc>
              <w:tc>
                <w:tcPr>
                  <w:tcW w:w="0" w:type="auto"/>
                  <w:vMerge w:val="restart"/>
                  <w:tcBorders>
                    <w:tl2br w:val="nil"/>
                    <w:tr2bl w:val="nil"/>
                  </w:tcBorders>
                  <w:vAlign w:val="center"/>
                </w:tcPr>
                <w:p w14:paraId="06FCE5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w:t>
                  </w:r>
                </w:p>
              </w:tc>
            </w:tr>
            <w:tr w14:paraId="05AEC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5385718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4593A9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烘烤废气</w:t>
                  </w:r>
                </w:p>
              </w:tc>
              <w:tc>
                <w:tcPr>
                  <w:tcW w:w="0" w:type="auto"/>
                  <w:tcBorders>
                    <w:tl2br w:val="nil"/>
                    <w:tr2bl w:val="nil"/>
                  </w:tcBorders>
                  <w:vAlign w:val="center"/>
                </w:tcPr>
                <w:p w14:paraId="64A0C1C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非甲烷总烃</w:t>
                  </w:r>
                </w:p>
              </w:tc>
              <w:tc>
                <w:tcPr>
                  <w:tcW w:w="0" w:type="auto"/>
                  <w:vMerge w:val="continue"/>
                  <w:tcBorders>
                    <w:tl2br w:val="nil"/>
                    <w:tr2bl w:val="nil"/>
                  </w:tcBorders>
                  <w:vAlign w:val="center"/>
                </w:tcPr>
                <w:p w14:paraId="19953E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141EA8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0.00225</w:t>
                  </w:r>
                </w:p>
              </w:tc>
              <w:tc>
                <w:tcPr>
                  <w:tcW w:w="1179" w:type="dxa"/>
                  <w:tcBorders>
                    <w:tl2br w:val="nil"/>
                    <w:tr2bl w:val="nil"/>
                  </w:tcBorders>
                  <w:vAlign w:val="center"/>
                </w:tcPr>
                <w:p w14:paraId="30654E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0.00047</w:t>
                  </w:r>
                </w:p>
              </w:tc>
              <w:tc>
                <w:tcPr>
                  <w:tcW w:w="699" w:type="dxa"/>
                  <w:tcBorders>
                    <w:tl2br w:val="nil"/>
                    <w:tr2bl w:val="nil"/>
                  </w:tcBorders>
                  <w:vAlign w:val="center"/>
                </w:tcPr>
                <w:p w14:paraId="0C3F2D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0.059</w:t>
                  </w:r>
                </w:p>
              </w:tc>
              <w:tc>
                <w:tcPr>
                  <w:tcW w:w="0" w:type="auto"/>
                  <w:gridSpan w:val="2"/>
                  <w:vMerge w:val="continue"/>
                  <w:tcBorders>
                    <w:tl2br w:val="nil"/>
                    <w:tr2bl w:val="nil"/>
                  </w:tcBorders>
                  <w:vAlign w:val="center"/>
                </w:tcPr>
                <w:p w14:paraId="79AD9D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tcBorders>
                    <w:tl2br w:val="nil"/>
                    <w:tr2bl w:val="nil"/>
                  </w:tcBorders>
                  <w:vAlign w:val="center"/>
                </w:tcPr>
                <w:p w14:paraId="178096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0.00051</w:t>
                  </w:r>
                </w:p>
              </w:tc>
              <w:tc>
                <w:tcPr>
                  <w:tcW w:w="0" w:type="auto"/>
                  <w:tcBorders>
                    <w:tl2br w:val="nil"/>
                    <w:tr2bl w:val="nil"/>
                  </w:tcBorders>
                  <w:vAlign w:val="center"/>
                </w:tcPr>
                <w:p w14:paraId="0B4988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0.000106</w:t>
                  </w:r>
                </w:p>
              </w:tc>
              <w:tc>
                <w:tcPr>
                  <w:tcW w:w="0" w:type="auto"/>
                  <w:tcBorders>
                    <w:tl2br w:val="nil"/>
                    <w:tr2bl w:val="nil"/>
                  </w:tcBorders>
                  <w:vAlign w:val="center"/>
                </w:tcPr>
                <w:p w14:paraId="1C1E49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0.013</w:t>
                  </w:r>
                </w:p>
              </w:tc>
              <w:tc>
                <w:tcPr>
                  <w:tcW w:w="0" w:type="auto"/>
                  <w:vMerge w:val="continue"/>
                  <w:tcBorders>
                    <w:tl2br w:val="nil"/>
                    <w:tr2bl w:val="nil"/>
                  </w:tcBorders>
                  <w:vAlign w:val="center"/>
                </w:tcPr>
                <w:p w14:paraId="48B045D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3BD65DD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15119ED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187F1FA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3B066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5501CB6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252E4A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除油废气</w:t>
                  </w:r>
                </w:p>
              </w:tc>
              <w:tc>
                <w:tcPr>
                  <w:tcW w:w="0" w:type="auto"/>
                  <w:tcBorders>
                    <w:tl2br w:val="nil"/>
                    <w:tr2bl w:val="nil"/>
                  </w:tcBorders>
                  <w:vAlign w:val="center"/>
                </w:tcPr>
                <w:p w14:paraId="6E5DF5B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非甲烷总烃</w:t>
                  </w:r>
                </w:p>
              </w:tc>
              <w:tc>
                <w:tcPr>
                  <w:tcW w:w="0" w:type="auto"/>
                  <w:vMerge w:val="continue"/>
                  <w:tcBorders>
                    <w:tl2br w:val="nil"/>
                    <w:tr2bl w:val="nil"/>
                  </w:tcBorders>
                  <w:vAlign w:val="center"/>
                </w:tcPr>
                <w:p w14:paraId="4A3D657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vAlign w:val="center"/>
                </w:tcPr>
                <w:p w14:paraId="57EBBA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0.003</w:t>
                  </w:r>
                </w:p>
              </w:tc>
              <w:tc>
                <w:tcPr>
                  <w:tcW w:w="1179" w:type="dxa"/>
                  <w:tcBorders>
                    <w:tl2br w:val="nil"/>
                    <w:tr2bl w:val="nil"/>
                  </w:tcBorders>
                  <w:vAlign w:val="center"/>
                </w:tcPr>
                <w:p w14:paraId="584FC2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0.000625</w:t>
                  </w:r>
                </w:p>
              </w:tc>
              <w:tc>
                <w:tcPr>
                  <w:tcW w:w="699" w:type="dxa"/>
                  <w:tcBorders>
                    <w:tl2br w:val="nil"/>
                    <w:tr2bl w:val="nil"/>
                  </w:tcBorders>
                  <w:vAlign w:val="center"/>
                </w:tcPr>
                <w:p w14:paraId="727D39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0.078</w:t>
                  </w:r>
                </w:p>
              </w:tc>
              <w:tc>
                <w:tcPr>
                  <w:tcW w:w="0" w:type="auto"/>
                  <w:gridSpan w:val="2"/>
                  <w:vMerge w:val="continue"/>
                  <w:tcBorders>
                    <w:tl2br w:val="nil"/>
                    <w:tr2bl w:val="nil"/>
                  </w:tcBorders>
                  <w:vAlign w:val="center"/>
                </w:tcPr>
                <w:p w14:paraId="62810D2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tcBorders>
                    <w:tl2br w:val="nil"/>
                    <w:tr2bl w:val="nil"/>
                  </w:tcBorders>
                  <w:vAlign w:val="center"/>
                </w:tcPr>
                <w:p w14:paraId="4A7200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0.0012</w:t>
                  </w:r>
                </w:p>
              </w:tc>
              <w:tc>
                <w:tcPr>
                  <w:tcW w:w="0" w:type="auto"/>
                  <w:tcBorders>
                    <w:tl2br w:val="nil"/>
                    <w:tr2bl w:val="nil"/>
                  </w:tcBorders>
                  <w:vAlign w:val="center"/>
                </w:tcPr>
                <w:p w14:paraId="41FA03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0.00025</w:t>
                  </w:r>
                </w:p>
              </w:tc>
              <w:tc>
                <w:tcPr>
                  <w:tcW w:w="0" w:type="auto"/>
                  <w:tcBorders>
                    <w:tl2br w:val="nil"/>
                    <w:tr2bl w:val="nil"/>
                  </w:tcBorders>
                  <w:vAlign w:val="center"/>
                </w:tcPr>
                <w:p w14:paraId="43F11C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0.031</w:t>
                  </w:r>
                </w:p>
              </w:tc>
              <w:tc>
                <w:tcPr>
                  <w:tcW w:w="0" w:type="auto"/>
                  <w:vMerge w:val="continue"/>
                  <w:tcBorders>
                    <w:tl2br w:val="nil"/>
                    <w:tr2bl w:val="nil"/>
                  </w:tcBorders>
                  <w:vAlign w:val="center"/>
                </w:tcPr>
                <w:p w14:paraId="3B11BA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CAC27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27C0BCF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317CB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3D118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04FC050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0E7CD3B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喷粉废气</w:t>
                  </w:r>
                </w:p>
              </w:tc>
              <w:tc>
                <w:tcPr>
                  <w:tcW w:w="0" w:type="auto"/>
                  <w:tcBorders>
                    <w:tl2br w:val="nil"/>
                    <w:tr2bl w:val="nil"/>
                  </w:tcBorders>
                  <w:shd w:val="clear" w:color="auto" w:fill="auto"/>
                  <w:vAlign w:val="center"/>
                </w:tcPr>
                <w:p w14:paraId="05DB6DD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0" w:type="auto"/>
                  <w:vMerge w:val="continue"/>
                  <w:tcBorders>
                    <w:tl2br w:val="nil"/>
                    <w:tr2bl w:val="nil"/>
                  </w:tcBorders>
                  <w:shd w:val="clear" w:color="auto" w:fill="auto"/>
                  <w:vAlign w:val="center"/>
                </w:tcPr>
                <w:p w14:paraId="4CF8A20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p>
              </w:tc>
              <w:tc>
                <w:tcPr>
                  <w:tcW w:w="0" w:type="auto"/>
                  <w:tcBorders>
                    <w:tl2br w:val="nil"/>
                    <w:tr2bl w:val="nil"/>
                  </w:tcBorders>
                  <w:shd w:val="clear" w:color="auto" w:fill="auto"/>
                  <w:vAlign w:val="center"/>
                </w:tcPr>
                <w:p w14:paraId="46DB682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0.009</w:t>
                  </w:r>
                </w:p>
              </w:tc>
              <w:tc>
                <w:tcPr>
                  <w:tcW w:w="1179" w:type="dxa"/>
                  <w:tcBorders>
                    <w:tl2br w:val="nil"/>
                    <w:tr2bl w:val="nil"/>
                  </w:tcBorders>
                  <w:shd w:val="clear" w:color="auto" w:fill="auto"/>
                  <w:vAlign w:val="center"/>
                </w:tcPr>
                <w:p w14:paraId="64A2F1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0.0019</w:t>
                  </w:r>
                </w:p>
              </w:tc>
              <w:tc>
                <w:tcPr>
                  <w:tcW w:w="699" w:type="dxa"/>
                  <w:tcBorders>
                    <w:tl2br w:val="nil"/>
                    <w:tr2bl w:val="nil"/>
                  </w:tcBorders>
                  <w:shd w:val="clear" w:color="auto" w:fill="auto"/>
                  <w:vAlign w:val="center"/>
                </w:tcPr>
                <w:p w14:paraId="1BCA669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0.24</w:t>
                  </w:r>
                </w:p>
              </w:tc>
              <w:tc>
                <w:tcPr>
                  <w:tcW w:w="0" w:type="auto"/>
                  <w:gridSpan w:val="2"/>
                  <w:tcBorders>
                    <w:tl2br w:val="nil"/>
                    <w:tr2bl w:val="nil"/>
                  </w:tcBorders>
                  <w:shd w:val="clear" w:color="auto" w:fill="auto"/>
                  <w:vAlign w:val="center"/>
                </w:tcPr>
                <w:p w14:paraId="34EE9A7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正压</w:t>
                  </w:r>
                  <w:r>
                    <w:rPr>
                      <w:rFonts w:hint="eastAsia" w:ascii="Times New Roman" w:hAnsi="Times New Roman" w:eastAsia="宋体" w:cs="Times New Roman"/>
                      <w:color w:val="auto"/>
                      <w:kern w:val="2"/>
                      <w:sz w:val="21"/>
                      <w:szCs w:val="21"/>
                      <w:highlight w:val="none"/>
                      <w:vertAlign w:val="baseline"/>
                      <w:lang w:val="en-US" w:eastAsia="zh-CN" w:bidi="ar-SA"/>
                    </w:rPr>
                    <w:t>收集+滤芯回收系统</w:t>
                  </w:r>
                </w:p>
              </w:tc>
              <w:tc>
                <w:tcPr>
                  <w:tcW w:w="0" w:type="auto"/>
                  <w:tcBorders>
                    <w:tl2br w:val="nil"/>
                    <w:tr2bl w:val="nil"/>
                  </w:tcBorders>
                  <w:shd w:val="clear" w:color="auto" w:fill="auto"/>
                  <w:vAlign w:val="center"/>
                </w:tcPr>
                <w:p w14:paraId="5AEC1CB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0.000405</w:t>
                  </w:r>
                </w:p>
              </w:tc>
              <w:tc>
                <w:tcPr>
                  <w:tcW w:w="0" w:type="auto"/>
                  <w:tcBorders>
                    <w:tl2br w:val="nil"/>
                    <w:tr2bl w:val="nil"/>
                  </w:tcBorders>
                  <w:shd w:val="clear" w:color="auto" w:fill="auto"/>
                  <w:vAlign w:val="center"/>
                </w:tcPr>
                <w:p w14:paraId="7EBFBC2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0.000084</w:t>
                  </w:r>
                </w:p>
              </w:tc>
              <w:tc>
                <w:tcPr>
                  <w:tcW w:w="0" w:type="auto"/>
                  <w:tcBorders>
                    <w:tl2br w:val="nil"/>
                    <w:tr2bl w:val="nil"/>
                  </w:tcBorders>
                  <w:shd w:val="clear" w:color="auto" w:fill="auto"/>
                  <w:vAlign w:val="center"/>
                </w:tcPr>
                <w:p w14:paraId="72020EE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0.0105</w:t>
                  </w:r>
                </w:p>
              </w:tc>
              <w:tc>
                <w:tcPr>
                  <w:tcW w:w="0" w:type="auto"/>
                  <w:vMerge w:val="continue"/>
                  <w:tcBorders>
                    <w:tl2br w:val="nil"/>
                    <w:tr2bl w:val="nil"/>
                  </w:tcBorders>
                  <w:vAlign w:val="center"/>
                </w:tcPr>
                <w:p w14:paraId="7711D7C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536C1D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41F5EF0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43EC63A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4391F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0" w:type="auto"/>
                  <w:vMerge w:val="continue"/>
                  <w:tcBorders>
                    <w:tl2br w:val="nil"/>
                    <w:tr2bl w:val="nil"/>
                  </w:tcBorders>
                  <w:vAlign w:val="center"/>
                </w:tcPr>
                <w:p w14:paraId="4D89AD9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1B38E4D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投料废气</w:t>
                  </w:r>
                </w:p>
              </w:tc>
              <w:tc>
                <w:tcPr>
                  <w:tcW w:w="0" w:type="auto"/>
                  <w:tcBorders>
                    <w:tl2br w:val="nil"/>
                    <w:tr2bl w:val="nil"/>
                  </w:tcBorders>
                  <w:shd w:val="clear" w:color="auto" w:fill="auto"/>
                  <w:vAlign w:val="center"/>
                </w:tcPr>
                <w:p w14:paraId="5C991AA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0" w:type="auto"/>
                  <w:vMerge w:val="continue"/>
                  <w:tcBorders>
                    <w:tl2br w:val="nil"/>
                    <w:tr2bl w:val="nil"/>
                  </w:tcBorders>
                  <w:shd w:val="clear" w:color="auto" w:fill="auto"/>
                  <w:vAlign w:val="center"/>
                </w:tcPr>
                <w:p w14:paraId="1859814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u w:val="none"/>
                      <w:vertAlign w:val="baseline"/>
                      <w:lang w:val="en-US" w:eastAsia="zh-CN" w:bidi="ar-SA"/>
                    </w:rPr>
                  </w:pPr>
                </w:p>
              </w:tc>
              <w:tc>
                <w:tcPr>
                  <w:tcW w:w="0" w:type="auto"/>
                  <w:tcBorders>
                    <w:tl2br w:val="nil"/>
                    <w:tr2bl w:val="nil"/>
                  </w:tcBorders>
                  <w:shd w:val="clear" w:color="auto" w:fill="auto"/>
                  <w:vAlign w:val="center"/>
                </w:tcPr>
                <w:p w14:paraId="0F1660D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0.002*10</w:t>
                  </w:r>
                  <w:r>
                    <w:rPr>
                      <w:rFonts w:hint="default" w:ascii="Times New Roman" w:hAnsi="Times New Roman" w:eastAsia="宋体" w:cs="Times New Roman"/>
                      <w:b w:val="0"/>
                      <w:bCs w:val="0"/>
                      <w:color w:val="auto"/>
                      <w:sz w:val="21"/>
                      <w:szCs w:val="21"/>
                      <w:u w:val="none"/>
                      <w:vertAlign w:val="superscript"/>
                      <w:lang w:val="en-US" w:eastAsia="zh-CN"/>
                    </w:rPr>
                    <w:t>-3</w:t>
                  </w:r>
                </w:p>
              </w:tc>
              <w:tc>
                <w:tcPr>
                  <w:tcW w:w="1179" w:type="dxa"/>
                  <w:tcBorders>
                    <w:tl2br w:val="nil"/>
                    <w:tr2bl w:val="nil"/>
                  </w:tcBorders>
                  <w:shd w:val="clear" w:color="auto" w:fill="auto"/>
                  <w:vAlign w:val="center"/>
                </w:tcPr>
                <w:p w14:paraId="028418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4.17×10</w:t>
                  </w:r>
                  <w:r>
                    <w:rPr>
                      <w:rFonts w:hint="eastAsia" w:cs="Times New Roman"/>
                      <w:b w:val="0"/>
                      <w:bCs w:val="0"/>
                      <w:color w:val="auto"/>
                      <w:sz w:val="21"/>
                      <w:szCs w:val="21"/>
                      <w:u w:val="none"/>
                      <w:vertAlign w:val="superscript"/>
                      <w:lang w:val="en-US" w:eastAsia="zh-CN"/>
                    </w:rPr>
                    <w:t>-7</w:t>
                  </w:r>
                </w:p>
              </w:tc>
              <w:tc>
                <w:tcPr>
                  <w:tcW w:w="699" w:type="dxa"/>
                  <w:tcBorders>
                    <w:tl2br w:val="nil"/>
                    <w:tr2bl w:val="nil"/>
                  </w:tcBorders>
                  <w:shd w:val="clear" w:color="auto" w:fill="auto"/>
                  <w:vAlign w:val="center"/>
                </w:tcPr>
                <w:p w14:paraId="3B058B1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0.052</w:t>
                  </w:r>
                </w:p>
              </w:tc>
              <w:tc>
                <w:tcPr>
                  <w:tcW w:w="0" w:type="auto"/>
                  <w:gridSpan w:val="2"/>
                  <w:tcBorders>
                    <w:tl2br w:val="nil"/>
                    <w:tr2bl w:val="nil"/>
                  </w:tcBorders>
                  <w:shd w:val="clear" w:color="auto" w:fill="auto"/>
                  <w:vAlign w:val="center"/>
                </w:tcPr>
                <w:p w14:paraId="30B84E0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密闭投料</w:t>
                  </w:r>
                </w:p>
              </w:tc>
              <w:tc>
                <w:tcPr>
                  <w:tcW w:w="0" w:type="auto"/>
                  <w:tcBorders>
                    <w:tl2br w:val="nil"/>
                    <w:tr2bl w:val="nil"/>
                  </w:tcBorders>
                  <w:shd w:val="clear" w:color="auto" w:fill="auto"/>
                  <w:vAlign w:val="center"/>
                </w:tcPr>
                <w:p w14:paraId="493F65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0.0016</w:t>
                  </w:r>
                  <w:r>
                    <w:rPr>
                      <w:rFonts w:hint="default" w:ascii="Times New Roman" w:hAnsi="Times New Roman" w:eastAsia="宋体" w:cs="Times New Roman"/>
                      <w:b w:val="0"/>
                      <w:bCs w:val="0"/>
                      <w:color w:val="auto"/>
                      <w:sz w:val="21"/>
                      <w:szCs w:val="21"/>
                      <w:u w:val="none"/>
                      <w:vertAlign w:val="baseline"/>
                      <w:lang w:val="en-US" w:eastAsia="zh-CN"/>
                    </w:rPr>
                    <w:t>*10</w:t>
                  </w:r>
                  <w:r>
                    <w:rPr>
                      <w:rFonts w:hint="default"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vertAlign w:val="baseline"/>
                      <w:lang w:val="en-US" w:eastAsia="zh-CN"/>
                    </w:rPr>
                    <w:t>‬</w:t>
                  </w:r>
                </w:p>
              </w:tc>
              <w:tc>
                <w:tcPr>
                  <w:tcW w:w="0" w:type="auto"/>
                  <w:tcBorders>
                    <w:tl2br w:val="nil"/>
                    <w:tr2bl w:val="nil"/>
                  </w:tcBorders>
                  <w:shd w:val="clear" w:color="auto" w:fill="auto"/>
                  <w:vAlign w:val="center"/>
                </w:tcPr>
                <w:p w14:paraId="61C4529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3.33×10</w:t>
                  </w:r>
                  <w:r>
                    <w:rPr>
                      <w:rFonts w:hint="eastAsia" w:cs="Times New Roman"/>
                      <w:b w:val="0"/>
                      <w:bCs w:val="0"/>
                      <w:color w:val="auto"/>
                      <w:sz w:val="21"/>
                      <w:szCs w:val="21"/>
                      <w:u w:val="none"/>
                      <w:vertAlign w:val="superscript"/>
                      <w:lang w:val="en-US" w:eastAsia="zh-CN"/>
                    </w:rPr>
                    <w:t>-7</w:t>
                  </w:r>
                </w:p>
              </w:tc>
              <w:tc>
                <w:tcPr>
                  <w:tcW w:w="0" w:type="auto"/>
                  <w:tcBorders>
                    <w:tl2br w:val="nil"/>
                    <w:tr2bl w:val="nil"/>
                  </w:tcBorders>
                  <w:shd w:val="clear" w:color="auto" w:fill="auto"/>
                  <w:vAlign w:val="center"/>
                </w:tcPr>
                <w:p w14:paraId="0518A6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w:t>
                  </w:r>
                  <w:r>
                    <w:rPr>
                      <w:rFonts w:hint="eastAsia" w:cs="Times New Roman"/>
                      <w:b w:val="0"/>
                      <w:bCs w:val="0"/>
                      <w:color w:val="auto"/>
                      <w:sz w:val="21"/>
                      <w:szCs w:val="21"/>
                      <w:u w:val="none"/>
                      <w:vertAlign w:val="baseline"/>
                      <w:lang w:val="en-US" w:eastAsia="zh-CN"/>
                    </w:rPr>
                    <w:t>42</w:t>
                  </w:r>
                </w:p>
              </w:tc>
              <w:tc>
                <w:tcPr>
                  <w:tcW w:w="0" w:type="auto"/>
                  <w:vMerge w:val="continue"/>
                  <w:tcBorders>
                    <w:tl2br w:val="nil"/>
                    <w:tr2bl w:val="nil"/>
                  </w:tcBorders>
                  <w:vAlign w:val="center"/>
                </w:tcPr>
                <w:p w14:paraId="1782E38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08BD524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7E4CE45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0" w:type="auto"/>
                  <w:vMerge w:val="continue"/>
                  <w:tcBorders>
                    <w:tl2br w:val="nil"/>
                    <w:tr2bl w:val="nil"/>
                  </w:tcBorders>
                  <w:vAlign w:val="center"/>
                </w:tcPr>
                <w:p w14:paraId="48831C4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14:paraId="767E9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0" w:type="auto"/>
                  <w:vMerge w:val="restart"/>
                  <w:tcBorders>
                    <w:tl2br w:val="nil"/>
                    <w:tr2bl w:val="nil"/>
                  </w:tcBorders>
                  <w:vAlign w:val="center"/>
                </w:tcPr>
                <w:p w14:paraId="1B2DD3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0" w:type="auto"/>
                  <w:tcBorders>
                    <w:tl2br w:val="nil"/>
                    <w:tr2bl w:val="nil"/>
                  </w:tcBorders>
                  <w:shd w:val="clear" w:color="auto" w:fill="auto"/>
                  <w:vAlign w:val="center"/>
                </w:tcPr>
                <w:p w14:paraId="646B8A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注塑、包胶</w:t>
                  </w:r>
                </w:p>
              </w:tc>
              <w:tc>
                <w:tcPr>
                  <w:tcW w:w="0" w:type="auto"/>
                  <w:tcBorders>
                    <w:tl2br w:val="nil"/>
                    <w:tr2bl w:val="nil"/>
                  </w:tcBorders>
                  <w:shd w:val="clear" w:color="auto" w:fill="auto"/>
                  <w:vAlign w:val="center"/>
                </w:tcPr>
                <w:p w14:paraId="6EE212A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vertAlign w:val="baseline"/>
                      <w:lang w:val="en-US" w:eastAsia="zh-CN"/>
                    </w:rPr>
                    <w:t>非甲烷总烃</w:t>
                  </w:r>
                </w:p>
              </w:tc>
              <w:tc>
                <w:tcPr>
                  <w:tcW w:w="0" w:type="auto"/>
                  <w:tcBorders>
                    <w:tl2br w:val="nil"/>
                    <w:tr2bl w:val="nil"/>
                  </w:tcBorders>
                  <w:vAlign w:val="center"/>
                </w:tcPr>
                <w:p w14:paraId="61F39F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vAlign w:val="center"/>
                </w:tcPr>
                <w:p w14:paraId="28B2CA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0.0162</w:t>
                  </w:r>
                </w:p>
              </w:tc>
              <w:tc>
                <w:tcPr>
                  <w:tcW w:w="1179" w:type="dxa"/>
                  <w:tcBorders>
                    <w:tl2br w:val="nil"/>
                    <w:tr2bl w:val="nil"/>
                  </w:tcBorders>
                  <w:vAlign w:val="center"/>
                </w:tcPr>
                <w:p w14:paraId="3DD87C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0.0034</w:t>
                  </w:r>
                </w:p>
              </w:tc>
              <w:tc>
                <w:tcPr>
                  <w:tcW w:w="699" w:type="dxa"/>
                  <w:tcBorders>
                    <w:tl2br w:val="nil"/>
                    <w:tr2bl w:val="nil"/>
                  </w:tcBorders>
                  <w:vAlign w:val="center"/>
                </w:tcPr>
                <w:p w14:paraId="37022B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gridSpan w:val="2"/>
                  <w:tcBorders>
                    <w:tl2br w:val="nil"/>
                    <w:tr2bl w:val="nil"/>
                  </w:tcBorders>
                  <w:vAlign w:val="center"/>
                </w:tcPr>
                <w:p w14:paraId="5B0D80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w:t>
                  </w:r>
                  <w:r>
                    <w:rPr>
                      <w:rFonts w:hint="eastAsia" w:cs="Times New Roman"/>
                      <w:color w:val="auto"/>
                      <w:spacing w:val="0"/>
                      <w:kern w:val="0"/>
                      <w:sz w:val="21"/>
                      <w:szCs w:val="21"/>
                      <w:highlight w:val="none"/>
                      <w:lang w:val="en-US" w:eastAsia="zh-CN" w:bidi="he-IL"/>
                    </w:rPr>
                    <w:t>二级</w:t>
                  </w:r>
                  <w:r>
                    <w:rPr>
                      <w:rFonts w:hint="default" w:ascii="Times New Roman" w:hAnsi="Times New Roman" w:eastAsia="宋体" w:cs="Times New Roman"/>
                      <w:color w:val="auto"/>
                      <w:spacing w:val="0"/>
                      <w:kern w:val="0"/>
                      <w:sz w:val="21"/>
                      <w:szCs w:val="21"/>
                      <w:highlight w:val="none"/>
                      <w:lang w:val="en-US" w:eastAsia="zh-CN" w:bidi="he-IL"/>
                    </w:rPr>
                    <w:t>活性炭吸附净化装置维护保养，防止废气事故无组织排放；生产过程中门窗关闭，保持一个相对密闭的空间，合理设计送排风系统</w:t>
                  </w:r>
                </w:p>
              </w:tc>
              <w:tc>
                <w:tcPr>
                  <w:tcW w:w="0" w:type="auto"/>
                  <w:tcBorders>
                    <w:tl2br w:val="nil"/>
                    <w:tr2bl w:val="nil"/>
                  </w:tcBorders>
                  <w:vAlign w:val="center"/>
                </w:tcPr>
                <w:p w14:paraId="4A8808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0.000405</w:t>
                  </w:r>
                </w:p>
              </w:tc>
              <w:tc>
                <w:tcPr>
                  <w:tcW w:w="0" w:type="auto"/>
                  <w:tcBorders>
                    <w:tl2br w:val="nil"/>
                    <w:tr2bl w:val="nil"/>
                  </w:tcBorders>
                  <w:vAlign w:val="center"/>
                </w:tcPr>
                <w:p w14:paraId="075365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0.000084</w:t>
                  </w:r>
                </w:p>
              </w:tc>
              <w:tc>
                <w:tcPr>
                  <w:tcW w:w="0" w:type="auto"/>
                  <w:tcBorders>
                    <w:tl2br w:val="nil"/>
                    <w:tr2bl w:val="nil"/>
                  </w:tcBorders>
                  <w:vAlign w:val="center"/>
                </w:tcPr>
                <w:p w14:paraId="1FFED01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0.008</w:t>
                  </w:r>
                </w:p>
              </w:tc>
              <w:tc>
                <w:tcPr>
                  <w:tcW w:w="0" w:type="auto"/>
                  <w:tcBorders>
                    <w:tl2br w:val="nil"/>
                    <w:tr2bl w:val="nil"/>
                  </w:tcBorders>
                  <w:shd w:val="clear" w:color="auto" w:fill="auto"/>
                  <w:vAlign w:val="center"/>
                </w:tcPr>
                <w:p w14:paraId="11E5871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30C786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58CBD9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5B7CF4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38567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5DB593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628C00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green"/>
                      <w:u w:val="none"/>
                      <w:vertAlign w:val="baseline"/>
                      <w:lang w:val="en-US" w:eastAsia="zh-CN" w:bidi="ar-SA"/>
                    </w:rPr>
                  </w:pPr>
                  <w:r>
                    <w:rPr>
                      <w:rFonts w:hint="eastAsia" w:ascii="Times New Roman" w:hAnsi="Times New Roman" w:eastAsia="宋体" w:cs="Times New Roman"/>
                      <w:b w:val="0"/>
                      <w:bCs w:val="0"/>
                      <w:color w:val="auto"/>
                      <w:sz w:val="21"/>
                      <w:szCs w:val="21"/>
                      <w:highlight w:val="none"/>
                      <w:u w:val="none"/>
                      <w:lang w:val="en-US" w:eastAsia="zh-CN"/>
                    </w:rPr>
                    <w:t>料头粉碎</w:t>
                  </w:r>
                </w:p>
              </w:tc>
              <w:tc>
                <w:tcPr>
                  <w:tcW w:w="0" w:type="auto"/>
                  <w:tcBorders>
                    <w:tl2br w:val="nil"/>
                    <w:tr2bl w:val="nil"/>
                  </w:tcBorders>
                  <w:shd w:val="clear" w:color="auto" w:fill="auto"/>
                  <w:vAlign w:val="center"/>
                </w:tcPr>
                <w:p w14:paraId="207F351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颗粒物</w:t>
                  </w:r>
                </w:p>
              </w:tc>
              <w:tc>
                <w:tcPr>
                  <w:tcW w:w="0" w:type="auto"/>
                  <w:tcBorders>
                    <w:tl2br w:val="nil"/>
                    <w:tr2bl w:val="nil"/>
                  </w:tcBorders>
                  <w:vAlign w:val="center"/>
                </w:tcPr>
                <w:p w14:paraId="3C0B720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vAlign w:val="center"/>
                </w:tcPr>
                <w:p w14:paraId="2C6AF3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0.000048</w:t>
                  </w:r>
                </w:p>
              </w:tc>
              <w:tc>
                <w:tcPr>
                  <w:tcW w:w="1179" w:type="dxa"/>
                  <w:tcBorders>
                    <w:tl2br w:val="nil"/>
                    <w:tr2bl w:val="nil"/>
                  </w:tcBorders>
                  <w:vAlign w:val="center"/>
                </w:tcPr>
                <w:p w14:paraId="1F63C6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0.00001</w:t>
                  </w:r>
                </w:p>
              </w:tc>
              <w:tc>
                <w:tcPr>
                  <w:tcW w:w="699" w:type="dxa"/>
                  <w:tcBorders>
                    <w:tl2br w:val="nil"/>
                    <w:tr2bl w:val="nil"/>
                  </w:tcBorders>
                  <w:vAlign w:val="center"/>
                </w:tcPr>
                <w:p w14:paraId="49CE3E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gridSpan w:val="2"/>
                  <w:tcBorders>
                    <w:tl2br w:val="nil"/>
                    <w:tr2bl w:val="nil"/>
                  </w:tcBorders>
                  <w:vAlign w:val="center"/>
                </w:tcPr>
                <w:p w14:paraId="504655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经移动除尘器处理后加强车间通风</w:t>
                  </w:r>
                </w:p>
              </w:tc>
              <w:tc>
                <w:tcPr>
                  <w:tcW w:w="0" w:type="auto"/>
                  <w:tcBorders>
                    <w:tl2br w:val="nil"/>
                    <w:tr2bl w:val="nil"/>
                  </w:tcBorders>
                  <w:vAlign w:val="center"/>
                </w:tcPr>
                <w:p w14:paraId="0BDA8C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0.000048</w:t>
                  </w:r>
                </w:p>
              </w:tc>
              <w:tc>
                <w:tcPr>
                  <w:tcW w:w="0" w:type="auto"/>
                  <w:tcBorders>
                    <w:tl2br w:val="nil"/>
                    <w:tr2bl w:val="nil"/>
                  </w:tcBorders>
                  <w:vAlign w:val="center"/>
                </w:tcPr>
                <w:p w14:paraId="3B7B51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0.00001</w:t>
                  </w:r>
                </w:p>
              </w:tc>
              <w:tc>
                <w:tcPr>
                  <w:tcW w:w="0" w:type="auto"/>
                  <w:tcBorders>
                    <w:tl2br w:val="nil"/>
                    <w:tr2bl w:val="nil"/>
                  </w:tcBorders>
                  <w:vAlign w:val="center"/>
                </w:tcPr>
                <w:p w14:paraId="23CE81C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shd w:val="clear" w:color="auto" w:fill="auto"/>
                  <w:vAlign w:val="center"/>
                </w:tcPr>
                <w:p w14:paraId="5233912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0" w:type="auto"/>
                  <w:tcBorders>
                    <w:tl2br w:val="nil"/>
                    <w:tr2bl w:val="nil"/>
                  </w:tcBorders>
                  <w:shd w:val="clear" w:color="auto" w:fill="auto"/>
                  <w:vAlign w:val="center"/>
                </w:tcPr>
                <w:p w14:paraId="632D94A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41E8DB3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0" w:type="auto"/>
                  <w:tcBorders>
                    <w:tl2br w:val="nil"/>
                    <w:tr2bl w:val="nil"/>
                  </w:tcBorders>
                  <w:shd w:val="clear" w:color="auto" w:fill="auto"/>
                  <w:vAlign w:val="center"/>
                </w:tcPr>
                <w:p w14:paraId="6C425B0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62BDF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vAlign w:val="center"/>
                </w:tcPr>
                <w:p w14:paraId="338BF6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tcBorders>
                    <w:tl2br w:val="nil"/>
                    <w:tr2bl w:val="nil"/>
                  </w:tcBorders>
                  <w:shd w:val="clear" w:color="auto" w:fill="auto"/>
                  <w:vAlign w:val="center"/>
                </w:tcPr>
                <w:p w14:paraId="4AE4A0A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lang w:val="en-US" w:eastAsia="zh-CN"/>
                    </w:rPr>
                  </w:pPr>
                  <w:r>
                    <w:rPr>
                      <w:rFonts w:hint="eastAsia" w:ascii="Times New Roman" w:hAnsi="Times New Roman" w:eastAsia="宋体" w:cs="Times New Roman"/>
                      <w:b w:val="0"/>
                      <w:bCs w:val="0"/>
                      <w:color w:val="FF0000"/>
                      <w:sz w:val="21"/>
                      <w:szCs w:val="21"/>
                      <w:u w:val="none"/>
                      <w:vertAlign w:val="baseline"/>
                      <w:lang w:val="en-US" w:eastAsia="zh-CN"/>
                    </w:rPr>
                    <w:t>投料废气</w:t>
                  </w:r>
                </w:p>
              </w:tc>
              <w:tc>
                <w:tcPr>
                  <w:tcW w:w="0" w:type="auto"/>
                  <w:tcBorders>
                    <w:tl2br w:val="nil"/>
                    <w:tr2bl w:val="nil"/>
                  </w:tcBorders>
                  <w:shd w:val="clear" w:color="auto" w:fill="auto"/>
                  <w:vAlign w:val="center"/>
                </w:tcPr>
                <w:p w14:paraId="6549268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highlight w:val="none"/>
                      <w:u w:val="none"/>
                      <w:vertAlign w:val="baseline"/>
                      <w:lang w:val="en-US" w:eastAsia="zh-CN"/>
                    </w:rPr>
                    <w:t>颗粒物</w:t>
                  </w:r>
                </w:p>
              </w:tc>
              <w:tc>
                <w:tcPr>
                  <w:tcW w:w="0" w:type="auto"/>
                  <w:tcBorders>
                    <w:tl2br w:val="nil"/>
                    <w:tr2bl w:val="nil"/>
                  </w:tcBorders>
                  <w:vAlign w:val="center"/>
                </w:tcPr>
                <w:p w14:paraId="1DE7E1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highlight w:val="none"/>
                      <w:u w:val="none"/>
                      <w:vertAlign w:val="baseline"/>
                      <w:lang w:val="en-US" w:eastAsia="zh-CN"/>
                    </w:rPr>
                    <w:t>/</w:t>
                  </w:r>
                </w:p>
              </w:tc>
              <w:tc>
                <w:tcPr>
                  <w:tcW w:w="0" w:type="auto"/>
                  <w:tcBorders>
                    <w:tl2br w:val="nil"/>
                    <w:tr2bl w:val="nil"/>
                  </w:tcBorders>
                  <w:vAlign w:val="center"/>
                </w:tcPr>
                <w:p w14:paraId="3FA1143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u w:val="none"/>
                      <w:vertAlign w:val="baseline"/>
                      <w:lang w:val="en-US" w:eastAsia="zh-CN"/>
                    </w:rPr>
                    <w:t>0.00</w:t>
                  </w:r>
                  <w:r>
                    <w:rPr>
                      <w:rFonts w:hint="eastAsia" w:cs="Times New Roman"/>
                      <w:b w:val="0"/>
                      <w:bCs w:val="0"/>
                      <w:color w:val="FF0000"/>
                      <w:sz w:val="21"/>
                      <w:szCs w:val="21"/>
                      <w:u w:val="none"/>
                      <w:vertAlign w:val="baseline"/>
                      <w:lang w:val="en-US" w:eastAsia="zh-CN"/>
                    </w:rPr>
                    <w:t>04</w:t>
                  </w:r>
                  <w:r>
                    <w:rPr>
                      <w:rFonts w:hint="default" w:ascii="Times New Roman" w:hAnsi="Times New Roman" w:eastAsia="宋体" w:cs="Times New Roman"/>
                      <w:b w:val="0"/>
                      <w:bCs w:val="0"/>
                      <w:color w:val="FF0000"/>
                      <w:sz w:val="21"/>
                      <w:szCs w:val="21"/>
                      <w:u w:val="none"/>
                      <w:vertAlign w:val="baseline"/>
                      <w:lang w:val="en-US" w:eastAsia="zh-CN"/>
                    </w:rPr>
                    <w:t>*10</w:t>
                  </w:r>
                  <w:r>
                    <w:rPr>
                      <w:rFonts w:hint="default" w:ascii="Times New Roman" w:hAnsi="Times New Roman" w:eastAsia="宋体" w:cs="Times New Roman"/>
                      <w:b w:val="0"/>
                      <w:bCs w:val="0"/>
                      <w:color w:val="FF0000"/>
                      <w:sz w:val="21"/>
                      <w:szCs w:val="21"/>
                      <w:u w:val="none"/>
                      <w:vertAlign w:val="superscript"/>
                      <w:lang w:val="en-US" w:eastAsia="zh-CN"/>
                    </w:rPr>
                    <w:t>-3</w:t>
                  </w:r>
                </w:p>
              </w:tc>
              <w:tc>
                <w:tcPr>
                  <w:tcW w:w="1179" w:type="dxa"/>
                  <w:tcBorders>
                    <w:tl2br w:val="nil"/>
                    <w:tr2bl w:val="nil"/>
                  </w:tcBorders>
                  <w:vAlign w:val="center"/>
                </w:tcPr>
                <w:p w14:paraId="0A630E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highlight w:val="none"/>
                      <w:u w:val="none"/>
                      <w:vertAlign w:val="baseline"/>
                      <w:lang w:val="en-US" w:eastAsia="zh-CN"/>
                    </w:rPr>
                    <w:t>8.33×10</w:t>
                  </w:r>
                  <w:r>
                    <w:rPr>
                      <w:rFonts w:hint="eastAsia" w:cs="Times New Roman"/>
                      <w:b w:val="0"/>
                      <w:bCs w:val="0"/>
                      <w:color w:val="FF0000"/>
                      <w:sz w:val="21"/>
                      <w:szCs w:val="21"/>
                      <w:highlight w:val="none"/>
                      <w:u w:val="none"/>
                      <w:vertAlign w:val="superscript"/>
                      <w:lang w:val="en-US" w:eastAsia="zh-CN"/>
                    </w:rPr>
                    <w:t>-8</w:t>
                  </w:r>
                </w:p>
              </w:tc>
              <w:tc>
                <w:tcPr>
                  <w:tcW w:w="699" w:type="dxa"/>
                  <w:tcBorders>
                    <w:tl2br w:val="nil"/>
                    <w:tr2bl w:val="nil"/>
                  </w:tcBorders>
                  <w:vAlign w:val="center"/>
                </w:tcPr>
                <w:p w14:paraId="4254160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highlight w:val="none"/>
                      <w:u w:val="none"/>
                      <w:vertAlign w:val="baseline"/>
                      <w:lang w:val="en-US" w:eastAsia="zh-CN"/>
                    </w:rPr>
                    <w:t>/</w:t>
                  </w:r>
                </w:p>
              </w:tc>
              <w:tc>
                <w:tcPr>
                  <w:tcW w:w="0" w:type="auto"/>
                  <w:gridSpan w:val="2"/>
                  <w:tcBorders>
                    <w:tl2br w:val="nil"/>
                    <w:tr2bl w:val="nil"/>
                  </w:tcBorders>
                  <w:vAlign w:val="center"/>
                </w:tcPr>
                <w:p w14:paraId="60D773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FF0000"/>
                      <w:sz w:val="21"/>
                      <w:szCs w:val="21"/>
                      <w:highlight w:val="none"/>
                      <w:u w:val="none"/>
                      <w:vertAlign w:val="baseline"/>
                      <w:lang w:val="en-US" w:eastAsia="zh-CN"/>
                    </w:rPr>
                  </w:pPr>
                  <w:r>
                    <w:rPr>
                      <w:rFonts w:hint="eastAsia" w:cs="Times New Roman"/>
                      <w:color w:val="FF0000"/>
                      <w:kern w:val="2"/>
                      <w:sz w:val="21"/>
                      <w:szCs w:val="21"/>
                      <w:highlight w:val="none"/>
                      <w:vertAlign w:val="baseline"/>
                      <w:lang w:val="en-US" w:eastAsia="zh-CN" w:bidi="ar-SA"/>
                    </w:rPr>
                    <w:t>密闭投料</w:t>
                  </w:r>
                </w:p>
              </w:tc>
              <w:tc>
                <w:tcPr>
                  <w:tcW w:w="1222" w:type="dxa"/>
                  <w:tcBorders>
                    <w:tl2br w:val="nil"/>
                    <w:tr2bl w:val="nil"/>
                  </w:tcBorders>
                  <w:vAlign w:val="center"/>
                </w:tcPr>
                <w:p w14:paraId="75E979A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u w:val="none"/>
                      <w:vertAlign w:val="baseline"/>
                      <w:lang w:val="en-US" w:eastAsia="zh-CN"/>
                    </w:rPr>
                    <w:t>0.00</w:t>
                  </w:r>
                  <w:r>
                    <w:rPr>
                      <w:rFonts w:hint="eastAsia" w:cs="Times New Roman"/>
                      <w:b w:val="0"/>
                      <w:bCs w:val="0"/>
                      <w:color w:val="FF0000"/>
                      <w:sz w:val="21"/>
                      <w:szCs w:val="21"/>
                      <w:u w:val="none"/>
                      <w:vertAlign w:val="baseline"/>
                      <w:lang w:val="en-US" w:eastAsia="zh-CN"/>
                    </w:rPr>
                    <w:t>04</w:t>
                  </w:r>
                  <w:r>
                    <w:rPr>
                      <w:rFonts w:hint="default" w:ascii="Times New Roman" w:hAnsi="Times New Roman" w:eastAsia="宋体" w:cs="Times New Roman"/>
                      <w:b w:val="0"/>
                      <w:bCs w:val="0"/>
                      <w:color w:val="FF0000"/>
                      <w:sz w:val="21"/>
                      <w:szCs w:val="21"/>
                      <w:u w:val="none"/>
                      <w:vertAlign w:val="baseline"/>
                      <w:lang w:val="en-US" w:eastAsia="zh-CN"/>
                    </w:rPr>
                    <w:t>*10</w:t>
                  </w:r>
                  <w:r>
                    <w:rPr>
                      <w:rFonts w:hint="default" w:ascii="Times New Roman" w:hAnsi="Times New Roman" w:eastAsia="宋体" w:cs="Times New Roman"/>
                      <w:b w:val="0"/>
                      <w:bCs w:val="0"/>
                      <w:color w:val="FF0000"/>
                      <w:sz w:val="21"/>
                      <w:szCs w:val="21"/>
                      <w:u w:val="none"/>
                      <w:vertAlign w:val="superscript"/>
                      <w:lang w:val="en-US" w:eastAsia="zh-CN"/>
                    </w:rPr>
                    <w:t>-3</w:t>
                  </w:r>
                </w:p>
              </w:tc>
              <w:tc>
                <w:tcPr>
                  <w:tcW w:w="1117" w:type="dxa"/>
                  <w:tcBorders>
                    <w:tl2br w:val="nil"/>
                    <w:tr2bl w:val="nil"/>
                  </w:tcBorders>
                  <w:vAlign w:val="center"/>
                </w:tcPr>
                <w:p w14:paraId="011FC0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FF0000"/>
                      <w:sz w:val="21"/>
                      <w:szCs w:val="21"/>
                      <w:highlight w:val="none"/>
                      <w:u w:val="none"/>
                      <w:vertAlign w:val="baseline"/>
                      <w:lang w:val="en-US" w:eastAsia="zh-CN"/>
                    </w:rPr>
                  </w:pPr>
                  <w:r>
                    <w:rPr>
                      <w:rFonts w:hint="eastAsia" w:ascii="Times New Roman" w:hAnsi="Times New Roman" w:eastAsia="宋体" w:cs="Times New Roman"/>
                      <w:b w:val="0"/>
                      <w:bCs w:val="0"/>
                      <w:color w:val="FF0000"/>
                      <w:sz w:val="21"/>
                      <w:szCs w:val="21"/>
                      <w:highlight w:val="none"/>
                      <w:u w:val="none"/>
                      <w:vertAlign w:val="baseline"/>
                      <w:lang w:val="en-US" w:eastAsia="zh-CN"/>
                    </w:rPr>
                    <w:t>8.33×10</w:t>
                  </w:r>
                  <w:r>
                    <w:rPr>
                      <w:rFonts w:hint="eastAsia" w:cs="Times New Roman"/>
                      <w:b w:val="0"/>
                      <w:bCs w:val="0"/>
                      <w:color w:val="FF0000"/>
                      <w:sz w:val="21"/>
                      <w:szCs w:val="21"/>
                      <w:highlight w:val="none"/>
                      <w:u w:val="none"/>
                      <w:vertAlign w:val="superscript"/>
                      <w:lang w:val="en-US" w:eastAsia="zh-CN"/>
                    </w:rPr>
                    <w:t>-8</w:t>
                  </w:r>
                </w:p>
              </w:tc>
              <w:tc>
                <w:tcPr>
                  <w:tcW w:w="813" w:type="dxa"/>
                  <w:tcBorders>
                    <w:tl2br w:val="nil"/>
                    <w:tr2bl w:val="nil"/>
                  </w:tcBorders>
                  <w:vAlign w:val="center"/>
                </w:tcPr>
                <w:p w14:paraId="1C04CBE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867" w:type="dxa"/>
                  <w:tcBorders>
                    <w:tl2br w:val="nil"/>
                    <w:tr2bl w:val="nil"/>
                  </w:tcBorders>
                  <w:shd w:val="clear" w:color="auto" w:fill="auto"/>
                  <w:vAlign w:val="center"/>
                </w:tcPr>
                <w:p w14:paraId="43823AA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w:t>
                  </w:r>
                </w:p>
              </w:tc>
              <w:tc>
                <w:tcPr>
                  <w:tcW w:w="488" w:type="dxa"/>
                  <w:tcBorders>
                    <w:tl2br w:val="nil"/>
                    <w:tr2bl w:val="nil"/>
                  </w:tcBorders>
                  <w:shd w:val="clear" w:color="auto" w:fill="auto"/>
                  <w:vAlign w:val="center"/>
                </w:tcPr>
                <w:p w14:paraId="7228E58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640" w:type="dxa"/>
                  <w:tcBorders>
                    <w:tl2br w:val="nil"/>
                    <w:tr2bl w:val="nil"/>
                  </w:tcBorders>
                  <w:shd w:val="clear" w:color="auto" w:fill="auto"/>
                  <w:vAlign w:val="center"/>
                </w:tcPr>
                <w:p w14:paraId="3D6EF78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684" w:type="dxa"/>
                  <w:tcBorders>
                    <w:tl2br w:val="nil"/>
                    <w:tr2bl w:val="nil"/>
                  </w:tcBorders>
                  <w:shd w:val="clear" w:color="auto" w:fill="auto"/>
                  <w:vAlign w:val="center"/>
                </w:tcPr>
                <w:p w14:paraId="1BC882B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r w14:paraId="6D992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34F1D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合计</w:t>
                  </w:r>
                </w:p>
              </w:tc>
              <w:tc>
                <w:tcPr>
                  <w:tcW w:w="0" w:type="auto"/>
                  <w:gridSpan w:val="3"/>
                  <w:vAlign w:val="center"/>
                </w:tcPr>
                <w:p w14:paraId="7D82DE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lang w:val="en-US" w:eastAsia="zh-CN"/>
                    </w:rPr>
                    <w:t>污染物名称</w:t>
                  </w:r>
                </w:p>
              </w:tc>
              <w:tc>
                <w:tcPr>
                  <w:tcW w:w="0" w:type="auto"/>
                  <w:gridSpan w:val="4"/>
                  <w:shd w:val="clear" w:color="auto" w:fill="auto"/>
                  <w:vAlign w:val="center"/>
                </w:tcPr>
                <w:p w14:paraId="2174BB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有组织排放量</w:t>
                  </w:r>
                </w:p>
              </w:tc>
              <w:tc>
                <w:tcPr>
                  <w:tcW w:w="0" w:type="auto"/>
                  <w:gridSpan w:val="4"/>
                  <w:shd w:val="clear" w:color="auto" w:fill="auto"/>
                  <w:vAlign w:val="center"/>
                </w:tcPr>
                <w:p w14:paraId="37D3FB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u w:val="none"/>
                      <w:vertAlign w:val="baseline"/>
                      <w:lang w:val="en-US" w:eastAsia="zh-CN"/>
                    </w:rPr>
                    <w:t>无组织排放量</w:t>
                  </w:r>
                </w:p>
              </w:tc>
              <w:tc>
                <w:tcPr>
                  <w:tcW w:w="0" w:type="auto"/>
                  <w:gridSpan w:val="4"/>
                  <w:vAlign w:val="center"/>
                </w:tcPr>
                <w:p w14:paraId="06C6F2D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总</w:t>
                  </w:r>
                  <w:r>
                    <w:rPr>
                      <w:rFonts w:hint="default" w:ascii="Times New Roman" w:hAnsi="Times New Roman" w:eastAsia="宋体" w:cs="Times New Roman"/>
                      <w:color w:val="auto"/>
                      <w:sz w:val="21"/>
                      <w:szCs w:val="21"/>
                      <w:highlight w:val="none"/>
                      <w:vertAlign w:val="baseline"/>
                      <w:lang w:val="en-US" w:eastAsia="zh-CN"/>
                    </w:rPr>
                    <w:t>计</w:t>
                  </w:r>
                </w:p>
              </w:tc>
            </w:tr>
            <w:tr w14:paraId="4A81B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D0AD7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gridSpan w:val="3"/>
                  <w:vAlign w:val="center"/>
                </w:tcPr>
                <w:p w14:paraId="55652B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颗粒物</w:t>
                  </w:r>
                  <w:r>
                    <w:rPr>
                      <w:rFonts w:hint="eastAsia" w:ascii="Times New Roman" w:hAnsi="Times New Roman" w:eastAsia="宋体" w:cs="Times New Roman"/>
                      <w:b w:val="0"/>
                      <w:bCs w:val="0"/>
                      <w:color w:val="auto"/>
                      <w:sz w:val="21"/>
                      <w:szCs w:val="21"/>
                      <w:u w:val="none"/>
                      <w:lang w:val="en-US" w:eastAsia="zh-CN"/>
                    </w:rPr>
                    <w:t>（t/a）</w:t>
                  </w:r>
                </w:p>
              </w:tc>
              <w:tc>
                <w:tcPr>
                  <w:tcW w:w="0" w:type="auto"/>
                  <w:gridSpan w:val="4"/>
                  <w:shd w:val="clear" w:color="auto" w:fill="auto"/>
                  <w:vAlign w:val="center"/>
                </w:tcPr>
                <w:p w14:paraId="0A6CDA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FF0000"/>
                      <w:kern w:val="2"/>
                      <w:sz w:val="21"/>
                      <w:szCs w:val="21"/>
                      <w:u w:val="none"/>
                      <w:vertAlign w:val="baseline"/>
                      <w:lang w:val="en-US" w:eastAsia="zh-CN" w:bidi="ar-SA"/>
                    </w:rPr>
                  </w:pPr>
                  <w:r>
                    <w:rPr>
                      <w:rFonts w:hint="default" w:ascii="Times New Roman" w:hAnsi="Times New Roman" w:eastAsia="宋体" w:cs="Times New Roman"/>
                      <w:b w:val="0"/>
                      <w:bCs w:val="0"/>
                      <w:color w:val="FF0000"/>
                      <w:kern w:val="2"/>
                      <w:sz w:val="21"/>
                      <w:szCs w:val="21"/>
                      <w:u w:val="none"/>
                      <w:vertAlign w:val="baseline"/>
                      <w:lang w:val="en-US" w:eastAsia="zh-CN" w:bidi="ar-SA"/>
                    </w:rPr>
                    <w:t>0.0004066‬</w:t>
                  </w:r>
                </w:p>
              </w:tc>
              <w:tc>
                <w:tcPr>
                  <w:tcW w:w="0" w:type="auto"/>
                  <w:gridSpan w:val="4"/>
                  <w:shd w:val="clear" w:color="auto" w:fill="auto"/>
                  <w:vAlign w:val="center"/>
                </w:tcPr>
                <w:p w14:paraId="0B92CA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FF0000"/>
                      <w:sz w:val="21"/>
                      <w:lang w:val="en-US" w:eastAsia="zh-CN"/>
                    </w:rPr>
                  </w:pPr>
                  <w:r>
                    <w:rPr>
                      <w:rFonts w:hint="default" w:ascii="Times New Roman" w:hAnsi="Times New Roman" w:eastAsia="宋体"/>
                      <w:color w:val="FF0000"/>
                      <w:sz w:val="21"/>
                      <w:lang w:val="en-US" w:eastAsia="zh-CN"/>
                    </w:rPr>
                    <w:t>0.0000484‬</w:t>
                  </w:r>
                </w:p>
              </w:tc>
              <w:tc>
                <w:tcPr>
                  <w:tcW w:w="0" w:type="auto"/>
                  <w:gridSpan w:val="4"/>
                  <w:vAlign w:val="center"/>
                </w:tcPr>
                <w:p w14:paraId="0D18A9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FF0000"/>
                      <w:sz w:val="21"/>
                      <w:szCs w:val="21"/>
                      <w:u w:val="none"/>
                      <w:vertAlign w:val="baseline"/>
                      <w:lang w:val="en-US" w:eastAsia="zh-CN"/>
                    </w:rPr>
                  </w:pPr>
                  <w:r>
                    <w:rPr>
                      <w:rFonts w:hint="default" w:ascii="Times New Roman" w:hAnsi="Times New Roman" w:eastAsia="宋体" w:cs="Times New Roman"/>
                      <w:b w:val="0"/>
                      <w:bCs w:val="0"/>
                      <w:color w:val="FF0000"/>
                      <w:sz w:val="21"/>
                      <w:szCs w:val="21"/>
                      <w:u w:val="none"/>
                      <w:vertAlign w:val="baseline"/>
                      <w:lang w:val="en-US" w:eastAsia="zh-CN"/>
                    </w:rPr>
                    <w:t>0.000455‬</w:t>
                  </w:r>
                </w:p>
              </w:tc>
            </w:tr>
            <w:tr w14:paraId="5E3DD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EE17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p>
              </w:tc>
              <w:tc>
                <w:tcPr>
                  <w:tcW w:w="0" w:type="auto"/>
                  <w:gridSpan w:val="3"/>
                  <w:vAlign w:val="center"/>
                </w:tcPr>
                <w:p w14:paraId="5B5E21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非甲烷总烃</w:t>
                  </w:r>
                  <w:r>
                    <w:rPr>
                      <w:rFonts w:hint="eastAsia" w:ascii="Times New Roman" w:hAnsi="Times New Roman" w:eastAsia="宋体" w:cs="Times New Roman"/>
                      <w:b w:val="0"/>
                      <w:bCs w:val="0"/>
                      <w:color w:val="auto"/>
                      <w:sz w:val="21"/>
                      <w:szCs w:val="21"/>
                      <w:u w:val="none"/>
                      <w:lang w:val="en-US" w:eastAsia="zh-CN"/>
                    </w:rPr>
                    <w:t>（t/a）</w:t>
                  </w:r>
                </w:p>
              </w:tc>
              <w:tc>
                <w:tcPr>
                  <w:tcW w:w="0" w:type="auto"/>
                  <w:gridSpan w:val="4"/>
                  <w:shd w:val="clear" w:color="auto" w:fill="auto"/>
                  <w:vAlign w:val="center"/>
                </w:tcPr>
                <w:p w14:paraId="6B2A6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0.0179</w:t>
                  </w:r>
                </w:p>
              </w:tc>
              <w:tc>
                <w:tcPr>
                  <w:tcW w:w="0" w:type="auto"/>
                  <w:gridSpan w:val="4"/>
                  <w:shd w:val="clear" w:color="auto" w:fill="auto"/>
                  <w:vAlign w:val="center"/>
                </w:tcPr>
                <w:p w14:paraId="2B47D4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u w:val="none"/>
                      <w:vertAlign w:val="baseline"/>
                      <w:lang w:val="en-US" w:eastAsia="zh-CN" w:bidi="ar-SA"/>
                    </w:rPr>
                  </w:pPr>
                  <w:r>
                    <w:rPr>
                      <w:rFonts w:hint="eastAsia" w:ascii="Times New Roman" w:hAnsi="Times New Roman" w:eastAsia="宋体" w:cs="Times New Roman"/>
                      <w:b w:val="0"/>
                      <w:bCs w:val="0"/>
                      <w:color w:val="auto"/>
                      <w:kern w:val="2"/>
                      <w:sz w:val="21"/>
                      <w:szCs w:val="21"/>
                      <w:u w:val="none"/>
                      <w:vertAlign w:val="baseline"/>
                      <w:lang w:val="en-US" w:eastAsia="zh-CN" w:bidi="ar-SA"/>
                    </w:rPr>
                    <w:t>0.0179</w:t>
                  </w:r>
                </w:p>
              </w:tc>
              <w:tc>
                <w:tcPr>
                  <w:tcW w:w="0" w:type="auto"/>
                  <w:gridSpan w:val="4"/>
                  <w:vAlign w:val="center"/>
                </w:tcPr>
                <w:p w14:paraId="111C17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0.0358</w:t>
                  </w:r>
                </w:p>
              </w:tc>
            </w:tr>
          </w:tbl>
          <w:p w14:paraId="74E577F2">
            <w:pPr>
              <w:numPr>
                <w:ilvl w:val="0"/>
                <w:numId w:val="0"/>
              </w:numPr>
              <w:adjustRightInd w:val="0"/>
              <w:snapToGrid w:val="0"/>
              <w:spacing w:line="348" w:lineRule="auto"/>
              <w:rPr>
                <w:rFonts w:hint="default" w:cs="Times New Roman"/>
                <w:color w:val="262626"/>
                <w:sz w:val="24"/>
                <w:lang w:val="en-US" w:eastAsia="zh-CN"/>
              </w:rPr>
            </w:pPr>
          </w:p>
        </w:tc>
      </w:tr>
    </w:tbl>
    <w:p w14:paraId="3462DE6E">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9066"/>
      </w:tblGrid>
      <w:tr w14:paraId="0887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0" w:hRule="atLeast"/>
        </w:trPr>
        <w:tc>
          <w:tcPr>
            <w:tcW w:w="252" w:type="pct"/>
            <w:vAlign w:val="center"/>
          </w:tcPr>
          <w:p w14:paraId="0536775A">
            <w:pPr>
              <w:jc w:val="center"/>
              <w:rPr>
                <w:rFonts w:hint="default" w:ascii="Times New Roman" w:hAnsi="Times New Roman" w:eastAsia="宋体" w:cs="Times New Roman"/>
                <w:color w:val="auto"/>
                <w:kern w:val="0"/>
                <w:sz w:val="24"/>
                <w:szCs w:val="24"/>
                <w:lang w:val="en-US" w:eastAsia="zh-CN"/>
              </w:rPr>
            </w:pPr>
          </w:p>
        </w:tc>
        <w:tc>
          <w:tcPr>
            <w:tcW w:w="4747" w:type="pct"/>
          </w:tcPr>
          <w:p w14:paraId="1EAF0EE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85" w:name="_Toc7968"/>
            <w:r>
              <w:rPr>
                <w:rFonts w:hint="eastAsia"/>
                <w:b/>
                <w:color w:val="262626"/>
                <w:kern w:val="0"/>
                <w:sz w:val="24"/>
                <w:lang w:val="en-US" w:eastAsia="zh-CN"/>
              </w:rPr>
              <w:t>4.1.3运营期大气污染防治措施合理性分析</w:t>
            </w:r>
            <w:bookmarkEnd w:id="85"/>
          </w:p>
          <w:p w14:paraId="1C2D9E9A">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运营期产生的废气污染物因子为VOCs（以非甲烷总烃计）</w:t>
            </w:r>
            <w:r>
              <w:rPr>
                <w:rFonts w:hint="eastAsia" w:ascii="Times New Roman" w:hAnsi="Times New Roman" w:cs="Times New Roman"/>
                <w:color w:val="auto"/>
                <w:sz w:val="24"/>
                <w:szCs w:val="24"/>
                <w:lang w:val="en-US" w:eastAsia="zh-CN"/>
              </w:rPr>
              <w:t>、</w:t>
            </w:r>
            <w:r>
              <w:rPr>
                <w:rFonts w:hint="eastAsia" w:ascii="Times New Roman" w:hAnsi="Times New Roman" w:cs="Times New Roman"/>
                <w:bCs/>
                <w:color w:val="auto"/>
                <w:kern w:val="2"/>
                <w:sz w:val="24"/>
                <w:szCs w:val="24"/>
                <w:lang w:val="en-US" w:eastAsia="zh-CN" w:bidi="ar-SA"/>
              </w:rPr>
              <w:t>臭气、</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szCs w:val="24"/>
                <w:lang w:val="en-US" w:eastAsia="zh-CN"/>
              </w:rPr>
              <w:t>。</w:t>
            </w:r>
          </w:p>
          <w:p w14:paraId="1895617B">
            <w:pPr>
              <w:pStyle w:val="46"/>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7587C353">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厂房总体为钢筋混凝土结构，墙体、屋顶、门窗等均采用密闭设计。本项目所使用设备均设置在车间内，密闭条件较好</w:t>
            </w:r>
            <w:r>
              <w:rPr>
                <w:rFonts w:hint="eastAsia" w:ascii="Times New Roman" w:hAnsi="Times New Roman" w:cs="Times New Roman"/>
                <w:color w:val="auto"/>
                <w:sz w:val="24"/>
                <w:szCs w:val="24"/>
                <w:lang w:val="en-US" w:eastAsia="zh-CN"/>
              </w:rPr>
              <w:t>注塑机</w:t>
            </w:r>
            <w:r>
              <w:rPr>
                <w:rFonts w:hint="eastAsia" w:ascii="Times New Roman" w:hAnsi="Times New Roman" w:eastAsia="宋体" w:cs="Times New Roman"/>
                <w:color w:val="auto"/>
                <w:sz w:val="24"/>
                <w:szCs w:val="24"/>
                <w:lang w:val="en-US" w:eastAsia="zh-CN"/>
              </w:rPr>
              <w:t>等污染较大的设备，设置在厂房一角建设隔断墙密闭管理，可减少污染物无组织扩散。</w:t>
            </w:r>
          </w:p>
          <w:p w14:paraId="7816EBD4">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w:t>
            </w:r>
            <w:r>
              <w:rPr>
                <w:rFonts w:hint="eastAsia" w:ascii="Times New Roman" w:hAnsi="Times New Roman" w:cs="Times New Roman"/>
                <w:color w:val="000000"/>
                <w:sz w:val="24"/>
                <w:szCs w:val="24"/>
                <w:highlight w:val="none"/>
                <w:lang w:val="en-US" w:eastAsia="zh-CN"/>
              </w:rPr>
              <w:t>废气</w:t>
            </w:r>
            <w:r>
              <w:rPr>
                <w:rFonts w:hint="default" w:ascii="Times New Roman" w:hAnsi="Times New Roman" w:eastAsia="宋体" w:cs="Times New Roman"/>
                <w:color w:val="000000"/>
                <w:sz w:val="24"/>
                <w:szCs w:val="24"/>
                <w:highlight w:val="none"/>
                <w:lang w:val="en-US" w:eastAsia="zh-CN"/>
              </w:rPr>
              <w:t>治理措施</w:t>
            </w:r>
            <w:r>
              <w:rPr>
                <w:rFonts w:hint="eastAsia" w:ascii="Times New Roman" w:hAnsi="Times New Roman" w:cs="Times New Roman"/>
                <w:color w:val="000000"/>
                <w:sz w:val="24"/>
                <w:szCs w:val="24"/>
                <w:highlight w:val="none"/>
                <w:lang w:val="en-US" w:eastAsia="zh-CN"/>
              </w:rPr>
              <w:t>分析</w:t>
            </w:r>
          </w:p>
          <w:p w14:paraId="08F82F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ascii="Times New Roman" w:hAnsi="Times New Roman" w:cs="Times New Roman"/>
                <w:color w:val="auto"/>
                <w:kern w:val="0"/>
                <w:sz w:val="24"/>
                <w:szCs w:val="24"/>
                <w:highlight w:val="none"/>
                <w:lang w:val="en-US" w:eastAsia="zh-CN" w:bidi="ar-SA"/>
              </w:rPr>
              <w:t>注塑废气</w:t>
            </w:r>
            <w:r>
              <w:rPr>
                <w:rFonts w:hint="eastAsia" w:cs="Times New Roman"/>
                <w:color w:val="auto"/>
                <w:kern w:val="0"/>
                <w:sz w:val="24"/>
                <w:szCs w:val="24"/>
                <w:highlight w:val="none"/>
                <w:lang w:val="en-US" w:eastAsia="zh-CN" w:bidi="ar-SA"/>
              </w:rPr>
              <w:t>、烘烤废气、除油废气以及经过正压收集+滤芯回收系统的喷粉废气</w:t>
            </w:r>
            <w:r>
              <w:rPr>
                <w:rFonts w:hint="eastAsia" w:ascii="Times New Roman" w:hAnsi="Times New Roman" w:cs="Times New Roman"/>
                <w:color w:val="auto"/>
                <w:kern w:val="0"/>
                <w:sz w:val="24"/>
                <w:szCs w:val="24"/>
                <w:highlight w:val="none"/>
                <w:lang w:val="en-US" w:eastAsia="zh-CN" w:bidi="ar-SA"/>
              </w:rPr>
              <w:t>（非甲烷总烃（VOCs）</w:t>
            </w:r>
            <w:r>
              <w:rPr>
                <w:rFonts w:hint="default" w:ascii="Times New Roman" w:hAnsi="Times New Roman" w:cs="Times New Roman"/>
                <w:color w:val="auto"/>
                <w:sz w:val="24"/>
                <w:szCs w:val="24"/>
                <w:lang w:val="en-US" w:eastAsia="zh-CN"/>
              </w:rPr>
              <w:t>、</w:t>
            </w:r>
            <w:r>
              <w:rPr>
                <w:rFonts w:hint="eastAsia" w:cs="Times New Roman"/>
                <w:color w:val="auto"/>
                <w:kern w:val="0"/>
                <w:sz w:val="24"/>
                <w:szCs w:val="24"/>
                <w:highlight w:val="none"/>
                <w:lang w:val="en-US" w:eastAsia="zh-CN" w:bidi="ar-SA"/>
              </w:rPr>
              <w:t>臭气（氨）、颗粒物</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（TA00</w:t>
            </w:r>
            <w:r>
              <w:rPr>
                <w:rFonts w:hint="eastAsia" w:cs="Times New Roman"/>
                <w:i w:val="0"/>
                <w:iCs w:val="0"/>
                <w:caps w:val="0"/>
                <w:color w:val="auto"/>
                <w:spacing w:val="0"/>
                <w:sz w:val="24"/>
                <w:szCs w:val="24"/>
                <w:highlight w:val="none"/>
                <w:shd w:val="clear" w:color="auto" w:fill="FFFFFF"/>
                <w:lang w:val="en-US" w:eastAsia="zh-CN"/>
              </w:rPr>
              <w:t>1</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m高的排气筒（DA001）排放</w:t>
            </w:r>
            <w:r>
              <w:rPr>
                <w:rFonts w:hint="eastAsia" w:ascii="Times New Roman" w:hAnsi="Times New Roman" w:eastAsia="宋体" w:cs="Times New Roman"/>
                <w:color w:val="auto"/>
                <w:kern w:val="0"/>
                <w:sz w:val="24"/>
                <w:szCs w:val="24"/>
                <w:highlight w:val="none"/>
                <w:lang w:val="en-US" w:eastAsia="zh-CN" w:bidi="ar-SA"/>
              </w:rPr>
              <w:t>；</w:t>
            </w:r>
            <w:r>
              <w:rPr>
                <w:rFonts w:hint="eastAsia" w:cs="Times New Roman"/>
                <w:color w:val="auto"/>
                <w:kern w:val="0"/>
                <w:sz w:val="24"/>
                <w:szCs w:val="24"/>
                <w:highlight w:val="none"/>
                <w:lang w:val="en-US" w:eastAsia="zh-CN" w:bidi="ar-SA"/>
              </w:rPr>
              <w:t>料头粉碎过程所产生的粉碎废气（颗粒物）经“移动除尘器处理后”处理后无组织排放</w:t>
            </w: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7F617E9A">
            <w:pPr>
              <w:pStyle w:val="51"/>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4608195" cy="1955800"/>
                  <wp:effectExtent l="0" t="0" r="0" b="0"/>
                  <wp:docPr id="176" name="ECB019B1-382A-4266-B25C-5B523AA43C14-2" descr="C:/Users/Administrator/AppData/Local/Temp/wps.neCTO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ECB019B1-382A-4266-B25C-5B523AA43C14-2" descr="C:/Users/Administrator/AppData/Local/Temp/wps.neCTODwps"/>
                          <pic:cNvPicPr>
                            <a:picLocks noChangeAspect="1"/>
                          </pic:cNvPicPr>
                        </pic:nvPicPr>
                        <pic:blipFill>
                          <a:blip r:embed="rId12"/>
                          <a:stretch>
                            <a:fillRect/>
                          </a:stretch>
                        </pic:blipFill>
                        <pic:spPr>
                          <a:xfrm>
                            <a:off x="0" y="0"/>
                            <a:ext cx="4608195" cy="1955800"/>
                          </a:xfrm>
                          <a:prstGeom prst="rect">
                            <a:avLst/>
                          </a:prstGeom>
                        </pic:spPr>
                      </pic:pic>
                    </a:graphicData>
                  </a:graphic>
                </wp:inline>
              </w:drawing>
            </w:r>
          </w:p>
          <w:p w14:paraId="2484C7A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w:t>
            </w:r>
            <w:r>
              <w:rPr>
                <w:rFonts w:hint="eastAsia" w:cs="Times New Roman"/>
                <w:b/>
                <w:bCs/>
                <w:color w:val="auto"/>
                <w:sz w:val="24"/>
                <w:szCs w:val="24"/>
                <w:highlight w:val="none"/>
                <w:lang w:val="en-US" w:eastAsia="zh-CN"/>
              </w:rPr>
              <w:t>有组织</w:t>
            </w:r>
            <w:r>
              <w:rPr>
                <w:rFonts w:hint="eastAsia" w:ascii="Times New Roman" w:hAnsi="Times New Roman" w:eastAsia="宋体" w:cs="Times New Roman"/>
                <w:b/>
                <w:bCs/>
                <w:color w:val="auto"/>
                <w:sz w:val="24"/>
                <w:szCs w:val="24"/>
                <w:highlight w:val="none"/>
                <w:lang w:val="en-US" w:eastAsia="zh-CN"/>
              </w:rPr>
              <w:t>废气处理工艺流程图</w:t>
            </w:r>
          </w:p>
          <w:p w14:paraId="024E1C3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71A44C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000000"/>
                <w:sz w:val="24"/>
                <w:szCs w:val="24"/>
                <w:lang w:val="en-US" w:eastAsia="zh-CN"/>
              </w:rPr>
              <w:t>本项目采用颗粒</w:t>
            </w:r>
            <w:r>
              <w:rPr>
                <w:rFonts w:hint="default" w:ascii="Times New Roman" w:hAnsi="Times New Roman" w:eastAsia="宋体" w:cs="Times New Roman"/>
                <w:color w:val="000000"/>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000000"/>
                <w:sz w:val="24"/>
                <w:szCs w:val="24"/>
                <w:lang w:val="en-US" w:eastAsia="zh-CN"/>
              </w:rPr>
              <w:t>且</w:t>
            </w:r>
            <w:r>
              <w:rPr>
                <w:rFonts w:hint="default" w:ascii="Times New Roman" w:hAnsi="Times New Roman" w:eastAsia="宋体" w:cs="Times New Roman"/>
                <w:color w:val="000000"/>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w:t>
            </w:r>
            <w:r>
              <w:rPr>
                <w:rFonts w:hint="default" w:ascii="Times New Roman" w:hAnsi="Times New Roman" w:eastAsia="宋体" w:cs="Times New Roman"/>
                <w:color w:val="auto"/>
                <w:sz w:val="24"/>
                <w:szCs w:val="24"/>
                <w:lang w:val="en-US" w:eastAsia="zh-CN"/>
              </w:rPr>
              <w:t>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w:t>
            </w:r>
            <w:r>
              <w:rPr>
                <w:rFonts w:hint="default" w:ascii="Times New Roman" w:hAnsi="Times New Roman" w:eastAsia="宋体" w:cs="Times New Roman"/>
                <w:color w:val="000000"/>
                <w:sz w:val="24"/>
                <w:szCs w:val="24"/>
                <w:lang w:val="en-US" w:eastAsia="zh-CN"/>
              </w:rPr>
              <w:t>有机废气具有良好的吸附效果，可使得有机废气处理能力达</w:t>
            </w:r>
            <w:r>
              <w:rPr>
                <w:rFonts w:hint="default" w:ascii="Times New Roman" w:hAnsi="Times New Roman" w:eastAsia="宋体" w:cs="Times New Roman"/>
                <w:color w:val="auto"/>
                <w:sz w:val="24"/>
                <w:szCs w:val="24"/>
                <w:lang w:val="en-US" w:eastAsia="zh-CN"/>
              </w:rPr>
              <w:t>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0B449BD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移动除尘器工作原理：</w:t>
            </w:r>
            <w:r>
              <w:rPr>
                <w:rFonts w:hint="default" w:ascii="Times New Roman" w:hAnsi="Times New Roman" w:eastAsia="宋体" w:cs="Times New Roman"/>
                <w:color w:val="auto"/>
                <w:sz w:val="24"/>
                <w:szCs w:val="24"/>
                <w:lang w:val="en-US" w:eastAsia="zh-CN"/>
              </w:rPr>
              <w:t>以滤筒作为过滤元件，通过表面过滤等方式捕捉粉尘，实现气体的净化，具体步骤为：含尘气体首先通过除尘器的收集口进入，通过布朗扩散和筛滤等组合效应，使粉尘沉积在滤料表面上，净化后的气体出气口排放；随着过滤的不断进行，滤筒表面的粉尘越积越多，滤筒阻力不断升高，当设备阻力达到一定的限值时，企业自行更换滤芯以保证除尘效率及设备的持续运行。</w:t>
            </w:r>
          </w:p>
          <w:p w14:paraId="122896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滤芯除尘器处理原理：</w:t>
            </w:r>
            <w:r>
              <w:rPr>
                <w:rFonts w:hint="default" w:ascii="Times New Roman" w:hAnsi="Times New Roman" w:eastAsia="宋体" w:cs="Times New Roman"/>
                <w:color w:val="auto"/>
                <w:sz w:val="24"/>
                <w:szCs w:val="24"/>
                <w:lang w:val="en-US" w:eastAsia="zh-CN"/>
              </w:rPr>
              <w:t>滤芯除尘器主要由上箱体、中箱体、灰斗、卸灰系统、喷吹系统和控制系统等几部分组成，可采用多种进气分室结构。含尘烟气由进风口经中箱体下部进入灰斗；部分较大的尘粒由于惯性碰撞、自然沉降等作用直接落入灰斗，其它尘粒随气流上升进入各个袋室。经滤芯过滤后，尘粒被阻留在滤芯外侧，净化后的气体由滤芯内部进入箱体，再通过提升阀、出风口排入大气。灰斗中的粉尘定时或连续由</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"https://baike.so.com/doc/2558471-2702075.html" \t "https://baike.so.com/doc/_blank"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螺旋输送机</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及刚性叶轮卸料器卸出。随着过滤过程的不断进行，滤芯外侧所附积的粉尘不断增加，从而导致袋除尘器本身的阻力也逐渐升高。当阻力达到预先设定值时，清灰控制器发出信号，首先令一个过滤室的提升阀关闭以切断该室的过滤气流，然后打开电磁脉冲阀，压缩空气由气源顺序经气包、脉冲阀、喷吹管上的喷嘴以极短的时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0.065</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0.085秒</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向滤芯喷射。压缩空气在箱内高速膨胀，使滤芯产生高频振动变形，再加上逆气流的作用，使滤袋外侧所附尘饼变形脱落。在充分考虑了粉尘的沉降时间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保证所脱落的粉尘能够有效落入灰斗</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后，提升阀打开，此袋室滤袋恢复到过滤状态，而下一袋室则进入清灰状态，如此直到最后一袋室清灰完毕为一个周期。滤芯除尘器不但具有喷吹脉冲除尘器的清灰能力强、除尘效率高、排放浓度低等特点，还具有稳定可靠、能耗低、占地面积小的特点，特别适合处理大风量的烟气。</w:t>
            </w:r>
          </w:p>
          <w:p w14:paraId="77B7B6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733C3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w:t>
            </w:r>
            <w:r>
              <w:rPr>
                <w:rFonts w:hint="eastAsia" w:cs="Times New Roman"/>
                <w:color w:val="auto"/>
                <w:sz w:val="24"/>
                <w:szCs w:val="24"/>
                <w:highlight w:val="none"/>
                <w:lang w:val="en-US" w:eastAsia="zh-CN"/>
              </w:rPr>
              <w:t>二级</w:t>
            </w:r>
            <w:r>
              <w:rPr>
                <w:rFonts w:hint="eastAsia" w:ascii="Times New Roman" w:hAnsi="Times New Roman" w:eastAsia="宋体" w:cs="Times New Roman"/>
                <w:color w:val="auto"/>
                <w:sz w:val="24"/>
                <w:szCs w:val="24"/>
                <w:highlight w:val="none"/>
                <w:lang w:val="en-US" w:eastAsia="zh-CN"/>
              </w:rPr>
              <w:t>活性炭吸附装置对应的风量为</w:t>
            </w:r>
            <w:r>
              <w:rPr>
                <w:rFonts w:hint="eastAsia" w:ascii="Times New Roman" w:hAnsi="Times New Roman" w:cs="Times New Roman"/>
                <w:color w:val="auto"/>
                <w:sz w:val="24"/>
                <w:szCs w:val="24"/>
                <w:highlight w:val="none"/>
                <w:lang w:val="en-US" w:eastAsia="zh-CN"/>
              </w:rPr>
              <w:t>8000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2.2222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满足《吸附法工业有机废气治理工程技术规范（</w:t>
            </w:r>
            <w:r>
              <w:rPr>
                <w:rFonts w:hint="default" w:ascii="Times New Roman" w:hAnsi="Times New Roman" w:eastAsia="宋体" w:cs="Times New Roman"/>
                <w:color w:val="auto"/>
                <w:sz w:val="24"/>
                <w:szCs w:val="24"/>
                <w:highlight w:val="none"/>
                <w:lang w:val="en-US" w:eastAsia="zh-CN"/>
              </w:rPr>
              <w:t>HJ2026-2013</w:t>
            </w:r>
            <w:r>
              <w:rPr>
                <w:rFonts w:hint="eastAsia" w:ascii="Times New Roman" w:hAnsi="Times New Roman" w:eastAsia="宋体" w:cs="Times New Roman"/>
                <w:color w:val="auto"/>
                <w:sz w:val="24"/>
                <w:szCs w:val="24"/>
                <w:highlight w:val="none"/>
                <w:lang w:val="en-US" w:eastAsia="zh-CN"/>
              </w:rPr>
              <w:t>）》中“采用颗粒状吸附剂时，气体流速宜低于</w:t>
            </w:r>
            <w:r>
              <w:rPr>
                <w:rFonts w:hint="default" w:ascii="Times New Roman" w:hAnsi="Times New Roman" w:eastAsia="宋体" w:cs="Times New Roman"/>
                <w:color w:val="auto"/>
                <w:sz w:val="24"/>
                <w:szCs w:val="24"/>
                <w:highlight w:val="none"/>
                <w:lang w:val="en-US" w:eastAsia="zh-CN"/>
              </w:rPr>
              <w:t>0.6m/s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2315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8639</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1273C7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4D68A49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98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，满足该规范要求。</w:t>
            </w:r>
          </w:p>
          <w:p w14:paraId="559F84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 xml:space="preserve">×10 </w:t>
            </w:r>
            <w:r>
              <w:rPr>
                <w:rFonts w:hint="default" w:ascii="Times New Roman" w:hAnsi="Times New Roman" w:eastAsia="宋体" w:cs="Times New Roman"/>
                <w:color w:val="auto"/>
                <w:sz w:val="24"/>
                <w:szCs w:val="24"/>
                <w:highlight w:val="none"/>
                <w:vertAlign w:val="superscript"/>
                <w:lang w:val="en-US" w:eastAsia="zh-CN"/>
              </w:rPr>
              <w:t>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5C0A07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drawing>
                <wp:inline distT="0" distB="0" distL="114300" distR="114300">
                  <wp:extent cx="5337175" cy="2501265"/>
                  <wp:effectExtent l="0" t="0" r="1206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5337175" cy="2501265"/>
                          </a:xfrm>
                          <a:prstGeom prst="rect">
                            <a:avLst/>
                          </a:prstGeom>
                          <a:noFill/>
                          <a:ln>
                            <a:noFill/>
                          </a:ln>
                        </pic:spPr>
                      </pic:pic>
                    </a:graphicData>
                  </a:graphic>
                </wp:inline>
              </w:drawing>
            </w:r>
          </w:p>
          <w:p w14:paraId="54120C41">
            <w:pPr>
              <w:pStyle w:val="53"/>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表4.</w:t>
            </w:r>
            <w:r>
              <w:rPr>
                <w:rFonts w:hint="eastAsia" w:cs="Times New Roman"/>
                <w:color w:val="auto"/>
                <w:lang w:val="en-US" w:eastAsia="zh-CN"/>
              </w:rPr>
              <w:t>1-4</w:t>
            </w:r>
            <w:r>
              <w:rPr>
                <w:rFonts w:hint="eastAsia" w:ascii="Times New Roman" w:hAnsi="Times New Roman" w:eastAsia="宋体" w:cs="Times New Roman"/>
                <w:color w:val="auto"/>
                <w:lang w:val="en-US" w:eastAsia="zh-CN"/>
              </w:rPr>
              <w:t xml:space="preserve"> 更换周期参数表</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407"/>
              <w:gridCol w:w="869"/>
              <w:gridCol w:w="1630"/>
              <w:gridCol w:w="1297"/>
              <w:gridCol w:w="1037"/>
              <w:gridCol w:w="870"/>
            </w:tblGrid>
            <w:tr w14:paraId="0A956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80" w:type="pct"/>
                  <w:tcBorders>
                    <w:bottom w:val="single" w:color="auto" w:sz="12" w:space="0"/>
                  </w:tcBorders>
                  <w:noWrap w:val="0"/>
                  <w:vAlign w:val="center"/>
                </w:tcPr>
                <w:p w14:paraId="2988EF5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795" w:type="pct"/>
                  <w:tcBorders>
                    <w:bottom w:val="single" w:color="auto" w:sz="12" w:space="0"/>
                  </w:tcBorders>
                  <w:noWrap w:val="0"/>
                  <w:vAlign w:val="center"/>
                </w:tcPr>
                <w:p w14:paraId="49D46746">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491" w:type="pct"/>
                  <w:tcBorders>
                    <w:bottom w:val="single" w:color="auto" w:sz="12" w:space="0"/>
                  </w:tcBorders>
                  <w:noWrap w:val="0"/>
                  <w:vAlign w:val="center"/>
                </w:tcPr>
                <w:p w14:paraId="702D3A9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921" w:type="pct"/>
                  <w:tcBorders>
                    <w:bottom w:val="single" w:color="auto" w:sz="12" w:space="0"/>
                  </w:tcBorders>
                  <w:noWrap w:val="0"/>
                  <w:vAlign w:val="center"/>
                </w:tcPr>
                <w:p w14:paraId="5CCC3D23">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733" w:type="pct"/>
                  <w:tcBorders>
                    <w:bottom w:val="single" w:color="auto" w:sz="12" w:space="0"/>
                  </w:tcBorders>
                  <w:noWrap w:val="0"/>
                  <w:vAlign w:val="center"/>
                </w:tcPr>
                <w:p w14:paraId="50FEC772">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586" w:type="pct"/>
                  <w:tcBorders>
                    <w:bottom w:val="single" w:color="auto" w:sz="12" w:space="0"/>
                  </w:tcBorders>
                  <w:noWrap w:val="0"/>
                  <w:vAlign w:val="center"/>
                </w:tcPr>
                <w:p w14:paraId="78C95752">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491" w:type="pct"/>
                  <w:tcBorders>
                    <w:bottom w:val="single" w:color="auto" w:sz="12" w:space="0"/>
                  </w:tcBorders>
                  <w:noWrap w:val="0"/>
                  <w:vAlign w:val="center"/>
                </w:tcPr>
                <w:p w14:paraId="7F8E2BD0">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31010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80" w:type="pct"/>
                  <w:tcBorders>
                    <w:top w:val="single" w:color="auto" w:sz="12" w:space="0"/>
                    <w:tl2br w:val="nil"/>
                    <w:tr2bl w:val="nil"/>
                  </w:tcBorders>
                  <w:noWrap w:val="0"/>
                  <w:vAlign w:val="center"/>
                </w:tcPr>
                <w:p w14:paraId="2BE8C74A">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795" w:type="pct"/>
                  <w:tcBorders>
                    <w:top w:val="single" w:color="auto" w:sz="12" w:space="0"/>
                    <w:tl2br w:val="nil"/>
                    <w:tr2bl w:val="nil"/>
                  </w:tcBorders>
                  <w:noWrap w:val="0"/>
                  <w:vAlign w:val="center"/>
                </w:tcPr>
                <w:p w14:paraId="7CEC4BD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491" w:type="pct"/>
                  <w:tcBorders>
                    <w:top w:val="single" w:color="auto" w:sz="12" w:space="0"/>
                    <w:tl2br w:val="nil"/>
                    <w:tr2bl w:val="nil"/>
                  </w:tcBorders>
                  <w:noWrap w:val="0"/>
                  <w:vAlign w:val="center"/>
                </w:tcPr>
                <w:p w14:paraId="7B132A5A">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921" w:type="pct"/>
                  <w:tcBorders>
                    <w:top w:val="single" w:color="auto" w:sz="12" w:space="0"/>
                    <w:tl2br w:val="nil"/>
                    <w:tr2bl w:val="nil"/>
                  </w:tcBorders>
                  <w:noWrap w:val="0"/>
                  <w:vAlign w:val="center"/>
                </w:tcPr>
                <w:p w14:paraId="07C29C9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733" w:type="pct"/>
                  <w:tcBorders>
                    <w:top w:val="single" w:color="auto" w:sz="12" w:space="0"/>
                    <w:tl2br w:val="nil"/>
                    <w:tr2bl w:val="nil"/>
                  </w:tcBorders>
                  <w:noWrap w:val="0"/>
                  <w:vAlign w:val="center"/>
                </w:tcPr>
                <w:p w14:paraId="3BF0ECC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586" w:type="pct"/>
                  <w:tcBorders>
                    <w:top w:val="single" w:color="auto" w:sz="12" w:space="0"/>
                    <w:tl2br w:val="nil"/>
                    <w:tr2bl w:val="nil"/>
                  </w:tcBorders>
                  <w:noWrap w:val="0"/>
                  <w:vAlign w:val="center"/>
                </w:tcPr>
                <w:p w14:paraId="04928043">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491" w:type="pct"/>
                  <w:tcBorders>
                    <w:top w:val="single" w:color="auto" w:sz="12" w:space="0"/>
                    <w:tl2br w:val="nil"/>
                    <w:tr2bl w:val="nil"/>
                  </w:tcBorders>
                  <w:noWrap w:val="0"/>
                  <w:vAlign w:val="center"/>
                </w:tcPr>
                <w:p w14:paraId="6FA1AC5F">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5F875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80" w:type="pct"/>
                  <w:tcBorders>
                    <w:tl2br w:val="nil"/>
                    <w:tr2bl w:val="nil"/>
                  </w:tcBorders>
                  <w:noWrap w:val="0"/>
                  <w:vAlign w:val="center"/>
                </w:tcPr>
                <w:p w14:paraId="313C346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795" w:type="pct"/>
                  <w:tcBorders>
                    <w:tl2br w:val="nil"/>
                    <w:tr2bl w:val="nil"/>
                  </w:tcBorders>
                  <w:noWrap w:val="0"/>
                  <w:vAlign w:val="center"/>
                </w:tcPr>
                <w:p w14:paraId="2FBA7B62">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699.1</w:t>
                  </w:r>
                </w:p>
              </w:tc>
              <w:tc>
                <w:tcPr>
                  <w:tcW w:w="491" w:type="pct"/>
                  <w:tcBorders>
                    <w:tl2br w:val="nil"/>
                    <w:tr2bl w:val="nil"/>
                  </w:tcBorders>
                  <w:noWrap w:val="0"/>
                  <w:vAlign w:val="center"/>
                </w:tcPr>
                <w:p w14:paraId="4EBF78FD">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10</w:t>
                  </w:r>
                </w:p>
              </w:tc>
              <w:tc>
                <w:tcPr>
                  <w:tcW w:w="921" w:type="pct"/>
                  <w:tcBorders>
                    <w:tl2br w:val="nil"/>
                    <w:tr2bl w:val="nil"/>
                  </w:tcBorders>
                  <w:noWrap w:val="0"/>
                  <w:vAlign w:val="center"/>
                </w:tcPr>
                <w:p w14:paraId="275B72BC">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11.2</w:t>
                  </w:r>
                </w:p>
              </w:tc>
              <w:tc>
                <w:tcPr>
                  <w:tcW w:w="733" w:type="pct"/>
                  <w:tcBorders>
                    <w:tl2br w:val="nil"/>
                    <w:tr2bl w:val="nil"/>
                  </w:tcBorders>
                  <w:noWrap w:val="0"/>
                  <w:vAlign w:val="center"/>
                </w:tcPr>
                <w:p w14:paraId="46E3AAF3">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8000</w:t>
                  </w:r>
                </w:p>
              </w:tc>
              <w:tc>
                <w:tcPr>
                  <w:tcW w:w="586" w:type="pct"/>
                  <w:tcBorders>
                    <w:tl2br w:val="nil"/>
                    <w:tr2bl w:val="nil"/>
                  </w:tcBorders>
                  <w:noWrap w:val="0"/>
                  <w:vAlign w:val="center"/>
                </w:tcPr>
                <w:p w14:paraId="50E7E3E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8</w:t>
                  </w:r>
                </w:p>
              </w:tc>
              <w:tc>
                <w:tcPr>
                  <w:tcW w:w="491" w:type="pct"/>
                  <w:tcBorders>
                    <w:tl2br w:val="nil"/>
                    <w:tr2bl w:val="nil"/>
                  </w:tcBorders>
                  <w:noWrap w:val="0"/>
                  <w:vAlign w:val="center"/>
                </w:tcPr>
                <w:p w14:paraId="6CC18C6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val="0"/>
                      <w:bCs/>
                      <w:color w:val="auto"/>
                      <w:vertAlign w:val="baseline"/>
                      <w:lang w:val="en-US" w:eastAsia="zh-CN"/>
                    </w:rPr>
                  </w:pPr>
                  <w:r>
                    <w:rPr>
                      <w:rFonts w:hint="eastAsia" w:cs="Times New Roman"/>
                      <w:b w:val="0"/>
                      <w:bCs/>
                      <w:color w:val="auto"/>
                      <w:vertAlign w:val="baseline"/>
                      <w:lang w:val="en-US" w:eastAsia="zh-CN"/>
                    </w:rPr>
                    <w:t>98</w:t>
                  </w:r>
                </w:p>
              </w:tc>
            </w:tr>
          </w:tbl>
          <w:p w14:paraId="1E8236ED">
            <w:pPr>
              <w:pStyle w:val="53"/>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406E454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45BC06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关于印发〈主要污染物总量减排核算技术指南（2022年修订）〉的通知》〔2022〕350号中规定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一次性活性炭的吸附效率50%。采用二级活性炭吸附效率为1-（1%～50%）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（1%～50%）=75%。</w:t>
            </w:r>
            <w:r>
              <w:rPr>
                <w:rFonts w:hint="default" w:ascii="Times New Roman" w:hAnsi="Times New Roman" w:eastAsia="宋体" w:cs="Times New Roman"/>
                <w:color w:val="auto"/>
                <w:sz w:val="24"/>
                <w:szCs w:val="24"/>
                <w:lang w:val="en-US" w:eastAsia="zh-CN"/>
              </w:rPr>
              <w:t>为保证废气与活性炭的接触时间和吸附效果，要求控制吸附</w:t>
            </w:r>
            <w:r>
              <w:rPr>
                <w:rFonts w:hint="eastAsia" w:ascii="Times New Roman" w:hAnsi="Times New Roman" w:eastAsia="宋体" w:cs="Times New Roman"/>
                <w:color w:val="auto"/>
                <w:sz w:val="24"/>
                <w:szCs w:val="24"/>
                <w:lang w:val="en-US" w:eastAsia="zh-CN"/>
              </w:rPr>
              <w:t>装</w:t>
            </w:r>
            <w:r>
              <w:rPr>
                <w:rFonts w:hint="default" w:ascii="Times New Roman" w:hAnsi="Times New Roman" w:eastAsia="宋体" w:cs="Times New Roman"/>
                <w:color w:val="auto"/>
                <w:sz w:val="24"/>
                <w:szCs w:val="24"/>
                <w:lang w:val="en-US" w:eastAsia="zh-CN"/>
              </w:rPr>
              <w:t>置吸附层的风速，一般取0.10m/s～0.15m/s之间；吸附剂和气体的接触时间宜按不低于3s计；同时确保项目活性炭吸附装置一次性装置量，定期更换活性纤维，采取以上治理措</w:t>
            </w:r>
            <w:r>
              <w:rPr>
                <w:rFonts w:hint="eastAsia" w:cs="Times New Roman"/>
                <w:color w:val="auto"/>
                <w:sz w:val="24"/>
                <w:szCs w:val="24"/>
                <w:lang w:val="en-US" w:eastAsia="zh-CN"/>
              </w:rPr>
              <w:t>施和</w:t>
            </w:r>
            <w:r>
              <w:rPr>
                <w:rFonts w:hint="default" w:ascii="Times New Roman" w:hAnsi="Times New Roman" w:eastAsia="宋体" w:cs="Times New Roman"/>
                <w:color w:val="auto"/>
                <w:sz w:val="24"/>
                <w:szCs w:val="24"/>
                <w:lang w:val="en-US" w:eastAsia="zh-CN"/>
              </w:rPr>
              <w:t>综合治理措施后，本评价废气设施去除效率按</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%计，根据预测，有机废气污染物非甲烷总烃可以达标排放，因此，项目有机废气经处理后对环境影响较小，采取的措施可行。</w:t>
            </w:r>
          </w:p>
          <w:p w14:paraId="74579413">
            <w:pPr>
              <w:pStyle w:val="51"/>
              <w:ind w:firstLine="48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（3）集气罩收集效率可行性分析</w:t>
            </w:r>
          </w:p>
          <w:p w14:paraId="0A7E8F77">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根据《废气处理工程设计手册》（王纯、张殷印主编）中的经验公式：</w:t>
            </w:r>
          </w:p>
          <w:p w14:paraId="08BBCFBA">
            <w:pPr>
              <w:pStyle w:val="51"/>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Q=3600Fvβ</w:t>
            </w:r>
          </w:p>
          <w:p w14:paraId="3F3EFB98">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其中：Q为集气罩的计算风量m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6C081D77">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V罩口平均速度，m/s。可取0.5~1.5。本项目取0.5。</w:t>
            </w:r>
          </w:p>
          <w:p w14:paraId="106CA68C">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F罩口面积m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，注塑机上方集气罩尺寸为0.5m、0.</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m，共计设置</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个，则集气罩共计面积为</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74CB2CA">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β—安全系数，一般取1.05~1.1，本环评取1.1：</w:t>
            </w:r>
          </w:p>
          <w:p w14:paraId="702AD163">
            <w:pPr>
              <w:pStyle w:val="51"/>
              <w:ind w:firstLine="48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计算可得，风机总风量为</w:t>
            </w:r>
            <w:r>
              <w:rPr>
                <w:rFonts w:hint="eastAsia" w:cs="Times New Roman"/>
                <w:color w:val="auto"/>
                <w:sz w:val="24"/>
                <w:szCs w:val="24"/>
                <w:lang w:val="en-US" w:eastAsia="zh-CN"/>
              </w:rPr>
              <w:t>6930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/h，考虑管阻等因素，引风机风量按不低于120%的集气罩风量进行设计，项目引风机风量按</w:t>
            </w:r>
            <w:r>
              <w:rPr>
                <w:rFonts w:hint="eastAsia" w:cs="Times New Roman"/>
                <w:color w:val="auto"/>
                <w:sz w:val="24"/>
                <w:szCs w:val="24"/>
                <w:lang w:val="en-US" w:eastAsia="zh-CN"/>
              </w:rPr>
              <w:t>8000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/h进行设计。</w:t>
            </w:r>
          </w:p>
          <w:p w14:paraId="780F86B9">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（3）污染物达标分析</w:t>
            </w:r>
          </w:p>
          <w:p w14:paraId="7F8C485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本项目运营期产生的废气主要包括非甲烷总烃和颗粒物。经核算，非甲烷总烃有组织排放浓度为0.42mg/m³，排放速率为0.0034kg/h；颗粒物有组织排放浓度为0.0105 mg/m³，排放速率为4g/h（即0.004kg/h）。根据《合成树脂工业污染物排放标准》（GB31572-2015含2024年修改单）中表4的标准限值要求，颗粒物有组织排放限值为≤30 mg/m³，非甲烷总烃有组织排放限值为≤100 mg/m³。本项目废气排放浓度及速率均满足上述标准要求。</w:t>
            </w:r>
          </w:p>
          <w:p w14:paraId="4EA2C2C6">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因此，项目废气经处理后对环境影响较小，采取的废气治理措施可行，能够确保废气达标排放。</w:t>
            </w:r>
          </w:p>
          <w:p w14:paraId="7099B98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86" w:name="_Toc8398"/>
            <w:r>
              <w:rPr>
                <w:rFonts w:hint="eastAsia"/>
                <w:b/>
                <w:color w:val="262626"/>
                <w:kern w:val="0"/>
                <w:sz w:val="24"/>
                <w:lang w:val="en-US" w:eastAsia="zh-CN"/>
              </w:rPr>
              <w:t>4.1.4非正常工况排放量核算</w:t>
            </w:r>
            <w:bookmarkEnd w:id="86"/>
          </w:p>
          <w:p w14:paraId="3EA8962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（1）非正常排放情形及排放源强</w:t>
            </w:r>
          </w:p>
          <w:p w14:paraId="09592A6B">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55E6184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lang w:val="en-US" w:eastAsia="zh-CN"/>
              </w:rPr>
              <w:t>废气处理设施故障，导致废气非正常排放。</w:t>
            </w:r>
            <w:r>
              <w:rPr>
                <w:rFonts w:hint="default" w:ascii="Times New Roman" w:hAnsi="Times New Roman" w:eastAsia="宋体" w:cs="Times New Roman"/>
                <w:color w:val="000000"/>
                <w:kern w:val="2"/>
                <w:sz w:val="24"/>
                <w:szCs w:val="24"/>
                <w:lang w:val="en-US" w:eastAsia="zh-CN" w:bidi="ar-SA"/>
              </w:rPr>
              <w:t>本评价按最不利情况考虑，即废气处理效率降低为0%的情况下污染物排放对周边环境的影响。非正常工况下废气排放源强核算结果见下表4.</w:t>
            </w:r>
            <w:r>
              <w:rPr>
                <w:rFonts w:hint="eastAsia" w:ascii="Times New Roman" w:hAnsi="Times New Roman" w:eastAsia="宋体"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5</w:t>
            </w:r>
            <w:r>
              <w:rPr>
                <w:rFonts w:hint="eastAsia" w:ascii="Times New Roman" w:hAnsi="Times New Roman" w:cs="Times New Roman"/>
                <w:color w:val="000000"/>
                <w:kern w:val="2"/>
                <w:sz w:val="24"/>
                <w:szCs w:val="24"/>
                <w:lang w:val="en-US" w:eastAsia="zh-CN" w:bidi="ar-SA"/>
              </w:rPr>
              <w:t>。</w:t>
            </w:r>
          </w:p>
          <w:p w14:paraId="46C98F93">
            <w:pPr>
              <w:pStyle w:val="53"/>
              <w:bidi w:val="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 xml:space="preserve"> 污染源非正常排放量核算</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29"/>
              <w:gridCol w:w="1119"/>
              <w:gridCol w:w="1347"/>
              <w:gridCol w:w="1473"/>
              <w:gridCol w:w="1370"/>
              <w:gridCol w:w="1138"/>
              <w:gridCol w:w="1170"/>
            </w:tblGrid>
            <w:tr w14:paraId="66475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5" w:type="pct"/>
                  <w:vMerge w:val="restart"/>
                  <w:tcBorders>
                    <w:tl2br w:val="nil"/>
                    <w:tr2bl w:val="nil"/>
                  </w:tcBorders>
                  <w:vAlign w:val="center"/>
                </w:tcPr>
                <w:p w14:paraId="7EE9821A">
                  <w:pPr>
                    <w:pStyle w:val="83"/>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名称</w:t>
                  </w:r>
                </w:p>
              </w:tc>
              <w:tc>
                <w:tcPr>
                  <w:tcW w:w="632" w:type="pct"/>
                  <w:vMerge w:val="restart"/>
                  <w:tcBorders>
                    <w:tl2br w:val="nil"/>
                    <w:tr2bl w:val="nil"/>
                  </w:tcBorders>
                  <w:vAlign w:val="center"/>
                </w:tcPr>
                <w:p w14:paraId="36277066">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排放形式</w:t>
                  </w:r>
                </w:p>
              </w:tc>
              <w:tc>
                <w:tcPr>
                  <w:tcW w:w="761" w:type="pct"/>
                  <w:vMerge w:val="restart"/>
                  <w:tcBorders>
                    <w:tl2br w:val="nil"/>
                    <w:tr2bl w:val="nil"/>
                  </w:tcBorders>
                  <w:vAlign w:val="center"/>
                </w:tcPr>
                <w:p w14:paraId="1EA97750">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污染物种类</w:t>
                  </w:r>
                </w:p>
              </w:tc>
              <w:tc>
                <w:tcPr>
                  <w:tcW w:w="2249" w:type="pct"/>
                  <w:gridSpan w:val="3"/>
                  <w:tcBorders>
                    <w:tl2br w:val="nil"/>
                    <w:tr2bl w:val="nil"/>
                  </w:tcBorders>
                  <w:vAlign w:val="center"/>
                </w:tcPr>
                <w:p w14:paraId="037F2578">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污染物排放情况</w:t>
                  </w:r>
                </w:p>
              </w:tc>
              <w:tc>
                <w:tcPr>
                  <w:tcW w:w="661" w:type="pct"/>
                  <w:vMerge w:val="restart"/>
                  <w:tcBorders>
                    <w:tl2br w:val="nil"/>
                    <w:tr2bl w:val="nil"/>
                  </w:tcBorders>
                  <w:vAlign w:val="center"/>
                </w:tcPr>
                <w:p w14:paraId="35F10587">
                  <w:pPr>
                    <w:pStyle w:val="83"/>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排放去向</w:t>
                  </w:r>
                </w:p>
              </w:tc>
            </w:tr>
            <w:tr w14:paraId="71963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695" w:type="pct"/>
                  <w:vMerge w:val="continue"/>
                  <w:tcBorders>
                    <w:tl2br w:val="nil"/>
                    <w:tr2bl w:val="nil"/>
                  </w:tcBorders>
                  <w:vAlign w:val="center"/>
                </w:tcPr>
                <w:p w14:paraId="533EC217">
                  <w:pPr>
                    <w:pStyle w:val="83"/>
                    <w:spacing w:line="240" w:lineRule="auto"/>
                    <w:jc w:val="center"/>
                    <w:rPr>
                      <w:rFonts w:ascii="Times New Roman" w:hAnsi="Times New Roman" w:cs="Times New Roman"/>
                      <w:color w:val="000000" w:themeColor="text1"/>
                      <w:sz w:val="21"/>
                      <w14:textFill>
                        <w14:solidFill>
                          <w14:schemeClr w14:val="tx1"/>
                        </w14:solidFill>
                      </w14:textFill>
                    </w:rPr>
                  </w:pPr>
                </w:p>
              </w:tc>
              <w:tc>
                <w:tcPr>
                  <w:tcW w:w="632" w:type="pct"/>
                  <w:vMerge w:val="continue"/>
                  <w:tcBorders>
                    <w:tl2br w:val="nil"/>
                    <w:tr2bl w:val="nil"/>
                  </w:tcBorders>
                  <w:vAlign w:val="center"/>
                </w:tcPr>
                <w:p w14:paraId="79ABEA8E">
                  <w:pPr>
                    <w:pStyle w:val="83"/>
                    <w:spacing w:line="240" w:lineRule="auto"/>
                    <w:jc w:val="center"/>
                    <w:rPr>
                      <w:rFonts w:ascii="Times New Roman" w:hAnsi="Times New Roman" w:cs="Times New Roman"/>
                      <w:color w:val="000000" w:themeColor="text1"/>
                      <w:sz w:val="21"/>
                      <w14:textFill>
                        <w14:solidFill>
                          <w14:schemeClr w14:val="tx1"/>
                        </w14:solidFill>
                      </w14:textFill>
                    </w:rPr>
                  </w:pPr>
                </w:p>
              </w:tc>
              <w:tc>
                <w:tcPr>
                  <w:tcW w:w="761" w:type="pct"/>
                  <w:vMerge w:val="continue"/>
                  <w:tcBorders>
                    <w:tl2br w:val="nil"/>
                    <w:tr2bl w:val="nil"/>
                  </w:tcBorders>
                  <w:vAlign w:val="center"/>
                </w:tcPr>
                <w:p w14:paraId="2FC1E076">
                  <w:pPr>
                    <w:pStyle w:val="83"/>
                    <w:spacing w:line="240" w:lineRule="auto"/>
                    <w:jc w:val="center"/>
                    <w:rPr>
                      <w:rFonts w:ascii="Times New Roman" w:hAnsi="Times New Roman" w:cs="Times New Roman"/>
                      <w:color w:val="000000" w:themeColor="text1"/>
                      <w:sz w:val="21"/>
                      <w14:textFill>
                        <w14:solidFill>
                          <w14:schemeClr w14:val="tx1"/>
                        </w14:solidFill>
                      </w14:textFill>
                    </w:rPr>
                  </w:pPr>
                </w:p>
              </w:tc>
              <w:tc>
                <w:tcPr>
                  <w:tcW w:w="832" w:type="pct"/>
                  <w:tcBorders>
                    <w:tl2br w:val="nil"/>
                    <w:tr2bl w:val="nil"/>
                  </w:tcBorders>
                  <w:vAlign w:val="center"/>
                </w:tcPr>
                <w:p w14:paraId="73E1C944">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排放浓度mg/m</w:t>
                  </w:r>
                  <w:r>
                    <w:rPr>
                      <w:rFonts w:ascii="Times New Roman" w:hAnsi="Times New Roman" w:cs="Times New Roman"/>
                      <w:color w:val="000000" w:themeColor="text1"/>
                      <w:sz w:val="21"/>
                      <w:vertAlign w:val="superscript"/>
                      <w14:textFill>
                        <w14:solidFill>
                          <w14:schemeClr w14:val="tx1"/>
                        </w14:solidFill>
                      </w14:textFill>
                    </w:rPr>
                    <w:t>3</w:t>
                  </w:r>
                </w:p>
              </w:tc>
              <w:tc>
                <w:tcPr>
                  <w:tcW w:w="774" w:type="pct"/>
                  <w:tcBorders>
                    <w:tl2br w:val="nil"/>
                    <w:tr2bl w:val="nil"/>
                  </w:tcBorders>
                  <w:vAlign w:val="center"/>
                </w:tcPr>
                <w:p w14:paraId="37655302">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排放速率kg/h</w:t>
                  </w:r>
                </w:p>
              </w:tc>
              <w:tc>
                <w:tcPr>
                  <w:tcW w:w="642" w:type="pct"/>
                  <w:tcBorders>
                    <w:tl2br w:val="nil"/>
                    <w:tr2bl w:val="nil"/>
                  </w:tcBorders>
                  <w:vAlign w:val="center"/>
                </w:tcPr>
                <w:p w14:paraId="3F5000B8">
                  <w:pPr>
                    <w:pStyle w:val="83"/>
                    <w:spacing w:line="240" w:lineRule="auto"/>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排放量t/a</w:t>
                  </w:r>
                </w:p>
              </w:tc>
              <w:tc>
                <w:tcPr>
                  <w:tcW w:w="661" w:type="pct"/>
                  <w:vMerge w:val="continue"/>
                  <w:tcBorders>
                    <w:tl2br w:val="nil"/>
                    <w:tr2bl w:val="nil"/>
                  </w:tcBorders>
                  <w:vAlign w:val="center"/>
                </w:tcPr>
                <w:p w14:paraId="06F5BB6A">
                  <w:pPr>
                    <w:pStyle w:val="83"/>
                    <w:spacing w:line="240" w:lineRule="auto"/>
                    <w:jc w:val="center"/>
                    <w:rPr>
                      <w:rFonts w:ascii="Times New Roman" w:hAnsi="Times New Roman" w:cs="Times New Roman"/>
                      <w:color w:val="000000" w:themeColor="text1"/>
                      <w:sz w:val="21"/>
                      <w14:textFill>
                        <w14:solidFill>
                          <w14:schemeClr w14:val="tx1"/>
                        </w14:solidFill>
                      </w14:textFill>
                    </w:rPr>
                  </w:pPr>
                </w:p>
              </w:tc>
            </w:tr>
            <w:tr w14:paraId="2E8E1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5" w:type="pct"/>
                  <w:vMerge w:val="restart"/>
                  <w:tcBorders>
                    <w:tl2br w:val="nil"/>
                    <w:tr2bl w:val="nil"/>
                  </w:tcBorders>
                  <w:vAlign w:val="center"/>
                </w:tcPr>
                <w:p w14:paraId="7E142010">
                  <w:pPr>
                    <w:pStyle w:val="83"/>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DA001</w:t>
                  </w:r>
                </w:p>
              </w:tc>
              <w:tc>
                <w:tcPr>
                  <w:tcW w:w="632" w:type="pct"/>
                  <w:vMerge w:val="restart"/>
                  <w:tcBorders>
                    <w:tl2br w:val="nil"/>
                    <w:tr2bl w:val="nil"/>
                  </w:tcBorders>
                  <w:vAlign w:val="center"/>
                </w:tcPr>
                <w:p w14:paraId="19230508">
                  <w:pPr>
                    <w:pStyle w:val="83"/>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lang w:val="en-US" w:eastAsia="zh-CN"/>
                      <w14:textFill>
                        <w14:solidFill>
                          <w14:schemeClr w14:val="tx1"/>
                        </w14:solidFill>
                      </w14:textFill>
                    </w:rPr>
                    <w:t>有组织</w:t>
                  </w:r>
                </w:p>
              </w:tc>
              <w:tc>
                <w:tcPr>
                  <w:tcW w:w="761" w:type="pct"/>
                  <w:tcBorders>
                    <w:tl2br w:val="nil"/>
                    <w:tr2bl w:val="nil"/>
                  </w:tcBorders>
                  <w:vAlign w:val="center"/>
                </w:tcPr>
                <w:p w14:paraId="53FE48B3">
                  <w:pPr>
                    <w:pStyle w:val="83"/>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default" w:ascii="Times New Roman" w:hAnsi="Times New Roman" w:eastAsia="宋体" w:cs="Times New Roman"/>
                      <w:color w:val="000000"/>
                      <w:sz w:val="21"/>
                      <w:szCs w:val="21"/>
                      <w:lang w:val="en-US" w:eastAsia="zh-CN"/>
                    </w:rPr>
                    <w:t>VOCs（以非甲烷总烃计）</w:t>
                  </w:r>
                </w:p>
              </w:tc>
              <w:tc>
                <w:tcPr>
                  <w:tcW w:w="832" w:type="pct"/>
                  <w:tcBorders>
                    <w:tl2br w:val="nil"/>
                    <w:tr2bl w:val="nil"/>
                  </w:tcBorders>
                  <w:shd w:val="clear" w:color="auto" w:fill="auto"/>
                  <w:vAlign w:val="center"/>
                </w:tcPr>
                <w:p w14:paraId="08034652">
                  <w:pPr>
                    <w:pStyle w:val="83"/>
                    <w:spacing w:line="240" w:lineRule="auto"/>
                    <w:jc w:val="center"/>
                    <w:rPr>
                      <w:rFonts w:hint="default" w:ascii="Times New Roman" w:hAnsi="Times New Roman" w:eastAsia="宋体" w:cs="Times New Roman"/>
                      <w:snapToGrid w:val="0"/>
                      <w:color w:val="auto"/>
                      <w:spacing w:val="4"/>
                      <w:sz w:val="21"/>
                      <w:szCs w:val="21"/>
                      <w:lang w:val="en-US" w:eastAsia="zh-CN" w:bidi="ar-SA"/>
                    </w:rPr>
                  </w:pPr>
                  <w:r>
                    <w:rPr>
                      <w:rFonts w:hint="eastAsia" w:ascii="Times New Roman" w:hAnsi="Times New Roman" w:cs="Times New Roman"/>
                      <w:snapToGrid w:val="0"/>
                      <w:color w:val="auto"/>
                      <w:spacing w:val="4"/>
                      <w:sz w:val="21"/>
                      <w:szCs w:val="21"/>
                      <w:lang w:val="en-US" w:eastAsia="zh-CN" w:bidi="ar-SA"/>
                    </w:rPr>
                    <w:t>2.25</w:t>
                  </w:r>
                </w:p>
              </w:tc>
              <w:tc>
                <w:tcPr>
                  <w:tcW w:w="774" w:type="pct"/>
                  <w:tcBorders>
                    <w:tl2br w:val="nil"/>
                    <w:tr2bl w:val="nil"/>
                  </w:tcBorders>
                  <w:shd w:val="clear" w:color="auto" w:fill="auto"/>
                  <w:vAlign w:val="center"/>
                </w:tcPr>
                <w:p w14:paraId="5DD942A5">
                  <w:pPr>
                    <w:pStyle w:val="83"/>
                    <w:spacing w:line="240" w:lineRule="auto"/>
                    <w:jc w:val="center"/>
                    <w:rPr>
                      <w:rFonts w:hint="default"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snapToGrid w:val="0"/>
                      <w:color w:val="000000" w:themeColor="text1"/>
                      <w:spacing w:val="4"/>
                      <w:sz w:val="21"/>
                      <w:szCs w:val="21"/>
                      <w:lang w:val="en-US" w:eastAsia="zh-CN" w:bidi="ar-SA"/>
                      <w14:textFill>
                        <w14:solidFill>
                          <w14:schemeClr w14:val="tx1"/>
                        </w14:solidFill>
                      </w14:textFill>
                    </w:rPr>
                    <w:t>0.018</w:t>
                  </w:r>
                </w:p>
              </w:tc>
              <w:tc>
                <w:tcPr>
                  <w:tcW w:w="1132" w:type="dxa"/>
                  <w:tcBorders>
                    <w:tl2br w:val="nil"/>
                    <w:tr2bl w:val="nil"/>
                  </w:tcBorders>
                  <w:shd w:val="clear" w:color="auto" w:fill="auto"/>
                  <w:vAlign w:val="center"/>
                </w:tcPr>
                <w:p w14:paraId="6B5B08AD">
                  <w:pPr>
                    <w:pStyle w:val="83"/>
                    <w:spacing w:line="240" w:lineRule="auto"/>
                    <w:jc w:val="center"/>
                    <w:rPr>
                      <w:rFonts w:hint="default"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r>
                    <w:rPr>
                      <w:rFonts w:hint="eastAsia" w:ascii="Times New Roman" w:hAnsi="Times New Roman" w:cs="Times New Roman"/>
                      <w:snapToGrid w:val="0"/>
                      <w:color w:val="auto"/>
                      <w:spacing w:val="4"/>
                      <w:sz w:val="21"/>
                      <w:szCs w:val="21"/>
                      <w:lang w:val="en-US" w:eastAsia="zh-CN" w:bidi="ar-SA"/>
                    </w:rPr>
                    <w:t>0.08625</w:t>
                  </w:r>
                </w:p>
              </w:tc>
              <w:tc>
                <w:tcPr>
                  <w:tcW w:w="661" w:type="pct"/>
                  <w:vMerge w:val="restart"/>
                  <w:tcBorders>
                    <w:tl2br w:val="nil"/>
                    <w:tr2bl w:val="nil"/>
                  </w:tcBorders>
                  <w:vAlign w:val="center"/>
                </w:tcPr>
                <w:p w14:paraId="0CD32264">
                  <w:pPr>
                    <w:pStyle w:val="83"/>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r>
                    <w:rPr>
                      <w:rFonts w:hint="eastAsia" w:ascii="Times New Roman" w:hAnsi="Times New Roman" w:eastAsia="宋体" w:cs="Times New Roman"/>
                      <w:color w:val="000000" w:themeColor="text1"/>
                      <w:sz w:val="21"/>
                      <w:lang w:val="en-US" w:eastAsia="zh-CN"/>
                      <w14:textFill>
                        <w14:solidFill>
                          <w14:schemeClr w14:val="tx1"/>
                        </w14:solidFill>
                      </w14:textFill>
                    </w:rPr>
                    <w:t>大气环境</w:t>
                  </w:r>
                </w:p>
              </w:tc>
            </w:tr>
            <w:tr w14:paraId="46A38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695" w:type="pct"/>
                  <w:vMerge w:val="continue"/>
                  <w:tcBorders>
                    <w:tl2br w:val="nil"/>
                    <w:tr2bl w:val="nil"/>
                  </w:tcBorders>
                  <w:vAlign w:val="center"/>
                </w:tcPr>
                <w:p w14:paraId="1E8D508D">
                  <w:pPr>
                    <w:pStyle w:val="83"/>
                    <w:spacing w:line="240" w:lineRule="auto"/>
                    <w:jc w:val="center"/>
                    <w:rPr>
                      <w:rFonts w:hint="default" w:ascii="Times New Roman" w:hAnsi="Times New Roman" w:eastAsia="宋体" w:cs="Times New Roman"/>
                      <w:color w:val="000000" w:themeColor="text1"/>
                      <w:sz w:val="21"/>
                      <w:lang w:val="en-US" w:eastAsia="zh-CN"/>
                      <w14:textFill>
                        <w14:solidFill>
                          <w14:schemeClr w14:val="tx1"/>
                        </w14:solidFill>
                      </w14:textFill>
                    </w:rPr>
                  </w:pPr>
                </w:p>
              </w:tc>
              <w:tc>
                <w:tcPr>
                  <w:tcW w:w="632" w:type="pct"/>
                  <w:vMerge w:val="continue"/>
                  <w:tcBorders>
                    <w:tl2br w:val="nil"/>
                    <w:tr2bl w:val="nil"/>
                  </w:tcBorders>
                  <w:shd w:val="clear" w:color="auto" w:fill="auto"/>
                  <w:vAlign w:val="center"/>
                </w:tcPr>
                <w:p w14:paraId="73AB2EBB">
                  <w:pPr>
                    <w:pStyle w:val="83"/>
                    <w:spacing w:line="240" w:lineRule="auto"/>
                    <w:jc w:val="center"/>
                    <w:rPr>
                      <w:rFonts w:hint="eastAsia" w:ascii="Times New Roman" w:hAnsi="Times New Roman" w:eastAsia="宋体" w:cs="Times New Roman"/>
                      <w:snapToGrid w:val="0"/>
                      <w:color w:val="000000" w:themeColor="text1"/>
                      <w:spacing w:val="4"/>
                      <w:sz w:val="21"/>
                      <w:szCs w:val="21"/>
                      <w:lang w:val="en-US" w:eastAsia="zh-CN" w:bidi="ar-SA"/>
                      <w14:textFill>
                        <w14:solidFill>
                          <w14:schemeClr w14:val="tx1"/>
                        </w14:solidFill>
                      </w14:textFill>
                    </w:rPr>
                  </w:pPr>
                </w:p>
              </w:tc>
              <w:tc>
                <w:tcPr>
                  <w:tcW w:w="761" w:type="pct"/>
                  <w:tcBorders>
                    <w:tl2br w:val="nil"/>
                    <w:tr2bl w:val="nil"/>
                  </w:tcBorders>
                  <w:shd w:val="clear" w:color="auto" w:fill="auto"/>
                  <w:vAlign w:val="center"/>
                </w:tcPr>
                <w:p w14:paraId="4E04AD1C">
                  <w:pPr>
                    <w:pStyle w:val="83"/>
                    <w:spacing w:line="240" w:lineRule="auto"/>
                    <w:jc w:val="center"/>
                    <w:rPr>
                      <w:rFonts w:hint="eastAsia" w:ascii="Times New Roman" w:hAnsi="Times New Roman" w:eastAsia="宋体" w:cs="Times New Roman"/>
                      <w:snapToGrid w:val="0"/>
                      <w:color w:val="FF0000"/>
                      <w:spacing w:val="4"/>
                      <w:sz w:val="21"/>
                      <w:szCs w:val="21"/>
                      <w:highlight w:val="none"/>
                      <w:lang w:val="en-US" w:eastAsia="zh-CN" w:bidi="ar-SA"/>
                    </w:rPr>
                  </w:pPr>
                  <w:r>
                    <w:rPr>
                      <w:rFonts w:hint="eastAsia" w:ascii="Times New Roman" w:hAnsi="Times New Roman" w:cs="Times New Roman"/>
                      <w:color w:val="FF0000"/>
                      <w:sz w:val="21"/>
                      <w:szCs w:val="21"/>
                      <w:highlight w:val="none"/>
                    </w:rPr>
                    <w:t>颗粒物</w:t>
                  </w:r>
                </w:p>
              </w:tc>
              <w:tc>
                <w:tcPr>
                  <w:tcW w:w="1473" w:type="dxa"/>
                  <w:tcBorders>
                    <w:tl2br w:val="nil"/>
                    <w:tr2bl w:val="nil"/>
                  </w:tcBorders>
                  <w:shd w:val="clear" w:color="auto" w:fill="auto"/>
                  <w:vAlign w:val="center"/>
                </w:tcPr>
                <w:p w14:paraId="68A1CF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val="0"/>
                      <w:color w:val="FF0000"/>
                      <w:spacing w:val="4"/>
                      <w:sz w:val="21"/>
                      <w:szCs w:val="21"/>
                      <w:highlight w:val="no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0.009</w:t>
                  </w:r>
                </w:p>
              </w:tc>
              <w:tc>
                <w:tcPr>
                  <w:tcW w:w="1370" w:type="dxa"/>
                  <w:tcBorders>
                    <w:tl2br w:val="nil"/>
                    <w:tr2bl w:val="nil"/>
                  </w:tcBorders>
                  <w:shd w:val="clear" w:color="auto" w:fill="auto"/>
                  <w:vAlign w:val="center"/>
                </w:tcPr>
                <w:p w14:paraId="71B445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napToGrid w:val="0"/>
                      <w:color w:val="FF0000"/>
                      <w:spacing w:val="4"/>
                      <w:sz w:val="21"/>
                      <w:szCs w:val="21"/>
                      <w:highlight w:val="no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0.0019</w:t>
                  </w:r>
                </w:p>
              </w:tc>
              <w:tc>
                <w:tcPr>
                  <w:tcW w:w="1132" w:type="dxa"/>
                  <w:tcBorders>
                    <w:tl2br w:val="nil"/>
                    <w:tr2bl w:val="nil"/>
                  </w:tcBorders>
                  <w:shd w:val="clear" w:color="auto" w:fill="auto"/>
                  <w:vAlign w:val="center"/>
                </w:tcPr>
                <w:p w14:paraId="4FADC21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napToGrid w:val="0"/>
                      <w:color w:val="FF0000"/>
                      <w:spacing w:val="4"/>
                      <w:sz w:val="21"/>
                      <w:szCs w:val="21"/>
                      <w:highlight w:val="no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0.24</w:t>
                  </w:r>
                </w:p>
              </w:tc>
              <w:tc>
                <w:tcPr>
                  <w:tcW w:w="661" w:type="pct"/>
                  <w:vMerge w:val="continue"/>
                  <w:tcBorders>
                    <w:tl2br w:val="nil"/>
                    <w:tr2bl w:val="nil"/>
                  </w:tcBorders>
                  <w:vAlign w:val="center"/>
                </w:tcPr>
                <w:p w14:paraId="17066199">
                  <w:pPr>
                    <w:pStyle w:val="83"/>
                    <w:spacing w:line="240" w:lineRule="auto"/>
                    <w:jc w:val="center"/>
                    <w:rPr>
                      <w:rFonts w:hint="eastAsia" w:ascii="Times New Roman" w:hAnsi="Times New Roman" w:eastAsia="宋体" w:cs="Times New Roman"/>
                      <w:color w:val="000000" w:themeColor="text1"/>
                      <w:sz w:val="21"/>
                      <w:lang w:val="en-US" w:eastAsia="zh-CN"/>
                      <w14:textFill>
                        <w14:solidFill>
                          <w14:schemeClr w14:val="tx1"/>
                        </w14:solidFill>
                      </w14:textFill>
                    </w:rPr>
                  </w:pPr>
                </w:p>
              </w:tc>
            </w:tr>
          </w:tbl>
          <w:p w14:paraId="6C947002">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）非正常排放防治措施</w:t>
            </w:r>
          </w:p>
          <w:p w14:paraId="0038137F">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针对以上非正常排放情形，本评价建议建设单位在生产运营期间采取以下控制措施以避免或减少废气非正常排放。</w:t>
            </w:r>
          </w:p>
          <w:p w14:paraId="1F309799">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①规范车间生产操作，避免因员工操作不当导致工艺设备、环保设施故障引发废气事故排放。</w:t>
            </w:r>
          </w:p>
          <w:p w14:paraId="4B77137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②定期对生产设施及废气处理设施进行检查维护，杜绝非正常工况发生，避免非正常排放出现后才采取维护措施。</w:t>
            </w:r>
          </w:p>
          <w:p w14:paraId="1E8551F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2B75155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87" w:name="_Toc7062"/>
            <w:r>
              <w:rPr>
                <w:rFonts w:hint="eastAsia" w:ascii="Times New Roman" w:hAnsi="Times New Roman" w:eastAsia="宋体" w:cs="Times New Roman"/>
                <w:color w:val="auto"/>
                <w:sz w:val="28"/>
                <w:szCs w:val="28"/>
                <w:u w:val="none"/>
                <w:lang w:val="en-US" w:eastAsia="zh-CN"/>
              </w:rPr>
              <w:t>4.2水环境影响分析和污染防治措施</w:t>
            </w:r>
            <w:bookmarkEnd w:id="87"/>
          </w:p>
          <w:p w14:paraId="69ACD4F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88" w:name="_Toc12276"/>
            <w:r>
              <w:rPr>
                <w:rFonts w:hint="eastAsia"/>
                <w:b/>
                <w:color w:val="262626"/>
                <w:kern w:val="0"/>
                <w:sz w:val="24"/>
                <w:lang w:val="en-US" w:eastAsia="zh-CN"/>
              </w:rPr>
              <w:t>4.2.1运营期废水源强分析</w:t>
            </w:r>
            <w:bookmarkEnd w:id="88"/>
          </w:p>
          <w:p w14:paraId="63AE6B8D">
            <w:pPr>
              <w:keepNext w:val="0"/>
              <w:pageBreakBefore w:val="0"/>
              <w:numPr>
                <w:ilvl w:val="0"/>
                <w:numId w:val="0"/>
              </w:numPr>
              <w:kinsoku/>
              <w:wordWrap/>
              <w:overflowPunct/>
              <w:topLinePunct w:val="0"/>
              <w:bidi w:val="0"/>
              <w:adjustRightInd w:val="0"/>
              <w:snapToGrid w:val="0"/>
              <w:spacing w:line="360" w:lineRule="auto"/>
              <w:ind w:firstLine="480" w:firstLineChars="200"/>
              <w:rPr>
                <w:rFonts w:hint="default"/>
                <w:lang w:val="en-US" w:eastAsia="zh-CN"/>
              </w:rPr>
            </w:pPr>
            <w:r>
              <w:rPr>
                <w:rFonts w:hint="eastAsia" w:cs="Times New Roman"/>
                <w:bCs/>
                <w:color w:val="auto"/>
                <w:sz w:val="24"/>
                <w:highlight w:val="none"/>
                <w:lang w:val="en-US" w:eastAsia="zh-CN"/>
              </w:rPr>
              <w:t>（1）设备间接冷却水</w:t>
            </w:r>
          </w:p>
          <w:p w14:paraId="72967B08">
            <w:pPr>
              <w:widowControl/>
              <w:spacing w:line="360" w:lineRule="auto"/>
              <w:ind w:firstLine="480" w:firstLineChars="200"/>
              <w:jc w:val="left"/>
              <w:rPr>
                <w:sz w:val="24"/>
              </w:rPr>
            </w:pPr>
            <w:r>
              <w:rPr>
                <w:rFonts w:hint="eastAsia"/>
                <w:sz w:val="24"/>
              </w:rPr>
              <w:t>根据水平衡分析可知，项目拟设置1台冷却水塔，</w:t>
            </w:r>
            <w:r>
              <w:rPr>
                <w:sz w:val="24"/>
              </w:rPr>
              <w:t>在循环过程中因受热等因素损失的水量，</w:t>
            </w:r>
            <w:r>
              <w:rPr>
                <w:rFonts w:hint="eastAsia"/>
                <w:sz w:val="24"/>
              </w:rPr>
              <w:t>约</w:t>
            </w:r>
            <w:r>
              <w:rPr>
                <w:rFonts w:hint="eastAsia"/>
                <w:sz w:val="24"/>
                <w:lang w:val="en-US" w:eastAsia="zh-CN"/>
              </w:rPr>
              <w:t>0.094t</w:t>
            </w:r>
            <w:r>
              <w:rPr>
                <w:rFonts w:hint="eastAsia"/>
                <w:sz w:val="24"/>
              </w:rPr>
              <w:t>/d，</w:t>
            </w:r>
            <w:r>
              <w:rPr>
                <w:sz w:val="24"/>
              </w:rPr>
              <w:t>则年补充新鲜水量约</w:t>
            </w:r>
            <w:r>
              <w:rPr>
                <w:rFonts w:hint="eastAsia"/>
                <w:sz w:val="24"/>
                <w:lang w:val="en-US" w:eastAsia="zh-CN"/>
              </w:rPr>
              <w:t>449.28</w:t>
            </w:r>
            <w:r>
              <w:rPr>
                <w:sz w:val="24"/>
              </w:rPr>
              <w:t>t/a。</w:t>
            </w:r>
          </w:p>
          <w:p w14:paraId="04132B7E">
            <w:pPr>
              <w:keepNext w:val="0"/>
              <w:pageBreakBefore w:val="0"/>
              <w:kinsoku/>
              <w:wordWrap/>
              <w:overflowPunct/>
              <w:topLinePunct w:val="0"/>
              <w:bidi w:val="0"/>
              <w:adjustRightInd w:val="0"/>
              <w:snapToGrid w:val="0"/>
              <w:spacing w:line="360" w:lineRule="auto"/>
              <w:ind w:firstLine="480" w:firstLineChars="200"/>
              <w:rPr>
                <w:rFonts w:hint="eastAsia"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w:t>
            </w:r>
            <w:r>
              <w:rPr>
                <w:rFonts w:hint="eastAsia" w:cs="Times New Roman"/>
                <w:bCs/>
                <w:color w:val="auto"/>
                <w:sz w:val="24"/>
                <w:highlight w:val="none"/>
                <w:lang w:val="en-US" w:eastAsia="zh-CN"/>
              </w:rPr>
              <w:t>除油前清洗水、除油后清洗水、钝化后清洗水</w:t>
            </w:r>
          </w:p>
          <w:p w14:paraId="655B20DD">
            <w:pPr>
              <w:keepNext w:val="0"/>
              <w:pageBreakBefore w:val="0"/>
              <w:kinsoku/>
              <w:wordWrap/>
              <w:overflowPunct/>
              <w:topLinePunct w:val="0"/>
              <w:bidi w:val="0"/>
              <w:adjustRightInd w:val="0"/>
              <w:snapToGrid w:val="0"/>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Cs/>
                <w:color w:val="auto"/>
                <w:sz w:val="24"/>
                <w:highlight w:val="none"/>
                <w:lang w:val="en-US" w:eastAsia="zh-CN"/>
              </w:rPr>
              <w:t>本项目喷粉前的预处理工序会产生除油前清洗水、除油后清洗水和钝化后清洗水。本项目产品为工业连接器及工业线缆，铝合金壳体需经“水洗→碱性除油→水洗→硅烷钝化→水洗”工序，属于《国民经济行业分类》（GB/T4754-2017）中“3360金属表面处理及热处理加工”大类下的“喷涂前钝化处理”单元。根据《排放源统计调查产排污核算方法和系数手册》中《3360 电镀行业（不含电子元器件和线路板）系数表》核算，除油前清洗水、除油后清洗水和钝化后清洗水</w:t>
            </w:r>
            <w:r>
              <w:rPr>
                <w:rFonts w:hint="default" w:ascii="Times New Roman" w:hAnsi="Times New Roman" w:eastAsia="宋体" w:cs="Times New Roman"/>
                <w:b w:val="0"/>
                <w:bCs w:val="0"/>
                <w:color w:val="auto"/>
                <w:sz w:val="24"/>
                <w:szCs w:val="24"/>
                <w:highlight w:val="none"/>
                <w:lang w:val="en-US" w:eastAsia="zh-CN"/>
              </w:rPr>
              <w:t>各污染物产排情况详见表4.</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-1</w:t>
            </w:r>
            <w:r>
              <w:rPr>
                <w:rFonts w:hint="eastAsia" w:cs="Times New Roman"/>
                <w:b w:val="0"/>
                <w:bCs w:val="0"/>
                <w:color w:val="auto"/>
                <w:sz w:val="24"/>
                <w:szCs w:val="24"/>
                <w:highlight w:val="none"/>
                <w:lang w:val="en-US" w:eastAsia="zh-CN"/>
              </w:rPr>
              <w:t>。</w:t>
            </w:r>
          </w:p>
          <w:p w14:paraId="7EAB9C2A">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 废水污染物产生及排放情况一览表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2470"/>
              <w:gridCol w:w="1008"/>
              <w:gridCol w:w="1008"/>
              <w:gridCol w:w="1008"/>
              <w:gridCol w:w="1010"/>
              <w:gridCol w:w="1016"/>
            </w:tblGrid>
            <w:tr w14:paraId="1D5BB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tcBorders>
                    <w:bottom w:val="single" w:color="auto" w:sz="12" w:space="0"/>
                  </w:tcBorders>
                  <w:noWrap w:val="0"/>
                  <w:vAlign w:val="center"/>
                </w:tcPr>
                <w:p w14:paraId="47177BE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1395" w:type="pct"/>
                  <w:tcBorders>
                    <w:bottom w:val="single" w:color="auto" w:sz="12" w:space="0"/>
                  </w:tcBorders>
                  <w:noWrap w:val="0"/>
                  <w:vAlign w:val="center"/>
                </w:tcPr>
                <w:p w14:paraId="3E6FAD3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70" w:type="pct"/>
                  <w:tcBorders>
                    <w:bottom w:val="single" w:color="auto" w:sz="12" w:space="0"/>
                  </w:tcBorders>
                  <w:noWrap w:val="0"/>
                  <w:vAlign w:val="center"/>
                </w:tcPr>
                <w:p w14:paraId="0A5DC85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70" w:type="pct"/>
                  <w:tcBorders>
                    <w:bottom w:val="single" w:color="auto" w:sz="12" w:space="0"/>
                  </w:tcBorders>
                  <w:noWrap w:val="0"/>
                  <w:vAlign w:val="center"/>
                </w:tcPr>
                <w:p w14:paraId="651F994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0" w:type="pct"/>
                  <w:tcBorders>
                    <w:bottom w:val="single" w:color="auto" w:sz="12" w:space="0"/>
                  </w:tcBorders>
                  <w:noWrap w:val="0"/>
                  <w:vAlign w:val="center"/>
                </w:tcPr>
                <w:p w14:paraId="5BB5725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571" w:type="pct"/>
                  <w:tcBorders>
                    <w:bottom w:val="single" w:color="auto" w:sz="12" w:space="0"/>
                  </w:tcBorders>
                  <w:noWrap w:val="0"/>
                  <w:vAlign w:val="center"/>
                </w:tcPr>
                <w:p w14:paraId="0C3A104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c>
                <w:tcPr>
                  <w:tcW w:w="571" w:type="pct"/>
                  <w:tcBorders>
                    <w:bottom w:val="single" w:color="auto" w:sz="12" w:space="0"/>
                  </w:tcBorders>
                  <w:noWrap w:val="0"/>
                  <w:vAlign w:val="center"/>
                </w:tcPr>
                <w:p w14:paraId="720BCFF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石油类</w:t>
                  </w:r>
                </w:p>
              </w:tc>
            </w:tr>
            <w:tr w14:paraId="2AD5A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op w:val="single" w:color="auto" w:sz="12" w:space="0"/>
                    <w:tl2br w:val="nil"/>
                    <w:tr2bl w:val="nil"/>
                  </w:tcBorders>
                  <w:noWrap w:val="0"/>
                  <w:vAlign w:val="center"/>
                </w:tcPr>
                <w:p w14:paraId="1378BC2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除油前清洗水（</w:t>
                  </w:r>
                  <w:r>
                    <w:rPr>
                      <w:rFonts w:hint="eastAsia" w:ascii="Times New Roman" w:hAnsi="Times New Roman" w:eastAsia="宋体" w:cs="Times New Roman"/>
                      <w:color w:val="auto"/>
                      <w:sz w:val="21"/>
                      <w:szCs w:val="21"/>
                      <w:vertAlign w:val="baseline"/>
                      <w:lang w:val="en-US" w:eastAsia="zh-CN"/>
                    </w:rPr>
                    <w:t>17.09</w:t>
                  </w:r>
                  <w:r>
                    <w:rPr>
                      <w:rFonts w:hint="default" w:ascii="Times New Roman" w:hAnsi="Times New Roman" w:eastAsia="宋体" w:cs="Times New Roman"/>
                      <w:color w:val="auto"/>
                      <w:sz w:val="21"/>
                      <w:szCs w:val="21"/>
                      <w:vertAlign w:val="baseline"/>
                      <w:lang w:val="en-US" w:eastAsia="zh-CN"/>
                    </w:rPr>
                    <w:t>t/a）</w:t>
                  </w:r>
                </w:p>
              </w:tc>
              <w:tc>
                <w:tcPr>
                  <w:tcW w:w="1395" w:type="pct"/>
                  <w:tcBorders>
                    <w:top w:val="single" w:color="auto" w:sz="12" w:space="0"/>
                    <w:tl2br w:val="nil"/>
                    <w:tr2bl w:val="nil"/>
                  </w:tcBorders>
                  <w:noWrap w:val="0"/>
                  <w:vAlign w:val="center"/>
                </w:tcPr>
                <w:p w14:paraId="58B61C4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70" w:type="pct"/>
                  <w:tcBorders>
                    <w:top w:val="single" w:color="auto" w:sz="12" w:space="0"/>
                    <w:tl2br w:val="nil"/>
                    <w:tr2bl w:val="nil"/>
                  </w:tcBorders>
                  <w:noWrap w:val="0"/>
                  <w:vAlign w:val="center"/>
                </w:tcPr>
                <w:p w14:paraId="3FABE81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70" w:type="pct"/>
                  <w:tcBorders>
                    <w:top w:val="single" w:color="auto" w:sz="12" w:space="0"/>
                    <w:tl2br w:val="nil"/>
                    <w:tr2bl w:val="nil"/>
                  </w:tcBorders>
                  <w:noWrap w:val="0"/>
                  <w:vAlign w:val="center"/>
                </w:tcPr>
                <w:p w14:paraId="2CAAA8B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570" w:type="pct"/>
                  <w:tcBorders>
                    <w:top w:val="single" w:color="auto" w:sz="12" w:space="0"/>
                    <w:tl2br w:val="nil"/>
                    <w:tr2bl w:val="nil"/>
                  </w:tcBorders>
                  <w:noWrap w:val="0"/>
                  <w:vAlign w:val="center"/>
                </w:tcPr>
                <w:p w14:paraId="52A3B2F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w:t>
                  </w:r>
                </w:p>
              </w:tc>
              <w:tc>
                <w:tcPr>
                  <w:tcW w:w="571" w:type="pct"/>
                  <w:tcBorders>
                    <w:top w:val="single" w:color="auto" w:sz="12" w:space="0"/>
                    <w:tl2br w:val="nil"/>
                    <w:tr2bl w:val="nil"/>
                  </w:tcBorders>
                  <w:noWrap w:val="0"/>
                  <w:vAlign w:val="center"/>
                </w:tcPr>
                <w:p w14:paraId="7B8837F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571" w:type="pct"/>
                  <w:tcBorders>
                    <w:top w:val="single" w:color="auto" w:sz="12" w:space="0"/>
                    <w:tl2br w:val="nil"/>
                    <w:tr2bl w:val="nil"/>
                  </w:tcBorders>
                  <w:noWrap w:val="0"/>
                  <w:vAlign w:val="center"/>
                </w:tcPr>
                <w:p w14:paraId="17CCB08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113EC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544FBAF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55BC631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70" w:type="pct"/>
                  <w:tcBorders>
                    <w:tl2br w:val="nil"/>
                    <w:tr2bl w:val="nil"/>
                  </w:tcBorders>
                  <w:noWrap w:val="0"/>
                  <w:vAlign w:val="center"/>
                </w:tcPr>
                <w:p w14:paraId="79A70B4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0.003418</w:t>
                  </w:r>
                </w:p>
              </w:tc>
              <w:tc>
                <w:tcPr>
                  <w:tcW w:w="570" w:type="pct"/>
                  <w:tcBorders>
                    <w:tl2br w:val="nil"/>
                    <w:tr2bl w:val="nil"/>
                  </w:tcBorders>
                  <w:noWrap w:val="0"/>
                  <w:vAlign w:val="center"/>
                </w:tcPr>
                <w:p w14:paraId="51C7E04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0.001709</w:t>
                  </w:r>
                </w:p>
              </w:tc>
              <w:tc>
                <w:tcPr>
                  <w:tcW w:w="570" w:type="pct"/>
                  <w:tcBorders>
                    <w:tl2br w:val="nil"/>
                    <w:tr2bl w:val="nil"/>
                  </w:tcBorders>
                  <w:noWrap w:val="0"/>
                  <w:vAlign w:val="center"/>
                </w:tcPr>
                <w:p w14:paraId="276FEA6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0.002564</w:t>
                  </w:r>
                </w:p>
              </w:tc>
              <w:tc>
                <w:tcPr>
                  <w:tcW w:w="571" w:type="pct"/>
                  <w:tcBorders>
                    <w:tl2br w:val="nil"/>
                    <w:tr2bl w:val="nil"/>
                  </w:tcBorders>
                  <w:noWrap w:val="0"/>
                  <w:vAlign w:val="center"/>
                </w:tcPr>
                <w:p w14:paraId="37A94CB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0.000171</w:t>
                  </w:r>
                </w:p>
              </w:tc>
              <w:tc>
                <w:tcPr>
                  <w:tcW w:w="571" w:type="pct"/>
                  <w:tcBorders>
                    <w:tl2br w:val="nil"/>
                    <w:tr2bl w:val="nil"/>
                  </w:tcBorders>
                  <w:noWrap w:val="0"/>
                  <w:vAlign w:val="center"/>
                </w:tcPr>
                <w:p w14:paraId="5BCF806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69620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l2br w:val="nil"/>
                    <w:tr2bl w:val="nil"/>
                  </w:tcBorders>
                  <w:noWrap w:val="0"/>
                  <w:vAlign w:val="center"/>
                </w:tcPr>
                <w:p w14:paraId="1A2F132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除油后清洗水（</w:t>
                  </w:r>
                  <w:r>
                    <w:rPr>
                      <w:rFonts w:hint="eastAsia" w:ascii="Times New Roman" w:hAnsi="Times New Roman" w:eastAsia="宋体" w:cs="Times New Roman"/>
                      <w:color w:val="auto"/>
                      <w:sz w:val="21"/>
                      <w:szCs w:val="21"/>
                      <w:vertAlign w:val="baseline"/>
                      <w:lang w:val="en-US" w:eastAsia="zh-CN"/>
                    </w:rPr>
                    <w:t>17.09</w:t>
                  </w:r>
                  <w:r>
                    <w:rPr>
                      <w:rFonts w:hint="default" w:ascii="Times New Roman" w:hAnsi="Times New Roman" w:eastAsia="宋体" w:cs="Times New Roman"/>
                      <w:color w:val="auto"/>
                      <w:sz w:val="21"/>
                      <w:szCs w:val="21"/>
                      <w:vertAlign w:val="baseline"/>
                      <w:lang w:val="en-US" w:eastAsia="zh-CN"/>
                    </w:rPr>
                    <w:t>t/a）</w:t>
                  </w:r>
                </w:p>
              </w:tc>
              <w:tc>
                <w:tcPr>
                  <w:tcW w:w="1395" w:type="pct"/>
                  <w:tcBorders>
                    <w:tl2br w:val="nil"/>
                    <w:tr2bl w:val="nil"/>
                  </w:tcBorders>
                  <w:noWrap w:val="0"/>
                  <w:vAlign w:val="center"/>
                </w:tcPr>
                <w:p w14:paraId="4E8548B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70" w:type="pct"/>
                  <w:tcBorders>
                    <w:tl2br w:val="nil"/>
                    <w:tr2bl w:val="nil"/>
                  </w:tcBorders>
                  <w:noWrap w:val="0"/>
                  <w:vAlign w:val="center"/>
                </w:tcPr>
                <w:p w14:paraId="6FE644F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450</w:t>
                  </w:r>
                </w:p>
              </w:tc>
              <w:tc>
                <w:tcPr>
                  <w:tcW w:w="570" w:type="pct"/>
                  <w:tcBorders>
                    <w:tl2br w:val="nil"/>
                    <w:tr2bl w:val="nil"/>
                  </w:tcBorders>
                  <w:noWrap w:val="0"/>
                  <w:vAlign w:val="center"/>
                </w:tcPr>
                <w:p w14:paraId="3119896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225</w:t>
                  </w:r>
                </w:p>
              </w:tc>
              <w:tc>
                <w:tcPr>
                  <w:tcW w:w="570" w:type="pct"/>
                  <w:tcBorders>
                    <w:tl2br w:val="nil"/>
                    <w:tr2bl w:val="nil"/>
                  </w:tcBorders>
                  <w:noWrap w:val="0"/>
                  <w:vAlign w:val="center"/>
                </w:tcPr>
                <w:p w14:paraId="78EDF51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120</w:t>
                  </w:r>
                </w:p>
              </w:tc>
              <w:tc>
                <w:tcPr>
                  <w:tcW w:w="571" w:type="pct"/>
                  <w:tcBorders>
                    <w:tl2br w:val="nil"/>
                    <w:tr2bl w:val="nil"/>
                  </w:tcBorders>
                  <w:noWrap w:val="0"/>
                  <w:vAlign w:val="center"/>
                </w:tcPr>
                <w:p w14:paraId="4A9DD157">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w:t>
                  </w:r>
                </w:p>
              </w:tc>
              <w:tc>
                <w:tcPr>
                  <w:tcW w:w="571" w:type="pct"/>
                  <w:tcBorders>
                    <w:tl2br w:val="nil"/>
                    <w:tr2bl w:val="nil"/>
                  </w:tcBorders>
                  <w:noWrap w:val="0"/>
                  <w:vAlign w:val="center"/>
                </w:tcPr>
                <w:p w14:paraId="45B8F63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w:t>
                  </w:r>
                </w:p>
              </w:tc>
            </w:tr>
            <w:tr w14:paraId="2F61B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144BE45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7D2811E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70" w:type="pct"/>
                  <w:tcBorders>
                    <w:tl2br w:val="nil"/>
                    <w:tr2bl w:val="nil"/>
                  </w:tcBorders>
                  <w:noWrap w:val="0"/>
                  <w:vAlign w:val="center"/>
                </w:tcPr>
                <w:p w14:paraId="0F42FF9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0.00769</w:t>
                  </w:r>
                </w:p>
              </w:tc>
              <w:tc>
                <w:tcPr>
                  <w:tcW w:w="570" w:type="pct"/>
                  <w:tcBorders>
                    <w:tl2br w:val="nil"/>
                    <w:tr2bl w:val="nil"/>
                  </w:tcBorders>
                  <w:noWrap w:val="0"/>
                  <w:vAlign w:val="center"/>
                </w:tcPr>
                <w:p w14:paraId="1C21DCA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0.003845</w:t>
                  </w:r>
                </w:p>
              </w:tc>
              <w:tc>
                <w:tcPr>
                  <w:tcW w:w="570" w:type="pct"/>
                  <w:tcBorders>
                    <w:tl2br w:val="nil"/>
                    <w:tr2bl w:val="nil"/>
                  </w:tcBorders>
                  <w:noWrap w:val="0"/>
                  <w:vAlign w:val="center"/>
                </w:tcPr>
                <w:p w14:paraId="182F495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0.002051</w:t>
                  </w:r>
                </w:p>
              </w:tc>
              <w:tc>
                <w:tcPr>
                  <w:tcW w:w="571" w:type="pct"/>
                  <w:tcBorders>
                    <w:tl2br w:val="nil"/>
                    <w:tr2bl w:val="nil"/>
                  </w:tcBorders>
                  <w:noWrap w:val="0"/>
                  <w:vAlign w:val="center"/>
                </w:tcPr>
                <w:p w14:paraId="467E21D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0.000256</w:t>
                  </w:r>
                </w:p>
              </w:tc>
              <w:tc>
                <w:tcPr>
                  <w:tcW w:w="571" w:type="pct"/>
                  <w:tcBorders>
                    <w:tl2br w:val="nil"/>
                    <w:tr2bl w:val="nil"/>
                  </w:tcBorders>
                  <w:noWrap w:val="0"/>
                  <w:vAlign w:val="center"/>
                </w:tcPr>
                <w:p w14:paraId="76CCD44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0.001709</w:t>
                  </w:r>
                </w:p>
              </w:tc>
            </w:tr>
            <w:tr w14:paraId="6E48C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l2br w:val="nil"/>
                    <w:tr2bl w:val="nil"/>
                  </w:tcBorders>
                  <w:noWrap w:val="0"/>
                  <w:vAlign w:val="center"/>
                </w:tcPr>
                <w:p w14:paraId="5BA3712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钝化后清洗水（</w:t>
                  </w:r>
                  <w:r>
                    <w:rPr>
                      <w:rFonts w:hint="eastAsia" w:ascii="Times New Roman" w:hAnsi="Times New Roman" w:eastAsia="宋体" w:cs="Times New Roman"/>
                      <w:color w:val="auto"/>
                      <w:sz w:val="21"/>
                      <w:szCs w:val="21"/>
                      <w:vertAlign w:val="baseline"/>
                      <w:lang w:val="en-US" w:eastAsia="zh-CN"/>
                    </w:rPr>
                    <w:t>17.09</w:t>
                  </w:r>
                  <w:r>
                    <w:rPr>
                      <w:rFonts w:hint="default" w:ascii="Times New Roman" w:hAnsi="Times New Roman" w:eastAsia="宋体" w:cs="Times New Roman"/>
                      <w:color w:val="auto"/>
                      <w:sz w:val="21"/>
                      <w:szCs w:val="21"/>
                      <w:vertAlign w:val="baseline"/>
                      <w:lang w:val="en-US" w:eastAsia="zh-CN"/>
                    </w:rPr>
                    <w:t>t/a）</w:t>
                  </w:r>
                </w:p>
              </w:tc>
              <w:tc>
                <w:tcPr>
                  <w:tcW w:w="1395" w:type="pct"/>
                  <w:tcBorders>
                    <w:tl2br w:val="nil"/>
                    <w:tr2bl w:val="nil"/>
                  </w:tcBorders>
                  <w:noWrap w:val="0"/>
                  <w:vAlign w:val="center"/>
                </w:tcPr>
                <w:p w14:paraId="2D34866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70" w:type="pct"/>
                  <w:tcBorders>
                    <w:tl2br w:val="nil"/>
                    <w:tr2bl w:val="nil"/>
                  </w:tcBorders>
                  <w:noWrap w:val="0"/>
                  <w:vAlign w:val="center"/>
                </w:tcPr>
                <w:p w14:paraId="2DDD758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300</w:t>
                  </w:r>
                </w:p>
              </w:tc>
              <w:tc>
                <w:tcPr>
                  <w:tcW w:w="570" w:type="pct"/>
                  <w:tcBorders>
                    <w:tl2br w:val="nil"/>
                    <w:tr2bl w:val="nil"/>
                  </w:tcBorders>
                  <w:noWrap w:val="0"/>
                  <w:vAlign w:val="center"/>
                </w:tcPr>
                <w:p w14:paraId="233E50A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150</w:t>
                  </w:r>
                </w:p>
              </w:tc>
              <w:tc>
                <w:tcPr>
                  <w:tcW w:w="570" w:type="pct"/>
                  <w:tcBorders>
                    <w:tl2br w:val="nil"/>
                    <w:tr2bl w:val="nil"/>
                  </w:tcBorders>
                  <w:noWrap w:val="0"/>
                  <w:vAlign w:val="center"/>
                </w:tcPr>
                <w:p w14:paraId="2394DBF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w:t>
                  </w:r>
                </w:p>
              </w:tc>
              <w:tc>
                <w:tcPr>
                  <w:tcW w:w="571" w:type="pct"/>
                  <w:tcBorders>
                    <w:tl2br w:val="nil"/>
                    <w:tr2bl w:val="nil"/>
                  </w:tcBorders>
                  <w:noWrap w:val="0"/>
                  <w:vAlign w:val="center"/>
                </w:tcPr>
                <w:p w14:paraId="16E0A2F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571" w:type="pct"/>
                  <w:tcBorders>
                    <w:tl2br w:val="nil"/>
                    <w:tr2bl w:val="nil"/>
                  </w:tcBorders>
                  <w:noWrap w:val="0"/>
                  <w:vAlign w:val="center"/>
                </w:tcPr>
                <w:p w14:paraId="4B939EE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210E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2019C5E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589B7BE7">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70" w:type="pct"/>
                  <w:tcBorders>
                    <w:tl2br w:val="nil"/>
                    <w:tr2bl w:val="nil"/>
                  </w:tcBorders>
                  <w:noWrap w:val="0"/>
                  <w:vAlign w:val="center"/>
                </w:tcPr>
                <w:p w14:paraId="7B5EDF6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0.005127</w:t>
                  </w:r>
                </w:p>
              </w:tc>
              <w:tc>
                <w:tcPr>
                  <w:tcW w:w="570" w:type="pct"/>
                  <w:tcBorders>
                    <w:tl2br w:val="nil"/>
                    <w:tr2bl w:val="nil"/>
                  </w:tcBorders>
                  <w:noWrap w:val="0"/>
                  <w:vAlign w:val="center"/>
                </w:tcPr>
                <w:p w14:paraId="24B0B12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0.002564</w:t>
                  </w:r>
                </w:p>
              </w:tc>
              <w:tc>
                <w:tcPr>
                  <w:tcW w:w="570" w:type="pct"/>
                  <w:tcBorders>
                    <w:tl2br w:val="nil"/>
                    <w:tr2bl w:val="nil"/>
                  </w:tcBorders>
                  <w:noWrap w:val="0"/>
                  <w:vAlign w:val="center"/>
                </w:tcPr>
                <w:p w14:paraId="259B46B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0.001709</w:t>
                  </w:r>
                </w:p>
              </w:tc>
              <w:tc>
                <w:tcPr>
                  <w:tcW w:w="571" w:type="pct"/>
                  <w:tcBorders>
                    <w:tl2br w:val="nil"/>
                    <w:tr2bl w:val="nil"/>
                  </w:tcBorders>
                  <w:noWrap w:val="0"/>
                  <w:vAlign w:val="center"/>
                </w:tcPr>
                <w:p w14:paraId="5A7A8C0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0.000171</w:t>
                  </w:r>
                </w:p>
              </w:tc>
              <w:tc>
                <w:tcPr>
                  <w:tcW w:w="571" w:type="pct"/>
                  <w:tcBorders>
                    <w:tl2br w:val="nil"/>
                    <w:tr2bl w:val="nil"/>
                  </w:tcBorders>
                  <w:noWrap w:val="0"/>
                  <w:vAlign w:val="center"/>
                </w:tcPr>
                <w:p w14:paraId="4C87890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72EDB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tcBorders>
                    <w:tl2br w:val="nil"/>
                    <w:tr2bl w:val="nil"/>
                  </w:tcBorders>
                  <w:noWrap w:val="0"/>
                  <w:vAlign w:val="center"/>
                </w:tcPr>
                <w:p w14:paraId="381D9B1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250" w:type="pct"/>
                  <w:gridSpan w:val="6"/>
                  <w:tcBorders>
                    <w:tl2br w:val="nil"/>
                    <w:tr2bl w:val="nil"/>
                  </w:tcBorders>
                  <w:noWrap w:val="0"/>
                  <w:vAlign w:val="center"/>
                </w:tcPr>
                <w:p w14:paraId="4213B95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宋体"/>
                      <w:color w:val="000000" w:themeColor="text1"/>
                      <w:sz w:val="21"/>
                      <w:szCs w:val="21"/>
                      <w:highlight w:val="none"/>
                      <w:lang w:val="en-US" w:eastAsia="zh-CN"/>
                      <w14:textFill>
                        <w14:solidFill>
                          <w14:schemeClr w14:val="tx1"/>
                        </w14:solidFill>
                      </w14:textFill>
                    </w:rPr>
                    <w:t>经过“气浮+A/O+沉淀”处理后回用于清洗工序</w:t>
                  </w:r>
                </w:p>
              </w:tc>
            </w:tr>
            <w:tr w14:paraId="2F086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5" w:type="pct"/>
                  <w:gridSpan w:val="2"/>
                  <w:tcBorders>
                    <w:tl2br w:val="nil"/>
                    <w:tr2bl w:val="nil"/>
                  </w:tcBorders>
                  <w:noWrap w:val="0"/>
                  <w:vAlign w:val="center"/>
                </w:tcPr>
                <w:p w14:paraId="3EB1F73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处理效率</w:t>
                  </w:r>
                </w:p>
              </w:tc>
              <w:tc>
                <w:tcPr>
                  <w:tcW w:w="570" w:type="pct"/>
                  <w:tcBorders>
                    <w:tl2br w:val="nil"/>
                    <w:tr2bl w:val="nil"/>
                  </w:tcBorders>
                  <w:noWrap w:val="0"/>
                  <w:vAlign w:val="center"/>
                </w:tcPr>
                <w:p w14:paraId="012548E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570" w:type="pct"/>
                  <w:tcBorders>
                    <w:tl2br w:val="nil"/>
                    <w:tr2bl w:val="nil"/>
                  </w:tcBorders>
                  <w:noWrap w:val="0"/>
                  <w:vAlign w:val="center"/>
                </w:tcPr>
                <w:p w14:paraId="76D606A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75%</w:t>
                  </w:r>
                </w:p>
              </w:tc>
              <w:tc>
                <w:tcPr>
                  <w:tcW w:w="570" w:type="pct"/>
                  <w:tcBorders>
                    <w:tl2br w:val="nil"/>
                    <w:tr2bl w:val="nil"/>
                  </w:tcBorders>
                  <w:noWrap w:val="0"/>
                  <w:vAlign w:val="center"/>
                </w:tcPr>
                <w:p w14:paraId="3830DE4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65%</w:t>
                  </w:r>
                </w:p>
              </w:tc>
              <w:tc>
                <w:tcPr>
                  <w:tcW w:w="571" w:type="pct"/>
                  <w:tcBorders>
                    <w:tl2br w:val="nil"/>
                    <w:tr2bl w:val="nil"/>
                  </w:tcBorders>
                  <w:noWrap w:val="0"/>
                  <w:vAlign w:val="center"/>
                </w:tcPr>
                <w:p w14:paraId="1922EAD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60%</w:t>
                  </w:r>
                </w:p>
              </w:tc>
              <w:tc>
                <w:tcPr>
                  <w:tcW w:w="571" w:type="pct"/>
                  <w:tcBorders>
                    <w:tl2br w:val="nil"/>
                    <w:tr2bl w:val="nil"/>
                  </w:tcBorders>
                  <w:noWrap w:val="0"/>
                  <w:vAlign w:val="center"/>
                </w:tcPr>
                <w:p w14:paraId="1DA55D2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75%</w:t>
                  </w:r>
                </w:p>
              </w:tc>
            </w:tr>
            <w:tr w14:paraId="7C318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l2br w:val="nil"/>
                    <w:tr2bl w:val="nil"/>
                  </w:tcBorders>
                  <w:noWrap w:val="0"/>
                  <w:vAlign w:val="center"/>
                </w:tcPr>
                <w:p w14:paraId="0A71D05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除油前清洗水（</w:t>
                  </w:r>
                  <w:r>
                    <w:rPr>
                      <w:rFonts w:hint="eastAsia" w:ascii="Times New Roman" w:hAnsi="Times New Roman" w:eastAsia="宋体" w:cs="Times New Roman"/>
                      <w:color w:val="auto"/>
                      <w:sz w:val="21"/>
                      <w:szCs w:val="21"/>
                      <w:vertAlign w:val="baseline"/>
                      <w:lang w:val="en-US" w:eastAsia="zh-CN"/>
                    </w:rPr>
                    <w:t>15.38</w:t>
                  </w:r>
                  <w:r>
                    <w:rPr>
                      <w:rFonts w:hint="default" w:ascii="Times New Roman" w:hAnsi="Times New Roman" w:eastAsia="宋体" w:cs="Times New Roman"/>
                      <w:color w:val="auto"/>
                      <w:sz w:val="21"/>
                      <w:szCs w:val="21"/>
                      <w:vertAlign w:val="baseline"/>
                      <w:lang w:val="en-US" w:eastAsia="zh-CN"/>
                    </w:rPr>
                    <w:t>t/a）</w:t>
                  </w:r>
                </w:p>
              </w:tc>
              <w:tc>
                <w:tcPr>
                  <w:tcW w:w="1395" w:type="pct"/>
                  <w:tcBorders>
                    <w:tl2br w:val="nil"/>
                    <w:tr2bl w:val="nil"/>
                  </w:tcBorders>
                  <w:noWrap w:val="0"/>
                  <w:vAlign w:val="center"/>
                </w:tcPr>
                <w:p w14:paraId="6F325AA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经处理后废水排放浓度（mg/L）</w:t>
                  </w:r>
                </w:p>
              </w:tc>
              <w:tc>
                <w:tcPr>
                  <w:tcW w:w="570" w:type="pct"/>
                  <w:tcBorders>
                    <w:tl2br w:val="nil"/>
                    <w:tr2bl w:val="nil"/>
                  </w:tcBorders>
                  <w:noWrap w:val="0"/>
                  <w:vAlign w:val="center"/>
                </w:tcPr>
                <w:p w14:paraId="59A8805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60</w:t>
                  </w:r>
                </w:p>
              </w:tc>
              <w:tc>
                <w:tcPr>
                  <w:tcW w:w="570" w:type="pct"/>
                  <w:tcBorders>
                    <w:tl2br w:val="nil"/>
                    <w:tr2bl w:val="nil"/>
                  </w:tcBorders>
                  <w:noWrap w:val="0"/>
                  <w:vAlign w:val="center"/>
                </w:tcPr>
                <w:p w14:paraId="34544FF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570" w:type="pct"/>
                  <w:tcBorders>
                    <w:tl2br w:val="nil"/>
                    <w:tr2bl w:val="nil"/>
                  </w:tcBorders>
                  <w:noWrap w:val="0"/>
                  <w:vAlign w:val="center"/>
                </w:tcPr>
                <w:p w14:paraId="3C8615D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52.5</w:t>
                  </w:r>
                </w:p>
              </w:tc>
              <w:tc>
                <w:tcPr>
                  <w:tcW w:w="571" w:type="pct"/>
                  <w:tcBorders>
                    <w:tl2br w:val="nil"/>
                    <w:tr2bl w:val="nil"/>
                  </w:tcBorders>
                  <w:noWrap w:val="0"/>
                  <w:vAlign w:val="center"/>
                </w:tcPr>
                <w:p w14:paraId="2FA660C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571" w:type="pct"/>
                  <w:tcBorders>
                    <w:tl2br w:val="nil"/>
                    <w:tr2bl w:val="nil"/>
                  </w:tcBorders>
                  <w:noWrap w:val="0"/>
                  <w:vAlign w:val="center"/>
                </w:tcPr>
                <w:p w14:paraId="0CA4FB1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1CB50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5E12316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4EC87BC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经处理后废水排放量（t/a）</w:t>
                  </w:r>
                </w:p>
              </w:tc>
              <w:tc>
                <w:tcPr>
                  <w:tcW w:w="570" w:type="pct"/>
                  <w:tcBorders>
                    <w:tl2br w:val="nil"/>
                    <w:tr2bl w:val="nil"/>
                  </w:tcBorders>
                  <w:noWrap w:val="0"/>
                  <w:vAlign w:val="center"/>
                </w:tcPr>
                <w:p w14:paraId="0912233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0.000923</w:t>
                  </w:r>
                </w:p>
              </w:tc>
              <w:tc>
                <w:tcPr>
                  <w:tcW w:w="570" w:type="pct"/>
                  <w:tcBorders>
                    <w:tl2br w:val="nil"/>
                    <w:tr2bl w:val="nil"/>
                  </w:tcBorders>
                  <w:noWrap w:val="0"/>
                  <w:vAlign w:val="center"/>
                </w:tcPr>
                <w:p w14:paraId="618B491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0.000385</w:t>
                  </w:r>
                </w:p>
              </w:tc>
              <w:tc>
                <w:tcPr>
                  <w:tcW w:w="570" w:type="pct"/>
                  <w:tcBorders>
                    <w:tl2br w:val="nil"/>
                    <w:tr2bl w:val="nil"/>
                  </w:tcBorders>
                  <w:noWrap w:val="0"/>
                  <w:vAlign w:val="center"/>
                </w:tcPr>
                <w:p w14:paraId="6A955DA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0.000807</w:t>
                  </w:r>
                </w:p>
              </w:tc>
              <w:tc>
                <w:tcPr>
                  <w:tcW w:w="571" w:type="pct"/>
                  <w:tcBorders>
                    <w:tl2br w:val="nil"/>
                    <w:tr2bl w:val="nil"/>
                  </w:tcBorders>
                  <w:noWrap w:val="0"/>
                  <w:vAlign w:val="center"/>
                </w:tcPr>
                <w:p w14:paraId="229EC58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0.000062</w:t>
                  </w:r>
                </w:p>
              </w:tc>
              <w:tc>
                <w:tcPr>
                  <w:tcW w:w="571" w:type="pct"/>
                  <w:tcBorders>
                    <w:tl2br w:val="nil"/>
                    <w:tr2bl w:val="nil"/>
                  </w:tcBorders>
                  <w:noWrap w:val="0"/>
                  <w:vAlign w:val="center"/>
                </w:tcPr>
                <w:p w14:paraId="6763A7B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91DB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l2br w:val="nil"/>
                    <w:tr2bl w:val="nil"/>
                  </w:tcBorders>
                  <w:noWrap w:val="0"/>
                  <w:vAlign w:val="center"/>
                </w:tcPr>
                <w:p w14:paraId="16B09DB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除油后清洗水（</w:t>
                  </w:r>
                  <w:r>
                    <w:rPr>
                      <w:rFonts w:hint="eastAsia" w:ascii="Times New Roman" w:hAnsi="Times New Roman" w:eastAsia="宋体" w:cs="Times New Roman"/>
                      <w:color w:val="auto"/>
                      <w:sz w:val="21"/>
                      <w:szCs w:val="21"/>
                      <w:vertAlign w:val="baseline"/>
                      <w:lang w:val="en-US" w:eastAsia="zh-CN"/>
                    </w:rPr>
                    <w:t>15.38</w:t>
                  </w:r>
                  <w:r>
                    <w:rPr>
                      <w:rFonts w:hint="default" w:ascii="Times New Roman" w:hAnsi="Times New Roman" w:eastAsia="宋体" w:cs="Times New Roman"/>
                      <w:color w:val="auto"/>
                      <w:sz w:val="21"/>
                      <w:szCs w:val="21"/>
                      <w:vertAlign w:val="baseline"/>
                      <w:lang w:val="en-US" w:eastAsia="zh-CN"/>
                    </w:rPr>
                    <w:t>t/a）</w:t>
                  </w:r>
                </w:p>
              </w:tc>
              <w:tc>
                <w:tcPr>
                  <w:tcW w:w="1395" w:type="pct"/>
                  <w:tcBorders>
                    <w:tl2br w:val="nil"/>
                    <w:tr2bl w:val="nil"/>
                  </w:tcBorders>
                  <w:noWrap w:val="0"/>
                  <w:vAlign w:val="center"/>
                </w:tcPr>
                <w:p w14:paraId="40CBC4D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经处理后废水排放浓度（mg/L）</w:t>
                  </w:r>
                </w:p>
              </w:tc>
              <w:tc>
                <w:tcPr>
                  <w:tcW w:w="570" w:type="pct"/>
                  <w:tcBorders>
                    <w:tl2br w:val="nil"/>
                    <w:tr2bl w:val="nil"/>
                  </w:tcBorders>
                  <w:noWrap w:val="0"/>
                  <w:vAlign w:val="center"/>
                </w:tcPr>
                <w:p w14:paraId="3F5EB883">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112.5</w:t>
                  </w:r>
                </w:p>
              </w:tc>
              <w:tc>
                <w:tcPr>
                  <w:tcW w:w="570" w:type="pct"/>
                  <w:tcBorders>
                    <w:tl2br w:val="nil"/>
                    <w:tr2bl w:val="nil"/>
                  </w:tcBorders>
                  <w:noWrap w:val="0"/>
                  <w:vAlign w:val="center"/>
                </w:tcPr>
                <w:p w14:paraId="2CA07C2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78.75</w:t>
                  </w:r>
                </w:p>
              </w:tc>
              <w:tc>
                <w:tcPr>
                  <w:tcW w:w="570" w:type="pct"/>
                  <w:tcBorders>
                    <w:tl2br w:val="nil"/>
                    <w:tr2bl w:val="nil"/>
                  </w:tcBorders>
                  <w:noWrap w:val="0"/>
                  <w:vAlign w:val="center"/>
                </w:tcPr>
                <w:p w14:paraId="1340465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w:t>
                  </w:r>
                </w:p>
              </w:tc>
              <w:tc>
                <w:tcPr>
                  <w:tcW w:w="571" w:type="pct"/>
                  <w:tcBorders>
                    <w:tl2br w:val="nil"/>
                    <w:tr2bl w:val="nil"/>
                  </w:tcBorders>
                  <w:noWrap w:val="0"/>
                  <w:vAlign w:val="center"/>
                </w:tcPr>
                <w:p w14:paraId="55781556">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3.75</w:t>
                  </w:r>
                </w:p>
              </w:tc>
              <w:tc>
                <w:tcPr>
                  <w:tcW w:w="571" w:type="pct"/>
                  <w:tcBorders>
                    <w:tl2br w:val="nil"/>
                    <w:tr2bl w:val="nil"/>
                  </w:tcBorders>
                  <w:noWrap w:val="0"/>
                  <w:vAlign w:val="center"/>
                </w:tcPr>
                <w:p w14:paraId="36F1DD96">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25</w:t>
                  </w:r>
                </w:p>
              </w:tc>
            </w:tr>
            <w:tr w14:paraId="4AF2F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2ADEBB67">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0482CC9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经处理后废水排放量（t/a）</w:t>
                  </w:r>
                </w:p>
              </w:tc>
              <w:tc>
                <w:tcPr>
                  <w:tcW w:w="570" w:type="pct"/>
                  <w:tcBorders>
                    <w:tl2br w:val="nil"/>
                    <w:tr2bl w:val="nil"/>
                  </w:tcBorders>
                  <w:noWrap w:val="0"/>
                  <w:vAlign w:val="center"/>
                </w:tcPr>
                <w:p w14:paraId="6A8A8265">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0.00173</w:t>
                  </w:r>
                </w:p>
              </w:tc>
              <w:tc>
                <w:tcPr>
                  <w:tcW w:w="570" w:type="pct"/>
                  <w:tcBorders>
                    <w:tl2br w:val="nil"/>
                    <w:tr2bl w:val="nil"/>
                  </w:tcBorders>
                  <w:noWrap w:val="0"/>
                  <w:vAlign w:val="center"/>
                </w:tcPr>
                <w:p w14:paraId="3400624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0.001211</w:t>
                  </w:r>
                </w:p>
              </w:tc>
              <w:tc>
                <w:tcPr>
                  <w:tcW w:w="570" w:type="pct"/>
                  <w:tcBorders>
                    <w:tl2br w:val="nil"/>
                    <w:tr2bl w:val="nil"/>
                  </w:tcBorders>
                  <w:noWrap w:val="0"/>
                  <w:vAlign w:val="center"/>
                </w:tcPr>
                <w:p w14:paraId="2130B43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0.000738</w:t>
                  </w:r>
                </w:p>
              </w:tc>
              <w:tc>
                <w:tcPr>
                  <w:tcW w:w="571" w:type="pct"/>
                  <w:tcBorders>
                    <w:tl2br w:val="nil"/>
                    <w:tr2bl w:val="nil"/>
                  </w:tcBorders>
                  <w:noWrap w:val="0"/>
                  <w:vAlign w:val="center"/>
                </w:tcPr>
                <w:p w14:paraId="5291B6B2">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0.000058</w:t>
                  </w:r>
                </w:p>
              </w:tc>
              <w:tc>
                <w:tcPr>
                  <w:tcW w:w="571" w:type="pct"/>
                  <w:tcBorders>
                    <w:tl2br w:val="nil"/>
                    <w:tr2bl w:val="nil"/>
                  </w:tcBorders>
                  <w:noWrap w:val="0"/>
                  <w:vAlign w:val="center"/>
                </w:tcPr>
                <w:p w14:paraId="1EC1B9F9">
                  <w:pPr>
                    <w:keepNext w:val="0"/>
                    <w:keepLines w:val="0"/>
                    <w:pageBreakBefore w:val="0"/>
                    <w:widowControl/>
                    <w:suppressLineNumbers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0.000385</w:t>
                  </w:r>
                </w:p>
              </w:tc>
            </w:tr>
            <w:tr w14:paraId="5B4DF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restart"/>
                  <w:tcBorders>
                    <w:tl2br w:val="nil"/>
                    <w:tr2bl w:val="nil"/>
                  </w:tcBorders>
                  <w:noWrap w:val="0"/>
                  <w:vAlign w:val="center"/>
                </w:tcPr>
                <w:p w14:paraId="11754DB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钝化后清洗水（</w:t>
                  </w:r>
                  <w:r>
                    <w:rPr>
                      <w:rFonts w:hint="eastAsia" w:ascii="Times New Roman" w:hAnsi="Times New Roman" w:eastAsia="宋体" w:cs="Times New Roman"/>
                      <w:color w:val="auto"/>
                      <w:sz w:val="21"/>
                      <w:szCs w:val="21"/>
                      <w:vertAlign w:val="baseline"/>
                      <w:lang w:val="en-US" w:eastAsia="zh-CN"/>
                    </w:rPr>
                    <w:t>16.24</w:t>
                  </w:r>
                  <w:r>
                    <w:rPr>
                      <w:rFonts w:hint="default" w:ascii="Times New Roman" w:hAnsi="Times New Roman" w:eastAsia="宋体" w:cs="Times New Roman"/>
                      <w:color w:val="auto"/>
                      <w:sz w:val="21"/>
                      <w:szCs w:val="21"/>
                      <w:vertAlign w:val="baseline"/>
                      <w:lang w:val="en-US" w:eastAsia="zh-CN"/>
                    </w:rPr>
                    <w:t>t/a）</w:t>
                  </w:r>
                </w:p>
              </w:tc>
              <w:tc>
                <w:tcPr>
                  <w:tcW w:w="1395" w:type="pct"/>
                  <w:tcBorders>
                    <w:tl2br w:val="nil"/>
                    <w:tr2bl w:val="nil"/>
                  </w:tcBorders>
                  <w:noWrap w:val="0"/>
                  <w:vAlign w:val="center"/>
                </w:tcPr>
                <w:p w14:paraId="001903E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经处理后废水排放浓度（mg/L）</w:t>
                  </w:r>
                </w:p>
              </w:tc>
              <w:tc>
                <w:tcPr>
                  <w:tcW w:w="570" w:type="pct"/>
                  <w:tcBorders>
                    <w:tl2br w:val="nil"/>
                    <w:tr2bl w:val="nil"/>
                  </w:tcBorders>
                  <w:noWrap w:val="0"/>
                  <w:vAlign w:val="center"/>
                </w:tcPr>
                <w:p w14:paraId="135727F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120</w:t>
                  </w:r>
                </w:p>
              </w:tc>
              <w:tc>
                <w:tcPr>
                  <w:tcW w:w="570" w:type="pct"/>
                  <w:tcBorders>
                    <w:tl2br w:val="nil"/>
                    <w:tr2bl w:val="nil"/>
                  </w:tcBorders>
                  <w:noWrap w:val="0"/>
                  <w:vAlign w:val="center"/>
                </w:tcPr>
                <w:p w14:paraId="676D55D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60</w:t>
                  </w:r>
                </w:p>
              </w:tc>
              <w:tc>
                <w:tcPr>
                  <w:tcW w:w="570" w:type="pct"/>
                  <w:tcBorders>
                    <w:tl2br w:val="nil"/>
                    <w:tr2bl w:val="nil"/>
                  </w:tcBorders>
                  <w:noWrap w:val="0"/>
                  <w:vAlign w:val="center"/>
                </w:tcPr>
                <w:p w14:paraId="3AC924B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p>
              </w:tc>
              <w:tc>
                <w:tcPr>
                  <w:tcW w:w="571" w:type="pct"/>
                  <w:tcBorders>
                    <w:tl2br w:val="nil"/>
                    <w:tr2bl w:val="nil"/>
                  </w:tcBorders>
                  <w:noWrap w:val="0"/>
                  <w:vAlign w:val="center"/>
                </w:tcPr>
                <w:p w14:paraId="5C049C7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009" w:type="dxa"/>
                  <w:tcBorders>
                    <w:tl2br w:val="nil"/>
                    <w:tr2bl w:val="nil"/>
                  </w:tcBorders>
                  <w:noWrap w:val="0"/>
                  <w:vAlign w:val="center"/>
                </w:tcPr>
                <w:p w14:paraId="14FF750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76375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9" w:type="pct"/>
                  <w:vMerge w:val="continue"/>
                  <w:tcBorders>
                    <w:tl2br w:val="nil"/>
                    <w:tr2bl w:val="nil"/>
                  </w:tcBorders>
                  <w:noWrap w:val="0"/>
                  <w:vAlign w:val="center"/>
                </w:tcPr>
                <w:p w14:paraId="48E8069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395" w:type="pct"/>
                  <w:tcBorders>
                    <w:tl2br w:val="nil"/>
                    <w:tr2bl w:val="nil"/>
                  </w:tcBorders>
                  <w:noWrap w:val="0"/>
                  <w:vAlign w:val="center"/>
                </w:tcPr>
                <w:p w14:paraId="06CC418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经处理后废水排放量（t/a）</w:t>
                  </w:r>
                </w:p>
              </w:tc>
              <w:tc>
                <w:tcPr>
                  <w:tcW w:w="570" w:type="pct"/>
                  <w:tcBorders>
                    <w:tl2br w:val="nil"/>
                    <w:tr2bl w:val="nil"/>
                  </w:tcBorders>
                  <w:noWrap w:val="0"/>
                  <w:vAlign w:val="center"/>
                </w:tcPr>
                <w:p w14:paraId="3927E51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0.001949</w:t>
                  </w:r>
                </w:p>
              </w:tc>
              <w:tc>
                <w:tcPr>
                  <w:tcW w:w="570" w:type="pct"/>
                  <w:tcBorders>
                    <w:tl2br w:val="nil"/>
                    <w:tr2bl w:val="nil"/>
                  </w:tcBorders>
                  <w:noWrap w:val="0"/>
                  <w:vAlign w:val="center"/>
                </w:tcPr>
                <w:p w14:paraId="000DBC9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0.000974</w:t>
                  </w:r>
                </w:p>
              </w:tc>
              <w:tc>
                <w:tcPr>
                  <w:tcW w:w="570" w:type="pct"/>
                  <w:tcBorders>
                    <w:tl2br w:val="nil"/>
                    <w:tr2bl w:val="nil"/>
                  </w:tcBorders>
                  <w:noWrap w:val="0"/>
                  <w:vAlign w:val="center"/>
                </w:tcPr>
                <w:p w14:paraId="473EFAC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0.00065</w:t>
                  </w:r>
                </w:p>
              </w:tc>
              <w:tc>
                <w:tcPr>
                  <w:tcW w:w="571" w:type="pct"/>
                  <w:tcBorders>
                    <w:tl2br w:val="nil"/>
                    <w:tr2bl w:val="nil"/>
                  </w:tcBorders>
                  <w:noWrap w:val="0"/>
                  <w:vAlign w:val="center"/>
                </w:tcPr>
                <w:p w14:paraId="53ADEE5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0.000065</w:t>
                  </w:r>
                </w:p>
              </w:tc>
              <w:tc>
                <w:tcPr>
                  <w:tcW w:w="1009" w:type="dxa"/>
                  <w:tcBorders>
                    <w:tl2br w:val="nil"/>
                    <w:tr2bl w:val="nil"/>
                  </w:tcBorders>
                  <w:noWrap w:val="0"/>
                  <w:vAlign w:val="center"/>
                </w:tcPr>
                <w:p w14:paraId="09106C8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8B766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5" w:type="pct"/>
                  <w:gridSpan w:val="2"/>
                  <w:tcBorders>
                    <w:bottom w:val="single" w:color="000000" w:sz="12" w:space="0"/>
                    <w:tl2br w:val="nil"/>
                    <w:tr2bl w:val="nil"/>
                  </w:tcBorders>
                  <w:noWrap w:val="0"/>
                  <w:vAlign w:val="center"/>
                </w:tcPr>
                <w:p w14:paraId="4D638887">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总计（</w:t>
                  </w:r>
                  <w:r>
                    <w:rPr>
                      <w:rFonts w:hint="default" w:ascii="Times New Roman" w:hAnsi="Times New Roman" w:eastAsia="宋体" w:cs="Times New Roman"/>
                      <w:color w:val="auto"/>
                      <w:sz w:val="21"/>
                      <w:szCs w:val="21"/>
                      <w:vertAlign w:val="baseline"/>
                      <w:lang w:val="en-US" w:eastAsia="zh-CN"/>
                    </w:rPr>
                    <w:t>经处理后废水量（t/a）</w:t>
                  </w:r>
                  <w:r>
                    <w:rPr>
                      <w:rFonts w:hint="eastAsia" w:ascii="Times New Roman" w:hAnsi="Times New Roman" w:eastAsia="宋体" w:cs="Times New Roman"/>
                      <w:color w:val="auto"/>
                      <w:sz w:val="21"/>
                      <w:szCs w:val="21"/>
                      <w:vertAlign w:val="baseline"/>
                      <w:lang w:val="en-US" w:eastAsia="zh-CN"/>
                    </w:rPr>
                    <w:t>）</w:t>
                  </w:r>
                </w:p>
              </w:tc>
              <w:tc>
                <w:tcPr>
                  <w:tcW w:w="570" w:type="pct"/>
                  <w:tcBorders>
                    <w:bottom w:val="single" w:color="000000" w:sz="12" w:space="0"/>
                    <w:tl2br w:val="nil"/>
                    <w:tr2bl w:val="nil"/>
                  </w:tcBorders>
                  <w:noWrap w:val="0"/>
                  <w:vAlign w:val="center"/>
                </w:tcPr>
                <w:p w14:paraId="15C9097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0.004602</w:t>
                  </w:r>
                </w:p>
              </w:tc>
              <w:tc>
                <w:tcPr>
                  <w:tcW w:w="570" w:type="pct"/>
                  <w:tcBorders>
                    <w:bottom w:val="single" w:color="000000" w:sz="12" w:space="0"/>
                    <w:tl2br w:val="nil"/>
                    <w:tr2bl w:val="nil"/>
                  </w:tcBorders>
                  <w:noWrap w:val="0"/>
                  <w:vAlign w:val="center"/>
                </w:tcPr>
                <w:p w14:paraId="36F38CB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0.002570</w:t>
                  </w:r>
                </w:p>
              </w:tc>
              <w:tc>
                <w:tcPr>
                  <w:tcW w:w="570" w:type="pct"/>
                  <w:tcBorders>
                    <w:bottom w:val="single" w:color="000000" w:sz="12" w:space="0"/>
                    <w:tl2br w:val="nil"/>
                    <w:tr2bl w:val="nil"/>
                  </w:tcBorders>
                  <w:noWrap w:val="0"/>
                  <w:vAlign w:val="center"/>
                </w:tcPr>
                <w:p w14:paraId="3C03CA9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0.002195</w:t>
                  </w:r>
                </w:p>
              </w:tc>
              <w:tc>
                <w:tcPr>
                  <w:tcW w:w="571" w:type="pct"/>
                  <w:tcBorders>
                    <w:bottom w:val="single" w:color="000000" w:sz="12" w:space="0"/>
                    <w:tl2br w:val="nil"/>
                    <w:tr2bl w:val="nil"/>
                  </w:tcBorders>
                  <w:noWrap w:val="0"/>
                  <w:vAlign w:val="center"/>
                </w:tcPr>
                <w:p w14:paraId="25814E7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0.000185</w:t>
                  </w:r>
                </w:p>
              </w:tc>
              <w:tc>
                <w:tcPr>
                  <w:tcW w:w="571" w:type="pct"/>
                  <w:tcBorders>
                    <w:bottom w:val="single" w:color="000000" w:sz="12" w:space="0"/>
                    <w:tl2br w:val="nil"/>
                    <w:tr2bl w:val="nil"/>
                  </w:tcBorders>
                  <w:noWrap w:val="0"/>
                  <w:vAlign w:val="center"/>
                </w:tcPr>
                <w:p w14:paraId="2D1AF40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0.000385</w:t>
                  </w:r>
                </w:p>
              </w:tc>
            </w:tr>
            <w:tr w14:paraId="07848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op w:val="single" w:color="000000" w:sz="12" w:space="0"/>
                    <w:tl2br w:val="nil"/>
                    <w:tr2bl w:val="nil"/>
                  </w:tcBorders>
                  <w:noWrap w:val="0"/>
                  <w:vAlign w:val="center"/>
                </w:tcPr>
                <w:p w14:paraId="27A2AF6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left"/>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注：</w:t>
                  </w:r>
                  <w:r>
                    <w:rPr>
                      <w:rFonts w:ascii="Times New Roman" w:hAnsi="Times New Roman" w:eastAsia="宋体" w:cs="Times New Roman"/>
                      <w:spacing w:val="2"/>
                      <w:position w:val="1"/>
                      <w:sz w:val="21"/>
                      <w:szCs w:val="21"/>
                      <w:highlight w:val="none"/>
                    </w:rPr>
                    <w:t>废水净化效率取值依据为《污染源源强核算技术指南 电子元件及电子专用材料制造》（HJ 1175-2021）、《废水污染控制技术手册》（化学工业出版社）。</w:t>
                  </w:r>
                </w:p>
              </w:tc>
            </w:tr>
          </w:tbl>
          <w:p w14:paraId="2C73326D">
            <w:pPr>
              <w:keepNext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3</w:t>
            </w:r>
            <w:r>
              <w:rPr>
                <w:rFonts w:hint="eastAsia" w:cs="Times New Roman"/>
                <w:bCs/>
                <w:color w:val="auto"/>
                <w:sz w:val="24"/>
                <w:highlight w:val="none"/>
                <w:lang w:eastAsia="zh-CN"/>
              </w:rPr>
              <w:t>）</w:t>
            </w:r>
            <w:r>
              <w:rPr>
                <w:rFonts w:hint="eastAsia" w:cs="Times New Roman"/>
                <w:bCs/>
                <w:color w:val="auto"/>
                <w:sz w:val="24"/>
                <w:highlight w:val="none"/>
                <w:lang w:val="en-US" w:eastAsia="zh-CN"/>
              </w:rPr>
              <w:t>生活污水</w:t>
            </w:r>
          </w:p>
          <w:p w14:paraId="1125D531">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bookmarkStart w:id="89" w:name="_Toc4624"/>
            <w:bookmarkStart w:id="90" w:name="_Toc28146"/>
            <w:bookmarkStart w:id="91" w:name="_Toc22817"/>
            <w:r>
              <w:rPr>
                <w:rFonts w:hint="default" w:ascii="Times New Roman" w:hAnsi="Times New Roman" w:eastAsia="宋体" w:cs="Times New Roman"/>
                <w:b w:val="0"/>
                <w:bCs w:val="0"/>
                <w:color w:val="auto"/>
                <w:sz w:val="24"/>
                <w:szCs w:val="24"/>
                <w:highlight w:val="none"/>
                <w:lang w:val="en-US" w:eastAsia="zh-CN"/>
              </w:rPr>
              <w:t>本项目劳动定员</w:t>
            </w:r>
            <w:r>
              <w:rPr>
                <w:rFonts w:hint="eastAsia" w:eastAsia="宋体" w:cs="Times New Roman"/>
                <w:b w:val="0"/>
                <w:bCs w:val="0"/>
                <w:color w:val="auto"/>
                <w:sz w:val="24"/>
                <w:szCs w:val="24"/>
                <w:highlight w:val="none"/>
                <w:lang w:val="en-US" w:eastAsia="zh-CN"/>
              </w:rPr>
              <w:t>70</w:t>
            </w:r>
            <w:r>
              <w:rPr>
                <w:rFonts w:hint="default" w:ascii="Times New Roman" w:hAnsi="Times New Roman" w:eastAsia="宋体" w:cs="Times New Roman"/>
                <w:b w:val="0"/>
                <w:bCs w:val="0"/>
                <w:color w:val="auto"/>
                <w:sz w:val="24"/>
                <w:szCs w:val="24"/>
                <w:highlight w:val="none"/>
                <w:lang w:val="en-US" w:eastAsia="zh-CN"/>
              </w:rPr>
              <w:t>人，均不住厂，根据《建筑给水排水设计标准》（GB50015-2019），车间工作人员的生活用水额定</w:t>
            </w:r>
            <w:r>
              <w:rPr>
                <w:rFonts w:hint="eastAsia" w:eastAsia="宋体" w:cs="Times New Roman"/>
                <w:b w:val="0"/>
                <w:bCs w:val="0"/>
                <w:color w:val="auto"/>
                <w:sz w:val="24"/>
                <w:szCs w:val="24"/>
                <w:highlight w:val="none"/>
                <w:lang w:val="en-US" w:eastAsia="zh-CN"/>
              </w:rPr>
              <w:t>应</w:t>
            </w:r>
            <w:r>
              <w:rPr>
                <w:rFonts w:hint="default" w:ascii="Times New Roman" w:hAnsi="Times New Roman" w:eastAsia="宋体" w:cs="Times New Roman"/>
                <w:b w:val="0"/>
                <w:bCs w:val="0"/>
                <w:color w:val="auto"/>
                <w:sz w:val="24"/>
                <w:szCs w:val="24"/>
                <w:highlight w:val="none"/>
                <w:lang w:val="en-US" w:eastAsia="zh-CN"/>
              </w:rPr>
              <w:t>根据车间性质确定，一般宜采用30</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50L/人·班，本项目不住厂职工生活用水额定按50L/人·班计。项目年工作日按300天计，则本项目职工生活用水量约</w:t>
            </w:r>
            <w:r>
              <w:rPr>
                <w:rFonts w:hint="eastAsia" w:eastAsia="宋体" w:cs="Times New Roman"/>
                <w:b w:val="0"/>
                <w:bCs w:val="0"/>
                <w:color w:val="auto"/>
                <w:sz w:val="24"/>
                <w:szCs w:val="24"/>
                <w:highlight w:val="none"/>
                <w:lang w:val="en-US" w:eastAsia="zh-CN"/>
              </w:rPr>
              <w:t>3.5</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1277.5</w:t>
            </w:r>
            <w:r>
              <w:rPr>
                <w:rFonts w:hint="default" w:ascii="Times New Roman" w:hAnsi="Times New Roman" w:eastAsia="宋体" w:cs="Times New Roman"/>
                <w:b w:val="0"/>
                <w:bCs w:val="0"/>
                <w:color w:val="auto"/>
                <w:sz w:val="24"/>
                <w:szCs w:val="24"/>
                <w:highlight w:val="none"/>
                <w:lang w:val="en-US" w:eastAsia="zh-CN"/>
              </w:rPr>
              <w:t>t/a），根据《排水源统计调查产排污计算方法和核算手册》中《生活源产排污系数手册》，人均日生活用水量≤150升/人·天时，折污系数取0.8，则项目生活污水产生量约</w:t>
            </w:r>
            <w:r>
              <w:rPr>
                <w:rFonts w:hint="eastAsia" w:eastAsia="宋体" w:cs="Times New Roman"/>
                <w:b w:val="0"/>
                <w:bCs w:val="0"/>
                <w:color w:val="auto"/>
                <w:sz w:val="24"/>
                <w:szCs w:val="24"/>
                <w:highlight w:val="none"/>
                <w:lang w:val="en-US" w:eastAsia="zh-CN"/>
              </w:rPr>
              <w:t>2.8</w:t>
            </w:r>
            <w:r>
              <w:rPr>
                <w:rFonts w:hint="default" w:ascii="Times New Roman" w:hAnsi="Times New Roman" w:eastAsia="宋体" w:cs="Times New Roman"/>
                <w:b w:val="0"/>
                <w:bCs w:val="0"/>
                <w:color w:val="auto"/>
                <w:sz w:val="24"/>
                <w:szCs w:val="24"/>
                <w:highlight w:val="none"/>
                <w:lang w:val="en-US" w:eastAsia="zh-CN"/>
              </w:rPr>
              <w:t>t/d（</w:t>
            </w:r>
            <w:r>
              <w:rPr>
                <w:rFonts w:hint="eastAsia" w:eastAsia="宋体" w:cs="Times New Roman"/>
                <w:b w:val="0"/>
                <w:bCs w:val="0"/>
                <w:color w:val="auto"/>
                <w:sz w:val="24"/>
                <w:szCs w:val="24"/>
                <w:highlight w:val="none"/>
                <w:lang w:val="en-US" w:eastAsia="zh-CN"/>
              </w:rPr>
              <w:t>1022</w:t>
            </w:r>
            <w:r>
              <w:rPr>
                <w:rFonts w:hint="default" w:ascii="Times New Roman" w:hAnsi="Times New Roman" w:eastAsia="宋体" w:cs="Times New Roman"/>
                <w:b w:val="0"/>
                <w:bCs w:val="0"/>
                <w:color w:val="auto"/>
                <w:sz w:val="24"/>
                <w:szCs w:val="24"/>
                <w:highlight w:val="none"/>
                <w:lang w:val="en-US" w:eastAsia="zh-CN"/>
              </w:rPr>
              <w:t>t/a）。</w:t>
            </w:r>
            <w:r>
              <w:rPr>
                <w:rFonts w:hint="eastAsia" w:ascii="Times New Roman" w:hAnsi="Times New Roman" w:eastAsia="宋体" w:cs="Times New Roman"/>
                <w:b w:val="0"/>
                <w:bCs w:val="0"/>
                <w:color w:val="auto"/>
                <w:sz w:val="24"/>
                <w:szCs w:val="24"/>
                <w:highlight w:val="none"/>
                <w:lang w:val="en-US" w:eastAsia="zh-CN"/>
              </w:rPr>
              <w:t>生活污水依托厂区现有的化粪池处理达标后排入市政污水管网，最终进入</w:t>
            </w:r>
            <w:bookmarkEnd w:id="89"/>
            <w:bookmarkEnd w:id="90"/>
            <w:bookmarkEnd w:id="91"/>
            <w:r>
              <w:rPr>
                <w:rFonts w:hint="eastAsia" w:eastAsia="宋体" w:cs="Times New Roman"/>
                <w:color w:val="auto"/>
                <w:sz w:val="24"/>
                <w:szCs w:val="24"/>
                <w:lang w:val="en-US" w:eastAsia="zh-CN"/>
              </w:rPr>
              <w:t>福清市融元污水处理厂集</w:t>
            </w:r>
            <w:r>
              <w:rPr>
                <w:rFonts w:hint="eastAsia" w:ascii="Times New Roman" w:hAnsi="Times New Roman" w:eastAsia="宋体" w:cs="Times New Roman"/>
                <w:b w:val="0"/>
                <w:bCs w:val="0"/>
                <w:color w:val="auto"/>
                <w:sz w:val="24"/>
                <w:szCs w:val="24"/>
                <w:highlight w:val="none"/>
                <w:lang w:val="en-US" w:eastAsia="zh-CN"/>
              </w:rPr>
              <w:t>中进行处理，污水处理厂</w:t>
            </w:r>
            <w:r>
              <w:rPr>
                <w:rFonts w:hint="default" w:ascii="Times New Roman" w:hAnsi="Times New Roman" w:eastAsia="宋体" w:cs="Times New Roman"/>
                <w:b w:val="0"/>
                <w:bCs w:val="0"/>
                <w:color w:val="auto"/>
                <w:sz w:val="24"/>
                <w:szCs w:val="24"/>
                <w:highlight w:val="none"/>
                <w:lang w:val="en-US" w:eastAsia="zh-CN"/>
              </w:rPr>
              <w:t>尾水排入龙江，所处龙江</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南门桥水闸至龙江入海口</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断面。</w:t>
            </w:r>
          </w:p>
          <w:p w14:paraId="0091FC92">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92" w:name="_Toc22915"/>
            <w:bookmarkStart w:id="93" w:name="_Toc14324"/>
            <w:bookmarkStart w:id="94" w:name="_Toc6977"/>
            <w:r>
              <w:rPr>
                <w:rFonts w:hint="default" w:ascii="Times New Roman" w:hAnsi="Times New Roman" w:eastAsia="宋体" w:cs="Times New Roman"/>
                <w:b w:val="0"/>
                <w:bCs w:val="0"/>
                <w:color w:val="auto"/>
                <w:sz w:val="24"/>
                <w:szCs w:val="24"/>
                <w:highlight w:val="none"/>
                <w:lang w:val="en-US" w:eastAsia="zh-CN"/>
              </w:rPr>
              <w:t>参考</w:t>
            </w:r>
            <w:r>
              <w:rPr>
                <w:rFonts w:hint="eastAsia" w:ascii="Times New Roman" w:hAnsi="Times New Roman" w:eastAsia="宋体" w:cs="Times New Roman"/>
                <w:b w:val="0"/>
                <w:bCs w:val="0"/>
                <w:color w:val="auto"/>
                <w:sz w:val="24"/>
                <w:szCs w:val="24"/>
                <w:highlight w:val="none"/>
                <w:lang w:val="en-US" w:eastAsia="zh-CN"/>
              </w:rPr>
              <w:t>《给排水设计手册》第五册《城镇排水》表</w:t>
            </w:r>
            <w:r>
              <w:rPr>
                <w:rFonts w:hint="default" w:ascii="Times New Roman" w:hAnsi="Times New Roman" w:eastAsia="宋体" w:cs="Times New Roman"/>
                <w:b w:val="0"/>
                <w:bCs w:val="0"/>
                <w:color w:val="auto"/>
                <w:sz w:val="24"/>
                <w:szCs w:val="24"/>
                <w:highlight w:val="none"/>
                <w:lang w:val="en-US" w:eastAsia="zh-CN"/>
              </w:rPr>
              <w:t>4-1</w:t>
            </w:r>
            <w:r>
              <w:rPr>
                <w:rFonts w:hint="eastAsia" w:ascii="Times New Roman" w:hAnsi="Times New Roman" w:eastAsia="宋体" w:cs="Times New Roman"/>
                <w:b w:val="0"/>
                <w:bCs w:val="0"/>
                <w:color w:val="auto"/>
                <w:sz w:val="24"/>
                <w:szCs w:val="24"/>
                <w:highlight w:val="none"/>
                <w:lang w:val="en-US" w:eastAsia="zh-CN"/>
              </w:rPr>
              <w:t>典型生活污水水质示例的低浓度；因此，不住厂职工产生的生活污水中各主要污染物浓度按</w:t>
            </w:r>
            <w:r>
              <w:rPr>
                <w:rFonts w:hint="default" w:ascii="Times New Roman" w:hAnsi="Times New Roman" w:eastAsia="宋体" w:cs="Times New Roman"/>
                <w:b w:val="0"/>
                <w:bCs w:val="0"/>
                <w:color w:val="auto"/>
                <w:sz w:val="24"/>
                <w:szCs w:val="24"/>
                <w:highlight w:val="none"/>
                <w:lang w:val="en-US" w:eastAsia="zh-CN"/>
              </w:rPr>
              <w:t>CODcr：</w:t>
            </w:r>
            <w:r>
              <w:rPr>
                <w:rFonts w:hint="eastAsia" w:ascii="Times New Roman" w:hAnsi="Times New Roman" w:eastAsia="宋体" w:cs="Times New Roman"/>
                <w:b w:val="0"/>
                <w:bCs w:val="0"/>
                <w:color w:val="auto"/>
                <w:sz w:val="24"/>
                <w:szCs w:val="24"/>
                <w:highlight w:val="none"/>
                <w:lang w:val="en-US" w:eastAsia="zh-CN"/>
              </w:rPr>
              <w:t>250</w:t>
            </w:r>
            <w:r>
              <w:rPr>
                <w:rFonts w:hint="default" w:ascii="Times New Roman" w:hAnsi="Times New Roman" w:eastAsia="宋体" w:cs="Times New Roman"/>
                <w:b w:val="0"/>
                <w:bCs w:val="0"/>
                <w:color w:val="auto"/>
                <w:sz w:val="24"/>
                <w:szCs w:val="24"/>
                <w:highlight w:val="none"/>
                <w:lang w:val="en-US" w:eastAsia="zh-CN"/>
              </w:rPr>
              <w:t>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eastAsia" w:eastAsia="宋体" w:cs="Times New Roman"/>
                <w:b w:val="0"/>
                <w:bCs w:val="0"/>
                <w:color w:val="auto"/>
                <w:sz w:val="24"/>
                <w:szCs w:val="24"/>
                <w:highlight w:val="none"/>
                <w:vertAlign w:val="subscript"/>
                <w:lang w:val="en-US" w:eastAsia="zh-CN"/>
              </w:rPr>
              <w:t>:</w:t>
            </w:r>
            <w:r>
              <w:rPr>
                <w:rFonts w:hint="eastAsia" w:ascii="Times New Roman" w:hAnsi="Times New Roman" w:eastAsia="宋体" w:cs="Times New Roman"/>
                <w:b w:val="0"/>
                <w:bCs w:val="0"/>
                <w:color w:val="auto"/>
                <w:sz w:val="24"/>
                <w:szCs w:val="24"/>
                <w:highlight w:val="none"/>
                <w:lang w:val="en-US" w:eastAsia="zh-CN"/>
              </w:rPr>
              <w:t>110</w:t>
            </w:r>
            <w:r>
              <w:rPr>
                <w:rFonts w:hint="default" w:ascii="Times New Roman" w:hAnsi="Times New Roman" w:eastAsia="宋体" w:cs="Times New Roman"/>
                <w:b w:val="0"/>
                <w:bCs w:val="0"/>
                <w:color w:val="auto"/>
                <w:sz w:val="24"/>
                <w:szCs w:val="24"/>
                <w:highlight w:val="none"/>
                <w:lang w:val="en-US" w:eastAsia="zh-CN"/>
              </w:rPr>
              <w:t>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w:t>
            </w:r>
            <w:r>
              <w:rPr>
                <w:rFonts w:hint="eastAsia"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z w:val="24"/>
                <w:szCs w:val="24"/>
                <w:highlight w:val="none"/>
                <w:lang w:val="en-US" w:eastAsia="zh-CN"/>
              </w:rPr>
              <w:t>mg/L、SS：</w:t>
            </w:r>
            <w:r>
              <w:rPr>
                <w:rFonts w:hint="eastAsia" w:ascii="Times New Roman" w:hAnsi="Times New Roman" w:eastAsia="宋体" w:cs="Times New Roman"/>
                <w:b w:val="0"/>
                <w:bCs w:val="0"/>
                <w:color w:val="auto"/>
                <w:sz w:val="24"/>
                <w:szCs w:val="24"/>
                <w:highlight w:val="none"/>
                <w:lang w:val="en-US" w:eastAsia="zh-CN"/>
              </w:rPr>
              <w:t>100</w:t>
            </w:r>
            <w:r>
              <w:rPr>
                <w:rFonts w:hint="default" w:ascii="Times New Roman" w:hAnsi="Times New Roman" w:eastAsia="宋体" w:cs="Times New Roman"/>
                <w:b w:val="0"/>
                <w:bCs w:val="0"/>
                <w:color w:val="auto"/>
                <w:sz w:val="24"/>
                <w:szCs w:val="24"/>
                <w:highlight w:val="none"/>
                <w:lang w:val="en-US" w:eastAsia="zh-CN"/>
              </w:rPr>
              <w:t>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eastAsia"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bookmarkEnd w:id="92"/>
            <w:bookmarkEnd w:id="93"/>
            <w:bookmarkEnd w:id="94"/>
          </w:p>
          <w:p w14:paraId="6F722C2B">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val="en-US" w:eastAsia="zh-CN"/>
              </w:rPr>
              <w:t>污染物产生及排放情况一览表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3804"/>
              <w:gridCol w:w="951"/>
              <w:gridCol w:w="862"/>
              <w:gridCol w:w="979"/>
              <w:gridCol w:w="826"/>
            </w:tblGrid>
            <w:tr w14:paraId="39A7C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74" w:type="pct"/>
                  <w:tcBorders>
                    <w:tl2br w:val="nil"/>
                    <w:tr2bl w:val="nil"/>
                  </w:tcBorders>
                  <w:noWrap w:val="0"/>
                  <w:vAlign w:val="center"/>
                </w:tcPr>
                <w:p w14:paraId="75B301B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176" w:type="pct"/>
                  <w:tcBorders>
                    <w:tl2br w:val="nil"/>
                    <w:tr2bl w:val="nil"/>
                  </w:tcBorders>
                  <w:noWrap w:val="0"/>
                  <w:vAlign w:val="center"/>
                </w:tcPr>
                <w:p w14:paraId="58A7558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1898B15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12F9183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9" w:type="pct"/>
                  <w:tcBorders>
                    <w:tl2br w:val="nil"/>
                    <w:tr2bl w:val="nil"/>
                  </w:tcBorders>
                  <w:noWrap w:val="0"/>
                  <w:vAlign w:val="center"/>
                </w:tcPr>
                <w:p w14:paraId="62FD287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1" w:type="pct"/>
                  <w:tcBorders>
                    <w:tl2br w:val="nil"/>
                    <w:tr2bl w:val="nil"/>
                  </w:tcBorders>
                  <w:noWrap w:val="0"/>
                  <w:vAlign w:val="center"/>
                </w:tcPr>
                <w:p w14:paraId="089C0335">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08AAD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674" w:type="pct"/>
                  <w:vMerge w:val="restart"/>
                  <w:tcBorders>
                    <w:tl2br w:val="nil"/>
                    <w:tr2bl w:val="nil"/>
                  </w:tcBorders>
                  <w:noWrap w:val="0"/>
                  <w:vAlign w:val="center"/>
                </w:tcPr>
                <w:p w14:paraId="2BE04E0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1277.5</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41FDBF7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3D08014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1DDA30D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9" w:type="pct"/>
                  <w:tcBorders>
                    <w:tl2br w:val="nil"/>
                    <w:tr2bl w:val="nil"/>
                  </w:tcBorders>
                  <w:noWrap w:val="0"/>
                  <w:vAlign w:val="center"/>
                </w:tcPr>
                <w:p w14:paraId="0E4FA03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1" w:type="pct"/>
                  <w:tcBorders>
                    <w:tl2br w:val="nil"/>
                    <w:tr2bl w:val="nil"/>
                  </w:tcBorders>
                  <w:noWrap w:val="0"/>
                  <w:vAlign w:val="center"/>
                </w:tcPr>
                <w:p w14:paraId="3581850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87C9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74" w:type="pct"/>
                  <w:vMerge w:val="continue"/>
                  <w:tcBorders>
                    <w:tl2br w:val="nil"/>
                    <w:tr2bl w:val="nil"/>
                  </w:tcBorders>
                  <w:noWrap w:val="0"/>
                  <w:vAlign w:val="center"/>
                </w:tcPr>
                <w:p w14:paraId="6B22789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1AAD332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6AB8AB5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0.319</w:t>
                  </w:r>
                </w:p>
              </w:tc>
              <w:tc>
                <w:tcPr>
                  <w:tcW w:w="513" w:type="pct"/>
                  <w:tcBorders>
                    <w:tl2br w:val="nil"/>
                    <w:tr2bl w:val="nil"/>
                  </w:tcBorders>
                  <w:noWrap w:val="0"/>
                  <w:vAlign w:val="center"/>
                </w:tcPr>
                <w:p w14:paraId="3986D10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0.141</w:t>
                  </w:r>
                </w:p>
              </w:tc>
              <w:tc>
                <w:tcPr>
                  <w:tcW w:w="579" w:type="pct"/>
                  <w:tcBorders>
                    <w:tl2br w:val="nil"/>
                    <w:tr2bl w:val="nil"/>
                  </w:tcBorders>
                  <w:noWrap w:val="0"/>
                  <w:vAlign w:val="center"/>
                </w:tcPr>
                <w:p w14:paraId="42E919C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0.128</w:t>
                  </w:r>
                </w:p>
              </w:tc>
              <w:tc>
                <w:tcPr>
                  <w:tcW w:w="491" w:type="pct"/>
                  <w:tcBorders>
                    <w:tl2br w:val="nil"/>
                    <w:tr2bl w:val="nil"/>
                  </w:tcBorders>
                  <w:noWrap w:val="0"/>
                  <w:vAlign w:val="center"/>
                </w:tcPr>
                <w:p w14:paraId="126B0D4C">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0.031</w:t>
                  </w:r>
                </w:p>
              </w:tc>
            </w:tr>
            <w:tr w14:paraId="07DD6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74" w:type="pct"/>
                  <w:tcBorders>
                    <w:tl2br w:val="nil"/>
                    <w:tr2bl w:val="nil"/>
                  </w:tcBorders>
                  <w:noWrap w:val="0"/>
                  <w:vAlign w:val="center"/>
                </w:tcPr>
                <w:p w14:paraId="3931790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325" w:type="pct"/>
                  <w:gridSpan w:val="5"/>
                  <w:tcBorders>
                    <w:tl2br w:val="nil"/>
                    <w:tr2bl w:val="nil"/>
                  </w:tcBorders>
                  <w:noWrap w:val="0"/>
                  <w:vAlign w:val="center"/>
                </w:tcPr>
                <w:p w14:paraId="07C5791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依托厂区现有的化粪池处理达标后排入市政污水管网，最终进入</w:t>
                  </w: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highlight w:val="none"/>
                      <w:vertAlign w:val="baseline"/>
                      <w:lang w:val="en-US" w:eastAsia="zh-CN"/>
                    </w:rPr>
                    <w:t>进行处理</w:t>
                  </w:r>
                </w:p>
              </w:tc>
            </w:tr>
            <w:tr w14:paraId="4652A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74" w:type="pct"/>
                  <w:vMerge w:val="restart"/>
                  <w:tcBorders>
                    <w:tl2br w:val="nil"/>
                    <w:tr2bl w:val="nil"/>
                  </w:tcBorders>
                  <w:noWrap w:val="0"/>
                  <w:vAlign w:val="center"/>
                </w:tcPr>
                <w:p w14:paraId="20B0FE7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eastAsia="宋体" w:cs="Times New Roman"/>
                      <w:color w:val="auto"/>
                      <w:sz w:val="21"/>
                      <w:szCs w:val="21"/>
                      <w:vertAlign w:val="baseline"/>
                      <w:lang w:val="en-US" w:eastAsia="zh-CN"/>
                    </w:rPr>
                    <w:t>1022</w:t>
                  </w:r>
                  <w:r>
                    <w:rPr>
                      <w:rFonts w:hint="default" w:ascii="Times New Roman" w:hAnsi="Times New Roman" w:eastAsia="宋体" w:cs="Times New Roman"/>
                      <w:color w:val="auto"/>
                      <w:sz w:val="21"/>
                      <w:szCs w:val="21"/>
                      <w:vertAlign w:val="baseline"/>
                      <w:lang w:val="en-US" w:eastAsia="zh-CN"/>
                    </w:rPr>
                    <w:t>t/a）</w:t>
                  </w:r>
                </w:p>
              </w:tc>
              <w:tc>
                <w:tcPr>
                  <w:tcW w:w="2176" w:type="pct"/>
                  <w:tcBorders>
                    <w:tl2br w:val="nil"/>
                    <w:tr2bl w:val="nil"/>
                  </w:tcBorders>
                  <w:noWrap w:val="0"/>
                  <w:vAlign w:val="center"/>
                </w:tcPr>
                <w:p w14:paraId="096A6E5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427CC39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53B8F87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9" w:type="pct"/>
                  <w:tcBorders>
                    <w:tl2br w:val="nil"/>
                    <w:tr2bl w:val="nil"/>
                  </w:tcBorders>
                  <w:noWrap w:val="0"/>
                  <w:vAlign w:val="center"/>
                </w:tcPr>
                <w:p w14:paraId="68ABE564">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1" w:type="pct"/>
                  <w:tcBorders>
                    <w:tl2br w:val="nil"/>
                    <w:tr2bl w:val="nil"/>
                  </w:tcBorders>
                  <w:noWrap w:val="0"/>
                  <w:vAlign w:val="center"/>
                </w:tcPr>
                <w:p w14:paraId="5C4B947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1710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74" w:type="pct"/>
                  <w:vMerge w:val="continue"/>
                  <w:tcBorders>
                    <w:tl2br w:val="nil"/>
                    <w:tr2bl w:val="nil"/>
                  </w:tcBorders>
                  <w:noWrap w:val="0"/>
                  <w:vAlign w:val="center"/>
                </w:tcPr>
                <w:p w14:paraId="672589AA">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4FC43B4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1552480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0DADB2E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9" w:type="pct"/>
                  <w:tcBorders>
                    <w:tl2br w:val="nil"/>
                    <w:tr2bl w:val="nil"/>
                  </w:tcBorders>
                  <w:noWrap w:val="0"/>
                  <w:vAlign w:val="center"/>
                </w:tcPr>
                <w:p w14:paraId="60198669">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1" w:type="pct"/>
                  <w:tcBorders>
                    <w:tl2br w:val="nil"/>
                    <w:tr2bl w:val="nil"/>
                  </w:tcBorders>
                  <w:noWrap w:val="0"/>
                  <w:vAlign w:val="center"/>
                </w:tcPr>
                <w:p w14:paraId="0B30D1C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7454D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pct"/>
                  <w:vMerge w:val="continue"/>
                  <w:tcBorders>
                    <w:tl2br w:val="nil"/>
                    <w:tr2bl w:val="nil"/>
                  </w:tcBorders>
                  <w:noWrap w:val="0"/>
                  <w:vAlign w:val="center"/>
                </w:tcPr>
                <w:p w14:paraId="0736783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176" w:type="pct"/>
                  <w:tcBorders>
                    <w:tl2br w:val="nil"/>
                    <w:tr2bl w:val="nil"/>
                  </w:tcBorders>
                  <w:noWrap w:val="0"/>
                  <w:vAlign w:val="center"/>
                </w:tcPr>
                <w:p w14:paraId="541ECEE2">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430F73C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0.204</w:t>
                  </w:r>
                </w:p>
              </w:tc>
              <w:tc>
                <w:tcPr>
                  <w:tcW w:w="513" w:type="pct"/>
                  <w:tcBorders>
                    <w:tl2br w:val="nil"/>
                    <w:tr2bl w:val="nil"/>
                  </w:tcBorders>
                  <w:noWrap w:val="0"/>
                  <w:vAlign w:val="center"/>
                </w:tcPr>
                <w:p w14:paraId="5DD18003">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0.096</w:t>
                  </w:r>
                </w:p>
              </w:tc>
              <w:tc>
                <w:tcPr>
                  <w:tcW w:w="579" w:type="pct"/>
                  <w:tcBorders>
                    <w:tl2br w:val="nil"/>
                    <w:tr2bl w:val="nil"/>
                  </w:tcBorders>
                  <w:noWrap w:val="0"/>
                  <w:vAlign w:val="center"/>
                </w:tcPr>
                <w:p w14:paraId="1AE255B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0.072</w:t>
                  </w:r>
                </w:p>
              </w:tc>
              <w:tc>
                <w:tcPr>
                  <w:tcW w:w="491" w:type="pct"/>
                  <w:tcBorders>
                    <w:tl2br w:val="nil"/>
                    <w:tr2bl w:val="nil"/>
                  </w:tcBorders>
                  <w:noWrap w:val="0"/>
                  <w:vAlign w:val="center"/>
                </w:tcPr>
                <w:p w14:paraId="30BCAA61">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0.025</w:t>
                  </w:r>
                </w:p>
              </w:tc>
            </w:tr>
            <w:tr w14:paraId="467B6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850" w:type="pct"/>
                  <w:gridSpan w:val="2"/>
                  <w:tcBorders>
                    <w:tl2br w:val="nil"/>
                    <w:tr2bl w:val="nil"/>
                  </w:tcBorders>
                  <w:noWrap w:val="0"/>
                  <w:vAlign w:val="center"/>
                </w:tcPr>
                <w:p w14:paraId="15A76D1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default" w:ascii="Times New Roman" w:hAnsi="Times New Roman" w:eastAsia="宋体" w:cs="Times New Roman"/>
                      <w:color w:val="auto"/>
                      <w:sz w:val="21"/>
                      <w:szCs w:val="21"/>
                      <w:vertAlign w:val="baseline"/>
                      <w:lang w:val="en-US" w:eastAsia="zh-CN"/>
                    </w:rPr>
                    <w:t>纳污指</w:t>
                  </w:r>
                  <w:r>
                    <w:rPr>
                      <w:rFonts w:hint="eastAsia" w:ascii="Times New Roman" w:hAnsi="Times New Roman" w:eastAsia="宋体" w:cs="Times New Roman"/>
                      <w:color w:val="auto"/>
                      <w:sz w:val="21"/>
                      <w:szCs w:val="21"/>
                      <w:vertAlign w:val="baseline"/>
                      <w:lang w:val="en-US" w:eastAsia="zh-CN"/>
                    </w:rPr>
                    <w:t>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9BE219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400</w:t>
                  </w:r>
                </w:p>
              </w:tc>
              <w:tc>
                <w:tcPr>
                  <w:tcW w:w="513" w:type="pct"/>
                  <w:tcBorders>
                    <w:tl2br w:val="nil"/>
                    <w:tr2bl w:val="nil"/>
                  </w:tcBorders>
                  <w:noWrap w:val="0"/>
                  <w:vAlign w:val="center"/>
                </w:tcPr>
                <w:p w14:paraId="135FF740">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220</w:t>
                  </w:r>
                </w:p>
              </w:tc>
              <w:tc>
                <w:tcPr>
                  <w:tcW w:w="579" w:type="pct"/>
                  <w:tcBorders>
                    <w:tl2br w:val="nil"/>
                    <w:tr2bl w:val="nil"/>
                  </w:tcBorders>
                  <w:noWrap w:val="0"/>
                  <w:vAlign w:val="center"/>
                </w:tcPr>
                <w:p w14:paraId="6F23F49D">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≤2</w:t>
                  </w:r>
                  <w:r>
                    <w:rPr>
                      <w:rFonts w:hint="eastAsia" w:ascii="Times New Roman" w:hAnsi="Times New Roman" w:eastAsia="宋体" w:cs="Times New Roman"/>
                      <w:color w:val="auto"/>
                      <w:kern w:val="0"/>
                      <w:sz w:val="20"/>
                      <w:szCs w:val="20"/>
                      <w:lang w:val="en-US" w:eastAsia="zh-CN" w:bidi="ar"/>
                    </w:rPr>
                    <w:t>8</w:t>
                  </w:r>
                  <w:r>
                    <w:rPr>
                      <w:rFonts w:hint="default" w:ascii="Times New Roman" w:hAnsi="Times New Roman" w:eastAsia="宋体" w:cs="Times New Roman"/>
                      <w:color w:val="auto"/>
                      <w:kern w:val="0"/>
                      <w:sz w:val="20"/>
                      <w:szCs w:val="20"/>
                      <w:lang w:val="en-US" w:eastAsia="zh-CN" w:bidi="ar"/>
                    </w:rPr>
                    <w:t>0</w:t>
                  </w:r>
                </w:p>
              </w:tc>
              <w:tc>
                <w:tcPr>
                  <w:tcW w:w="491" w:type="pct"/>
                  <w:tcBorders>
                    <w:tl2br w:val="nil"/>
                    <w:tr2bl w:val="nil"/>
                  </w:tcBorders>
                  <w:noWrap w:val="0"/>
                  <w:vAlign w:val="center"/>
                </w:tcPr>
                <w:p w14:paraId="65D0F96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37</w:t>
                  </w:r>
                </w:p>
              </w:tc>
            </w:tr>
            <w:tr w14:paraId="5A4AE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850" w:type="pct"/>
                  <w:gridSpan w:val="2"/>
                  <w:tcBorders>
                    <w:tl2br w:val="nil"/>
                    <w:tr2bl w:val="nil"/>
                  </w:tcBorders>
                  <w:noWrap w:val="0"/>
                  <w:vAlign w:val="center"/>
                </w:tcPr>
                <w:p w14:paraId="2738A4C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lang w:val="en-US" w:eastAsia="zh-CN"/>
                    </w:rPr>
                    <w:t>福清市融元污水处理厂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49C9E8B">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1AE10DE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9" w:type="pct"/>
                  <w:tcBorders>
                    <w:tl2br w:val="nil"/>
                    <w:tr2bl w:val="nil"/>
                  </w:tcBorders>
                  <w:noWrap w:val="0"/>
                  <w:vAlign w:val="center"/>
                </w:tcPr>
                <w:p w14:paraId="3CB7E7EF">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1" w:type="pct"/>
                  <w:tcBorders>
                    <w:tl2br w:val="nil"/>
                    <w:tr2bl w:val="nil"/>
                  </w:tcBorders>
                  <w:noWrap w:val="0"/>
                  <w:vAlign w:val="center"/>
                </w:tcPr>
                <w:p w14:paraId="0C8FF101">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3CCF7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850" w:type="pct"/>
                  <w:gridSpan w:val="2"/>
                  <w:tcBorders>
                    <w:tl2br w:val="nil"/>
                    <w:tr2bl w:val="nil"/>
                  </w:tcBorders>
                  <w:noWrap w:val="0"/>
                  <w:vAlign w:val="center"/>
                </w:tcPr>
                <w:p w14:paraId="7693AC7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AFE4F08">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1AD565CE">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9" w:type="pct"/>
                  <w:tcBorders>
                    <w:tl2br w:val="nil"/>
                    <w:tr2bl w:val="nil"/>
                  </w:tcBorders>
                  <w:noWrap w:val="0"/>
                  <w:vAlign w:val="center"/>
                </w:tcPr>
                <w:p w14:paraId="62C3ACBB">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1" w:type="pct"/>
                  <w:tcBorders>
                    <w:tl2br w:val="nil"/>
                    <w:tr2bl w:val="nil"/>
                  </w:tcBorders>
                  <w:noWrap w:val="0"/>
                  <w:vAlign w:val="center"/>
                </w:tcPr>
                <w:p w14:paraId="04E591D6">
                  <w:pPr>
                    <w:pStyle w:val="12"/>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487AEB3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en-US" w:eastAsia="zh-CN"/>
              </w:rPr>
            </w:pPr>
            <w:bookmarkStart w:id="95" w:name="_Toc14541"/>
            <w:bookmarkStart w:id="96" w:name="_Toc16893"/>
            <w:bookmarkStart w:id="97" w:name="_Toc19668"/>
          </w:p>
          <w:p w14:paraId="54BB081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98" w:name="_Toc6184"/>
            <w:r>
              <w:rPr>
                <w:rFonts w:hint="eastAsia"/>
                <w:b/>
                <w:color w:val="262626"/>
                <w:kern w:val="0"/>
                <w:sz w:val="24"/>
                <w:lang w:val="en-US" w:eastAsia="zh-CN"/>
              </w:rPr>
              <w:t>4.2.2</w:t>
            </w:r>
            <w:r>
              <w:rPr>
                <w:rFonts w:hint="default"/>
                <w:b/>
                <w:color w:val="262626"/>
                <w:kern w:val="0"/>
                <w:sz w:val="24"/>
                <w:lang w:val="en-US" w:eastAsia="zh-CN"/>
              </w:rPr>
              <w:t>运营期水环境影响及污染防治措施可行性分析</w:t>
            </w:r>
            <w:bookmarkEnd w:id="98"/>
          </w:p>
          <w:p w14:paraId="77B6616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（1）</w:t>
            </w:r>
            <w:r>
              <w:rPr>
                <w:rFonts w:hint="eastAsia" w:cs="Times New Roman"/>
                <w:bCs/>
                <w:color w:val="auto"/>
                <w:sz w:val="24"/>
                <w:highlight w:val="none"/>
                <w:lang w:val="en-US" w:eastAsia="zh-CN"/>
              </w:rPr>
              <w:t>除油前清洗水、除油后清洗水、钝化后清洗水</w:t>
            </w:r>
            <w:r>
              <w:rPr>
                <w:rFonts w:hint="eastAsia" w:ascii="Times New Roman" w:hAnsi="Times New Roman" w:eastAsia="宋体" w:cs="Times New Roman"/>
                <w:b w:val="0"/>
                <w:bCs w:val="0"/>
                <w:strike w:val="0"/>
                <w:dstrike w:val="0"/>
                <w:color w:val="auto"/>
                <w:sz w:val="24"/>
                <w:szCs w:val="24"/>
                <w:highlight w:val="none"/>
                <w:lang w:val="en-US" w:eastAsia="zh-CN"/>
              </w:rPr>
              <w:t>处理可行性分析</w:t>
            </w:r>
          </w:p>
          <w:p w14:paraId="5CA23D81">
            <w:pPr>
              <w:pStyle w:val="51"/>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本项目将配套建设1座污水处理设施处理工艺为“</w:t>
            </w:r>
            <w:r>
              <w:rPr>
                <w:rFonts w:hint="eastAsia" w:cs="宋体"/>
                <w:color w:val="000000" w:themeColor="text1"/>
                <w:highlight w:val="none"/>
                <w:lang w:val="en-US" w:eastAsia="zh-CN"/>
                <w14:textFill>
                  <w14:solidFill>
                    <w14:schemeClr w14:val="tx1"/>
                  </w14:solidFill>
                </w14:textFill>
              </w:rPr>
              <w:t>气浮+A/O+沉淀</w:t>
            </w:r>
            <w:r>
              <w:rPr>
                <w:rFonts w:hint="eastAsia" w:ascii="Times New Roman" w:hAnsi="Times New Roman" w:eastAsia="宋体" w:cs="宋体"/>
                <w:color w:val="000000" w:themeColor="text1"/>
                <w:highlight w:val="none"/>
                <w:lang w:val="en-US" w:eastAsia="zh-CN"/>
                <w14:textFill>
                  <w14:solidFill>
                    <w14:schemeClr w14:val="tx1"/>
                  </w14:solidFill>
                </w14:textFill>
              </w:rPr>
              <w:t>”，设计处理能力为0.5m</w:t>
            </w:r>
            <w:r>
              <w:rPr>
                <w:rFonts w:hint="eastAsia" w:ascii="Times New Roman" w:hAnsi="Times New Roman" w:eastAsia="宋体" w:cs="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highlight w:val="none"/>
                <w:lang w:val="en-US" w:eastAsia="zh-CN"/>
                <w14:textFill>
                  <w14:solidFill>
                    <w14:schemeClr w14:val="tx1"/>
                  </w14:solidFill>
                </w14:textFill>
              </w:rPr>
              <w:t>/d）。</w:t>
            </w:r>
          </w:p>
          <w:p w14:paraId="7F873E8C">
            <w:pPr>
              <w:pStyle w:val="51"/>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本项目</w:t>
            </w:r>
            <w:r>
              <w:rPr>
                <w:rFonts w:hint="eastAsia" w:cs="Times New Roman"/>
                <w:bCs/>
                <w:color w:val="auto"/>
                <w:sz w:val="24"/>
                <w:highlight w:val="none"/>
                <w:lang w:val="en-US" w:eastAsia="zh-CN"/>
              </w:rPr>
              <w:t>除油前清洗水、除油后清洗水、钝化后清洗水</w:t>
            </w:r>
            <w:r>
              <w:rPr>
                <w:rFonts w:hint="eastAsia" w:ascii="Times New Roman" w:hAnsi="Times New Roman" w:eastAsia="宋体" w:cs="宋体"/>
                <w:color w:val="000000" w:themeColor="text1"/>
                <w:highlight w:val="none"/>
                <w:lang w:val="en-US" w:eastAsia="zh-CN"/>
                <w14:textFill>
                  <w14:solidFill>
                    <w14:schemeClr w14:val="tx1"/>
                  </w14:solidFill>
                </w14:textFill>
              </w:rPr>
              <w:t>经收集后进入污水处理设施净化处理后，出水回用于清洗工序，不外排。</w:t>
            </w:r>
          </w:p>
          <w:p w14:paraId="00CAF6B0">
            <w:pPr>
              <w:pStyle w:val="51"/>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废水处理工艺如下：</w:t>
            </w:r>
          </w:p>
          <w:p w14:paraId="4CEA0882">
            <w:pPr>
              <w:widowControl/>
              <w:spacing w:line="360" w:lineRule="auto"/>
              <w:jc w:val="left"/>
              <w:rPr>
                <w:rFonts w:hint="eastAsia" w:ascii="Times New Roman" w:hAnsi="Times New Roman" w:eastAsia="宋体" w:cs="Times New Roman"/>
                <w:b w:val="0"/>
                <w:bCs w:val="0"/>
                <w:strike w:val="0"/>
                <w:dstrike w:val="0"/>
                <w:color w:val="auto"/>
                <w:sz w:val="24"/>
                <w:szCs w:val="24"/>
                <w:highlight w:val="none"/>
                <w:lang w:val="en-US" w:eastAsia="zh-CN"/>
              </w:rPr>
            </w:pPr>
            <w:r>
              <w:drawing>
                <wp:inline distT="0" distB="0" distL="114300" distR="114300">
                  <wp:extent cx="5663565" cy="3458845"/>
                  <wp:effectExtent l="0" t="0" r="13335" b="8255"/>
                  <wp:docPr id="2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
                          <pic:cNvPicPr>
                            <a:picLocks noChangeAspect="1"/>
                          </pic:cNvPicPr>
                        </pic:nvPicPr>
                        <pic:blipFill>
                          <a:blip r:embed="rId14"/>
                          <a:stretch>
                            <a:fillRect/>
                          </a:stretch>
                        </pic:blipFill>
                        <pic:spPr>
                          <a:xfrm>
                            <a:off x="0" y="0"/>
                            <a:ext cx="5663565" cy="3458845"/>
                          </a:xfrm>
                          <a:prstGeom prst="rect">
                            <a:avLst/>
                          </a:prstGeom>
                          <a:noFill/>
                          <a:ln>
                            <a:noFill/>
                          </a:ln>
                        </pic:spPr>
                      </pic:pic>
                    </a:graphicData>
                  </a:graphic>
                </wp:inline>
              </w:drawing>
            </w:r>
          </w:p>
          <w:p w14:paraId="131EBC85">
            <w:pPr>
              <w:pStyle w:val="51"/>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处理工艺说明：</w:t>
            </w:r>
          </w:p>
          <w:p w14:paraId="52611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pPr>
            <w:r>
              <w:rPr>
                <w:rFonts w:hint="eastAsia" w:cs="Times New Roman"/>
                <w:bCs/>
                <w:color w:val="auto"/>
                <w:sz w:val="24"/>
                <w:highlight w:val="none"/>
                <w:lang w:val="en-US" w:eastAsia="zh-CN"/>
              </w:rPr>
              <w:t>除油前清洗水、除油后清洗水、钝化后清洗水</w:t>
            </w:r>
            <w:r>
              <w:rPr>
                <w:rFonts w:hint="eastAsia" w:ascii="Times New Roman" w:hAnsi="Times New Roman" w:eastAsia="宋体" w:cs="宋体"/>
                <w:color w:val="000000" w:themeColor="text1"/>
                <w:kern w:val="0"/>
                <w:sz w:val="24"/>
                <w:szCs w:val="20"/>
                <w:highlight w:val="none"/>
                <w:lang w:val="en-US" w:eastAsia="zh-CN" w:bidi="ar-SA"/>
                <w14:textFill>
                  <w14:solidFill>
                    <w14:schemeClr w14:val="tx1"/>
                  </w14:solidFill>
                </w14:textFill>
              </w:rPr>
              <w:t>分别收集后进入调节池，经调匀水质、水量后，通过泵提进入气浮系统，在进入气浮系统前，需要加入PAC和PAM药剂，混合搅拌后，可以将水中溶解的COD/BOD以及少量的N/P等离子，形成悬浮物，经过纳米级气泡，将产生的悬浮物浮于水面，从而去除水中的溶解的杂质，可以有效去除水中的油类杂质，从而降低废水中的COD，以减轻后续A/O系统负担。气浮出水经泵提升去厌氧池，在厌氧池内利用异养型兼性细菌和厌氧菌将废水中难降解的大分子有机物转化为易降解的小分子有机物，将复杂的有机物转变成简单的有机物，提高废水的可生化性。出厌氧池废水自流入好氧池，在充分曝气的环境下，通过活性污泥的作用，充分降解有机物，同时将氨氮向硝态氮转化。好氧池出水自流入二沉池，生化污泥在此沉淀分离，污泥回流至好氧池，上清液自流入管网。二沉池的剩余污泥排入污泥池。</w:t>
            </w:r>
          </w:p>
          <w:p w14:paraId="60348792">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2</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229F6617">
            <w:pPr>
              <w:widowControl/>
              <w:spacing w:line="360" w:lineRule="auto"/>
              <w:ind w:firstLine="480" w:firstLineChars="200"/>
              <w:jc w:val="both"/>
              <w:rPr>
                <w:rFonts w:hint="default" w:ascii="Times New Roman" w:hAnsi="Times New Roman" w:eastAsia="宋体" w:cs="Times New Roman"/>
                <w:strike w:val="0"/>
                <w:dstrike w:val="0"/>
                <w:color w:val="auto"/>
                <w:sz w:val="24"/>
              </w:rPr>
            </w:pPr>
            <w:r>
              <w:rPr>
                <w:rFonts w:hint="default" w:ascii="Times New Roman" w:hAnsi="Times New Roman" w:eastAsia="宋体" w:cs="Times New Roman"/>
                <w:b w:val="0"/>
                <w:bCs w:val="0"/>
                <w:strike w:val="0"/>
                <w:dstrike w:val="0"/>
                <w:color w:val="auto"/>
                <w:sz w:val="24"/>
                <w:szCs w:val="24"/>
                <w:highlight w:val="none"/>
                <w:lang w:val="en-US" w:eastAsia="zh-CN"/>
              </w:rPr>
              <w:t>项目运营期外排废水为生活污水，依托厂区内现有化粪池处理后，排入市政污水管网，送往</w:t>
            </w:r>
            <w:r>
              <w:rPr>
                <w:rFonts w:hint="default" w:ascii="Times New Roman" w:hAnsi="Times New Roman" w:eastAsia="宋体" w:cs="Times New Roman"/>
                <w:strike w:val="0"/>
                <w:dstrike w:val="0"/>
                <w:color w:val="auto"/>
                <w:sz w:val="24"/>
                <w:szCs w:val="24"/>
                <w:lang w:val="en-US" w:eastAsia="zh-CN"/>
              </w:rPr>
              <w:t>福清市融元污水处理厂集</w:t>
            </w:r>
            <w:r>
              <w:rPr>
                <w:rFonts w:hint="default" w:ascii="Times New Roman" w:hAnsi="Times New Roman" w:eastAsia="宋体" w:cs="Times New Roman"/>
                <w:b w:val="0"/>
                <w:bCs w:val="0"/>
                <w:strike w:val="0"/>
                <w:dstrike w:val="0"/>
                <w:color w:val="auto"/>
                <w:sz w:val="24"/>
                <w:szCs w:val="24"/>
                <w:highlight w:val="none"/>
                <w:lang w:val="en-US" w:eastAsia="zh-CN"/>
              </w:rPr>
              <w:t>中进行处理，污水处理厂尾水排入龙江，所处龙江“南门桥水闸至龙江入海口”断面。生活污水依托厂区（均和云谷·福清科技港园区）现有的化粪池（50m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）处理后进入市政管网。据建设单位提供资料，</w:t>
            </w:r>
            <w:r>
              <w:rPr>
                <w:rFonts w:hint="default" w:ascii="Times New Roman" w:hAnsi="Times New Roman" w:eastAsia="宋体" w:cs="Times New Roman"/>
                <w:strike w:val="0"/>
                <w:dstrike w:val="0"/>
                <w:color w:val="auto"/>
                <w:sz w:val="24"/>
                <w:lang w:val="en-GB"/>
              </w:rPr>
              <w:t>项目所在的</w:t>
            </w:r>
            <w:r>
              <w:rPr>
                <w:rFonts w:hint="default" w:ascii="Times New Roman" w:hAnsi="Times New Roman" w:eastAsia="宋体" w:cs="Times New Roman"/>
                <w:strike w:val="0"/>
                <w:dstrike w:val="0"/>
                <w:color w:val="auto"/>
                <w:sz w:val="24"/>
              </w:rPr>
              <w:t>均和云谷</w:t>
            </w:r>
            <w:r>
              <w:rPr>
                <w:rFonts w:hint="eastAsia" w:ascii="宋体" w:hAnsi="宋体" w:eastAsia="宋体" w:cs="宋体"/>
                <w:strike w:val="0"/>
                <w:dstrike w:val="0"/>
                <w:color w:val="auto"/>
                <w:sz w:val="24"/>
              </w:rPr>
              <w:t>·</w:t>
            </w:r>
            <w:r>
              <w:rPr>
                <w:rFonts w:hint="default" w:ascii="Times New Roman" w:hAnsi="Times New Roman" w:eastAsia="宋体" w:cs="Times New Roman"/>
                <w:strike w:val="0"/>
                <w:dstrike w:val="0"/>
                <w:color w:val="auto"/>
                <w:sz w:val="24"/>
              </w:rPr>
              <w:t>福清科技港园区</w:t>
            </w:r>
            <w:r>
              <w:rPr>
                <w:rFonts w:hint="default" w:ascii="Times New Roman" w:hAnsi="Times New Roman" w:eastAsia="宋体" w:cs="Times New Roman"/>
                <w:strike w:val="0"/>
                <w:dstrike w:val="0"/>
                <w:color w:val="auto"/>
                <w:sz w:val="24"/>
                <w:lang w:val="en-US" w:eastAsia="zh-CN"/>
              </w:rPr>
              <w:t>西</w:t>
            </w:r>
            <w:r>
              <w:rPr>
                <w:rFonts w:hint="default" w:ascii="Times New Roman" w:hAnsi="Times New Roman" w:eastAsia="宋体" w:cs="Times New Roman"/>
                <w:strike w:val="0"/>
                <w:dstrike w:val="0"/>
                <w:color w:val="auto"/>
                <w:sz w:val="24"/>
              </w:rPr>
              <w:t>北侧</w:t>
            </w:r>
            <w:r>
              <w:rPr>
                <w:rFonts w:hint="default" w:ascii="Times New Roman" w:hAnsi="Times New Roman" w:eastAsia="宋体" w:cs="Times New Roman"/>
                <w:strike w:val="0"/>
                <w:dstrike w:val="0"/>
                <w:color w:val="auto"/>
                <w:sz w:val="24"/>
                <w:lang w:val="en-GB"/>
              </w:rPr>
              <w:t>设有一个有效容积约为50m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化粪池供</w:t>
            </w:r>
            <w:r>
              <w:rPr>
                <w:rFonts w:hint="default" w:ascii="Times New Roman" w:hAnsi="Times New Roman" w:eastAsia="宋体" w:cs="Times New Roman"/>
                <w:strike w:val="0"/>
                <w:dstrike w:val="0"/>
                <w:color w:val="auto"/>
                <w:sz w:val="24"/>
              </w:rPr>
              <w:t>整个厂区</w:t>
            </w:r>
            <w:r>
              <w:rPr>
                <w:rFonts w:hint="default" w:ascii="Times New Roman" w:hAnsi="Times New Roman" w:eastAsia="宋体" w:cs="Times New Roman"/>
                <w:strike w:val="0"/>
                <w:dstrike w:val="0"/>
                <w:color w:val="auto"/>
                <w:sz w:val="24"/>
                <w:lang w:val="en-GB"/>
              </w:rPr>
              <w:t>生活污水</w:t>
            </w:r>
            <w:r>
              <w:rPr>
                <w:rFonts w:hint="default" w:ascii="Times New Roman" w:hAnsi="Times New Roman" w:eastAsia="宋体" w:cs="Times New Roman"/>
                <w:strike w:val="0"/>
                <w:dstrike w:val="0"/>
                <w:color w:val="auto"/>
                <w:sz w:val="24"/>
                <w:lang w:val="en-US" w:eastAsia="zh-CN"/>
              </w:rPr>
              <w:t>处理</w:t>
            </w:r>
            <w:r>
              <w:rPr>
                <w:rFonts w:hint="default" w:ascii="Times New Roman" w:hAnsi="Times New Roman" w:eastAsia="宋体" w:cs="Times New Roman"/>
                <w:strike w:val="0"/>
                <w:dstrike w:val="0"/>
                <w:color w:val="auto"/>
                <w:sz w:val="24"/>
                <w:lang w:val="en-GB"/>
              </w:rPr>
              <w:t>使用</w:t>
            </w:r>
            <w:r>
              <w:rPr>
                <w:rFonts w:hint="default" w:ascii="Times New Roman" w:hAnsi="Times New Roman" w:eastAsia="宋体" w:cs="Times New Roman"/>
                <w:strike w:val="0"/>
                <w:dstrike w:val="0"/>
                <w:color w:val="auto"/>
                <w:sz w:val="24"/>
                <w:lang w:val="en-GB" w:eastAsia="zh-CN"/>
              </w:rPr>
              <w:t>，</w:t>
            </w:r>
            <w:r>
              <w:rPr>
                <w:rFonts w:hint="default" w:ascii="Times New Roman" w:hAnsi="Times New Roman" w:eastAsia="宋体" w:cs="Times New Roman"/>
                <w:strike w:val="0"/>
                <w:dstrike w:val="0"/>
                <w:color w:val="auto"/>
                <w:sz w:val="24"/>
                <w:lang w:val="en-US" w:eastAsia="zh-CN"/>
              </w:rPr>
              <w:t>化粪池管理、维护均由均和物业管理服务（福州）有限公司全权负责</w:t>
            </w:r>
            <w:r>
              <w:rPr>
                <w:rFonts w:hint="default" w:ascii="Times New Roman" w:hAnsi="Times New Roman" w:eastAsia="宋体" w:cs="Times New Roman"/>
                <w:strike w:val="0"/>
                <w:dstrike w:val="0"/>
                <w:color w:val="auto"/>
                <w:sz w:val="24"/>
                <w:lang w:val="en-GB"/>
              </w:rPr>
              <w:t>。根据均和产业发展（福清）有限公司提</w:t>
            </w:r>
            <w:r>
              <w:rPr>
                <w:rFonts w:hint="eastAsia" w:cs="Times New Roman"/>
                <w:strike w:val="0"/>
                <w:dstrike w:val="0"/>
                <w:color w:val="auto"/>
                <w:sz w:val="24"/>
                <w:lang w:val="en-GB" w:eastAsia="zh-CN"/>
              </w:rPr>
              <w:t>供的</w:t>
            </w:r>
            <w:r>
              <w:rPr>
                <w:rFonts w:hint="default" w:ascii="Times New Roman" w:hAnsi="Times New Roman" w:eastAsia="宋体" w:cs="Times New Roman"/>
                <w:strike w:val="0"/>
                <w:dstrike w:val="0"/>
                <w:color w:val="auto"/>
                <w:sz w:val="24"/>
                <w:shd w:val="clear"/>
                <w:lang w:val="en-GB"/>
              </w:rPr>
              <w:t>证明材料</w:t>
            </w:r>
            <w:r>
              <w:rPr>
                <w:rFonts w:hint="eastAsia" w:cs="Times New Roman"/>
                <w:strike w:val="0"/>
                <w:dstrike w:val="0"/>
                <w:color w:val="auto"/>
                <w:sz w:val="24"/>
                <w:shd w:val="clear"/>
                <w:lang w:val="en-GB" w:eastAsia="zh-CN"/>
              </w:rPr>
              <w:t>（</w:t>
            </w:r>
            <w:r>
              <w:rPr>
                <w:rFonts w:hint="eastAsia" w:cs="Times New Roman"/>
                <w:strike w:val="0"/>
                <w:dstrike w:val="0"/>
                <w:color w:val="auto"/>
                <w:sz w:val="24"/>
                <w:shd w:val="clear"/>
                <w:lang w:val="en-US" w:eastAsia="zh-CN"/>
              </w:rPr>
              <w:t>附件七）</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eastAsia" w:cs="Times New Roman"/>
                <w:strike w:val="0"/>
                <w:dstrike w:val="0"/>
                <w:color w:val="auto"/>
                <w:sz w:val="24"/>
                <w:lang w:val="en-US" w:eastAsia="zh-CN"/>
              </w:rPr>
              <w:t>48.425</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eastAsia" w:cs="Times New Roman"/>
                <w:strike w:val="0"/>
                <w:dstrike w:val="0"/>
                <w:color w:val="auto"/>
                <w:sz w:val="24"/>
                <w:lang w:val="en-US" w:eastAsia="zh-CN"/>
              </w:rPr>
              <w:t>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rPr>
              <w:t>/d，约占剩余化粪池处理量</w:t>
            </w:r>
            <w:r>
              <w:rPr>
                <w:rFonts w:hint="eastAsia" w:cs="Times New Roman"/>
                <w:strike w:val="0"/>
                <w:dstrike w:val="0"/>
                <w:color w:val="auto"/>
                <w:sz w:val="24"/>
                <w:lang w:val="en-US" w:eastAsia="zh-CN"/>
              </w:rPr>
              <w:t>5.78</w:t>
            </w:r>
            <w:r>
              <w:rPr>
                <w:rFonts w:hint="default" w:ascii="Times New Roman" w:hAnsi="Times New Roman" w:eastAsia="宋体" w:cs="Times New Roman"/>
                <w:strike w:val="0"/>
                <w:dstrike w:val="0"/>
                <w:color w:val="auto"/>
                <w:sz w:val="24"/>
              </w:rPr>
              <w:t>%，因此本项目生活污水依托均和云谷·福清科技港园区已建的化粪池进行处理可行。</w:t>
            </w:r>
            <w:r>
              <w:rPr>
                <w:rFonts w:hint="default" w:ascii="Times New Roman" w:hAnsi="Times New Roman" w:eastAsia="宋体" w:cs="Times New Roman"/>
                <w:strike w:val="0"/>
                <w:dstrike w:val="0"/>
                <w:color w:val="auto"/>
                <w:sz w:val="24"/>
                <w:lang w:val="en-US" w:eastAsia="zh-CN"/>
              </w:rPr>
              <w:t>根据现场勘查，目前厂区市政污水管网已经接入厂区西北侧岁金配套路市政污水管网</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highlight w:val="none"/>
                <w:lang w:val="en-US" w:eastAsia="zh-CN"/>
              </w:rPr>
              <w:t>详见</w:t>
            </w:r>
            <w:r>
              <w:rPr>
                <w:rFonts w:hint="default" w:ascii="Times New Roman" w:hAnsi="Times New Roman" w:eastAsia="宋体" w:cs="Times New Roman"/>
                <w:b/>
                <w:bCs/>
                <w:strike w:val="0"/>
                <w:dstrike w:val="0"/>
                <w:color w:val="auto"/>
                <w:sz w:val="24"/>
                <w:highlight w:val="none"/>
                <w:lang w:val="en-US" w:eastAsia="zh-CN"/>
              </w:rPr>
              <w:t>附件</w:t>
            </w:r>
            <w:r>
              <w:rPr>
                <w:rFonts w:hint="eastAsia" w:cs="Times New Roman"/>
                <w:b/>
                <w:bCs/>
                <w:strike w:val="0"/>
                <w:dstrike w:val="0"/>
                <w:color w:val="auto"/>
                <w:sz w:val="24"/>
                <w:highlight w:val="none"/>
                <w:lang w:val="en-US" w:eastAsia="zh-CN"/>
              </w:rPr>
              <w:t>八</w:t>
            </w:r>
            <w:r>
              <w:rPr>
                <w:rFonts w:hint="eastAsia" w:cs="Times New Roman"/>
                <w:strike w:val="0"/>
                <w:dstrike w:val="0"/>
                <w:color w:val="auto"/>
                <w:sz w:val="24"/>
                <w:highlight w:val="none"/>
                <w:lang w:val="en-US" w:eastAsia="zh-CN"/>
              </w:rPr>
              <w:t>）</w:t>
            </w:r>
            <w:r>
              <w:rPr>
                <w:rFonts w:hint="default" w:ascii="Times New Roman" w:hAnsi="Times New Roman" w:eastAsia="宋体" w:cs="Times New Roman"/>
                <w:strike w:val="0"/>
                <w:dstrike w:val="0"/>
                <w:color w:val="auto"/>
                <w:sz w:val="24"/>
                <w:lang w:val="en-US" w:eastAsia="zh-CN"/>
              </w:rPr>
              <w:t>。</w:t>
            </w:r>
          </w:p>
          <w:p w14:paraId="3C3392BA">
            <w:pPr>
              <w:widowControl/>
              <w:spacing w:line="360" w:lineRule="auto"/>
              <w:ind w:firstLine="480" w:firstLineChars="200"/>
              <w:jc w:val="both"/>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3</w:t>
            </w:r>
            <w:r>
              <w:rPr>
                <w:rFonts w:hint="eastAsia" w:ascii="Times New Roman" w:hAnsi="Times New Roman" w:eastAsia="宋体" w:cs="Times New Roman"/>
                <w:b w:val="0"/>
                <w:bCs w:val="0"/>
                <w:strike w:val="0"/>
                <w:dstrike w:val="0"/>
                <w:color w:val="auto"/>
                <w:sz w:val="24"/>
                <w:szCs w:val="24"/>
                <w:highlight w:val="none"/>
                <w:lang w:val="en-US" w:eastAsia="zh-CN"/>
              </w:rPr>
              <w:t>）依托集中污水处理厂的可行性分析</w:t>
            </w:r>
          </w:p>
          <w:p w14:paraId="4BC23A2F">
            <w:pPr>
              <w:widowControl/>
              <w:spacing w:line="360" w:lineRule="auto"/>
              <w:ind w:firstLine="480" w:firstLineChars="200"/>
              <w:jc w:val="both"/>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要求，废水间接排放的建设项目应从处理能力、处理工艺、设计进出水水质等方面，分析依托集中污水处理厂的可行性。</w:t>
            </w:r>
          </w:p>
          <w:p w14:paraId="65FF62D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①福清市融元污水处理厂基本情况</w:t>
            </w:r>
          </w:p>
          <w:p w14:paraId="16B5DA69">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A.设计进出水水质</w:t>
            </w:r>
          </w:p>
          <w:p w14:paraId="0BAC184F">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根据《福清市融元污水处理厂提标及改造工程环境影响报告书</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报批稿</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70198885">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 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 xml:space="preserve"> pH除外</w:t>
            </w:r>
            <w:r>
              <w:rPr>
                <w:rFonts w:hint="eastAsia" w:cs="Times New Roman"/>
                <w:color w:val="auto"/>
                <w:sz w:val="24"/>
                <w:szCs w:val="24"/>
                <w:highlight w:val="none"/>
                <w:lang w:val="en-US" w:eastAsia="zh-CN"/>
              </w:rPr>
              <w:t>）</w:t>
            </w:r>
          </w:p>
          <w:tbl>
            <w:tblPr>
              <w:tblStyle w:val="5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60"/>
              <w:gridCol w:w="1415"/>
              <w:gridCol w:w="1151"/>
              <w:gridCol w:w="1042"/>
              <w:gridCol w:w="1109"/>
              <w:gridCol w:w="1027"/>
              <w:gridCol w:w="1027"/>
              <w:gridCol w:w="919"/>
            </w:tblGrid>
            <w:tr w14:paraId="47D91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7" w:hRule="atLeast"/>
              </w:trPr>
              <w:tc>
                <w:tcPr>
                  <w:tcW w:w="655" w:type="pct"/>
                  <w:noWrap w:val="0"/>
                  <w:vAlign w:val="center"/>
                </w:tcPr>
                <w:p w14:paraId="38D251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799" w:type="pct"/>
                  <w:noWrap w:val="0"/>
                  <w:vAlign w:val="center"/>
                </w:tcPr>
                <w:p w14:paraId="00AE92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650" w:type="pct"/>
                  <w:noWrap w:val="0"/>
                  <w:vAlign w:val="center"/>
                </w:tcPr>
                <w:p w14:paraId="216994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588" w:type="pct"/>
                  <w:noWrap w:val="0"/>
                  <w:vAlign w:val="center"/>
                </w:tcPr>
                <w:p w14:paraId="4447B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BOD5</w:t>
                  </w:r>
                </w:p>
              </w:tc>
              <w:tc>
                <w:tcPr>
                  <w:tcW w:w="626" w:type="pct"/>
                  <w:noWrap w:val="0"/>
                  <w:vAlign w:val="center"/>
                </w:tcPr>
                <w:p w14:paraId="09F8F9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80" w:type="pct"/>
                  <w:noWrap w:val="0"/>
                  <w:vAlign w:val="center"/>
                </w:tcPr>
                <w:p w14:paraId="54353D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NH3-N</w:t>
                  </w:r>
                </w:p>
              </w:tc>
              <w:tc>
                <w:tcPr>
                  <w:tcW w:w="580" w:type="pct"/>
                  <w:noWrap w:val="0"/>
                  <w:vAlign w:val="center"/>
                </w:tcPr>
                <w:p w14:paraId="586DE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518" w:type="pct"/>
                  <w:noWrap w:val="0"/>
                  <w:vAlign w:val="center"/>
                </w:tcPr>
                <w:p w14:paraId="219A96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1BA8D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2" w:hRule="atLeast"/>
              </w:trPr>
              <w:tc>
                <w:tcPr>
                  <w:tcW w:w="655" w:type="pct"/>
                  <w:noWrap w:val="0"/>
                  <w:vAlign w:val="center"/>
                </w:tcPr>
                <w:p w14:paraId="5C6A7A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799" w:type="pct"/>
                  <w:noWrap w:val="0"/>
                  <w:vAlign w:val="center"/>
                </w:tcPr>
                <w:p w14:paraId="7CDB73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44F4AD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≤400</w:t>
                  </w:r>
                </w:p>
              </w:tc>
              <w:tc>
                <w:tcPr>
                  <w:tcW w:w="588" w:type="pct"/>
                  <w:noWrap w:val="0"/>
                  <w:vAlign w:val="center"/>
                </w:tcPr>
                <w:p w14:paraId="66C135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≤220</w:t>
                  </w:r>
                </w:p>
              </w:tc>
              <w:tc>
                <w:tcPr>
                  <w:tcW w:w="626" w:type="pct"/>
                  <w:noWrap w:val="0"/>
                  <w:vAlign w:val="center"/>
                </w:tcPr>
                <w:p w14:paraId="01E5F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≤280</w:t>
                  </w:r>
                </w:p>
              </w:tc>
              <w:tc>
                <w:tcPr>
                  <w:tcW w:w="580" w:type="pct"/>
                  <w:noWrap w:val="0"/>
                  <w:vAlign w:val="center"/>
                </w:tcPr>
                <w:p w14:paraId="306369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≤37</w:t>
                  </w:r>
                </w:p>
              </w:tc>
              <w:tc>
                <w:tcPr>
                  <w:tcW w:w="580" w:type="pct"/>
                  <w:noWrap w:val="0"/>
                  <w:vAlign w:val="center"/>
                </w:tcPr>
                <w:p w14:paraId="5273E9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≤54</w:t>
                  </w:r>
                </w:p>
              </w:tc>
              <w:tc>
                <w:tcPr>
                  <w:tcW w:w="518" w:type="pct"/>
                  <w:noWrap w:val="0"/>
                  <w:vAlign w:val="center"/>
                </w:tcPr>
                <w:p w14:paraId="178567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≤4</w:t>
                  </w:r>
                </w:p>
              </w:tc>
            </w:tr>
            <w:tr w14:paraId="1FE4C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655" w:type="pct"/>
                  <w:noWrap w:val="0"/>
                  <w:vAlign w:val="center"/>
                </w:tcPr>
                <w:p w14:paraId="6CC725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799" w:type="pct"/>
                  <w:noWrap w:val="0"/>
                  <w:vAlign w:val="center"/>
                </w:tcPr>
                <w:p w14:paraId="53CCC9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650" w:type="pct"/>
                  <w:noWrap w:val="0"/>
                  <w:vAlign w:val="center"/>
                </w:tcPr>
                <w:p w14:paraId="52963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588" w:type="pct"/>
                  <w:noWrap w:val="0"/>
                  <w:vAlign w:val="center"/>
                </w:tcPr>
                <w:p w14:paraId="0B8499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626" w:type="pct"/>
                  <w:noWrap w:val="0"/>
                  <w:vAlign w:val="center"/>
                </w:tcPr>
                <w:p w14:paraId="0FCA64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80" w:type="pct"/>
                  <w:noWrap w:val="0"/>
                  <w:vAlign w:val="center"/>
                </w:tcPr>
                <w:p w14:paraId="3BD391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0" w:type="pct"/>
                  <w:noWrap w:val="0"/>
                  <w:vAlign w:val="center"/>
                </w:tcPr>
                <w:p w14:paraId="594037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518" w:type="pct"/>
                  <w:noWrap w:val="0"/>
                  <w:vAlign w:val="center"/>
                </w:tcPr>
                <w:p w14:paraId="64571F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0DDF6609">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B.</w:t>
            </w:r>
            <w:r>
              <w:rPr>
                <w:rFonts w:hint="default" w:ascii="Times New Roman" w:hAnsi="Times New Roman" w:eastAsia="宋体" w:cs="Times New Roman"/>
                <w:b w:val="0"/>
                <w:bCs w:val="0"/>
                <w:strike w:val="0"/>
                <w:dstrike w:val="0"/>
                <w:color w:val="auto"/>
                <w:sz w:val="24"/>
                <w:szCs w:val="24"/>
                <w:highlight w:val="none"/>
                <w:lang w:val="en-US" w:eastAsia="zh-CN"/>
              </w:rPr>
              <w:t>处理工艺</w:t>
            </w:r>
          </w:p>
          <w:p w14:paraId="039FAD4F">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福清市融元污水处理厂</w:t>
            </w:r>
            <w:r>
              <w:rPr>
                <w:rFonts w:hint="default" w:ascii="Times New Roman" w:hAnsi="Times New Roman" w:eastAsia="宋体" w:cs="Times New Roman"/>
                <w:b w:val="0"/>
                <w:bCs w:val="0"/>
                <w:strike w:val="0"/>
                <w:dstrike w:val="0"/>
                <w:color w:val="auto"/>
                <w:sz w:val="24"/>
                <w:szCs w:val="24"/>
                <w:highlight w:val="none"/>
                <w:lang w:val="en-US" w:eastAsia="zh-CN"/>
              </w:rPr>
              <w:t>采用</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/O生化反应工艺</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处理工艺，属于城镇污水处理厂通用工艺，污水处理工艺流程详见图</w:t>
            </w:r>
            <w:r>
              <w:rPr>
                <w:rFonts w:hint="eastAsia" w:ascii="Times New Roman" w:hAnsi="Times New Roman" w:eastAsia="宋体" w:cs="Times New Roman"/>
                <w:b w:val="0"/>
                <w:bCs w:val="0"/>
                <w:strike w:val="0"/>
                <w:dstrike w:val="0"/>
                <w:color w:val="auto"/>
                <w:sz w:val="24"/>
                <w:szCs w:val="24"/>
                <w:highlight w:val="none"/>
                <w:lang w:val="en-US" w:eastAsia="zh-CN"/>
              </w:rPr>
              <w:t>4.2-1</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1D7DA9A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object>
                <v:shape id="_x0000_i1025" o:spt="75" type="#_x0000_t75" style="height:307.15pt;width:440.15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14:paraId="1285E42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w:t>
            </w:r>
            <w:r>
              <w:rPr>
                <w:rFonts w:hint="eastAsia" w:ascii="Times New Roman" w:hAnsi="Times New Roman" w:eastAsia="宋体" w:cs="Times New Roman"/>
                <w:b/>
                <w:bCs/>
                <w:color w:val="auto"/>
                <w:sz w:val="24"/>
                <w:szCs w:val="24"/>
                <w:highlight w:val="none"/>
                <w:lang w:val="en-US" w:eastAsia="zh-CN"/>
              </w:rPr>
              <w:t xml:space="preserve">4.2-1 </w:t>
            </w:r>
            <w:r>
              <w:rPr>
                <w:rFonts w:hint="default" w:ascii="Times New Roman" w:hAnsi="Times New Roman" w:eastAsia="宋体" w:cs="Times New Roman"/>
                <w:b/>
                <w:bCs/>
                <w:color w:val="auto"/>
                <w:sz w:val="24"/>
                <w:szCs w:val="24"/>
                <w:highlight w:val="none"/>
                <w:lang w:val="en-US" w:eastAsia="zh-CN"/>
              </w:rPr>
              <w:t>污水处理厂处理工艺流程图</w:t>
            </w:r>
          </w:p>
          <w:p w14:paraId="3D1270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②</w:t>
            </w:r>
            <w:r>
              <w:rPr>
                <w:rFonts w:hint="default" w:ascii="Times New Roman" w:hAnsi="Times New Roman" w:eastAsia="宋体" w:cs="Times New Roman"/>
                <w:b w:val="0"/>
                <w:bCs w:val="0"/>
                <w:strike w:val="0"/>
                <w:dstrike w:val="0"/>
                <w:color w:val="auto"/>
                <w:sz w:val="24"/>
                <w:szCs w:val="24"/>
                <w:highlight w:val="none"/>
                <w:lang w:val="en-US" w:eastAsia="zh-CN"/>
              </w:rPr>
              <w:t>依托可行性分析</w:t>
            </w:r>
          </w:p>
          <w:p w14:paraId="4508400C">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A.</w:t>
            </w:r>
            <w:r>
              <w:rPr>
                <w:rFonts w:hint="default" w:ascii="Times New Roman" w:hAnsi="Times New Roman" w:eastAsia="宋体" w:cs="Times New Roman"/>
                <w:b w:val="0"/>
                <w:bCs w:val="0"/>
                <w:strike w:val="0"/>
                <w:dstrike w:val="0"/>
                <w:color w:val="auto"/>
                <w:sz w:val="24"/>
                <w:szCs w:val="24"/>
                <w:highlight w:val="none"/>
                <w:lang w:val="en-US" w:eastAsia="zh-CN"/>
              </w:rPr>
              <w:t>接管可行性</w:t>
            </w:r>
          </w:p>
          <w:p w14:paraId="635E9273">
            <w:pPr>
              <w:widowControl/>
              <w:spacing w:line="360" w:lineRule="auto"/>
              <w:ind w:firstLine="480" w:firstLineChars="200"/>
              <w:jc w:val="left"/>
              <w:rPr>
                <w:rFonts w:hint="default"/>
                <w:lang w:val="en-US" w:eastAsia="zh-CN"/>
              </w:rPr>
            </w:pPr>
            <w:r>
              <w:rPr>
                <w:rFonts w:hint="eastAsia" w:cs="Times New Roman"/>
                <w:strike w:val="0"/>
                <w:dstrike w:val="0"/>
                <w:color w:val="auto"/>
                <w:sz w:val="24"/>
                <w:lang w:val="en-US" w:eastAsia="zh-CN"/>
              </w:rPr>
              <w:t>根据调查，</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主要负责</w:t>
            </w:r>
            <w:r>
              <w:rPr>
                <w:rFonts w:hint="eastAsia" w:ascii="Times New Roman" w:hAnsi="Times New Roman" w:eastAsia="宋体" w:cs="Times New Roman"/>
                <w:strike w:val="0"/>
                <w:dstrike w:val="0"/>
                <w:color w:val="auto"/>
                <w:sz w:val="24"/>
                <w:lang w:val="en-US" w:eastAsia="zh-CN"/>
              </w:rPr>
              <w:t>城关区和洪宽区</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增加京东方和东旭光电项目</w:t>
            </w:r>
            <w:r>
              <w:rPr>
                <w:rFonts w:hint="eastAsia"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的生活污水和工业污水。</w:t>
            </w:r>
            <w:r>
              <w:rPr>
                <w:rFonts w:hint="default" w:ascii="Times New Roman" w:hAnsi="Times New Roman" w:eastAsia="宋体" w:cs="Times New Roman"/>
                <w:strike w:val="0"/>
                <w:dstrike w:val="0"/>
                <w:color w:val="auto"/>
                <w:sz w:val="24"/>
                <w:lang w:val="en-US" w:eastAsia="zh-CN"/>
              </w:rPr>
              <w:t>本项目位于</w:t>
            </w:r>
            <w:r>
              <w:rPr>
                <w:rFonts w:hint="eastAsia" w:ascii="Times New Roman" w:hAnsi="Times New Roman" w:eastAsia="宋体" w:cs="Times New Roman"/>
                <w:strike w:val="0"/>
                <w:dstrike w:val="0"/>
                <w:color w:val="auto"/>
                <w:sz w:val="24"/>
                <w:lang w:val="en-US" w:eastAsia="zh-CN"/>
              </w:rPr>
              <w:t>福清市融侨经济技术开发区</w:t>
            </w:r>
            <w:r>
              <w:rPr>
                <w:rFonts w:hint="default" w:ascii="Times New Roman" w:hAnsi="Times New Roman" w:eastAsia="宋体" w:cs="Times New Roman"/>
                <w:strike w:val="0"/>
                <w:dstrike w:val="0"/>
                <w:color w:val="auto"/>
                <w:sz w:val="24"/>
                <w:lang w:val="en-US" w:eastAsia="zh-CN"/>
              </w:rPr>
              <w:t>，属于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服务范围内，根据现场勘查，目前</w:t>
            </w:r>
            <w:r>
              <w:rPr>
                <w:rFonts w:hint="eastAsia" w:ascii="Times New Roman" w:hAnsi="Times New Roman" w:eastAsia="宋体" w:cs="Times New Roman"/>
                <w:strike w:val="0"/>
                <w:dstrike w:val="0"/>
                <w:color w:val="auto"/>
                <w:sz w:val="24"/>
                <w:lang w:val="en-US" w:eastAsia="zh-CN"/>
              </w:rPr>
              <w:t>厂区周边的</w:t>
            </w:r>
            <w:r>
              <w:rPr>
                <w:rFonts w:hint="default" w:ascii="Times New Roman" w:hAnsi="Times New Roman" w:eastAsia="宋体" w:cs="Times New Roman"/>
                <w:strike w:val="0"/>
                <w:dstrike w:val="0"/>
                <w:color w:val="auto"/>
                <w:sz w:val="24"/>
                <w:lang w:val="en-US" w:eastAsia="zh-CN"/>
              </w:rPr>
              <w:t>市政污水管网已经铺设完成并已经投入正常运行，本项目厂区污水总排口已经接入市政污水管网</w:t>
            </w:r>
            <w:r>
              <w:rPr>
                <w:rFonts w:hint="eastAsia" w:ascii="Times New Roman" w:hAnsi="Times New Roman" w:eastAsia="宋体" w:cs="Times New Roman"/>
                <w:strike w:val="0"/>
                <w:dstrike w:val="0"/>
                <w:color w:val="auto"/>
                <w:sz w:val="24"/>
                <w:lang w:val="en-US" w:eastAsia="zh-CN"/>
              </w:rPr>
              <w:t>，项目污水排口位于厂区的西北侧区域</w:t>
            </w:r>
            <w:r>
              <w:rPr>
                <w:rFonts w:hint="default" w:ascii="Times New Roman" w:hAnsi="Times New Roman" w:eastAsia="宋体" w:cs="Times New Roman"/>
                <w:strike w:val="0"/>
                <w:dstrike w:val="0"/>
                <w:color w:val="auto"/>
                <w:sz w:val="24"/>
                <w:lang w:val="en-US" w:eastAsia="zh-CN"/>
              </w:rPr>
              <w:t>。</w:t>
            </w:r>
            <w:r>
              <w:rPr>
                <w:color w:val="auto"/>
              </w:rPr>
              <w:drawing>
                <wp:inline distT="0" distB="0" distL="114300" distR="114300">
                  <wp:extent cx="5427345" cy="3825240"/>
                  <wp:effectExtent l="0" t="0" r="13335" b="0"/>
                  <wp:docPr id="1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4"/>
                          <pic:cNvPicPr>
                            <a:picLocks noChangeAspect="1"/>
                          </pic:cNvPicPr>
                        </pic:nvPicPr>
                        <pic:blipFill>
                          <a:blip r:embed="rId17"/>
                          <a:stretch>
                            <a:fillRect/>
                          </a:stretch>
                        </pic:blipFill>
                        <pic:spPr>
                          <a:xfrm>
                            <a:off x="0" y="0"/>
                            <a:ext cx="5427345" cy="3825240"/>
                          </a:xfrm>
                          <a:prstGeom prst="rect">
                            <a:avLst/>
                          </a:prstGeom>
                          <a:noFill/>
                          <a:ln>
                            <a:noFill/>
                          </a:ln>
                        </pic:spPr>
                      </pic:pic>
                    </a:graphicData>
                  </a:graphic>
                </wp:inline>
              </w:drawing>
            </w:r>
          </w:p>
          <w:p w14:paraId="76000A72">
            <w:pPr>
              <w:pStyle w:val="42"/>
              <w:keepNext w:val="0"/>
              <w:keepLines w:val="0"/>
              <w:pageBreakBefore w:val="0"/>
              <w:widowControl w:val="0"/>
              <w:kinsoku/>
              <w:wordWrap/>
              <w:overflowPunct/>
              <w:topLinePunct w:val="0"/>
              <w:autoSpaceDE w:val="0"/>
              <w:autoSpaceDN w:val="0"/>
              <w:bidi w:val="0"/>
              <w:adjustRightInd w:val="0"/>
              <w:snapToGrid w:val="0"/>
              <w:spacing w:before="0" w:beforeLines="0" w:after="163" w:afterLines="50"/>
              <w:ind w:left="0" w:leftChars="0" w:firstLine="0" w:firstLineChars="0"/>
              <w:jc w:val="center"/>
              <w:textAlignment w:val="baseline"/>
              <w:rPr>
                <w:rFonts w:hint="default" w:ascii="Times New Roman" w:hAnsi="Times New Roman" w:eastAsia="宋体" w:cs="Times New Roman"/>
                <w:b/>
                <w:bCs/>
                <w:strike w:val="0"/>
                <w:dstrike w:val="0"/>
                <w:color w:val="auto"/>
                <w:sz w:val="24"/>
                <w:szCs w:val="24"/>
                <w:lang w:val="en-US" w:eastAsia="zh-CN"/>
              </w:rPr>
            </w:pPr>
            <w:r>
              <w:rPr>
                <w:rFonts w:hint="default" w:ascii="Times New Roman" w:hAnsi="Times New Roman" w:eastAsia="宋体" w:cs="Times New Roman"/>
                <w:b/>
                <w:bCs/>
                <w:color w:val="auto"/>
                <w:sz w:val="24"/>
                <w:szCs w:val="24"/>
              </w:rPr>
              <w:t>图4.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 xml:space="preserve"> 污水工程规划图</w:t>
            </w:r>
          </w:p>
          <w:p w14:paraId="36815B82">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B.</w:t>
            </w:r>
            <w:r>
              <w:rPr>
                <w:rFonts w:hint="default" w:ascii="Times New Roman" w:hAnsi="Times New Roman" w:eastAsia="宋体" w:cs="Times New Roman"/>
                <w:strike w:val="0"/>
                <w:dstrike w:val="0"/>
                <w:color w:val="auto"/>
                <w:sz w:val="24"/>
                <w:lang w:val="en-US" w:eastAsia="zh-CN"/>
              </w:rPr>
              <w:t>水质负荷</w:t>
            </w:r>
          </w:p>
          <w:p w14:paraId="25031ABC">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本项目</w:t>
            </w:r>
            <w:r>
              <w:rPr>
                <w:rFonts w:hint="default" w:ascii="Times New Roman" w:hAnsi="Times New Roman" w:eastAsia="宋体" w:cs="Times New Roman"/>
                <w:strike w:val="0"/>
                <w:dstrike w:val="0"/>
                <w:color w:val="auto"/>
                <w:sz w:val="24"/>
                <w:lang w:val="en-US" w:eastAsia="zh-CN"/>
              </w:rPr>
              <w:t>生活污水直接经化粪池预处理</w:t>
            </w:r>
            <w:r>
              <w:rPr>
                <w:rFonts w:hint="eastAsia" w:ascii="Times New Roman" w:hAnsi="Times New Roman" w:eastAsia="宋体" w:cs="Times New Roman"/>
                <w:strike w:val="0"/>
                <w:dstrike w:val="0"/>
                <w:color w:val="auto"/>
                <w:sz w:val="24"/>
                <w:lang w:val="en-US" w:eastAsia="zh-CN"/>
              </w:rPr>
              <w:t>直接依托厂区污水总排口</w:t>
            </w:r>
            <w:r>
              <w:rPr>
                <w:rFonts w:hint="default" w:ascii="Times New Roman" w:hAnsi="Times New Roman" w:eastAsia="宋体" w:cs="Times New Roman"/>
                <w:strike w:val="0"/>
                <w:dstrike w:val="0"/>
                <w:color w:val="auto"/>
                <w:sz w:val="24"/>
                <w:lang w:val="en-US" w:eastAsia="zh-CN"/>
              </w:rPr>
              <w:t>排入市政污水管网</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根据</w:t>
            </w:r>
            <w:r>
              <w:rPr>
                <w:rFonts w:hint="eastAsia" w:ascii="Times New Roman" w:hAnsi="Times New Roman" w:eastAsia="宋体" w:cs="Times New Roman"/>
                <w:strike w:val="0"/>
                <w:dstrike w:val="0"/>
                <w:color w:val="auto"/>
                <w:sz w:val="24"/>
                <w:lang w:val="en-US" w:eastAsia="zh-CN"/>
              </w:rPr>
              <w:t>前文</w:t>
            </w:r>
            <w:r>
              <w:rPr>
                <w:rFonts w:hint="default" w:ascii="Times New Roman" w:hAnsi="Times New Roman" w:eastAsia="宋体" w:cs="Times New Roman"/>
                <w:strike w:val="0"/>
                <w:dstrike w:val="0"/>
                <w:color w:val="auto"/>
                <w:sz w:val="24"/>
                <w:lang w:val="en-US" w:eastAsia="zh-CN"/>
              </w:rPr>
              <w:t>分析预测可知</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本项目生活污水</w:t>
            </w:r>
            <w:r>
              <w:rPr>
                <w:rFonts w:hint="eastAsia" w:ascii="Times New Roman" w:hAnsi="Times New Roman" w:eastAsia="宋体" w:cs="Times New Roman"/>
                <w:strike w:val="0"/>
                <w:dstrike w:val="0"/>
                <w:color w:val="auto"/>
                <w:sz w:val="24"/>
                <w:lang w:val="en-US" w:eastAsia="zh-CN"/>
              </w:rPr>
              <w:t>经化粪池预处理后</w:t>
            </w:r>
            <w:r>
              <w:rPr>
                <w:rFonts w:hint="default" w:ascii="Times New Roman" w:hAnsi="Times New Roman" w:eastAsia="宋体" w:cs="Times New Roman"/>
                <w:strike w:val="0"/>
                <w:dstrike w:val="0"/>
                <w:color w:val="auto"/>
                <w:sz w:val="24"/>
                <w:lang w:val="en-US" w:eastAsia="zh-CN"/>
              </w:rPr>
              <w:t>主要污染物排放浓度均能满足《污水综合排放标准》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GB8978-1996</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表4三级标准及《污水排入城镇下水道水质标准》</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GB/T 31962-2015</w:t>
            </w:r>
            <w:r>
              <w:rPr>
                <w:rFonts w:hint="eastAsia"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表1中B级标准限值</w:t>
            </w:r>
            <w:r>
              <w:rPr>
                <w:rFonts w:hint="eastAsia" w:ascii="Times New Roman" w:hAnsi="Times New Roman" w:eastAsia="宋体" w:cs="Times New Roman"/>
                <w:strike w:val="0"/>
                <w:dstrike w:val="0"/>
                <w:color w:val="auto"/>
                <w:sz w:val="24"/>
                <w:lang w:val="en-US" w:eastAsia="zh-CN"/>
              </w:rPr>
              <w:t>，也可以符合污水处理厂进水水质标准。</w:t>
            </w:r>
            <w:r>
              <w:rPr>
                <w:rFonts w:hint="default" w:ascii="Times New Roman" w:hAnsi="Times New Roman" w:eastAsia="宋体" w:cs="Times New Roman"/>
                <w:strike w:val="0"/>
                <w:dstrike w:val="0"/>
                <w:color w:val="auto"/>
                <w:sz w:val="24"/>
                <w:lang w:val="en-US" w:eastAsia="zh-CN"/>
              </w:rPr>
              <w:t>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不涉及有毒有害污染物，不涉及持久性、重金属，也不含有腐蚀成分，因此，从水质方面分析，项目</w:t>
            </w:r>
            <w:r>
              <w:rPr>
                <w:rFonts w:hint="eastAsia" w:ascii="Times New Roman" w:hAnsi="Times New Roman" w:eastAsia="宋体" w:cs="Times New Roman"/>
                <w:strike w:val="0"/>
                <w:dstrike w:val="0"/>
                <w:color w:val="auto"/>
                <w:sz w:val="24"/>
                <w:lang w:val="en-US" w:eastAsia="zh-CN"/>
              </w:rPr>
              <w:t>生活污水</w:t>
            </w:r>
            <w:r>
              <w:rPr>
                <w:rFonts w:hint="default" w:ascii="Times New Roman" w:hAnsi="Times New Roman" w:eastAsia="宋体" w:cs="Times New Roman"/>
                <w:strike w:val="0"/>
                <w:dstrike w:val="0"/>
                <w:color w:val="auto"/>
                <w:sz w:val="24"/>
                <w:lang w:val="en-US" w:eastAsia="zh-CN"/>
              </w:rPr>
              <w:t>经处理达标后，</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w:t>
            </w:r>
            <w:r>
              <w:rPr>
                <w:rFonts w:hint="eastAsia" w:ascii="Times New Roman" w:hAnsi="Times New Roman" w:eastAsia="宋体" w:cs="Times New Roman"/>
                <w:strike w:val="0"/>
                <w:dstrike w:val="0"/>
                <w:color w:val="auto"/>
                <w:sz w:val="24"/>
                <w:lang w:val="en-US" w:eastAsia="zh-CN"/>
              </w:rPr>
              <w:t>污水</w:t>
            </w:r>
            <w:r>
              <w:rPr>
                <w:rFonts w:hint="default" w:ascii="Times New Roman" w:hAnsi="Times New Roman" w:eastAsia="宋体" w:cs="Times New Roman"/>
                <w:strike w:val="0"/>
                <w:dstrike w:val="0"/>
                <w:color w:val="auto"/>
                <w:sz w:val="24"/>
                <w:lang w:val="en-US" w:eastAsia="zh-CN"/>
              </w:rPr>
              <w:t>水质，不会对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水质负荷造成冲击。</w:t>
            </w:r>
          </w:p>
          <w:p w14:paraId="764F809C">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C.水量负荷</w:t>
            </w:r>
          </w:p>
          <w:p w14:paraId="72658B7D">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根据调查，目前福清</w:t>
            </w:r>
            <w:r>
              <w:rPr>
                <w:rFonts w:hint="default" w:ascii="Times New Roman" w:hAnsi="Times New Roman" w:eastAsia="宋体" w:cs="Times New Roman"/>
                <w:strike w:val="0"/>
                <w:dstrike w:val="0"/>
                <w:color w:val="auto"/>
                <w:sz w:val="24"/>
                <w:lang w:val="en-US" w:eastAsia="zh-CN"/>
              </w:rPr>
              <w:t>市融元污水处理厂厂内提标及改造工程已经完成并正常使用，平均处理规模约为11.85万</w:t>
            </w:r>
            <w:r>
              <w:rPr>
                <w:rFonts w:hint="eastAsia" w:cs="Times New Roman"/>
                <w:strike w:val="0"/>
                <w:dstrike w:val="0"/>
                <w:color w:val="auto"/>
                <w:sz w:val="24"/>
                <w:lang w:val="en-US" w:eastAsia="zh-CN"/>
              </w:rPr>
              <w:t>t</w:t>
            </w:r>
            <w:r>
              <w:rPr>
                <w:rFonts w:hint="default" w:ascii="Times New Roman" w:hAnsi="Times New Roman" w:eastAsia="宋体" w:cs="Times New Roman"/>
                <w:strike w:val="0"/>
                <w:dstrike w:val="0"/>
                <w:color w:val="auto"/>
                <w:sz w:val="24"/>
                <w:lang w:val="en-US" w:eastAsia="zh-CN"/>
              </w:rPr>
              <w:t>/d，剩余处理能力1500</w:t>
            </w:r>
            <w:r>
              <w:rPr>
                <w:rFonts w:hint="eastAsia" w:cs="Times New Roman"/>
                <w:strike w:val="0"/>
                <w:dstrike w:val="0"/>
                <w:color w:val="auto"/>
                <w:sz w:val="24"/>
                <w:lang w:val="en-US" w:eastAsia="zh-CN"/>
              </w:rPr>
              <w:t>t</w:t>
            </w:r>
            <w:r>
              <w:rPr>
                <w:rFonts w:hint="default" w:ascii="Times New Roman" w:hAnsi="Times New Roman" w:eastAsia="宋体" w:cs="Times New Roman"/>
                <w:strike w:val="0"/>
                <w:dstrike w:val="0"/>
                <w:color w:val="auto"/>
                <w:sz w:val="24"/>
                <w:lang w:val="en-US" w:eastAsia="zh-CN"/>
              </w:rPr>
              <w:t>/d。本项目生活污水排放量</w:t>
            </w:r>
            <w:r>
              <w:rPr>
                <w:rFonts w:hint="eastAsia" w:cs="Times New Roman"/>
                <w:strike w:val="0"/>
                <w:dstrike w:val="0"/>
                <w:color w:val="auto"/>
                <w:sz w:val="24"/>
                <w:lang w:val="en-US" w:eastAsia="zh-CN"/>
              </w:rPr>
              <w:t>2.8</w:t>
            </w:r>
            <w:r>
              <w:rPr>
                <w:rFonts w:hint="default" w:ascii="Times New Roman" w:hAnsi="Times New Roman" w:eastAsia="宋体" w:cs="Times New Roman"/>
                <w:strike w:val="0"/>
                <w:dstrike w:val="0"/>
                <w:color w:val="auto"/>
                <w:sz w:val="24"/>
                <w:lang w:val="en-US" w:eastAsia="zh-CN"/>
              </w:rPr>
              <w:t>t/d，仅占福清市融元污水处理厂剩余处理规模的</w:t>
            </w:r>
            <w:r>
              <w:rPr>
                <w:rFonts w:hint="eastAsia" w:cs="Times New Roman"/>
                <w:strike w:val="0"/>
                <w:dstrike w:val="0"/>
                <w:color w:val="auto"/>
                <w:sz w:val="24"/>
                <w:lang w:val="en-US" w:eastAsia="zh-CN"/>
              </w:rPr>
              <w:t>0.187</w:t>
            </w:r>
            <w:r>
              <w:rPr>
                <w:rFonts w:hint="default" w:ascii="Times New Roman" w:hAnsi="Times New Roman" w:eastAsia="宋体" w:cs="Times New Roman"/>
                <w:strike w:val="0"/>
                <w:dstrike w:val="0"/>
                <w:color w:val="auto"/>
                <w:sz w:val="24"/>
                <w:lang w:val="en-US" w:eastAsia="zh-CN"/>
              </w:rPr>
              <w:t>%</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因此，从处理能力及处理工艺分析，</w:t>
            </w:r>
            <w:r>
              <w:rPr>
                <w:rFonts w:hint="eastAsia" w:ascii="Times New Roman" w:hAnsi="Times New Roman" w:eastAsia="宋体" w:cs="Times New Roman"/>
                <w:strike w:val="0"/>
                <w:dstrike w:val="0"/>
                <w:color w:val="auto"/>
                <w:sz w:val="24"/>
                <w:lang w:val="en-US" w:eastAsia="zh-CN"/>
              </w:rPr>
              <w:t>福清市融元污水处理厂</w:t>
            </w:r>
            <w:r>
              <w:rPr>
                <w:rFonts w:hint="default" w:ascii="Times New Roman" w:hAnsi="Times New Roman" w:eastAsia="宋体" w:cs="Times New Roman"/>
                <w:strike w:val="0"/>
                <w:dstrike w:val="0"/>
                <w:color w:val="auto"/>
                <w:sz w:val="24"/>
                <w:lang w:val="en-US" w:eastAsia="zh-CN"/>
              </w:rPr>
              <w:t>可接纳项目废水排放量，不会对</w:t>
            </w:r>
            <w:r>
              <w:rPr>
                <w:rFonts w:hint="eastAsia" w:ascii="Times New Roman" w:hAnsi="Times New Roman" w:eastAsia="宋体" w:cs="Times New Roman"/>
                <w:strike w:val="0"/>
                <w:dstrike w:val="0"/>
                <w:color w:val="auto"/>
                <w:sz w:val="24"/>
                <w:lang w:val="en-US" w:eastAsia="zh-CN"/>
              </w:rPr>
              <w:t>污水处理厂</w:t>
            </w:r>
            <w:r>
              <w:rPr>
                <w:rFonts w:hint="default" w:ascii="Times New Roman" w:hAnsi="Times New Roman" w:eastAsia="宋体" w:cs="Times New Roman"/>
                <w:strike w:val="0"/>
                <w:dstrike w:val="0"/>
                <w:color w:val="auto"/>
                <w:sz w:val="24"/>
                <w:lang w:val="en-US" w:eastAsia="zh-CN"/>
              </w:rPr>
              <w:t>水量</w:t>
            </w:r>
            <w:r>
              <w:rPr>
                <w:rFonts w:hint="eastAsia" w:ascii="Times New Roman" w:hAnsi="Times New Roman" w:eastAsia="宋体" w:cs="Times New Roman"/>
                <w:strike w:val="0"/>
                <w:dstrike w:val="0"/>
                <w:color w:val="auto"/>
                <w:sz w:val="24"/>
                <w:lang w:val="en-US" w:eastAsia="zh-CN"/>
              </w:rPr>
              <w:t>、水质</w:t>
            </w:r>
            <w:r>
              <w:rPr>
                <w:rFonts w:hint="default" w:ascii="Times New Roman" w:hAnsi="Times New Roman" w:eastAsia="宋体" w:cs="Times New Roman"/>
                <w:strike w:val="0"/>
                <w:dstrike w:val="0"/>
                <w:color w:val="auto"/>
                <w:sz w:val="24"/>
                <w:lang w:val="en-US" w:eastAsia="zh-CN"/>
              </w:rPr>
              <w:t>负荷造成冲击。</w:t>
            </w:r>
          </w:p>
          <w:p w14:paraId="10AFF06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99" w:name="_Toc5458"/>
            <w:r>
              <w:rPr>
                <w:rFonts w:hint="eastAsia" w:ascii="Times New Roman" w:hAnsi="Times New Roman" w:eastAsia="宋体" w:cs="Times New Roman"/>
                <w:color w:val="auto"/>
                <w:sz w:val="28"/>
                <w:szCs w:val="28"/>
                <w:u w:val="none"/>
                <w:lang w:val="en-US" w:eastAsia="zh-CN"/>
              </w:rPr>
              <w:t>4.3噪声环境影响分析和污染防治措施</w:t>
            </w:r>
            <w:bookmarkEnd w:id="99"/>
          </w:p>
          <w:p w14:paraId="1DF7F90F">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00" w:name="_Toc19312"/>
            <w:r>
              <w:rPr>
                <w:rFonts w:hint="default"/>
                <w:b/>
                <w:color w:val="262626"/>
                <w:kern w:val="0"/>
                <w:sz w:val="24"/>
                <w:lang w:val="en-US" w:eastAsia="zh-CN"/>
              </w:rPr>
              <w:t>4.3.1噪声源强分析</w:t>
            </w:r>
            <w:bookmarkEnd w:id="100"/>
          </w:p>
          <w:p w14:paraId="4C83A785">
            <w:pPr>
              <w:pStyle w:val="59"/>
              <w:spacing w:line="360" w:lineRule="auto"/>
              <w:ind w:firstLine="480"/>
              <w:rPr>
                <w:rFonts w:ascii="Times New Roman" w:hAnsi="Times New Roman"/>
                <w:bCs w:val="0"/>
                <w:color w:val="000000"/>
                <w:szCs w:val="24"/>
              </w:rPr>
            </w:pPr>
            <w:r>
              <w:rPr>
                <w:rFonts w:ascii="Times New Roman" w:hAnsi="Times New Roman"/>
                <w:bCs w:val="0"/>
                <w:color w:val="000000"/>
                <w:szCs w:val="24"/>
              </w:rPr>
              <w:t>项目的噪声源主要为项目运营时机械设备运转产生的噪声，其噪声级及治理措施见表4.3-1。</w:t>
            </w:r>
          </w:p>
          <w:p w14:paraId="49C8BB96">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表4.3-1 项目主要设备噪声一览表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4"/>
              <w:gridCol w:w="454"/>
              <w:gridCol w:w="491"/>
              <w:gridCol w:w="381"/>
              <w:gridCol w:w="688"/>
              <w:gridCol w:w="1899"/>
              <w:gridCol w:w="614"/>
              <w:gridCol w:w="635"/>
              <w:gridCol w:w="276"/>
              <w:gridCol w:w="611"/>
              <w:gridCol w:w="1108"/>
              <w:gridCol w:w="830"/>
              <w:gridCol w:w="574"/>
            </w:tblGrid>
            <w:tr w14:paraId="588A3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62" w:type="pct"/>
                  <w:vMerge w:val="restart"/>
                  <w:noWrap w:val="0"/>
                  <w:vAlign w:val="center"/>
                </w:tcPr>
                <w:p w14:paraId="3012DB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序号</w:t>
                  </w:r>
                </w:p>
              </w:tc>
              <w:tc>
                <w:tcPr>
                  <w:tcW w:w="258" w:type="pct"/>
                  <w:vMerge w:val="restart"/>
                  <w:noWrap w:val="0"/>
                  <w:vAlign w:val="center"/>
                </w:tcPr>
                <w:p w14:paraId="73ADA6A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建筑物名称</w:t>
                  </w:r>
                </w:p>
              </w:tc>
              <w:tc>
                <w:tcPr>
                  <w:tcW w:w="279" w:type="pct"/>
                  <w:vMerge w:val="restart"/>
                  <w:noWrap w:val="0"/>
                  <w:vAlign w:val="center"/>
                </w:tcPr>
                <w:p w14:paraId="6B16E5E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声源名称</w:t>
                  </w:r>
                </w:p>
              </w:tc>
              <w:tc>
                <w:tcPr>
                  <w:tcW w:w="217" w:type="pct"/>
                  <w:vMerge w:val="restart"/>
                  <w:noWrap w:val="0"/>
                  <w:vAlign w:val="center"/>
                </w:tcPr>
                <w:p w14:paraId="6C608F3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台/套数</w:t>
                  </w:r>
                </w:p>
              </w:tc>
              <w:tc>
                <w:tcPr>
                  <w:tcW w:w="390" w:type="pct"/>
                  <w:vMerge w:val="restart"/>
                  <w:noWrap w:val="0"/>
                  <w:vAlign w:val="center"/>
                </w:tcPr>
                <w:p w14:paraId="3066998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声功率级</w:t>
                  </w:r>
                </w:p>
                <w:p w14:paraId="0D8011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/dB(A)</w:t>
                  </w:r>
                </w:p>
              </w:tc>
              <w:tc>
                <w:tcPr>
                  <w:tcW w:w="1074" w:type="pct"/>
                  <w:vMerge w:val="restart"/>
                  <w:noWrap w:val="0"/>
                  <w:vAlign w:val="center"/>
                </w:tcPr>
                <w:p w14:paraId="7F94162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声源控制措施</w:t>
                  </w:r>
                </w:p>
              </w:tc>
              <w:tc>
                <w:tcPr>
                  <w:tcW w:w="847" w:type="pct"/>
                  <w:gridSpan w:val="3"/>
                  <w:noWrap w:val="0"/>
                  <w:vAlign w:val="center"/>
                </w:tcPr>
                <w:p w14:paraId="0FC3981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空间相对位置/m</w:t>
                  </w:r>
                </w:p>
              </w:tc>
              <w:tc>
                <w:tcPr>
                  <w:tcW w:w="346" w:type="pct"/>
                  <w:vMerge w:val="restart"/>
                  <w:noWrap w:val="0"/>
                  <w:vAlign w:val="center"/>
                </w:tcPr>
                <w:p w14:paraId="2FD5D18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运行时段</w:t>
                  </w:r>
                </w:p>
              </w:tc>
              <w:tc>
                <w:tcPr>
                  <w:tcW w:w="627" w:type="pct"/>
                  <w:vMerge w:val="restart"/>
                  <w:noWrap w:val="0"/>
                  <w:vAlign w:val="center"/>
                </w:tcPr>
                <w:p w14:paraId="079F3F9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建筑物插入损失/dB(A)</w:t>
                  </w:r>
                </w:p>
              </w:tc>
              <w:tc>
                <w:tcPr>
                  <w:tcW w:w="795" w:type="pct"/>
                  <w:gridSpan w:val="2"/>
                  <w:noWrap w:val="0"/>
                  <w:vAlign w:val="center"/>
                </w:tcPr>
                <w:p w14:paraId="4FFFF25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建筑物外噪声</w:t>
                  </w:r>
                </w:p>
              </w:tc>
            </w:tr>
            <w:tr w14:paraId="360F3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62" w:type="pct"/>
                  <w:vMerge w:val="continue"/>
                  <w:noWrap w:val="0"/>
                  <w:vAlign w:val="center"/>
                </w:tcPr>
                <w:p w14:paraId="2D2D2F2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258" w:type="pct"/>
                  <w:vMerge w:val="continue"/>
                  <w:noWrap w:val="0"/>
                  <w:vAlign w:val="center"/>
                </w:tcPr>
                <w:p w14:paraId="6FCD225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279" w:type="pct"/>
                  <w:vMerge w:val="continue"/>
                  <w:noWrap w:val="0"/>
                  <w:vAlign w:val="center"/>
                </w:tcPr>
                <w:p w14:paraId="6D7414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217" w:type="pct"/>
                  <w:vMerge w:val="continue"/>
                  <w:noWrap w:val="0"/>
                  <w:vAlign w:val="center"/>
                </w:tcPr>
                <w:p w14:paraId="13F433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390" w:type="pct"/>
                  <w:vMerge w:val="continue"/>
                  <w:noWrap w:val="0"/>
                  <w:vAlign w:val="center"/>
                </w:tcPr>
                <w:p w14:paraId="6B28B52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1074" w:type="pct"/>
                  <w:vMerge w:val="continue"/>
                  <w:noWrap w:val="0"/>
                  <w:vAlign w:val="center"/>
                </w:tcPr>
                <w:p w14:paraId="2404FA7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330" w:type="pct"/>
                  <w:noWrap w:val="0"/>
                  <w:vAlign w:val="center"/>
                </w:tcPr>
                <w:p w14:paraId="35CD3E1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X</w:t>
                  </w:r>
                </w:p>
              </w:tc>
              <w:tc>
                <w:tcPr>
                  <w:tcW w:w="360" w:type="pct"/>
                  <w:noWrap w:val="0"/>
                  <w:vAlign w:val="center"/>
                </w:tcPr>
                <w:p w14:paraId="28B52F9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Y</w:t>
                  </w:r>
                </w:p>
              </w:tc>
              <w:tc>
                <w:tcPr>
                  <w:tcW w:w="155" w:type="pct"/>
                  <w:noWrap w:val="0"/>
                  <w:vAlign w:val="center"/>
                </w:tcPr>
                <w:p w14:paraId="2233EAF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Z</w:t>
                  </w:r>
                </w:p>
              </w:tc>
              <w:tc>
                <w:tcPr>
                  <w:tcW w:w="346" w:type="pct"/>
                  <w:vMerge w:val="continue"/>
                  <w:noWrap w:val="0"/>
                  <w:vAlign w:val="center"/>
                </w:tcPr>
                <w:p w14:paraId="01D88F1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627" w:type="pct"/>
                  <w:vMerge w:val="continue"/>
                  <w:noWrap w:val="0"/>
                  <w:vAlign w:val="center"/>
                </w:tcPr>
                <w:p w14:paraId="328F989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470" w:type="pct"/>
                  <w:noWrap w:val="0"/>
                  <w:vAlign w:val="center"/>
                </w:tcPr>
                <w:p w14:paraId="46A2B2F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声压级</w:t>
                  </w:r>
                </w:p>
                <w:p w14:paraId="2B030D8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/dB(A)</w:t>
                  </w:r>
                </w:p>
              </w:tc>
              <w:tc>
                <w:tcPr>
                  <w:tcW w:w="325" w:type="pct"/>
                  <w:noWrap w:val="0"/>
                  <w:vAlign w:val="center"/>
                </w:tcPr>
                <w:p w14:paraId="7647B65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建筑物外距离</w:t>
                  </w:r>
                </w:p>
              </w:tc>
            </w:tr>
            <w:tr w14:paraId="0CB11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 w:type="pct"/>
                  <w:noWrap w:val="0"/>
                  <w:vAlign w:val="center"/>
                </w:tcPr>
                <w:p w14:paraId="5BA1409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1</w:t>
                  </w:r>
                </w:p>
              </w:tc>
              <w:tc>
                <w:tcPr>
                  <w:tcW w:w="258" w:type="pct"/>
                  <w:vMerge w:val="restart"/>
                  <w:noWrap w:val="0"/>
                  <w:vAlign w:val="center"/>
                </w:tcPr>
                <w:p w14:paraId="517A33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一层厂房内</w:t>
                  </w:r>
                </w:p>
              </w:tc>
              <w:tc>
                <w:tcPr>
                  <w:tcW w:w="279" w:type="pct"/>
                  <w:noWrap w:val="0"/>
                  <w:vAlign w:val="center"/>
                </w:tcPr>
                <w:p w14:paraId="00E8C29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注塑机</w:t>
                  </w:r>
                </w:p>
              </w:tc>
              <w:tc>
                <w:tcPr>
                  <w:tcW w:w="217" w:type="pct"/>
                  <w:noWrap w:val="0"/>
                  <w:vAlign w:val="center"/>
                </w:tcPr>
                <w:p w14:paraId="624BD7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21</w:t>
                  </w:r>
                </w:p>
              </w:tc>
              <w:tc>
                <w:tcPr>
                  <w:tcW w:w="390" w:type="pct"/>
                  <w:noWrap w:val="0"/>
                  <w:vAlign w:val="center"/>
                </w:tcPr>
                <w:p w14:paraId="73D07F4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70-75</w:t>
                  </w:r>
                </w:p>
              </w:tc>
              <w:tc>
                <w:tcPr>
                  <w:tcW w:w="1074" w:type="pct"/>
                  <w:vMerge w:val="restart"/>
                  <w:noWrap w:val="0"/>
                  <w:vAlign w:val="center"/>
                </w:tcPr>
                <w:p w14:paraId="46FF60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ascii="Times New Roman" w:hAnsi="Times New Roman" w:eastAsia="宋体" w:cs="宋体"/>
                      <w:color w:val="auto"/>
                      <w:sz w:val="21"/>
                      <w:szCs w:val="21"/>
                      <w:highlight w:val="none"/>
                    </w:rPr>
                    <w:t>高噪声设备基础安装减振，进行装消声器等降噪措施</w:t>
                  </w:r>
                </w:p>
              </w:tc>
              <w:tc>
                <w:tcPr>
                  <w:tcW w:w="330" w:type="pct"/>
                  <w:noWrap w:val="0"/>
                  <w:vAlign w:val="center"/>
                </w:tcPr>
                <w:p w14:paraId="462BB3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12~-22</w:t>
                  </w:r>
                </w:p>
              </w:tc>
              <w:tc>
                <w:tcPr>
                  <w:tcW w:w="360" w:type="pct"/>
                  <w:noWrap w:val="0"/>
                  <w:vAlign w:val="center"/>
                </w:tcPr>
                <w:p w14:paraId="1E4F3B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-6~18</w:t>
                  </w:r>
                </w:p>
              </w:tc>
              <w:tc>
                <w:tcPr>
                  <w:tcW w:w="155" w:type="pct"/>
                  <w:noWrap w:val="0"/>
                  <w:vAlign w:val="center"/>
                </w:tcPr>
                <w:p w14:paraId="2D5FB0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1.2</w:t>
                  </w:r>
                </w:p>
              </w:tc>
              <w:tc>
                <w:tcPr>
                  <w:tcW w:w="346" w:type="pct"/>
                  <w:vMerge w:val="restart"/>
                  <w:noWrap w:val="0"/>
                  <w:vAlign w:val="center"/>
                </w:tcPr>
                <w:p w14:paraId="34C01D2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napToGrid w:val="0"/>
                      <w:sz w:val="21"/>
                      <w:szCs w:val="21"/>
                      <w:lang w:val="en-US" w:eastAsia="zh-CN"/>
                    </w:rPr>
                    <w:t>24</w:t>
                  </w:r>
                  <w:r>
                    <w:rPr>
                      <w:rFonts w:ascii="Times New Roman" w:hAnsi="Times New Roman" w:eastAsia="宋体"/>
                      <w:snapToGrid w:val="0"/>
                      <w:sz w:val="21"/>
                      <w:szCs w:val="21"/>
                    </w:rPr>
                    <w:t>h</w:t>
                  </w:r>
                  <w:r>
                    <w:rPr>
                      <w:rFonts w:hint="eastAsia" w:ascii="Times New Roman" w:hAnsi="Times New Roman" w:eastAsia="宋体"/>
                      <w:snapToGrid w:val="0"/>
                      <w:sz w:val="21"/>
                      <w:szCs w:val="21"/>
                    </w:rPr>
                    <w:t>/d</w:t>
                  </w:r>
                </w:p>
              </w:tc>
              <w:tc>
                <w:tcPr>
                  <w:tcW w:w="627" w:type="pct"/>
                  <w:vMerge w:val="restart"/>
                  <w:noWrap w:val="0"/>
                  <w:vAlign w:val="center"/>
                </w:tcPr>
                <w:p w14:paraId="763724E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-15</w:t>
                  </w:r>
                </w:p>
              </w:tc>
              <w:tc>
                <w:tcPr>
                  <w:tcW w:w="470" w:type="pct"/>
                  <w:vMerge w:val="restart"/>
                  <w:noWrap w:val="0"/>
                  <w:vAlign w:val="center"/>
                </w:tcPr>
                <w:p w14:paraId="08F6B2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r>
                    <w:rPr>
                      <w:rFonts w:hint="eastAsia" w:ascii="Times New Roman" w:hAnsi="Times New Roman" w:eastAsia="宋体"/>
                      <w:color w:val="auto"/>
                      <w:sz w:val="21"/>
                      <w:szCs w:val="21"/>
                      <w:highlight w:val="none"/>
                      <w:vertAlign w:val="baseline"/>
                    </w:rPr>
                    <w:t>≤7</w:t>
                  </w:r>
                  <w:r>
                    <w:rPr>
                      <w:rFonts w:hint="eastAsia" w:ascii="Times New Roman" w:hAnsi="Times New Roman" w:eastAsia="宋体"/>
                      <w:color w:val="auto"/>
                      <w:sz w:val="21"/>
                      <w:szCs w:val="21"/>
                      <w:highlight w:val="none"/>
                      <w:vertAlign w:val="baseline"/>
                      <w:lang w:val="en-US" w:eastAsia="zh-CN"/>
                    </w:rPr>
                    <w:t>0</w:t>
                  </w:r>
                  <w:r>
                    <w:rPr>
                      <w:rFonts w:hint="eastAsia" w:ascii="Times New Roman" w:hAnsi="Times New Roman" w:eastAsia="宋体"/>
                      <w:color w:val="auto"/>
                      <w:sz w:val="21"/>
                      <w:szCs w:val="21"/>
                      <w:highlight w:val="none"/>
                      <w:vertAlign w:val="baseline"/>
                    </w:rPr>
                    <w:t>dB(A)</w:t>
                  </w:r>
                </w:p>
              </w:tc>
              <w:tc>
                <w:tcPr>
                  <w:tcW w:w="325" w:type="pct"/>
                  <w:vMerge w:val="restart"/>
                  <w:noWrap w:val="0"/>
                  <w:vAlign w:val="center"/>
                </w:tcPr>
                <w:p w14:paraId="0B61428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rPr>
                    <w:t>1</w:t>
                  </w:r>
                </w:p>
              </w:tc>
            </w:tr>
            <w:tr w14:paraId="1F892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 w:type="pct"/>
                  <w:vAlign w:val="center"/>
                </w:tcPr>
                <w:p w14:paraId="70CBE42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2</w:t>
                  </w:r>
                </w:p>
              </w:tc>
              <w:tc>
                <w:tcPr>
                  <w:tcW w:w="258" w:type="pct"/>
                  <w:vMerge w:val="continue"/>
                  <w:vAlign w:val="center"/>
                </w:tcPr>
                <w:p w14:paraId="44643EC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279" w:type="pct"/>
                  <w:shd w:val="clear" w:color="auto" w:fill="auto"/>
                  <w:vAlign w:val="center"/>
                </w:tcPr>
                <w:p w14:paraId="36B447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破碎机</w:t>
                  </w:r>
                </w:p>
              </w:tc>
              <w:tc>
                <w:tcPr>
                  <w:tcW w:w="217" w:type="pct"/>
                  <w:shd w:val="clear" w:color="auto" w:fill="auto"/>
                  <w:vAlign w:val="center"/>
                </w:tcPr>
                <w:p w14:paraId="4E20C9C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390" w:type="pct"/>
                  <w:vAlign w:val="center"/>
                </w:tcPr>
                <w:p w14:paraId="22BA21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80-85</w:t>
                  </w:r>
                </w:p>
              </w:tc>
              <w:tc>
                <w:tcPr>
                  <w:tcW w:w="1074" w:type="pct"/>
                  <w:vMerge w:val="continue"/>
                  <w:vAlign w:val="center"/>
                </w:tcPr>
                <w:p w14:paraId="3159F34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330" w:type="pct"/>
                  <w:shd w:val="clear" w:color="auto" w:fill="auto"/>
                  <w:vAlign w:val="center"/>
                </w:tcPr>
                <w:p w14:paraId="4D68DF1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cs="Times New Roman"/>
                      <w:kern w:val="2"/>
                      <w:sz w:val="21"/>
                      <w:szCs w:val="21"/>
                      <w:lang w:val="en-US" w:eastAsia="zh-CN" w:bidi="ar-SA"/>
                    </w:rPr>
                    <w:t>-25</w:t>
                  </w:r>
                </w:p>
              </w:tc>
              <w:tc>
                <w:tcPr>
                  <w:tcW w:w="360" w:type="pct"/>
                  <w:shd w:val="clear" w:color="auto" w:fill="auto"/>
                  <w:vAlign w:val="center"/>
                </w:tcPr>
                <w:p w14:paraId="0BBF2F8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r>
                    <w:rPr>
                      <w:rFonts w:hint="eastAsia" w:ascii="Times New Roman" w:hAnsi="Times New Roman" w:eastAsia="宋体"/>
                      <w:sz w:val="21"/>
                      <w:szCs w:val="21"/>
                      <w:lang w:val="en-US" w:eastAsia="zh-CN"/>
                    </w:rPr>
                    <w:t>8</w:t>
                  </w:r>
                </w:p>
              </w:tc>
              <w:tc>
                <w:tcPr>
                  <w:tcW w:w="155" w:type="pct"/>
                  <w:shd w:val="clear" w:color="auto" w:fill="auto"/>
                  <w:vAlign w:val="center"/>
                </w:tcPr>
                <w:p w14:paraId="22F27FD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sz w:val="21"/>
                      <w:szCs w:val="21"/>
                      <w:lang w:val="en-US" w:eastAsia="zh-CN"/>
                    </w:rPr>
                    <w:t>1.2</w:t>
                  </w:r>
                </w:p>
                <w:p w14:paraId="5E14476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346" w:type="pct"/>
                  <w:vMerge w:val="continue"/>
                  <w:vAlign w:val="center"/>
                </w:tcPr>
                <w:p w14:paraId="3B0FC28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627" w:type="pct"/>
                  <w:vMerge w:val="continue"/>
                  <w:vAlign w:val="center"/>
                </w:tcPr>
                <w:p w14:paraId="14DB35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c>
                <w:tcPr>
                  <w:tcW w:w="470" w:type="pct"/>
                  <w:vMerge w:val="continue"/>
                  <w:vAlign w:val="center"/>
                </w:tcPr>
                <w:p w14:paraId="067DA5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sz w:val="21"/>
                      <w:szCs w:val="21"/>
                      <w:lang w:val="en-US" w:eastAsia="zh-CN"/>
                    </w:rPr>
                  </w:pPr>
                </w:p>
              </w:tc>
              <w:tc>
                <w:tcPr>
                  <w:tcW w:w="325" w:type="pct"/>
                  <w:vMerge w:val="continue"/>
                  <w:vAlign w:val="center"/>
                </w:tcPr>
                <w:p w14:paraId="5279400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sz w:val="21"/>
                      <w:szCs w:val="21"/>
                    </w:rPr>
                  </w:pPr>
                </w:p>
              </w:tc>
            </w:tr>
            <w:tr w14:paraId="5007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62" w:type="pct"/>
                  <w:vAlign w:val="center"/>
                </w:tcPr>
                <w:p w14:paraId="2D8180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w:t>
                  </w:r>
                </w:p>
              </w:tc>
              <w:tc>
                <w:tcPr>
                  <w:tcW w:w="258" w:type="pct"/>
                  <w:vMerge w:val="restart"/>
                  <w:vAlign w:val="center"/>
                </w:tcPr>
                <w:p w14:paraId="79DDC5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厂房楼顶</w:t>
                  </w:r>
                </w:p>
              </w:tc>
              <w:tc>
                <w:tcPr>
                  <w:tcW w:w="279" w:type="pct"/>
                  <w:vAlign w:val="center"/>
                </w:tcPr>
                <w:p w14:paraId="6C69F27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冷却塔</w:t>
                  </w:r>
                </w:p>
              </w:tc>
              <w:tc>
                <w:tcPr>
                  <w:tcW w:w="217" w:type="pct"/>
                  <w:shd w:val="clear" w:color="auto" w:fill="auto"/>
                  <w:vAlign w:val="center"/>
                </w:tcPr>
                <w:p w14:paraId="61A0F2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90" w:type="pct"/>
                  <w:vAlign w:val="center"/>
                </w:tcPr>
                <w:p w14:paraId="4F3700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70-75</w:t>
                  </w:r>
                </w:p>
              </w:tc>
              <w:tc>
                <w:tcPr>
                  <w:tcW w:w="1074" w:type="pct"/>
                  <w:vMerge w:val="continue"/>
                  <w:vAlign w:val="center"/>
                </w:tcPr>
                <w:p w14:paraId="3BEF14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p>
              </w:tc>
              <w:tc>
                <w:tcPr>
                  <w:tcW w:w="330" w:type="pct"/>
                  <w:vAlign w:val="center"/>
                </w:tcPr>
                <w:p w14:paraId="684D64C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w:t>
                  </w:r>
                </w:p>
              </w:tc>
              <w:tc>
                <w:tcPr>
                  <w:tcW w:w="360" w:type="pct"/>
                  <w:vAlign w:val="center"/>
                </w:tcPr>
                <w:p w14:paraId="440EB0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155" w:type="pct"/>
                  <w:vAlign w:val="center"/>
                </w:tcPr>
                <w:p w14:paraId="254F0A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w:t>
                  </w:r>
                </w:p>
              </w:tc>
              <w:tc>
                <w:tcPr>
                  <w:tcW w:w="346" w:type="pct"/>
                  <w:vAlign w:val="center"/>
                </w:tcPr>
                <w:p w14:paraId="3218FB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24h/d</w:t>
                  </w:r>
                </w:p>
              </w:tc>
              <w:tc>
                <w:tcPr>
                  <w:tcW w:w="627" w:type="pct"/>
                  <w:vAlign w:val="center"/>
                </w:tcPr>
                <w:p w14:paraId="7B7EE9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70" w:type="pct"/>
                  <w:vMerge w:val="continue"/>
                  <w:vAlign w:val="center"/>
                </w:tcPr>
                <w:p w14:paraId="146A2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p>
              </w:tc>
              <w:tc>
                <w:tcPr>
                  <w:tcW w:w="325" w:type="pct"/>
                  <w:vMerge w:val="continue"/>
                  <w:vAlign w:val="center"/>
                </w:tcPr>
                <w:p w14:paraId="1FDD63B6">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rPr>
                  </w:pPr>
                </w:p>
              </w:tc>
            </w:tr>
            <w:tr w14:paraId="0B483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162" w:type="pct"/>
                  <w:vAlign w:val="center"/>
                </w:tcPr>
                <w:p w14:paraId="67B55DC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258" w:type="pct"/>
                  <w:vMerge w:val="continue"/>
                  <w:vAlign w:val="center"/>
                </w:tcPr>
                <w:p w14:paraId="4C1D10D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279" w:type="pct"/>
                  <w:shd w:val="clear" w:color="auto" w:fill="auto"/>
                  <w:vAlign w:val="center"/>
                </w:tcPr>
                <w:p w14:paraId="3D9B98E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风机</w:t>
                  </w:r>
                </w:p>
              </w:tc>
              <w:tc>
                <w:tcPr>
                  <w:tcW w:w="217" w:type="pct"/>
                  <w:shd w:val="clear" w:color="auto" w:fill="auto"/>
                  <w:vAlign w:val="center"/>
                </w:tcPr>
                <w:p w14:paraId="3742CD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90" w:type="pct"/>
                  <w:shd w:val="clear" w:color="auto" w:fill="auto"/>
                  <w:vAlign w:val="center"/>
                </w:tcPr>
                <w:p w14:paraId="6F88326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85-90</w:t>
                  </w:r>
                </w:p>
              </w:tc>
              <w:tc>
                <w:tcPr>
                  <w:tcW w:w="1074" w:type="pct"/>
                  <w:vMerge w:val="continue"/>
                  <w:shd w:val="clear" w:color="auto" w:fill="auto"/>
                  <w:vAlign w:val="center"/>
                </w:tcPr>
                <w:p w14:paraId="33B70C6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c>
                <w:tcPr>
                  <w:tcW w:w="330" w:type="pct"/>
                  <w:shd w:val="clear" w:color="auto" w:fill="auto"/>
                  <w:vAlign w:val="center"/>
                </w:tcPr>
                <w:p w14:paraId="62B6B1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360" w:type="pct"/>
                  <w:shd w:val="clear" w:color="auto" w:fill="auto"/>
                  <w:vAlign w:val="center"/>
                </w:tcPr>
                <w:p w14:paraId="1DC9BC4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w:t>
                  </w:r>
                </w:p>
              </w:tc>
              <w:tc>
                <w:tcPr>
                  <w:tcW w:w="155" w:type="pct"/>
                  <w:shd w:val="clear" w:color="auto" w:fill="auto"/>
                  <w:vAlign w:val="center"/>
                </w:tcPr>
                <w:p w14:paraId="27258BF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21</w:t>
                  </w:r>
                </w:p>
              </w:tc>
              <w:tc>
                <w:tcPr>
                  <w:tcW w:w="346" w:type="pct"/>
                  <w:shd w:val="clear" w:color="auto" w:fill="auto"/>
                  <w:vAlign w:val="center"/>
                </w:tcPr>
                <w:p w14:paraId="330F3B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24h/d</w:t>
                  </w:r>
                </w:p>
              </w:tc>
              <w:tc>
                <w:tcPr>
                  <w:tcW w:w="627" w:type="pct"/>
                  <w:shd w:val="clear" w:color="auto" w:fill="auto"/>
                  <w:vAlign w:val="center"/>
                </w:tcPr>
                <w:p w14:paraId="6F5C872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470" w:type="pct"/>
                  <w:vMerge w:val="continue"/>
                  <w:shd w:val="clear" w:color="auto" w:fill="auto"/>
                  <w:vAlign w:val="center"/>
                </w:tcPr>
                <w:p w14:paraId="009F889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p>
              </w:tc>
              <w:tc>
                <w:tcPr>
                  <w:tcW w:w="325" w:type="pct"/>
                  <w:vMerge w:val="continue"/>
                  <w:vAlign w:val="center"/>
                </w:tcPr>
                <w:p w14:paraId="1B79FB1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lang w:val="en-US" w:eastAsia="zh-CN"/>
                    </w:rPr>
                  </w:pPr>
                </w:p>
              </w:tc>
            </w:tr>
          </w:tbl>
          <w:p w14:paraId="5E4C3D0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GB" w:eastAsia="zh-CN"/>
              </w:rPr>
            </w:pPr>
            <w:bookmarkStart w:id="101" w:name="_Toc29557"/>
            <w:r>
              <w:rPr>
                <w:rFonts w:hint="default"/>
                <w:b/>
                <w:color w:val="262626"/>
                <w:kern w:val="0"/>
                <w:sz w:val="24"/>
                <w:lang w:val="en-US" w:eastAsia="zh-CN"/>
              </w:rPr>
              <w:t>4.3.2声环境影响分析</w:t>
            </w:r>
            <w:bookmarkEnd w:id="101"/>
          </w:p>
          <w:p w14:paraId="4A20D922">
            <w:pPr>
              <w:pStyle w:val="36"/>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108A27DD">
            <w:pPr>
              <w:pStyle w:val="36"/>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45F3D48">
            <w:pPr>
              <w:pStyle w:val="36"/>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313A14F8">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r:link="rId19"/>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57C3F45">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AC0E511">
            <w:pPr>
              <w:pStyle w:val="36"/>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341A7540">
            <w:pPr>
              <w:pStyle w:val="36"/>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26793876">
            <w:pPr>
              <w:pStyle w:val="36"/>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46225D9D">
            <w:pPr>
              <w:pStyle w:val="36"/>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58A3A9A6">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4486FC3E">
            <w:pPr>
              <w:pStyle w:val="36"/>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50655258">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28051C95">
            <w:pPr>
              <w:pStyle w:val="36"/>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38D8C1F8">
            <w:pPr>
              <w:pStyle w:val="36"/>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223B9F1E">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r:link="rId21"/>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0116673">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08E539DF">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2" r:link="rId23"/>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DDF6508">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1AA6A4F">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31C6E333">
            <w:pPr>
              <w:pStyle w:val="36"/>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6FF7936B">
            <w:pPr>
              <w:pStyle w:val="36"/>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107B60D7">
            <w:pPr>
              <w:pStyle w:val="36"/>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3359F2B8">
            <w:pPr>
              <w:pStyle w:val="61"/>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r:link="rId25"/>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51A8128">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35B3E85">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6" r:link="rId27"/>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89CE4D8">
            <w:pPr>
              <w:pStyle w:val="36"/>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1075ADA3">
            <w:pPr>
              <w:pStyle w:val="61"/>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8" r:link="rId29"/>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6D60CE8">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8B92376">
            <w:pPr>
              <w:pStyle w:val="36"/>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1721D21C">
            <w:pPr>
              <w:pStyle w:val="36"/>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323EB429">
            <w:pPr>
              <w:pStyle w:val="36"/>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2F2EEEC">
            <w:pPr>
              <w:pStyle w:val="36"/>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7E1F4087">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0" r:link="rId31"/>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3D32BD5">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21A67D3D">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187B30F3">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cs="Times New Roman"/>
                <w:color w:val="auto"/>
                <w:sz w:val="24"/>
                <w:szCs w:val="24"/>
                <w:highlight w:val="none"/>
                <w:shd w:val="clear" w:color="auto" w:fill="FFFFFF"/>
              </w:rPr>
              <w:t>-</w:t>
            </w:r>
            <w:r>
              <w:rPr>
                <w:rFonts w:cs="Times New Roman"/>
                <w:color w:val="auto"/>
                <w:sz w:val="24"/>
                <w:szCs w:val="24"/>
                <w:highlight w:val="none"/>
              </w:rPr>
              <w:t>室内j声源i倍频带的声压级，dB；</w:t>
            </w:r>
          </w:p>
          <w:p w14:paraId="498FE0DE">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室内声源总数。</w:t>
            </w:r>
          </w:p>
          <w:p w14:paraId="13AFA386">
            <w:pPr>
              <w:pStyle w:val="36"/>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1D43A604">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2" r:link="rId33"/>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3BC073D6">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62BF0332">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FF34CD0">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1EEBD802">
            <w:pPr>
              <w:pStyle w:val="36"/>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7C9919C4">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426720"/>
                  <wp:effectExtent l="0" t="0" r="11430" b="1143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4" r:link="rId35"/>
                          <a:stretch>
                            <a:fillRect/>
                          </a:stretch>
                        </pic:blipFill>
                        <pic:spPr>
                          <a:xfrm>
                            <a:off x="0" y="0"/>
                            <a:ext cx="1798320" cy="4267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1991F36">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1A20190C">
            <w:pPr>
              <w:pStyle w:val="36"/>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54C6DA39">
            <w:pPr>
              <w:pStyle w:val="36"/>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3FA5407A">
            <w:pPr>
              <w:pStyle w:val="36"/>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4DDF0F4B">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579120"/>
                  <wp:effectExtent l="0" t="0" r="762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6" r:link="rId37"/>
                          <a:stretch>
                            <a:fillRect/>
                          </a:stretch>
                        </pic:blipFill>
                        <pic:spPr>
                          <a:xfrm>
                            <a:off x="0" y="0"/>
                            <a:ext cx="3268980" cy="5791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202FB14">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121B1113">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3A84E724">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0A10A270">
            <w:pPr>
              <w:pStyle w:val="36"/>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C4A3195">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cs="Times New Roman"/>
                <w:color w:val="auto"/>
                <w:sz w:val="24"/>
                <w:szCs w:val="24"/>
                <w:highlight w:val="none"/>
                <w:shd w:val="clear" w:color="auto" w:fill="FFFFFF"/>
              </w:rPr>
              <w:t>-</w:t>
            </w:r>
            <w:r>
              <w:rPr>
                <w:rFonts w:cs="Times New Roman"/>
                <w:color w:val="auto"/>
                <w:sz w:val="24"/>
                <w:szCs w:val="24"/>
                <w:highlight w:val="none"/>
              </w:rPr>
              <w:t>室外声源个数；</w:t>
            </w:r>
          </w:p>
          <w:p w14:paraId="7E3FD9A6">
            <w:pPr>
              <w:pStyle w:val="36"/>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cs="Times New Roman"/>
                <w:color w:val="auto"/>
                <w:sz w:val="24"/>
                <w:szCs w:val="24"/>
                <w:highlight w:val="none"/>
                <w:shd w:val="clear" w:color="auto" w:fill="FFFFFF"/>
              </w:rPr>
              <w:t>-</w:t>
            </w:r>
            <w:r>
              <w:rPr>
                <w:rFonts w:cs="Times New Roman"/>
                <w:color w:val="auto"/>
                <w:sz w:val="24"/>
                <w:szCs w:val="24"/>
                <w:highlight w:val="none"/>
              </w:rPr>
              <w:t>室内声源个数。</w:t>
            </w:r>
          </w:p>
          <w:p w14:paraId="28F63621">
            <w:pPr>
              <w:pStyle w:val="36"/>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42641D3D">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49D257D3">
            <w:pPr>
              <w:pStyle w:val="61"/>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502920"/>
                  <wp:effectExtent l="0" t="0" r="7620" b="1143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8" r:link="rId39"/>
                          <a:stretch>
                            <a:fillRect/>
                          </a:stretch>
                        </pic:blipFill>
                        <pic:spPr>
                          <a:xfrm>
                            <a:off x="0" y="0"/>
                            <a:ext cx="2354580" cy="50292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C7561B2">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4AFE53E5">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64191FC4">
            <w:pPr>
              <w:pStyle w:val="36"/>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BB1C732">
            <w:pPr>
              <w:pStyle w:val="36"/>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项目主要噪声设备大多设置于各建构筑物内，设备噪声经减震、隔声后，可削减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5190D171">
            <w:pPr>
              <w:pStyle w:val="36"/>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0A505BE5">
            <w:pPr>
              <w:spacing w:line="360" w:lineRule="auto"/>
              <w:ind w:firstLine="480" w:firstLineChars="200"/>
              <w:jc w:val="left"/>
              <w:rPr>
                <w:b/>
                <w:bCs/>
                <w:sz w:val="24"/>
              </w:rPr>
            </w:pPr>
            <w:r>
              <w:rPr>
                <w:sz w:val="24"/>
                <w:lang w:val="zh-CN"/>
              </w:rPr>
              <w:t>利用上述模式计算本项目噪声源同时工作时，预测到厂界的噪声最大值及位置，具体预测结果见表</w:t>
            </w:r>
            <w:r>
              <w:rPr>
                <w:rFonts w:hint="eastAsia"/>
                <w:sz w:val="24"/>
              </w:rPr>
              <w:t>4.3-2</w:t>
            </w:r>
            <w:r>
              <w:rPr>
                <w:sz w:val="24"/>
                <w:lang w:val="zh-CN"/>
              </w:rPr>
              <w:t>所示。</w:t>
            </w:r>
          </w:p>
          <w:p w14:paraId="2B0AC95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 厂界噪声预测结果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4"/>
              <w:gridCol w:w="1742"/>
              <w:gridCol w:w="1383"/>
              <w:gridCol w:w="959"/>
              <w:gridCol w:w="961"/>
              <w:gridCol w:w="1144"/>
              <w:gridCol w:w="1106"/>
              <w:gridCol w:w="947"/>
            </w:tblGrid>
            <w:tr w14:paraId="1B3D5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restart"/>
                  <w:noWrap w:val="0"/>
                  <w:vAlign w:val="center"/>
                </w:tcPr>
                <w:p w14:paraId="51E4937F">
                  <w:pPr>
                    <w:pStyle w:val="62"/>
                    <w:spacing w:before="24" w:after="24" w:line="340" w:lineRule="exact"/>
                    <w:rPr>
                      <w:rFonts w:ascii="Times New Roman"/>
                      <w:color w:val="auto"/>
                      <w:kern w:val="2"/>
                      <w:szCs w:val="21"/>
                    </w:rPr>
                  </w:pPr>
                  <w:r>
                    <w:rPr>
                      <w:rFonts w:ascii="Times New Roman"/>
                      <w:color w:val="auto"/>
                      <w:kern w:val="2"/>
                      <w:szCs w:val="21"/>
                    </w:rPr>
                    <w:t>编号</w:t>
                  </w:r>
                </w:p>
              </w:tc>
              <w:tc>
                <w:tcPr>
                  <w:tcW w:w="984" w:type="pct"/>
                  <w:vMerge w:val="restart"/>
                  <w:noWrap w:val="0"/>
                  <w:vAlign w:val="center"/>
                </w:tcPr>
                <w:p w14:paraId="726C72BB">
                  <w:pPr>
                    <w:pStyle w:val="62"/>
                    <w:spacing w:before="24" w:after="24" w:line="340" w:lineRule="exact"/>
                    <w:rPr>
                      <w:rFonts w:ascii="Times New Roman"/>
                      <w:color w:val="auto"/>
                      <w:kern w:val="2"/>
                      <w:szCs w:val="21"/>
                    </w:rPr>
                  </w:pPr>
                  <w:r>
                    <w:rPr>
                      <w:rFonts w:ascii="Times New Roman"/>
                      <w:color w:val="auto"/>
                      <w:kern w:val="2"/>
                      <w:szCs w:val="21"/>
                    </w:rPr>
                    <w:t>测点位置</w:t>
                  </w:r>
                </w:p>
              </w:tc>
              <w:tc>
                <w:tcPr>
                  <w:tcW w:w="781" w:type="pct"/>
                  <w:vMerge w:val="restart"/>
                  <w:noWrap w:val="0"/>
                  <w:vAlign w:val="center"/>
                </w:tcPr>
                <w:p w14:paraId="0AC04451">
                  <w:pPr>
                    <w:pStyle w:val="62"/>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085" w:type="pct"/>
                  <w:gridSpan w:val="2"/>
                  <w:noWrap w:val="0"/>
                  <w:vAlign w:val="center"/>
                </w:tcPr>
                <w:p w14:paraId="610BD175">
                  <w:pPr>
                    <w:pStyle w:val="62"/>
                    <w:spacing w:before="24" w:after="24" w:line="340" w:lineRule="exact"/>
                    <w:rPr>
                      <w:rFonts w:ascii="Times New Roman"/>
                      <w:color w:val="auto"/>
                      <w:kern w:val="2"/>
                      <w:szCs w:val="21"/>
                    </w:rPr>
                  </w:pPr>
                  <w:r>
                    <w:rPr>
                      <w:rFonts w:ascii="Times New Roman"/>
                      <w:color w:val="auto"/>
                      <w:kern w:val="2"/>
                      <w:szCs w:val="21"/>
                    </w:rPr>
                    <w:t>影响贡献值</w:t>
                  </w:r>
                </w:p>
              </w:tc>
              <w:tc>
                <w:tcPr>
                  <w:tcW w:w="1271" w:type="pct"/>
                  <w:gridSpan w:val="2"/>
                  <w:noWrap w:val="0"/>
                  <w:vAlign w:val="center"/>
                </w:tcPr>
                <w:p w14:paraId="433E95B1">
                  <w:pPr>
                    <w:pStyle w:val="62"/>
                    <w:spacing w:before="24" w:after="24" w:line="340" w:lineRule="exact"/>
                    <w:rPr>
                      <w:rFonts w:ascii="Times New Roman"/>
                      <w:color w:val="auto"/>
                      <w:kern w:val="2"/>
                      <w:szCs w:val="21"/>
                    </w:rPr>
                  </w:pPr>
                  <w:r>
                    <w:rPr>
                      <w:rFonts w:ascii="Times New Roman"/>
                      <w:color w:val="auto"/>
                      <w:kern w:val="2"/>
                      <w:szCs w:val="21"/>
                    </w:rPr>
                    <w:t>标准值</w:t>
                  </w:r>
                </w:p>
              </w:tc>
              <w:tc>
                <w:tcPr>
                  <w:tcW w:w="535" w:type="pct"/>
                  <w:vMerge w:val="restart"/>
                  <w:noWrap w:val="0"/>
                  <w:vAlign w:val="center"/>
                </w:tcPr>
                <w:p w14:paraId="041AF7D6">
                  <w:pPr>
                    <w:pStyle w:val="62"/>
                    <w:spacing w:before="24" w:after="24" w:line="340" w:lineRule="exact"/>
                    <w:rPr>
                      <w:rFonts w:ascii="Times New Roman"/>
                      <w:color w:val="auto"/>
                      <w:kern w:val="2"/>
                      <w:szCs w:val="21"/>
                    </w:rPr>
                  </w:pPr>
                  <w:r>
                    <w:rPr>
                      <w:rFonts w:ascii="Times New Roman"/>
                      <w:color w:val="auto"/>
                      <w:kern w:val="2"/>
                      <w:szCs w:val="21"/>
                    </w:rPr>
                    <w:t>达标情况</w:t>
                  </w:r>
                </w:p>
              </w:tc>
            </w:tr>
            <w:tr w14:paraId="09621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41" w:type="pct"/>
                  <w:vMerge w:val="continue"/>
                  <w:noWrap w:val="0"/>
                  <w:vAlign w:val="center"/>
                </w:tcPr>
                <w:p w14:paraId="42EDB8BD">
                  <w:pPr>
                    <w:pStyle w:val="62"/>
                    <w:spacing w:before="24" w:after="24" w:line="340" w:lineRule="exact"/>
                    <w:rPr>
                      <w:rFonts w:ascii="Times New Roman"/>
                      <w:color w:val="auto"/>
                      <w:kern w:val="2"/>
                      <w:szCs w:val="21"/>
                    </w:rPr>
                  </w:pPr>
                </w:p>
              </w:tc>
              <w:tc>
                <w:tcPr>
                  <w:tcW w:w="984" w:type="pct"/>
                  <w:vMerge w:val="continue"/>
                  <w:noWrap w:val="0"/>
                  <w:vAlign w:val="center"/>
                </w:tcPr>
                <w:p w14:paraId="3ECA2225">
                  <w:pPr>
                    <w:pStyle w:val="62"/>
                    <w:spacing w:before="24" w:after="24" w:line="340" w:lineRule="exact"/>
                    <w:rPr>
                      <w:rFonts w:ascii="Times New Roman"/>
                      <w:color w:val="auto"/>
                      <w:kern w:val="2"/>
                      <w:szCs w:val="21"/>
                    </w:rPr>
                  </w:pPr>
                </w:p>
              </w:tc>
              <w:tc>
                <w:tcPr>
                  <w:tcW w:w="781" w:type="pct"/>
                  <w:vMerge w:val="continue"/>
                  <w:noWrap w:val="0"/>
                  <w:vAlign w:val="center"/>
                </w:tcPr>
                <w:p w14:paraId="21FBF07F">
                  <w:pPr>
                    <w:pStyle w:val="62"/>
                    <w:spacing w:before="24" w:after="24" w:line="340" w:lineRule="exact"/>
                    <w:rPr>
                      <w:rFonts w:hint="eastAsia" w:ascii="Times New Roman"/>
                      <w:color w:val="auto"/>
                      <w:kern w:val="2"/>
                      <w:szCs w:val="21"/>
                    </w:rPr>
                  </w:pPr>
                </w:p>
              </w:tc>
              <w:tc>
                <w:tcPr>
                  <w:tcW w:w="542" w:type="pct"/>
                  <w:noWrap w:val="0"/>
                  <w:vAlign w:val="center"/>
                </w:tcPr>
                <w:p w14:paraId="1F252958">
                  <w:pPr>
                    <w:pStyle w:val="62"/>
                    <w:spacing w:before="24" w:after="24" w:line="340" w:lineRule="exact"/>
                    <w:rPr>
                      <w:rFonts w:hint="eastAsia" w:ascii="Times New Roman"/>
                      <w:color w:val="auto"/>
                      <w:kern w:val="2"/>
                      <w:szCs w:val="21"/>
                    </w:rPr>
                  </w:pPr>
                  <w:r>
                    <w:rPr>
                      <w:rFonts w:hint="eastAsia" w:ascii="Times New Roman"/>
                      <w:color w:val="auto"/>
                      <w:kern w:val="2"/>
                      <w:szCs w:val="21"/>
                    </w:rPr>
                    <w:t>昼间</w:t>
                  </w:r>
                </w:p>
              </w:tc>
              <w:tc>
                <w:tcPr>
                  <w:tcW w:w="542" w:type="pct"/>
                  <w:noWrap w:val="0"/>
                  <w:vAlign w:val="center"/>
                </w:tcPr>
                <w:p w14:paraId="03906C64">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646" w:type="pct"/>
                  <w:noWrap w:val="0"/>
                  <w:vAlign w:val="center"/>
                </w:tcPr>
                <w:p w14:paraId="08B0D3E5">
                  <w:pPr>
                    <w:pStyle w:val="62"/>
                    <w:spacing w:before="24" w:after="24" w:line="340" w:lineRule="exact"/>
                    <w:rPr>
                      <w:rFonts w:hint="eastAsia" w:ascii="Times New Roman"/>
                      <w:color w:val="auto"/>
                      <w:kern w:val="2"/>
                      <w:szCs w:val="21"/>
                    </w:rPr>
                  </w:pPr>
                  <w:r>
                    <w:rPr>
                      <w:rFonts w:ascii="Times New Roman"/>
                      <w:color w:val="auto"/>
                      <w:kern w:val="2"/>
                      <w:szCs w:val="21"/>
                    </w:rPr>
                    <w:t>昼间</w:t>
                  </w:r>
                </w:p>
              </w:tc>
              <w:tc>
                <w:tcPr>
                  <w:tcW w:w="625" w:type="pct"/>
                  <w:noWrap w:val="0"/>
                  <w:vAlign w:val="center"/>
                </w:tcPr>
                <w:p w14:paraId="3E15A43C">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35" w:type="pct"/>
                  <w:vMerge w:val="continue"/>
                  <w:noWrap w:val="0"/>
                  <w:vAlign w:val="center"/>
                </w:tcPr>
                <w:p w14:paraId="06318CAE">
                  <w:pPr>
                    <w:pStyle w:val="62"/>
                    <w:spacing w:before="24" w:after="24" w:line="340" w:lineRule="exact"/>
                    <w:rPr>
                      <w:rFonts w:ascii="Times New Roman"/>
                      <w:color w:val="auto"/>
                      <w:kern w:val="2"/>
                      <w:szCs w:val="21"/>
                    </w:rPr>
                  </w:pPr>
                </w:p>
              </w:tc>
            </w:tr>
            <w:tr w14:paraId="3F02D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FE8B509">
                  <w:pPr>
                    <w:pStyle w:val="62"/>
                    <w:spacing w:before="24" w:after="24" w:line="340" w:lineRule="exact"/>
                    <w:rPr>
                      <w:rFonts w:ascii="Times New Roman"/>
                      <w:color w:val="auto"/>
                      <w:kern w:val="2"/>
                      <w:szCs w:val="21"/>
                    </w:rPr>
                  </w:pPr>
                  <w:r>
                    <w:rPr>
                      <w:rFonts w:ascii="Times New Roman"/>
                      <w:color w:val="auto"/>
                      <w:kern w:val="2"/>
                      <w:szCs w:val="21"/>
                    </w:rPr>
                    <w:t>1</w:t>
                  </w:r>
                </w:p>
              </w:tc>
              <w:tc>
                <w:tcPr>
                  <w:tcW w:w="984" w:type="pct"/>
                  <w:noWrap w:val="0"/>
                  <w:vAlign w:val="center"/>
                </w:tcPr>
                <w:p w14:paraId="25AA700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781" w:type="pct"/>
                  <w:vMerge w:val="restart"/>
                  <w:noWrap w:val="0"/>
                  <w:vAlign w:val="center"/>
                </w:tcPr>
                <w:p w14:paraId="44F39C27">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542" w:type="pct"/>
                  <w:noWrap w:val="0"/>
                  <w:vAlign w:val="center"/>
                </w:tcPr>
                <w:p w14:paraId="35817312">
                  <w:pPr>
                    <w:spacing w:line="340" w:lineRule="exact"/>
                    <w:jc w:val="center"/>
                    <w:rPr>
                      <w:rFonts w:hint="default" w:eastAsia="宋体"/>
                      <w:color w:val="auto"/>
                      <w:szCs w:val="21"/>
                      <w:lang w:val="en-US" w:eastAsia="zh-CN"/>
                    </w:rPr>
                  </w:pPr>
                  <w:r>
                    <w:rPr>
                      <w:rFonts w:hint="eastAsia"/>
                      <w:color w:val="auto"/>
                      <w:szCs w:val="21"/>
                      <w:lang w:val="en-US" w:eastAsia="zh-CN"/>
                    </w:rPr>
                    <w:t>55.6</w:t>
                  </w:r>
                </w:p>
              </w:tc>
              <w:tc>
                <w:tcPr>
                  <w:tcW w:w="542" w:type="pct"/>
                  <w:shd w:val="clear" w:color="auto" w:fill="auto"/>
                  <w:noWrap w:val="0"/>
                  <w:vAlign w:val="center"/>
                </w:tcPr>
                <w:p w14:paraId="0F3B4A2E">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47.2</w:t>
                  </w:r>
                </w:p>
              </w:tc>
              <w:tc>
                <w:tcPr>
                  <w:tcW w:w="646" w:type="pct"/>
                  <w:vMerge w:val="restart"/>
                  <w:noWrap w:val="0"/>
                  <w:vAlign w:val="center"/>
                </w:tcPr>
                <w:p w14:paraId="67A13477">
                  <w:pPr>
                    <w:widowControl/>
                    <w:spacing w:line="340" w:lineRule="exact"/>
                    <w:jc w:val="center"/>
                    <w:rPr>
                      <w:color w:val="auto"/>
                      <w:szCs w:val="21"/>
                    </w:rPr>
                  </w:pPr>
                  <w:r>
                    <w:rPr>
                      <w:color w:val="auto"/>
                      <w:szCs w:val="21"/>
                    </w:rPr>
                    <w:t>65</w:t>
                  </w:r>
                </w:p>
              </w:tc>
              <w:tc>
                <w:tcPr>
                  <w:tcW w:w="625" w:type="pct"/>
                  <w:vMerge w:val="restart"/>
                  <w:noWrap w:val="0"/>
                  <w:vAlign w:val="center"/>
                </w:tcPr>
                <w:p w14:paraId="3B64C7EC">
                  <w:pPr>
                    <w:widowControl/>
                    <w:spacing w:line="340" w:lineRule="exact"/>
                    <w:jc w:val="center"/>
                    <w:rPr>
                      <w:rFonts w:hint="default" w:eastAsia="宋体"/>
                      <w:color w:val="auto"/>
                      <w:szCs w:val="21"/>
                      <w:lang w:val="en-US" w:eastAsia="zh-CN"/>
                    </w:rPr>
                  </w:pPr>
                  <w:r>
                    <w:rPr>
                      <w:rFonts w:hint="eastAsia"/>
                      <w:color w:val="auto"/>
                      <w:szCs w:val="21"/>
                      <w:lang w:val="en-US" w:eastAsia="zh-CN"/>
                    </w:rPr>
                    <w:t>55</w:t>
                  </w:r>
                </w:p>
              </w:tc>
              <w:tc>
                <w:tcPr>
                  <w:tcW w:w="535" w:type="pct"/>
                  <w:vMerge w:val="restart"/>
                  <w:noWrap w:val="0"/>
                  <w:vAlign w:val="center"/>
                </w:tcPr>
                <w:p w14:paraId="77387246">
                  <w:pPr>
                    <w:widowControl/>
                    <w:spacing w:line="340" w:lineRule="exact"/>
                    <w:jc w:val="center"/>
                    <w:rPr>
                      <w:color w:val="auto"/>
                      <w:szCs w:val="21"/>
                    </w:rPr>
                  </w:pPr>
                  <w:r>
                    <w:rPr>
                      <w:color w:val="auto"/>
                      <w:szCs w:val="21"/>
                    </w:rPr>
                    <w:t>达标</w:t>
                  </w:r>
                </w:p>
              </w:tc>
            </w:tr>
            <w:tr w14:paraId="4FC41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34E7EFE">
                  <w:pPr>
                    <w:pStyle w:val="62"/>
                    <w:spacing w:before="24" w:after="24" w:line="340" w:lineRule="exact"/>
                    <w:rPr>
                      <w:rFonts w:ascii="Times New Roman"/>
                      <w:color w:val="auto"/>
                      <w:kern w:val="2"/>
                      <w:szCs w:val="21"/>
                    </w:rPr>
                  </w:pPr>
                  <w:r>
                    <w:rPr>
                      <w:rFonts w:hint="eastAsia" w:ascii="Times New Roman"/>
                      <w:color w:val="auto"/>
                      <w:kern w:val="2"/>
                      <w:szCs w:val="21"/>
                    </w:rPr>
                    <w:t>2</w:t>
                  </w:r>
                </w:p>
              </w:tc>
              <w:tc>
                <w:tcPr>
                  <w:tcW w:w="984" w:type="pct"/>
                  <w:noWrap w:val="0"/>
                  <w:vAlign w:val="center"/>
                </w:tcPr>
                <w:p w14:paraId="3F737808">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781" w:type="pct"/>
                  <w:vMerge w:val="continue"/>
                  <w:noWrap w:val="0"/>
                  <w:vAlign w:val="center"/>
                </w:tcPr>
                <w:p w14:paraId="7840E840">
                  <w:pPr>
                    <w:adjustRightInd w:val="0"/>
                    <w:spacing w:line="340" w:lineRule="exact"/>
                    <w:jc w:val="center"/>
                    <w:rPr>
                      <w:rFonts w:hint="eastAsia"/>
                      <w:snapToGrid w:val="0"/>
                      <w:color w:val="auto"/>
                      <w:szCs w:val="21"/>
                    </w:rPr>
                  </w:pPr>
                </w:p>
              </w:tc>
              <w:tc>
                <w:tcPr>
                  <w:tcW w:w="542" w:type="pct"/>
                  <w:noWrap w:val="0"/>
                  <w:vAlign w:val="center"/>
                </w:tcPr>
                <w:p w14:paraId="1463B52E">
                  <w:pPr>
                    <w:spacing w:line="340" w:lineRule="exact"/>
                    <w:jc w:val="center"/>
                    <w:rPr>
                      <w:rFonts w:hint="default" w:eastAsia="宋体"/>
                      <w:color w:val="auto"/>
                      <w:szCs w:val="21"/>
                      <w:lang w:val="en-US" w:eastAsia="zh-CN"/>
                    </w:rPr>
                  </w:pPr>
                  <w:r>
                    <w:rPr>
                      <w:rFonts w:hint="eastAsia"/>
                      <w:color w:val="auto"/>
                      <w:szCs w:val="21"/>
                      <w:lang w:val="en-US" w:eastAsia="zh-CN"/>
                    </w:rPr>
                    <w:t>57.2</w:t>
                  </w:r>
                </w:p>
              </w:tc>
              <w:tc>
                <w:tcPr>
                  <w:tcW w:w="542" w:type="pct"/>
                  <w:shd w:val="clear" w:color="auto" w:fill="auto"/>
                  <w:noWrap w:val="0"/>
                  <w:vAlign w:val="center"/>
                </w:tcPr>
                <w:p w14:paraId="34F0F8BB">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46.5</w:t>
                  </w:r>
                </w:p>
              </w:tc>
              <w:tc>
                <w:tcPr>
                  <w:tcW w:w="646" w:type="pct"/>
                  <w:vMerge w:val="continue"/>
                  <w:noWrap w:val="0"/>
                  <w:vAlign w:val="center"/>
                </w:tcPr>
                <w:p w14:paraId="64F099C9">
                  <w:pPr>
                    <w:widowControl/>
                    <w:spacing w:line="340" w:lineRule="exact"/>
                    <w:jc w:val="center"/>
                    <w:rPr>
                      <w:rFonts w:hint="eastAsia"/>
                      <w:color w:val="auto"/>
                      <w:szCs w:val="21"/>
                    </w:rPr>
                  </w:pPr>
                </w:p>
              </w:tc>
              <w:tc>
                <w:tcPr>
                  <w:tcW w:w="625" w:type="pct"/>
                  <w:vMerge w:val="continue"/>
                  <w:noWrap w:val="0"/>
                  <w:vAlign w:val="center"/>
                </w:tcPr>
                <w:p w14:paraId="1B1833EA">
                  <w:pPr>
                    <w:widowControl/>
                    <w:spacing w:line="340" w:lineRule="exact"/>
                    <w:jc w:val="center"/>
                    <w:rPr>
                      <w:rFonts w:hint="eastAsia"/>
                      <w:color w:val="auto"/>
                      <w:szCs w:val="21"/>
                    </w:rPr>
                  </w:pPr>
                </w:p>
              </w:tc>
              <w:tc>
                <w:tcPr>
                  <w:tcW w:w="535" w:type="pct"/>
                  <w:vMerge w:val="continue"/>
                  <w:noWrap w:val="0"/>
                  <w:vAlign w:val="center"/>
                </w:tcPr>
                <w:p w14:paraId="7A281713">
                  <w:pPr>
                    <w:widowControl/>
                    <w:spacing w:line="340" w:lineRule="exact"/>
                    <w:jc w:val="center"/>
                    <w:rPr>
                      <w:color w:val="auto"/>
                      <w:szCs w:val="21"/>
                    </w:rPr>
                  </w:pPr>
                </w:p>
              </w:tc>
            </w:tr>
            <w:tr w14:paraId="2D419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581F3376">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984" w:type="pct"/>
                  <w:noWrap w:val="0"/>
                  <w:vAlign w:val="center"/>
                </w:tcPr>
                <w:p w14:paraId="6AC74C2B">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781" w:type="pct"/>
                  <w:vMerge w:val="continue"/>
                  <w:noWrap w:val="0"/>
                  <w:vAlign w:val="center"/>
                </w:tcPr>
                <w:p w14:paraId="0B503DE3">
                  <w:pPr>
                    <w:adjustRightInd w:val="0"/>
                    <w:spacing w:line="340" w:lineRule="exact"/>
                    <w:jc w:val="center"/>
                    <w:rPr>
                      <w:rFonts w:hint="eastAsia"/>
                      <w:snapToGrid w:val="0"/>
                      <w:color w:val="auto"/>
                      <w:szCs w:val="21"/>
                    </w:rPr>
                  </w:pPr>
                </w:p>
              </w:tc>
              <w:tc>
                <w:tcPr>
                  <w:tcW w:w="542" w:type="pct"/>
                  <w:noWrap w:val="0"/>
                  <w:vAlign w:val="center"/>
                </w:tcPr>
                <w:p w14:paraId="532C1E11">
                  <w:pPr>
                    <w:spacing w:line="340" w:lineRule="exact"/>
                    <w:jc w:val="center"/>
                    <w:rPr>
                      <w:rFonts w:hint="default" w:eastAsia="宋体"/>
                      <w:color w:val="auto"/>
                      <w:szCs w:val="21"/>
                      <w:lang w:val="en-US" w:eastAsia="zh-CN"/>
                    </w:rPr>
                  </w:pPr>
                  <w:r>
                    <w:rPr>
                      <w:rFonts w:hint="eastAsia"/>
                      <w:color w:val="auto"/>
                      <w:szCs w:val="21"/>
                      <w:lang w:val="en-US" w:eastAsia="zh-CN"/>
                    </w:rPr>
                    <w:t>58.1</w:t>
                  </w:r>
                </w:p>
              </w:tc>
              <w:tc>
                <w:tcPr>
                  <w:tcW w:w="542" w:type="pct"/>
                  <w:shd w:val="clear" w:color="auto" w:fill="auto"/>
                  <w:noWrap w:val="0"/>
                  <w:vAlign w:val="center"/>
                </w:tcPr>
                <w:p w14:paraId="6E28DCB9">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52.6</w:t>
                  </w:r>
                </w:p>
              </w:tc>
              <w:tc>
                <w:tcPr>
                  <w:tcW w:w="646" w:type="pct"/>
                  <w:vMerge w:val="continue"/>
                  <w:noWrap w:val="0"/>
                  <w:vAlign w:val="center"/>
                </w:tcPr>
                <w:p w14:paraId="5DC66EDB">
                  <w:pPr>
                    <w:widowControl/>
                    <w:spacing w:line="340" w:lineRule="exact"/>
                    <w:jc w:val="center"/>
                    <w:rPr>
                      <w:rFonts w:hint="eastAsia"/>
                      <w:color w:val="auto"/>
                      <w:szCs w:val="21"/>
                    </w:rPr>
                  </w:pPr>
                </w:p>
              </w:tc>
              <w:tc>
                <w:tcPr>
                  <w:tcW w:w="625" w:type="pct"/>
                  <w:vMerge w:val="continue"/>
                  <w:noWrap w:val="0"/>
                  <w:vAlign w:val="center"/>
                </w:tcPr>
                <w:p w14:paraId="4FEEA4F7">
                  <w:pPr>
                    <w:widowControl/>
                    <w:spacing w:line="340" w:lineRule="exact"/>
                    <w:jc w:val="center"/>
                    <w:rPr>
                      <w:rFonts w:hint="eastAsia"/>
                      <w:color w:val="auto"/>
                      <w:szCs w:val="21"/>
                    </w:rPr>
                  </w:pPr>
                </w:p>
              </w:tc>
              <w:tc>
                <w:tcPr>
                  <w:tcW w:w="535" w:type="pct"/>
                  <w:vMerge w:val="continue"/>
                  <w:noWrap w:val="0"/>
                  <w:vAlign w:val="center"/>
                </w:tcPr>
                <w:p w14:paraId="756D5511">
                  <w:pPr>
                    <w:widowControl/>
                    <w:spacing w:line="340" w:lineRule="exact"/>
                    <w:jc w:val="center"/>
                    <w:rPr>
                      <w:color w:val="auto"/>
                      <w:szCs w:val="21"/>
                    </w:rPr>
                  </w:pPr>
                </w:p>
              </w:tc>
            </w:tr>
            <w:tr w14:paraId="6FD9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1" w:type="pct"/>
                  <w:noWrap w:val="0"/>
                  <w:vAlign w:val="center"/>
                </w:tcPr>
                <w:p w14:paraId="070A81C1">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984" w:type="pct"/>
                  <w:noWrap w:val="0"/>
                  <w:vAlign w:val="center"/>
                </w:tcPr>
                <w:p w14:paraId="79B8CD19">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781" w:type="pct"/>
                  <w:vMerge w:val="continue"/>
                  <w:noWrap w:val="0"/>
                  <w:vAlign w:val="center"/>
                </w:tcPr>
                <w:p w14:paraId="6C1717CA">
                  <w:pPr>
                    <w:spacing w:line="340" w:lineRule="exact"/>
                    <w:jc w:val="center"/>
                    <w:rPr>
                      <w:rFonts w:hint="eastAsia"/>
                      <w:color w:val="auto"/>
                      <w:szCs w:val="21"/>
                    </w:rPr>
                  </w:pPr>
                </w:p>
              </w:tc>
              <w:tc>
                <w:tcPr>
                  <w:tcW w:w="542" w:type="pct"/>
                  <w:noWrap w:val="0"/>
                  <w:vAlign w:val="center"/>
                </w:tcPr>
                <w:p w14:paraId="417A966A">
                  <w:pPr>
                    <w:spacing w:line="340" w:lineRule="exact"/>
                    <w:jc w:val="center"/>
                    <w:rPr>
                      <w:rFonts w:hint="default" w:eastAsia="宋体"/>
                      <w:color w:val="auto"/>
                      <w:szCs w:val="21"/>
                      <w:lang w:val="en-US" w:eastAsia="zh-CN"/>
                    </w:rPr>
                  </w:pPr>
                  <w:r>
                    <w:rPr>
                      <w:rFonts w:hint="eastAsia"/>
                      <w:color w:val="auto"/>
                      <w:szCs w:val="21"/>
                      <w:lang w:val="en-US" w:eastAsia="zh-CN"/>
                    </w:rPr>
                    <w:t>57.3</w:t>
                  </w:r>
                </w:p>
              </w:tc>
              <w:tc>
                <w:tcPr>
                  <w:tcW w:w="542" w:type="pct"/>
                  <w:shd w:val="clear" w:color="auto" w:fill="auto"/>
                  <w:noWrap w:val="0"/>
                  <w:vAlign w:val="center"/>
                </w:tcPr>
                <w:p w14:paraId="3F025931">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52.4</w:t>
                  </w:r>
                </w:p>
              </w:tc>
              <w:tc>
                <w:tcPr>
                  <w:tcW w:w="646" w:type="pct"/>
                  <w:vMerge w:val="continue"/>
                  <w:noWrap w:val="0"/>
                  <w:vAlign w:val="center"/>
                </w:tcPr>
                <w:p w14:paraId="3CC88FCE">
                  <w:pPr>
                    <w:widowControl/>
                    <w:spacing w:line="340" w:lineRule="exact"/>
                    <w:jc w:val="center"/>
                    <w:rPr>
                      <w:color w:val="auto"/>
                      <w:szCs w:val="21"/>
                    </w:rPr>
                  </w:pPr>
                </w:p>
              </w:tc>
              <w:tc>
                <w:tcPr>
                  <w:tcW w:w="625" w:type="pct"/>
                  <w:vMerge w:val="continue"/>
                  <w:noWrap w:val="0"/>
                  <w:vAlign w:val="center"/>
                </w:tcPr>
                <w:p w14:paraId="6DB78FBC">
                  <w:pPr>
                    <w:widowControl/>
                    <w:spacing w:line="340" w:lineRule="exact"/>
                    <w:jc w:val="center"/>
                    <w:rPr>
                      <w:color w:val="auto"/>
                      <w:szCs w:val="21"/>
                    </w:rPr>
                  </w:pPr>
                </w:p>
              </w:tc>
              <w:tc>
                <w:tcPr>
                  <w:tcW w:w="535" w:type="pct"/>
                  <w:vMerge w:val="continue"/>
                  <w:noWrap w:val="0"/>
                  <w:vAlign w:val="center"/>
                </w:tcPr>
                <w:p w14:paraId="7F08D9EC">
                  <w:pPr>
                    <w:widowControl/>
                    <w:spacing w:line="340" w:lineRule="exact"/>
                    <w:jc w:val="center"/>
                    <w:rPr>
                      <w:color w:val="auto"/>
                      <w:szCs w:val="21"/>
                    </w:rPr>
                  </w:pPr>
                </w:p>
              </w:tc>
            </w:tr>
          </w:tbl>
          <w:p w14:paraId="71983FAA">
            <w:pPr>
              <w:pStyle w:val="59"/>
              <w:spacing w:line="360" w:lineRule="auto"/>
              <w:ind w:firstLine="480"/>
              <w:rPr>
                <w:rFonts w:ascii="Times New Roman" w:hAnsi="Times New Roman"/>
                <w:bCs w:val="0"/>
                <w:szCs w:val="24"/>
              </w:rPr>
            </w:pPr>
            <w:r>
              <w:rPr>
                <w:rFonts w:ascii="Times New Roman" w:hAnsi="Times New Roman"/>
                <w:bCs w:val="0"/>
                <w:szCs w:val="24"/>
                <w:lang w:val="zh-CN"/>
              </w:rPr>
              <w:t>根据表</w:t>
            </w:r>
            <w:r>
              <w:rPr>
                <w:rFonts w:ascii="Times New Roman" w:hAnsi="Times New Roman"/>
                <w:bCs w:val="0"/>
                <w:szCs w:val="24"/>
              </w:rPr>
              <w:t>4.3-2</w:t>
            </w:r>
            <w:r>
              <w:rPr>
                <w:rFonts w:ascii="Times New Roman" w:hAnsi="Times New Roman"/>
                <w:bCs w:val="0"/>
                <w:szCs w:val="24"/>
                <w:lang w:val="zh-CN"/>
              </w:rPr>
              <w:t>预测结果表明，项目主要噪声源在采取有效的降噪措施前提下，项目边界噪声均可满足《工业企业厂界环境噪声排放标准》</w:t>
            </w:r>
            <w:r>
              <w:rPr>
                <w:rFonts w:hint="eastAsia"/>
                <w:bCs w:val="0"/>
                <w:szCs w:val="24"/>
                <w:lang w:val="zh-CN"/>
              </w:rPr>
              <w:t>（</w:t>
            </w:r>
            <w:r>
              <w:rPr>
                <w:rFonts w:ascii="Times New Roman" w:hAnsi="Times New Roman"/>
                <w:bCs w:val="0"/>
                <w:szCs w:val="24"/>
                <w:lang w:val="zh-CN"/>
              </w:rPr>
              <w:t>GB12348-2008</w:t>
            </w:r>
            <w:r>
              <w:rPr>
                <w:rFonts w:hint="eastAsia"/>
                <w:bCs w:val="0"/>
                <w:szCs w:val="24"/>
                <w:lang w:val="zh-CN"/>
              </w:rPr>
              <w:t>）</w:t>
            </w:r>
            <w:r>
              <w:rPr>
                <w:rFonts w:ascii="Times New Roman" w:hAnsi="Times New Roman"/>
                <w:bCs w:val="0"/>
                <w:szCs w:val="24"/>
                <w:lang w:val="zh-CN"/>
              </w:rPr>
              <w:t>中3类标准。</w:t>
            </w:r>
          </w:p>
          <w:p w14:paraId="715E3777">
            <w:pPr>
              <w:pStyle w:val="50"/>
              <w:ind w:firstLine="480"/>
              <w:rPr>
                <w:rFonts w:ascii="Times New Roman" w:hAnsi="Times New Roman"/>
                <w:sz w:val="24"/>
                <w:szCs w:val="24"/>
                <w:lang w:val="zh-CN"/>
              </w:rPr>
            </w:pPr>
            <w:r>
              <w:rPr>
                <w:rFonts w:hint="eastAsia" w:ascii="Times New Roman" w:hAnsi="Times New Roman"/>
                <w:sz w:val="24"/>
                <w:szCs w:val="24"/>
                <w:lang w:val="zh-CN"/>
              </w:rPr>
              <w:t>（</w:t>
            </w:r>
            <w:r>
              <w:rPr>
                <w:rFonts w:hint="eastAsia" w:ascii="Times New Roman" w:hAnsi="Times New Roman"/>
                <w:sz w:val="24"/>
                <w:szCs w:val="24"/>
                <w:lang w:val="en-US" w:eastAsia="zh-CN"/>
              </w:rPr>
              <w:t>7</w:t>
            </w:r>
            <w:r>
              <w:rPr>
                <w:rFonts w:hint="eastAsia" w:ascii="Times New Roman" w:hAnsi="Times New Roman"/>
                <w:sz w:val="24"/>
                <w:szCs w:val="24"/>
                <w:lang w:val="zh-CN"/>
              </w:rPr>
              <w:t>）</w:t>
            </w:r>
            <w:r>
              <w:rPr>
                <w:rFonts w:ascii="Times New Roman" w:hAnsi="Times New Roman"/>
                <w:sz w:val="24"/>
                <w:szCs w:val="24"/>
                <w:lang w:val="zh-CN"/>
              </w:rPr>
              <w:t>敏感点噪声预测结果分析</w:t>
            </w:r>
          </w:p>
          <w:p w14:paraId="7685D925">
            <w:pPr>
              <w:spacing w:line="360" w:lineRule="auto"/>
              <w:ind w:firstLine="480"/>
              <w:rPr>
                <w:sz w:val="24"/>
                <w:lang w:val="zh-CN"/>
              </w:rPr>
            </w:pPr>
            <w:r>
              <w:rPr>
                <w:rFonts w:hint="eastAsia"/>
                <w:sz w:val="24"/>
                <w:lang w:val="zh-CN"/>
              </w:rPr>
              <w:t>根据现场勘查，项目</w:t>
            </w:r>
            <w:r>
              <w:rPr>
                <w:sz w:val="24"/>
                <w:lang w:val="zh-CN"/>
              </w:rPr>
              <w:t>周边</w:t>
            </w:r>
            <w:r>
              <w:rPr>
                <w:rFonts w:hint="eastAsia"/>
                <w:sz w:val="24"/>
              </w:rPr>
              <w:t>5</w:t>
            </w:r>
            <w:r>
              <w:rPr>
                <w:sz w:val="24"/>
              </w:rPr>
              <w:t>0m范围内</w:t>
            </w:r>
            <w:r>
              <w:rPr>
                <w:rFonts w:hint="eastAsia"/>
                <w:sz w:val="24"/>
              </w:rPr>
              <w:t>无</w:t>
            </w:r>
            <w:r>
              <w:rPr>
                <w:sz w:val="24"/>
              </w:rPr>
              <w:t>声环境</w:t>
            </w:r>
            <w:r>
              <w:rPr>
                <w:rFonts w:hint="eastAsia"/>
                <w:sz w:val="24"/>
              </w:rPr>
              <w:t>保护目标</w:t>
            </w:r>
            <w:r>
              <w:rPr>
                <w:sz w:val="24"/>
                <w:lang w:val="zh-CN"/>
              </w:rPr>
              <w:t>。</w:t>
            </w:r>
          </w:p>
          <w:p w14:paraId="00547D2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2" w:name="_Toc31999"/>
            <w:bookmarkStart w:id="103" w:name="_Toc25273"/>
            <w:r>
              <w:rPr>
                <w:rFonts w:hint="default"/>
                <w:b/>
                <w:color w:val="262626"/>
                <w:kern w:val="0"/>
                <w:sz w:val="24"/>
                <w:lang w:val="en-US" w:eastAsia="zh-CN"/>
              </w:rPr>
              <w:t>4.3.3</w:t>
            </w:r>
            <w:r>
              <w:rPr>
                <w:rFonts w:hint="default"/>
                <w:b/>
                <w:color w:val="262626"/>
                <w:kern w:val="0"/>
                <w:sz w:val="24"/>
                <w:lang w:val="zh-CN" w:eastAsia="zh-CN"/>
              </w:rPr>
              <w:t>噪声污染控制措施</w:t>
            </w:r>
            <w:bookmarkEnd w:id="102"/>
            <w:bookmarkEnd w:id="103"/>
          </w:p>
          <w:p w14:paraId="0F9AC2CC">
            <w:pPr>
              <w:spacing w:line="360" w:lineRule="auto"/>
              <w:ind w:firstLine="480"/>
              <w:rPr>
                <w:rFonts w:hint="eastAsia" w:ascii="Times New Roman" w:hAnsi="Times New Roman" w:eastAsia="宋体" w:cs="Times New Roman"/>
                <w:bCs/>
                <w:color w:val="auto"/>
                <w:sz w:val="24"/>
                <w:lang w:val="en-US" w:eastAsia="zh-CN"/>
              </w:rPr>
            </w:pPr>
            <w:r>
              <w:rPr>
                <w:color w:val="000000"/>
                <w:sz w:val="24"/>
                <w:lang w:val="zh-CN"/>
              </w:rPr>
              <w:t>为了确保厂界噪声达到《工业企业厂界环境噪声排放标准》</w:t>
            </w:r>
            <w:r>
              <w:rPr>
                <w:rFonts w:hint="eastAsia"/>
                <w:color w:val="000000"/>
                <w:sz w:val="24"/>
                <w:lang w:val="zh-CN"/>
              </w:rPr>
              <w:t>（</w:t>
            </w:r>
            <w:r>
              <w:rPr>
                <w:color w:val="000000"/>
                <w:sz w:val="24"/>
                <w:lang w:val="zh-CN"/>
              </w:rPr>
              <w:t>GB 12348-2008</w:t>
            </w:r>
            <w:r>
              <w:rPr>
                <w:rFonts w:hint="eastAsia"/>
                <w:color w:val="000000"/>
                <w:sz w:val="24"/>
                <w:lang w:val="zh-CN"/>
              </w:rPr>
              <w:t>）</w:t>
            </w:r>
            <w:r>
              <w:rPr>
                <w:color w:val="000000"/>
                <w:sz w:val="24"/>
                <w:lang w:val="zh-CN"/>
              </w:rPr>
              <w:t>中3类标准，本报告建议采用以下降噪措施：</w:t>
            </w:r>
          </w:p>
          <w:p w14:paraId="72B76991">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E7F91E2">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061121AB">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52F83CE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37F85EF5">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2F3EFE28">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0691615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5C1776D9">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将高噪声设备设置专门设备隔间，对冷却塔、引风机采用设置隔声罩、</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348377CA">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78CB73F9">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4" w:name="_Toc19362"/>
            <w:r>
              <w:rPr>
                <w:rFonts w:hint="eastAsia" w:ascii="Times New Roman" w:hAnsi="Times New Roman" w:eastAsia="宋体" w:cs="Times New Roman"/>
                <w:color w:val="auto"/>
                <w:sz w:val="28"/>
                <w:szCs w:val="28"/>
                <w:u w:val="none"/>
                <w:lang w:val="en-US" w:eastAsia="zh-CN"/>
              </w:rPr>
              <w:t>4.4固体废物环境影响分析和污染防治措施</w:t>
            </w:r>
            <w:bookmarkEnd w:id="104"/>
          </w:p>
          <w:p w14:paraId="6797F14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5" w:name="_Toc26295"/>
            <w:r>
              <w:rPr>
                <w:rFonts w:hint="default"/>
                <w:b/>
                <w:color w:val="262626"/>
                <w:kern w:val="0"/>
                <w:sz w:val="24"/>
                <w:lang w:val="zh-CN" w:eastAsia="zh-CN"/>
              </w:rPr>
              <w:t>4.4.1 固体废物</w:t>
            </w:r>
            <w:r>
              <w:rPr>
                <w:rFonts w:hint="eastAsia"/>
                <w:b/>
                <w:color w:val="262626"/>
                <w:kern w:val="0"/>
                <w:sz w:val="24"/>
                <w:lang w:val="en-US" w:eastAsia="zh-CN"/>
              </w:rPr>
              <w:t>污染源</w:t>
            </w:r>
            <w:r>
              <w:rPr>
                <w:rFonts w:hint="default"/>
                <w:b/>
                <w:color w:val="262626"/>
                <w:kern w:val="0"/>
                <w:sz w:val="24"/>
                <w:lang w:val="zh-CN" w:eastAsia="zh-CN"/>
              </w:rPr>
              <w:t>分析</w:t>
            </w:r>
            <w:bookmarkEnd w:id="105"/>
          </w:p>
          <w:p w14:paraId="1E2B0F4E">
            <w:pPr>
              <w:spacing w:line="360" w:lineRule="auto"/>
              <w:ind w:firstLine="480" w:firstLineChars="200"/>
              <w:rPr>
                <w:color w:val="000000"/>
                <w:sz w:val="24"/>
              </w:rPr>
            </w:pPr>
            <w:r>
              <w:rPr>
                <w:color w:val="000000"/>
                <w:sz w:val="24"/>
              </w:rPr>
              <w:t>（</w:t>
            </w:r>
            <w:r>
              <w:rPr>
                <w:rFonts w:hint="eastAsia"/>
                <w:color w:val="000000"/>
                <w:sz w:val="24"/>
                <w:lang w:val="en-US" w:eastAsia="zh-CN"/>
              </w:rPr>
              <w:t>1</w:t>
            </w:r>
            <w:r>
              <w:rPr>
                <w:color w:val="000000"/>
                <w:sz w:val="24"/>
              </w:rPr>
              <w:t>）生活固废</w:t>
            </w:r>
          </w:p>
          <w:p w14:paraId="044850B0">
            <w:pPr>
              <w:spacing w:line="360" w:lineRule="auto"/>
              <w:ind w:firstLine="480"/>
              <w:rPr>
                <w:color w:val="000000"/>
                <w:sz w:val="24"/>
                <w:lang w:val="zh-CN"/>
              </w:rPr>
            </w:pPr>
            <w:r>
              <w:rPr>
                <w:rFonts w:hint="eastAsia"/>
                <w:color w:val="000000"/>
                <w:sz w:val="24"/>
              </w:rPr>
              <w:t>根据我国生活垃圾排放系数，不住厂职工生活垃圾排放系数取</w:t>
            </w:r>
            <w:r>
              <w:rPr>
                <w:color w:val="000000"/>
                <w:sz w:val="24"/>
              </w:rPr>
              <w:t>K=0.5kg/</w:t>
            </w:r>
            <w:r>
              <w:rPr>
                <w:rFonts w:hint="eastAsia"/>
                <w:color w:val="000000"/>
                <w:sz w:val="24"/>
              </w:rPr>
              <w:t>人</w:t>
            </w:r>
            <w:r>
              <w:rPr>
                <w:color w:val="000000"/>
                <w:sz w:val="24"/>
              </w:rPr>
              <w:t>•</w:t>
            </w:r>
            <w:r>
              <w:rPr>
                <w:rFonts w:hint="eastAsia"/>
                <w:color w:val="000000"/>
                <w:sz w:val="24"/>
              </w:rPr>
              <w:t>天，项目职工</w:t>
            </w:r>
            <w:r>
              <w:rPr>
                <w:rFonts w:hint="eastAsia"/>
                <w:color w:val="000000"/>
                <w:sz w:val="24"/>
                <w:lang w:val="en-US" w:eastAsia="zh-CN"/>
              </w:rPr>
              <w:t>70</w:t>
            </w:r>
            <w:r>
              <w:rPr>
                <w:rFonts w:hint="eastAsia"/>
                <w:color w:val="000000"/>
                <w:sz w:val="24"/>
              </w:rPr>
              <w:t>人，按</w:t>
            </w:r>
            <w:r>
              <w:rPr>
                <w:color w:val="000000"/>
                <w:sz w:val="24"/>
              </w:rPr>
              <w:t>300</w:t>
            </w:r>
            <w:r>
              <w:rPr>
                <w:rFonts w:hint="eastAsia"/>
                <w:color w:val="000000"/>
                <w:sz w:val="24"/>
              </w:rPr>
              <w:t>天</w:t>
            </w:r>
            <w:r>
              <w:rPr>
                <w:color w:val="000000"/>
                <w:sz w:val="24"/>
              </w:rPr>
              <w:t>/</w:t>
            </w:r>
            <w:r>
              <w:rPr>
                <w:rFonts w:hint="eastAsia"/>
                <w:color w:val="000000"/>
                <w:sz w:val="24"/>
              </w:rPr>
              <w:t>年计，则项目生活垃圾产生量为</w:t>
            </w:r>
            <w:r>
              <w:rPr>
                <w:rFonts w:hint="eastAsia"/>
                <w:color w:val="000000"/>
                <w:sz w:val="24"/>
                <w:lang w:val="en-US" w:eastAsia="zh-CN"/>
              </w:rPr>
              <w:t>10.5</w:t>
            </w:r>
            <w:r>
              <w:rPr>
                <w:color w:val="000000"/>
                <w:sz w:val="24"/>
              </w:rPr>
              <w:t>t/a</w:t>
            </w:r>
            <w:r>
              <w:rPr>
                <w:rFonts w:hint="eastAsia"/>
                <w:color w:val="000000"/>
                <w:sz w:val="24"/>
              </w:rPr>
              <w:t>。</w:t>
            </w:r>
            <w:r>
              <w:rPr>
                <w:color w:val="000000"/>
                <w:sz w:val="24"/>
              </w:rPr>
              <w:t>集中收集后委托环卫部门清运处理。</w:t>
            </w:r>
            <w:r>
              <w:rPr>
                <w:rFonts w:hint="eastAsia"/>
                <w:color w:val="000000"/>
                <w:sz w:val="24"/>
              </w:rPr>
              <w:t>对照《固体废物分类与代码目录》（公告2024年第4号），属于SW64，900-099-S64。</w:t>
            </w:r>
          </w:p>
          <w:p w14:paraId="52DC9C8F">
            <w:pPr>
              <w:adjustRightInd w:val="0"/>
              <w:snapToGrid w:val="0"/>
              <w:spacing w:line="360" w:lineRule="auto"/>
              <w:ind w:firstLine="480" w:firstLineChars="200"/>
              <w:rPr>
                <w:color w:val="000000"/>
                <w:sz w:val="24"/>
                <w:lang w:val="zh-CN"/>
              </w:rPr>
            </w:pPr>
            <w:r>
              <w:rPr>
                <w:color w:val="000000"/>
                <w:sz w:val="24"/>
                <w:lang w:val="zh-CN"/>
              </w:rPr>
              <w:t>（</w:t>
            </w:r>
            <w:r>
              <w:rPr>
                <w:rFonts w:hint="eastAsia"/>
                <w:color w:val="000000"/>
                <w:sz w:val="24"/>
                <w:lang w:val="en-US" w:eastAsia="zh-CN"/>
              </w:rPr>
              <w:t>2</w:t>
            </w:r>
            <w:r>
              <w:rPr>
                <w:color w:val="000000"/>
                <w:sz w:val="24"/>
              </w:rPr>
              <w:t>）</w:t>
            </w:r>
            <w:r>
              <w:rPr>
                <w:color w:val="000000"/>
                <w:sz w:val="24"/>
                <w:lang w:val="zh-CN"/>
              </w:rPr>
              <w:t>一般工业固废</w:t>
            </w:r>
          </w:p>
          <w:p w14:paraId="22F568EF">
            <w:pPr>
              <w:spacing w:line="360" w:lineRule="auto"/>
              <w:ind w:firstLine="480"/>
              <w:rPr>
                <w:rFonts w:hint="default" w:eastAsia="宋体"/>
                <w:color w:val="000000"/>
                <w:sz w:val="24"/>
                <w:lang w:val="en-US" w:eastAsia="zh-CN"/>
              </w:rPr>
            </w:pPr>
            <w:r>
              <w:rPr>
                <w:rFonts w:hint="eastAsia"/>
                <w:color w:val="000000"/>
                <w:sz w:val="24"/>
              </w:rPr>
              <w:t>①</w:t>
            </w:r>
            <w:r>
              <w:rPr>
                <w:rFonts w:hint="eastAsia"/>
                <w:color w:val="000000"/>
                <w:sz w:val="24"/>
                <w:lang w:val="en-US" w:eastAsia="zh-CN"/>
              </w:rPr>
              <w:t>塑料</w:t>
            </w:r>
            <w:r>
              <w:rPr>
                <w:rFonts w:hint="eastAsia"/>
                <w:color w:val="000000"/>
                <w:sz w:val="24"/>
              </w:rPr>
              <w:t>边角料</w:t>
            </w:r>
            <w:r>
              <w:rPr>
                <w:rFonts w:hint="eastAsia"/>
                <w:color w:val="000000"/>
                <w:sz w:val="24"/>
                <w:lang w:val="en-US" w:eastAsia="zh-CN"/>
              </w:rPr>
              <w:t>及不合格产品</w:t>
            </w:r>
          </w:p>
          <w:p w14:paraId="4BA88B6F">
            <w:pPr>
              <w:spacing w:line="360" w:lineRule="auto"/>
              <w:ind w:firstLine="480"/>
              <w:rPr>
                <w:rFonts w:hint="eastAsia"/>
                <w:color w:val="000000"/>
                <w:sz w:val="24"/>
              </w:rPr>
            </w:pPr>
            <w:r>
              <w:rPr>
                <w:rFonts w:hint="eastAsia"/>
                <w:color w:val="000000"/>
                <w:sz w:val="24"/>
              </w:rPr>
              <w:t>项目在</w:t>
            </w:r>
            <w:r>
              <w:rPr>
                <w:rFonts w:hint="eastAsia"/>
                <w:color w:val="000000"/>
                <w:sz w:val="24"/>
                <w:lang w:val="en-US" w:eastAsia="zh-CN"/>
              </w:rPr>
              <w:t>工业连接器和工业线缆生产</w:t>
            </w:r>
            <w:r>
              <w:rPr>
                <w:rFonts w:hint="eastAsia"/>
                <w:color w:val="000000"/>
                <w:sz w:val="24"/>
              </w:rPr>
              <w:t>过</w:t>
            </w:r>
            <w:r>
              <w:rPr>
                <w:rFonts w:hint="eastAsia"/>
                <w:color w:val="000000"/>
                <w:sz w:val="24"/>
                <w:lang w:eastAsia="zh-CN"/>
              </w:rPr>
              <w:t>程中</w:t>
            </w:r>
            <w:r>
              <w:rPr>
                <w:rFonts w:hint="eastAsia"/>
                <w:color w:val="000000"/>
                <w:sz w:val="24"/>
              </w:rPr>
              <w:t>会产生少许边角料</w:t>
            </w:r>
            <w:r>
              <w:rPr>
                <w:rFonts w:hint="eastAsia"/>
                <w:color w:val="000000"/>
                <w:sz w:val="24"/>
                <w:lang w:val="en-US" w:eastAsia="zh-CN"/>
              </w:rPr>
              <w:t>及不合格产品</w:t>
            </w:r>
            <w:r>
              <w:rPr>
                <w:rFonts w:hint="eastAsia"/>
                <w:color w:val="000000"/>
                <w:sz w:val="24"/>
              </w:rPr>
              <w:t>，</w:t>
            </w:r>
            <w:r>
              <w:rPr>
                <w:color w:val="000000"/>
                <w:sz w:val="24"/>
              </w:rPr>
              <w:t>参考《排放源统计调查产排污核算方法和系数手册》中《292塑料制品行业系数手册》，一般工业固废产生量为2.5</w:t>
            </w:r>
            <w:r>
              <w:rPr>
                <w:rFonts w:hint="eastAsia"/>
                <w:color w:val="000000"/>
                <w:sz w:val="24"/>
                <w:lang w:val="en-US" w:eastAsia="zh-CN"/>
              </w:rPr>
              <w:t>kg</w:t>
            </w:r>
            <w:r>
              <w:rPr>
                <w:color w:val="000000"/>
                <w:sz w:val="24"/>
              </w:rPr>
              <w:t>/t-产品，</w:t>
            </w:r>
            <w:r>
              <w:rPr>
                <w:rFonts w:hint="eastAsia"/>
                <w:color w:val="000000"/>
                <w:sz w:val="24"/>
              </w:rPr>
              <w:t>则边角料</w:t>
            </w:r>
            <w:r>
              <w:rPr>
                <w:rFonts w:hint="eastAsia"/>
                <w:color w:val="000000"/>
                <w:sz w:val="24"/>
                <w:lang w:val="en-US" w:eastAsia="zh-CN"/>
              </w:rPr>
              <w:t>及次品的</w:t>
            </w:r>
            <w:r>
              <w:rPr>
                <w:rFonts w:hint="eastAsia"/>
                <w:color w:val="000000"/>
                <w:sz w:val="24"/>
              </w:rPr>
              <w:t>产生量为</w:t>
            </w:r>
            <w:r>
              <w:rPr>
                <w:rFonts w:hint="eastAsia"/>
                <w:color w:val="000000"/>
                <w:sz w:val="24"/>
                <w:lang w:val="en-US" w:eastAsia="zh-CN"/>
              </w:rPr>
              <w:t>5.25</w:t>
            </w:r>
            <w:r>
              <w:rPr>
                <w:color w:val="000000"/>
                <w:sz w:val="24"/>
              </w:rPr>
              <w:t>t/a</w:t>
            </w:r>
            <w:r>
              <w:rPr>
                <w:rFonts w:hint="eastAsia"/>
                <w:color w:val="000000"/>
                <w:sz w:val="24"/>
              </w:rPr>
              <w:t>，</w:t>
            </w:r>
            <w:r>
              <w:rPr>
                <w:rFonts w:hint="eastAsia"/>
                <w:color w:val="auto"/>
                <w:sz w:val="24"/>
              </w:rPr>
              <w:t>该部分固废</w:t>
            </w:r>
            <w:r>
              <w:rPr>
                <w:rFonts w:hint="eastAsia"/>
                <w:color w:val="auto"/>
                <w:sz w:val="24"/>
                <w:lang w:val="en-US" w:eastAsia="zh-CN"/>
              </w:rPr>
              <w:t>收集后经破碎后外售其他公司综合利用</w:t>
            </w:r>
            <w:r>
              <w:rPr>
                <w:rFonts w:hint="eastAsia"/>
                <w:color w:val="auto"/>
                <w:sz w:val="24"/>
              </w:rPr>
              <w:t>。对照《固体废物分类与代码目录》（公告</w:t>
            </w:r>
            <w:r>
              <w:rPr>
                <w:rFonts w:hint="eastAsia"/>
                <w:color w:val="000000"/>
                <w:sz w:val="24"/>
              </w:rPr>
              <w:t>2024年第4号），属于SW17，废物代码为900-003-S17。</w:t>
            </w:r>
          </w:p>
          <w:p w14:paraId="46736949">
            <w:pPr>
              <w:spacing w:line="360" w:lineRule="auto"/>
              <w:ind w:firstLine="480" w:firstLineChars="200"/>
              <w:rPr>
                <w:color w:val="000000"/>
                <w:sz w:val="24"/>
              </w:rPr>
            </w:pPr>
            <w:r>
              <w:rPr>
                <w:rFonts w:hint="eastAsia"/>
                <w:color w:val="000000"/>
                <w:sz w:val="24"/>
              </w:rPr>
              <w:t>②废包装材料</w:t>
            </w:r>
          </w:p>
          <w:p w14:paraId="715B8528">
            <w:pPr>
              <w:adjustRightInd w:val="0"/>
              <w:snapToGrid w:val="0"/>
              <w:spacing w:line="360" w:lineRule="auto"/>
              <w:ind w:firstLine="480" w:firstLineChars="200"/>
              <w:rPr>
                <w:rFonts w:hint="eastAsia"/>
                <w:color w:val="000000"/>
                <w:sz w:val="24"/>
              </w:rPr>
            </w:pPr>
            <w:r>
              <w:rPr>
                <w:rFonts w:hint="eastAsia"/>
                <w:color w:val="000000"/>
                <w:sz w:val="24"/>
              </w:rPr>
              <w:t>项目</w:t>
            </w:r>
            <w:r>
              <w:rPr>
                <w:rFonts w:hint="eastAsia"/>
                <w:color w:val="000000"/>
                <w:sz w:val="24"/>
                <w:lang w:val="en-US" w:eastAsia="zh-CN"/>
              </w:rPr>
              <w:t>塑料</w:t>
            </w:r>
            <w:r>
              <w:rPr>
                <w:rFonts w:hint="eastAsia"/>
                <w:color w:val="000000"/>
                <w:sz w:val="24"/>
              </w:rPr>
              <w:t>颗粒使用后会有废包装袋，项目使用颗粒为</w:t>
            </w:r>
            <w:r>
              <w:rPr>
                <w:color w:val="000000"/>
                <w:sz w:val="24"/>
              </w:rPr>
              <w:t>25kg/</w:t>
            </w:r>
            <w:r>
              <w:rPr>
                <w:rFonts w:hint="eastAsia"/>
                <w:color w:val="000000"/>
                <w:sz w:val="24"/>
              </w:rPr>
              <w:t>袋，包装袋重约</w:t>
            </w:r>
            <w:r>
              <w:rPr>
                <w:rFonts w:hint="eastAsia"/>
                <w:color w:val="000000"/>
                <w:sz w:val="24"/>
                <w:lang w:val="en-US" w:eastAsia="zh-CN"/>
              </w:rPr>
              <w:t>15</w:t>
            </w:r>
            <w:r>
              <w:rPr>
                <w:color w:val="000000"/>
                <w:sz w:val="24"/>
              </w:rPr>
              <w:t>g/</w:t>
            </w:r>
            <w:r>
              <w:rPr>
                <w:rFonts w:hint="eastAsia"/>
                <w:color w:val="000000"/>
                <w:sz w:val="24"/>
              </w:rPr>
              <w:t>个，则共计产生废包装袋</w:t>
            </w:r>
            <w:r>
              <w:rPr>
                <w:rFonts w:hint="eastAsia"/>
                <w:color w:val="000000"/>
                <w:sz w:val="24"/>
                <w:lang w:val="en-US" w:eastAsia="zh-CN"/>
              </w:rPr>
              <w:t>0.018</w:t>
            </w:r>
            <w:r>
              <w:rPr>
                <w:color w:val="000000"/>
                <w:sz w:val="24"/>
              </w:rPr>
              <w:t>t/a</w:t>
            </w:r>
            <w:r>
              <w:rPr>
                <w:rFonts w:hint="eastAsia"/>
                <w:color w:val="000000"/>
                <w:sz w:val="24"/>
              </w:rPr>
              <w:t>，该部分固废收集后暂存一般固废</w:t>
            </w:r>
            <w:r>
              <w:rPr>
                <w:rFonts w:hint="eastAsia"/>
                <w:color w:val="000000"/>
                <w:sz w:val="24"/>
                <w:lang w:val="en-US" w:eastAsia="zh-CN"/>
              </w:rPr>
              <w:t>区</w:t>
            </w:r>
            <w:r>
              <w:rPr>
                <w:rFonts w:hint="eastAsia"/>
                <w:color w:val="000000"/>
                <w:sz w:val="24"/>
              </w:rPr>
              <w:t>，外售综合利用。对照《固体废物分类与代码目录》（公告2024年第4号），属于SW17，废物代码为900-00</w:t>
            </w:r>
            <w:r>
              <w:rPr>
                <w:rFonts w:hint="eastAsia"/>
                <w:color w:val="000000"/>
                <w:sz w:val="24"/>
                <w:lang w:val="en-US" w:eastAsia="zh-CN"/>
              </w:rPr>
              <w:t>3</w:t>
            </w:r>
            <w:r>
              <w:rPr>
                <w:rFonts w:hint="eastAsia"/>
                <w:color w:val="000000"/>
                <w:sz w:val="24"/>
              </w:rPr>
              <w:t>-S17。</w:t>
            </w:r>
          </w:p>
          <w:p w14:paraId="1F3F4147">
            <w:pPr>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rPr>
              <w:t>③</w:t>
            </w:r>
            <w:r>
              <w:rPr>
                <w:rFonts w:hint="eastAsia" w:ascii="Times New Roman" w:hAnsi="Times New Roman" w:eastAsia="宋体" w:cs="Times New Roman"/>
                <w:color w:val="000000"/>
                <w:sz w:val="24"/>
                <w:lang w:val="en-US" w:eastAsia="zh-CN"/>
              </w:rPr>
              <w:t>收集粉尘</w:t>
            </w:r>
          </w:p>
          <w:p w14:paraId="37811CE1">
            <w:pPr>
              <w:spacing w:line="360" w:lineRule="auto"/>
              <w:ind w:firstLine="480" w:firstLineChars="200"/>
              <w:rPr>
                <w:rFonts w:hint="eastAsia" w:ascii="Times New Roman" w:hAnsi="Times New Roman" w:eastAsia="宋体" w:cs="Times New Roman"/>
                <w:color w:val="000000"/>
                <w:sz w:val="24"/>
              </w:rPr>
            </w:pPr>
            <w:r>
              <w:rPr>
                <w:rFonts w:hint="default" w:ascii="Times New Roman" w:hAnsi="Times New Roman" w:eastAsia="宋体" w:cs="Times New Roman"/>
                <w:color w:val="000000"/>
                <w:sz w:val="24"/>
              </w:rPr>
              <w:t>本项目在使用移动除尘器处理粉碎过程中产生的颗粒物时会削减出一定的颗粒物，根据前文核算，其颗粒物量共计约</w:t>
            </w:r>
            <w:r>
              <w:rPr>
                <w:rFonts w:hint="default" w:ascii="Times New Roman" w:hAnsi="Times New Roman" w:eastAsia="宋体" w:cs="Times New Roman"/>
                <w:color w:val="000000"/>
                <w:sz w:val="24"/>
                <w:lang w:val="en-US" w:eastAsia="zh-CN"/>
              </w:rPr>
              <w:t>0.000048</w:t>
            </w:r>
            <w:r>
              <w:rPr>
                <w:rFonts w:hint="default" w:ascii="Times New Roman" w:hAnsi="Times New Roman" w:eastAsia="宋体" w:cs="Times New Roman"/>
                <w:color w:val="000000"/>
                <w:sz w:val="24"/>
              </w:rPr>
              <w:t>t/a，收集后委托相关物资单位回收处理。</w:t>
            </w:r>
          </w:p>
          <w:p w14:paraId="10C8648C">
            <w:pPr>
              <w:adjustRightInd w:val="0"/>
              <w:snapToGrid w:val="0"/>
              <w:spacing w:line="360" w:lineRule="auto"/>
              <w:ind w:firstLine="480" w:firstLineChars="200"/>
              <w:rPr>
                <w:rFonts w:hint="eastAsia" w:ascii="Times New Roman" w:hAnsi="Times New Roman" w:eastAsia="宋体" w:cs="Times New Roman"/>
                <w:strike w:val="0"/>
                <w:dstrike w:val="0"/>
                <w:color w:val="auto"/>
                <w:sz w:val="24"/>
              </w:rPr>
            </w:pPr>
            <w:r>
              <w:rPr>
                <w:rFonts w:hint="eastAsia" w:ascii="Times New Roman" w:hAnsi="Times New Roman" w:eastAsia="宋体" w:cs="Times New Roman"/>
                <w:color w:val="000000"/>
                <w:sz w:val="24"/>
                <w:lang w:val="en-US" w:eastAsia="zh-CN"/>
              </w:rPr>
              <w:t>（3）危险废物</w:t>
            </w:r>
            <w:bookmarkEnd w:id="95"/>
            <w:bookmarkEnd w:id="96"/>
            <w:bookmarkEnd w:id="97"/>
          </w:p>
          <w:p w14:paraId="3388FF92">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eastAsia" w:ascii="Times New Roman" w:hAnsi="Times New Roman" w:eastAsia="宋体" w:cs="Times New Roman"/>
                <w:strike w:val="0"/>
                <w:dstrike w:val="0"/>
                <w:color w:val="auto"/>
                <w:sz w:val="24"/>
              </w:rPr>
              <w:t>①</w:t>
            </w:r>
            <w:r>
              <w:rPr>
                <w:rFonts w:hint="default" w:ascii="Times New Roman" w:hAnsi="Times New Roman" w:eastAsia="宋体" w:cs="Times New Roman"/>
                <w:strike w:val="0"/>
                <w:dstrike w:val="0"/>
                <w:color w:val="auto"/>
                <w:sz w:val="24"/>
              </w:rPr>
              <w:t>废活性炭</w:t>
            </w:r>
          </w:p>
          <w:p w14:paraId="60070472">
            <w:pPr>
              <w:widowControl/>
              <w:spacing w:line="360" w:lineRule="auto"/>
              <w:ind w:firstLine="480" w:firstLineChars="200"/>
              <w:jc w:val="both"/>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strike w:val="0"/>
                <w:dstrike w:val="0"/>
                <w:color w:val="auto"/>
                <w:sz w:val="24"/>
                <w:lang w:val="en-US" w:eastAsia="zh-CN"/>
              </w:rPr>
              <w:t>根据中国建筑出版社</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1997</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出版的《简明通风设计手册》第十章中关于活性吸附处理治理废气的方法中提供的数据：每1.0kg活性炭吸附有机废气的平衡量为0.43kg～0.61kg，本项目按1t活性炭吸附</w:t>
            </w:r>
            <w:r>
              <w:rPr>
                <w:rFonts w:hint="eastAsia" w:ascii="Times New Roman" w:hAnsi="Times New Roman" w:eastAsia="宋体" w:cs="Times New Roman"/>
                <w:strike w:val="0"/>
                <w:dstrike w:val="0"/>
                <w:color w:val="auto"/>
                <w:sz w:val="24"/>
                <w:lang w:val="en-US" w:eastAsia="zh-CN"/>
              </w:rPr>
              <w:t>0.3</w:t>
            </w:r>
            <w:r>
              <w:rPr>
                <w:rFonts w:hint="default" w:ascii="Times New Roman" w:hAnsi="Times New Roman" w:eastAsia="宋体" w:cs="Times New Roman"/>
                <w:strike w:val="0"/>
                <w:dstrike w:val="0"/>
                <w:color w:val="auto"/>
                <w:sz w:val="24"/>
                <w:lang w:val="en-US" w:eastAsia="zh-CN"/>
              </w:rPr>
              <w:t>t有机废气计算，</w:t>
            </w:r>
            <w:r>
              <w:rPr>
                <w:rFonts w:hint="default" w:ascii="Times New Roman" w:hAnsi="Times New Roman" w:eastAsia="宋体" w:cs="Times New Roman"/>
                <w:strike w:val="0"/>
                <w:dstrike w:val="0"/>
                <w:color w:val="auto"/>
                <w:sz w:val="24"/>
                <w:lang w:val="zh-CN" w:eastAsia="zh-CN"/>
              </w:rPr>
              <w:t>根据前文产排污分</w:t>
            </w:r>
            <w:r>
              <w:rPr>
                <w:rFonts w:hint="default" w:ascii="Times New Roman" w:hAnsi="Times New Roman" w:eastAsia="宋体" w:cs="Times New Roman"/>
                <w:bCs/>
                <w:color w:val="auto"/>
                <w:sz w:val="24"/>
                <w:highlight w:val="none"/>
                <w:lang w:val="zh-CN" w:eastAsia="zh-CN"/>
              </w:rPr>
              <w:t>析可知，项目有组织有机废气</w:t>
            </w:r>
            <w:r>
              <w:rPr>
                <w:rFonts w:hint="default" w:ascii="Times New Roman" w:hAnsi="Times New Roman" w:eastAsia="宋体" w:cs="Times New Roman"/>
                <w:bCs/>
                <w:color w:val="auto"/>
                <w:sz w:val="24"/>
                <w:highlight w:val="none"/>
                <w:lang w:val="en-US" w:eastAsia="zh-CN"/>
              </w:rPr>
              <w:t>净化了</w:t>
            </w:r>
            <w:r>
              <w:rPr>
                <w:rFonts w:hint="eastAsia" w:cs="Times New Roman"/>
                <w:bCs/>
                <w:color w:val="auto"/>
                <w:sz w:val="24"/>
                <w:highlight w:val="none"/>
                <w:lang w:val="en-US" w:eastAsia="zh-CN"/>
              </w:rPr>
              <w:t>0.06835</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zh-CN" w:eastAsia="zh-CN"/>
              </w:rPr>
              <w:t>，本项目有机废气采用</w:t>
            </w:r>
            <w:r>
              <w:rPr>
                <w:rFonts w:hint="eastAsia" w:cs="Times New Roman"/>
                <w:bCs/>
                <w:color w:val="auto"/>
                <w:sz w:val="24"/>
                <w:highlight w:val="none"/>
                <w:lang w:val="en-US" w:eastAsia="zh-CN"/>
              </w:rPr>
              <w:t>二级</w:t>
            </w:r>
            <w:r>
              <w:rPr>
                <w:rFonts w:hint="eastAsia" w:ascii="Times New Roman" w:hAnsi="Times New Roman" w:eastAsia="宋体" w:cs="Times New Roman"/>
                <w:bCs/>
                <w:color w:val="auto"/>
                <w:sz w:val="24"/>
                <w:highlight w:val="none"/>
                <w:lang w:val="en-US" w:eastAsia="zh-CN"/>
              </w:rPr>
              <w:t>活性炭吸附装置</w:t>
            </w:r>
            <w:r>
              <w:rPr>
                <w:rFonts w:hint="default" w:ascii="Times New Roman" w:hAnsi="Times New Roman" w:eastAsia="宋体" w:cs="Times New Roman"/>
                <w:bCs/>
                <w:color w:val="auto"/>
                <w:sz w:val="24"/>
                <w:highlight w:val="none"/>
                <w:lang w:val="en-US" w:eastAsia="zh-CN"/>
              </w:rPr>
              <w:t>净化处理，则预计项目年</w:t>
            </w:r>
            <w:r>
              <w:rPr>
                <w:rFonts w:hint="eastAsia" w:ascii="Times New Roman" w:hAnsi="Times New Roman" w:eastAsia="宋体" w:cs="Times New Roman"/>
                <w:bCs/>
                <w:color w:val="auto"/>
                <w:sz w:val="24"/>
                <w:highlight w:val="none"/>
                <w:lang w:val="en-US" w:eastAsia="zh-CN"/>
              </w:rPr>
              <w:t>废</w:t>
            </w:r>
            <w:r>
              <w:rPr>
                <w:rFonts w:hint="default" w:ascii="Times New Roman" w:hAnsi="Times New Roman" w:eastAsia="宋体" w:cs="Times New Roman"/>
                <w:bCs/>
                <w:color w:val="auto"/>
                <w:sz w:val="24"/>
                <w:highlight w:val="none"/>
                <w:lang w:val="en-US" w:eastAsia="zh-CN"/>
              </w:rPr>
              <w:t>活性炭</w:t>
            </w:r>
            <w:r>
              <w:rPr>
                <w:rFonts w:hint="eastAsia" w:ascii="Times New Roman" w:hAnsi="Times New Roman" w:eastAsia="宋体"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量为</w:t>
            </w:r>
            <w:r>
              <w:rPr>
                <w:rFonts w:hint="eastAsia" w:cs="Times New Roman"/>
                <w:bCs/>
                <w:color w:val="auto"/>
                <w:sz w:val="24"/>
                <w:highlight w:val="none"/>
                <w:lang w:val="en-US" w:eastAsia="zh-CN"/>
              </w:rPr>
              <w:t>0.06835</w:t>
            </w:r>
            <w:r>
              <w:rPr>
                <w:rFonts w:hint="eastAsia" w:ascii="Times New Roman" w:hAnsi="Times New Roman" w:eastAsia="宋体" w:cs="Times New Roman"/>
                <w:bCs/>
                <w:color w:val="auto"/>
                <w:sz w:val="24"/>
                <w:highlight w:val="none"/>
                <w:lang w:val="en-US" w:eastAsia="zh-CN"/>
              </w:rPr>
              <w:t>t/a÷0.3</w:t>
            </w:r>
            <w:r>
              <w:rPr>
                <w:rFonts w:hint="eastAsia" w:ascii="Times New Roman" w:hAnsi="Times New Roman" w:cs="Times New Roman"/>
                <w:bCs/>
                <w:color w:val="auto"/>
                <w:sz w:val="24"/>
                <w:highlight w:val="none"/>
                <w:lang w:val="en-US" w:eastAsia="zh-CN"/>
              </w:rPr>
              <w:t>t</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0.06835</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0.2962</w:t>
            </w:r>
            <w:r>
              <w:rPr>
                <w:rFonts w:hint="default" w:ascii="Times New Roman" w:hAnsi="Times New Roman" w:eastAsia="宋体" w:cs="Times New Roman"/>
                <w:bCs/>
                <w:color w:val="auto"/>
                <w:sz w:val="24"/>
                <w:highlight w:val="none"/>
                <w:lang w:val="en-US" w:eastAsia="zh-CN"/>
              </w:rPr>
              <w:t>t</w:t>
            </w:r>
            <w:r>
              <w:rPr>
                <w:rFonts w:hint="eastAsia"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活性炭的填充量为</w:t>
            </w:r>
            <w:r>
              <w:rPr>
                <w:rFonts w:hint="eastAsia" w:cs="Times New Roman"/>
                <w:bCs/>
                <w:color w:val="auto"/>
                <w:sz w:val="24"/>
                <w:highlight w:val="none"/>
                <w:lang w:val="en-US" w:eastAsia="zh-CN"/>
              </w:rPr>
              <w:t>0.074</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，项目计划</w:t>
            </w:r>
            <w:r>
              <w:rPr>
                <w:rFonts w:hint="eastAsia" w:ascii="Times New Roman" w:hAnsi="Times New Roman" w:eastAsia="宋体" w:cs="Times New Roman"/>
                <w:bCs/>
                <w:color w:val="auto"/>
                <w:sz w:val="24"/>
                <w:highlight w:val="none"/>
                <w:lang w:val="en-US" w:eastAsia="zh-CN"/>
              </w:rPr>
              <w:t>每三</w:t>
            </w:r>
            <w:r>
              <w:rPr>
                <w:rFonts w:hint="default" w:ascii="Times New Roman" w:hAnsi="Times New Roman" w:eastAsia="宋体" w:cs="Times New Roman"/>
                <w:bCs/>
                <w:color w:val="auto"/>
                <w:sz w:val="24"/>
                <w:highlight w:val="none"/>
                <w:lang w:val="zh-CN" w:eastAsia="zh-CN"/>
              </w:rPr>
              <w:t>个月更换一次活性炭吸附填料，确保项目有机废气达标排放</w:t>
            </w:r>
            <w:r>
              <w:rPr>
                <w:rFonts w:hint="eastAsia"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根据《国家危险废物名录》</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暂存于危险废物</w:t>
            </w:r>
            <w:r>
              <w:rPr>
                <w:rFonts w:hint="eastAsia" w:ascii="Times New Roman" w:hAnsi="Times New Roman" w:eastAsia="宋体" w:cs="Times New Roman"/>
                <w:bCs/>
                <w:color w:val="auto"/>
                <w:sz w:val="24"/>
                <w:highlight w:val="none"/>
                <w:lang w:val="en-US" w:eastAsia="zh-CN"/>
              </w:rPr>
              <w:t>贮存库，定期委托有资质单位处置。</w:t>
            </w:r>
          </w:p>
          <w:p w14:paraId="04B91181">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ascii="Times New Roman" w:hAnsi="Times New Roman" w:eastAsia="宋体" w:cs="Times New Roman"/>
                <w:strike w:val="0"/>
                <w:dstrike w:val="0"/>
                <w:color w:val="auto"/>
                <w:sz w:val="24"/>
                <w:lang w:val="en-US" w:eastAsia="zh-CN"/>
              </w:rPr>
              <w:t>②废机油</w:t>
            </w:r>
          </w:p>
          <w:p w14:paraId="111D105D">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本项目在设备检修维护过程会产生少量废机油，参考同类企业，废机油产生量为</w:t>
            </w:r>
            <w:r>
              <w:rPr>
                <w:rFonts w:hint="default"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lang w:val="en-US" w:eastAsia="zh-CN"/>
              </w:rPr>
              <w:t>12</w:t>
            </w:r>
            <w:r>
              <w:rPr>
                <w:rFonts w:hint="default"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highlight w:val="none"/>
                <w:lang w:val="en-US" w:eastAsia="zh-CN"/>
              </w:rPr>
              <w:t>。废润滑油属于《国家危险废物名录》（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类危废（</w:t>
            </w:r>
            <w:r>
              <w:rPr>
                <w:rFonts w:hint="default" w:ascii="Times New Roman" w:hAnsi="Times New Roman" w:eastAsia="宋体" w:cs="Times New Roman"/>
                <w:bCs/>
                <w:color w:val="auto"/>
                <w:sz w:val="24"/>
                <w:highlight w:val="none"/>
                <w:lang w:val="en-US" w:eastAsia="zh-CN"/>
              </w:rPr>
              <w:t>900-217-08</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废矿物油与含矿物油废物：</w:t>
            </w:r>
            <w:r>
              <w:rPr>
                <w:rFonts w:hint="default" w:ascii="Times New Roman" w:hAnsi="Times New Roman" w:eastAsia="宋体" w:cs="Times New Roman"/>
                <w:bCs/>
                <w:color w:val="auto"/>
                <w:sz w:val="24"/>
                <w:highlight w:val="none"/>
                <w:lang w:val="en-US" w:eastAsia="zh-CN"/>
              </w:rPr>
              <w:t>900-21</w:t>
            </w:r>
            <w:r>
              <w:rPr>
                <w:rFonts w:hint="eastAsia"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en-US" w:eastAsia="zh-CN"/>
              </w:rPr>
              <w:t>-08</w:t>
            </w:r>
            <w:r>
              <w:rPr>
                <w:rFonts w:hint="eastAsia" w:ascii="Times New Roman" w:hAnsi="Times New Roman" w:eastAsia="宋体" w:cs="Times New Roman"/>
                <w:bCs/>
                <w:color w:val="auto"/>
                <w:sz w:val="24"/>
                <w:highlight w:val="none"/>
                <w:lang w:val="en-US" w:eastAsia="zh-CN"/>
              </w:rPr>
              <w:t>车辆、轮船及其它机械维修过程中产生的废发动机油、制动器油、自动变速器油、齿轮油等废润滑油”。废机油统一收集后暂存于危险废物贮存库，后交由有资质单位进行处置。</w:t>
            </w:r>
          </w:p>
          <w:p w14:paraId="2446A1AC">
            <w:pPr>
              <w:widowControl/>
              <w:spacing w:line="360" w:lineRule="auto"/>
              <w:ind w:firstLine="480" w:firstLineChars="200"/>
              <w:jc w:val="left"/>
              <w:rPr>
                <w:rFonts w:hint="eastAsia" w:ascii="Times New Roman" w:hAnsi="Times New Roman" w:eastAsia="宋体" w:cs="Times New Roman"/>
                <w:strike w:val="0"/>
                <w:dstrike w:val="0"/>
                <w:color w:val="auto"/>
                <w:sz w:val="24"/>
                <w:lang w:val="en-US" w:eastAsia="zh-CN"/>
              </w:rPr>
            </w:pPr>
            <w:r>
              <w:rPr>
                <w:rFonts w:hint="default" w:ascii="Times New Roman" w:hAnsi="Times New Roman" w:eastAsia="宋体" w:cs="Times New Roman"/>
                <w:strike w:val="0"/>
                <w:dstrike w:val="0"/>
                <w:color w:val="auto"/>
                <w:sz w:val="24"/>
                <w:lang w:val="en-US" w:eastAsia="zh-CN"/>
              </w:rPr>
              <w:t>③</w:t>
            </w:r>
            <w:r>
              <w:rPr>
                <w:rFonts w:hint="eastAsia" w:ascii="Times New Roman" w:hAnsi="Times New Roman" w:eastAsia="宋体" w:cs="Times New Roman"/>
                <w:strike w:val="0"/>
                <w:dstrike w:val="0"/>
                <w:color w:val="auto"/>
                <w:sz w:val="24"/>
                <w:lang w:val="en-US" w:eastAsia="zh-CN"/>
              </w:rPr>
              <w:t>除油废液和钝化废液</w:t>
            </w:r>
          </w:p>
          <w:p w14:paraId="5AD8999C">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strike w:val="0"/>
                <w:dstrike w:val="0"/>
                <w:color w:val="auto"/>
                <w:sz w:val="24"/>
                <w:lang w:val="en-US" w:eastAsia="zh-CN"/>
              </w:rPr>
              <w:t>项目除油以及钝化年用水量为</w:t>
            </w:r>
            <w:r>
              <w:rPr>
                <w:rFonts w:hint="eastAsia" w:cs="Times New Roman"/>
                <w:strike w:val="0"/>
                <w:dstrike w:val="0"/>
                <w:color w:val="auto"/>
                <w:sz w:val="24"/>
                <w:lang w:val="en-US" w:eastAsia="zh-CN"/>
              </w:rPr>
              <w:t>1.152</w:t>
            </w:r>
            <w:r>
              <w:rPr>
                <w:rFonts w:hint="eastAsia" w:ascii="Times New Roman" w:hAnsi="Times New Roman" w:eastAsia="宋体" w:cs="Times New Roman"/>
                <w:strike w:val="0"/>
                <w:dstrike w:val="0"/>
                <w:color w:val="auto"/>
                <w:sz w:val="24"/>
                <w:lang w:val="en-US" w:eastAsia="zh-CN"/>
              </w:rPr>
              <w:t>t，损耗按照</w:t>
            </w:r>
            <w:r>
              <w:rPr>
                <w:rFonts w:hint="eastAsia" w:cs="Times New Roman"/>
                <w:strike w:val="0"/>
                <w:dstrike w:val="0"/>
                <w:color w:val="auto"/>
                <w:sz w:val="24"/>
                <w:lang w:val="en-US" w:eastAsia="zh-CN"/>
              </w:rPr>
              <w:t>20</w:t>
            </w:r>
            <w:r>
              <w:rPr>
                <w:rFonts w:hint="eastAsia"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计算</w:t>
            </w:r>
            <w:r>
              <w:rPr>
                <w:rFonts w:hint="eastAsia" w:ascii="Times New Roman" w:hAnsi="Times New Roman" w:eastAsia="宋体" w:cs="Times New Roman"/>
                <w:strike w:val="0"/>
                <w:dstrike w:val="0"/>
                <w:color w:val="auto"/>
                <w:sz w:val="24"/>
                <w:lang w:val="en-US" w:eastAsia="zh-CN"/>
              </w:rPr>
              <w:t>，则每年产生的除油废液和钝化废液总计</w:t>
            </w:r>
            <w:r>
              <w:rPr>
                <w:rFonts w:hint="eastAsia" w:cs="Times New Roman"/>
                <w:strike w:val="0"/>
                <w:dstrike w:val="0"/>
                <w:color w:val="auto"/>
                <w:sz w:val="24"/>
                <w:lang w:val="en-US" w:eastAsia="zh-CN"/>
              </w:rPr>
              <w:t>0.92</w:t>
            </w:r>
            <w:r>
              <w:rPr>
                <w:rFonts w:hint="eastAsia" w:ascii="Times New Roman" w:hAnsi="Times New Roman" w:eastAsia="宋体" w:cs="Times New Roman"/>
                <w:strike w:val="0"/>
                <w:dstrike w:val="0"/>
                <w:color w:val="auto"/>
                <w:sz w:val="24"/>
                <w:lang w:val="en-US" w:eastAsia="zh-CN"/>
              </w:rPr>
              <w:t>t。除油废液（0.4</w:t>
            </w:r>
            <w:r>
              <w:rPr>
                <w:rFonts w:hint="eastAsia" w:cs="Times New Roman"/>
                <w:strike w:val="0"/>
                <w:dstrike w:val="0"/>
                <w:color w:val="auto"/>
                <w:sz w:val="24"/>
                <w:lang w:val="en-US" w:eastAsia="zh-CN"/>
              </w:rPr>
              <w:t>6</w:t>
            </w:r>
            <w:r>
              <w:rPr>
                <w:rFonts w:hint="eastAsia" w:ascii="Times New Roman" w:hAnsi="Times New Roman" w:eastAsia="宋体" w:cs="Times New Roman"/>
                <w:strike w:val="0"/>
                <w:dstrike w:val="0"/>
                <w:color w:val="auto"/>
                <w:sz w:val="24"/>
                <w:lang w:val="en-US" w:eastAsia="zh-CN"/>
              </w:rPr>
              <w:t>t/a）</w:t>
            </w:r>
            <w:r>
              <w:rPr>
                <w:rFonts w:hint="eastAsia" w:ascii="Times New Roman" w:hAnsi="Times New Roman" w:eastAsia="宋体" w:cs="Times New Roman"/>
                <w:bCs/>
                <w:color w:val="auto"/>
                <w:sz w:val="24"/>
                <w:highlight w:val="none"/>
                <w:lang w:val="en-US" w:eastAsia="zh-CN"/>
              </w:rPr>
              <w:t>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年版）中的HW17 表面处理废物（336-063-17）：使用酸、碱或有机溶剂进行清洗、剥离、脱脂、除油、除蜡等过程中产生的废液。钝化废液</w:t>
            </w:r>
            <w:r>
              <w:rPr>
                <w:rFonts w:hint="eastAsia" w:ascii="Times New Roman" w:hAnsi="Times New Roman" w:eastAsia="宋体" w:cs="Times New Roman"/>
                <w:strike w:val="0"/>
                <w:dstrike w:val="0"/>
                <w:color w:val="auto"/>
                <w:sz w:val="24"/>
                <w:lang w:val="en-US" w:eastAsia="zh-CN"/>
              </w:rPr>
              <w:t>（0.4</w:t>
            </w:r>
            <w:r>
              <w:rPr>
                <w:rFonts w:hint="eastAsia" w:cs="Times New Roman"/>
                <w:strike w:val="0"/>
                <w:dstrike w:val="0"/>
                <w:color w:val="auto"/>
                <w:sz w:val="24"/>
                <w:lang w:val="en-US" w:eastAsia="zh-CN"/>
              </w:rPr>
              <w:t>6</w:t>
            </w:r>
            <w:r>
              <w:rPr>
                <w:rFonts w:hint="eastAsia" w:ascii="Times New Roman" w:hAnsi="Times New Roman" w:eastAsia="宋体" w:cs="Times New Roman"/>
                <w:strike w:val="0"/>
                <w:dstrike w:val="0"/>
                <w:color w:val="auto"/>
                <w:sz w:val="24"/>
                <w:lang w:val="en-US" w:eastAsia="zh-CN"/>
              </w:rPr>
              <w:t>t/a）</w:t>
            </w:r>
            <w:r>
              <w:rPr>
                <w:rFonts w:hint="eastAsia" w:ascii="Times New Roman" w:hAnsi="Times New Roman" w:eastAsia="宋体" w:cs="Times New Roman"/>
                <w:bCs/>
                <w:color w:val="auto"/>
                <w:sz w:val="24"/>
                <w:highlight w:val="none"/>
                <w:lang w:val="en-US" w:eastAsia="zh-CN"/>
              </w:rPr>
              <w:t>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年版）中的HW17 表面处理废物（336-064-17）：使用钝化、防腐、防锈液进行表面处理过程中产生的废液。统一收集后暂存于危险废物贮存库，后交由有资质单位进行处置。</w:t>
            </w:r>
          </w:p>
          <w:p w14:paraId="62F05790">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④废水处理污泥</w:t>
            </w:r>
          </w:p>
          <w:p w14:paraId="40E8B54E">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项目除油前清洗水、除油后清洗水、钝化后清洗水废水处理设施会产生污泥，根据《第二次全国污染源普查工业污染源产排污系数手册》（试用版）机械行业系数手册，本项目年使用絮凝剂约52kg/a、污泥产生率4.53t/t-絮凝剂，计算得出污泥产生量0.236t/a，属于危险废物，危废类别为HW17，委托有资质单位处置。</w:t>
            </w:r>
          </w:p>
          <w:p w14:paraId="1B48FDC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⑤</w:t>
            </w:r>
            <w:r>
              <w:rPr>
                <w:rFonts w:hint="eastAsia" w:ascii="Times New Roman" w:hAnsi="Times New Roman" w:eastAsia="宋体" w:cs="Times New Roman"/>
                <w:b w:val="0"/>
                <w:bCs w:val="0"/>
                <w:color w:val="auto"/>
                <w:spacing w:val="0"/>
                <w:position w:val="0"/>
                <w:sz w:val="24"/>
                <w:szCs w:val="24"/>
                <w:highlight w:val="none"/>
                <w:u w:val="none"/>
                <w:lang w:val="en-US" w:eastAsia="zh-CN"/>
              </w:rPr>
              <w:t>槽渣</w:t>
            </w:r>
          </w:p>
          <w:p w14:paraId="3874AEBF">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参考《排放源统计调查产排污核算方法和系数手册》（生态环境部 2021.6.11）电镀行业系数手册，“其他电镀生产线”危险废物槽渣产生量约0.002千克/平方米-产品，项目脱脂处理总量约800000平米/年，则槽渣（含槽液经滤网过滤产生的残渣）产生量约1.6t/a。</w:t>
            </w:r>
          </w:p>
          <w:p w14:paraId="62599D85">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strike w:val="0"/>
                <w:dstrike w:val="0"/>
                <w:color w:val="auto"/>
                <w:kern w:val="2"/>
                <w:sz w:val="24"/>
                <w:szCs w:val="24"/>
                <w:lang w:val="en-US" w:eastAsia="zh-CN" w:bidi="ar-SA"/>
              </w:rPr>
            </w:pPr>
            <w:r>
              <w:rPr>
                <w:rFonts w:hint="eastAsia" w:ascii="Times New Roman" w:hAnsi="Times New Roman" w:eastAsia="宋体" w:cs="Times New Roman"/>
                <w:strike w:val="0"/>
                <w:dstrike w:val="0"/>
                <w:color w:val="auto"/>
                <w:kern w:val="2"/>
                <w:sz w:val="24"/>
                <w:szCs w:val="24"/>
                <w:lang w:val="en-US" w:eastAsia="zh-CN" w:bidi="ar-SA"/>
              </w:rPr>
              <w:t>根据《国家危险废物名录》（2025年版），项目槽渣属于危险废物，为“HW17表面处理废物：使用除油、除锈、酸洗、磷化、抛光、热喷涂、化学转化膜等处理剂进行金属表面处理过程中产生的废槽液、槽渣和废水处理污泥。”，废物代码为336-062-17。经收集后暂存于危险废物贮存间，定期交由委托有危废资质的单位回收处理。</w:t>
            </w:r>
          </w:p>
          <w:p w14:paraId="13C371A6">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微软雅黑" w:hAnsi="微软雅黑" w:eastAsia="微软雅黑" w:cs="微软雅黑"/>
                <w:strike w:val="0"/>
                <w:dstrike w:val="0"/>
                <w:color w:val="auto"/>
                <w:kern w:val="2"/>
                <w:sz w:val="24"/>
                <w:szCs w:val="24"/>
                <w:lang w:val="en-US" w:eastAsia="zh-CN" w:bidi="ar-SA"/>
              </w:rPr>
              <w:t>⑥</w:t>
            </w:r>
            <w:r>
              <w:rPr>
                <w:rFonts w:hint="eastAsia" w:ascii="Times New Roman" w:hAnsi="Times New Roman" w:eastAsia="宋体" w:cs="Times New Roman"/>
                <w:b w:val="0"/>
                <w:bCs w:val="0"/>
                <w:color w:val="auto"/>
                <w:spacing w:val="0"/>
                <w:position w:val="0"/>
                <w:sz w:val="24"/>
                <w:szCs w:val="24"/>
                <w:highlight w:val="none"/>
                <w:u w:val="none"/>
                <w:lang w:val="en-US" w:eastAsia="zh-CN"/>
              </w:rPr>
              <w:t>废滤筒滤芯</w:t>
            </w:r>
          </w:p>
          <w:p w14:paraId="0F035BFB">
            <w:pPr>
              <w:pStyle w:val="3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b w:val="0"/>
                <w:bCs w:val="0"/>
                <w:color w:val="auto"/>
                <w:spacing w:val="0"/>
                <w:position w:val="0"/>
                <w:sz w:val="24"/>
                <w:szCs w:val="24"/>
                <w:highlight w:val="none"/>
                <w:u w:val="none"/>
                <w:lang w:val="en-US" w:eastAsia="zh-CN"/>
              </w:rPr>
            </w:pPr>
            <w:r>
              <w:rPr>
                <w:rFonts w:hint="eastAsia" w:ascii="Times New Roman" w:hAnsi="Times New Roman" w:eastAsia="宋体" w:cs="Times New Roman"/>
                <w:b w:val="0"/>
                <w:bCs w:val="0"/>
                <w:color w:val="auto"/>
                <w:spacing w:val="0"/>
                <w:position w:val="0"/>
                <w:sz w:val="24"/>
                <w:szCs w:val="24"/>
                <w:highlight w:val="none"/>
                <w:u w:val="none"/>
                <w:lang w:val="en-US" w:eastAsia="zh-CN"/>
              </w:rPr>
              <w:t>项目喷粉废气设滤芯回收装置回收塑粉，需定期更换，按1个季度更换一次计，每次产生滤芯约为0.5t；项目采用移动除尘器处理粉碎过程中产生的颗粒物时，需定期更换滤芯，根据建设单位提供的信息，其产生量约0.01t/a，则滤芯年产生量为2.01t。滤芯属于《国家危险废物名录》（2025年版）中的HW49其他废物（含有或沾染毒性、感染性危险废物的废弃包装物、容器、过滤吸附介质），废物代码为900-041-49。经收集后暂存于危险废物贮存间，定期交由委托有危废资质的单位回收处理。</w:t>
            </w:r>
          </w:p>
          <w:p w14:paraId="57DCA33C">
            <w:pPr>
              <w:keepNext w:val="0"/>
              <w:pageBreakBefore w:val="0"/>
              <w:kinsoku/>
              <w:wordWrap/>
              <w:overflowPunct/>
              <w:topLinePunct w:val="0"/>
              <w:bidi w:val="0"/>
              <w:adjustRightInd w:val="0"/>
              <w:snapToGrid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w:t>
            </w:r>
            <w:r>
              <w:rPr>
                <w:rFonts w:hint="eastAsia"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w:t>
            </w:r>
          </w:p>
          <w:p w14:paraId="56A050A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Times New Roman" w:cs="Times New Roman"/>
                <w:b/>
                <w:bCs/>
                <w:color w:val="auto"/>
                <w:sz w:val="24"/>
                <w:highlight w:val="none"/>
                <w:lang w:val="zh-CN"/>
              </w:rPr>
              <w:t>表</w:t>
            </w: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-1</w:t>
            </w:r>
            <w:r>
              <w:rPr>
                <w:rFonts w:hint="default"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t xml:space="preserve"> 项目</w:t>
            </w:r>
            <w:r>
              <w:rPr>
                <w:rFonts w:hint="default" w:ascii="Times New Roman" w:hAnsi="Times New Roman" w:cs="Times New Roman"/>
                <w:b/>
                <w:bCs/>
                <w:color w:val="auto"/>
                <w:sz w:val="24"/>
                <w:highlight w:val="none"/>
                <w:lang w:val="en-US" w:eastAsia="zh-CN"/>
              </w:rPr>
              <w:t>固废产生及处置</w:t>
            </w:r>
            <w:r>
              <w:rPr>
                <w:rFonts w:hint="default" w:ascii="Times New Roman" w:hAnsi="Times New Roman" w:eastAsia="宋体" w:cs="Times New Roman"/>
                <w:b/>
                <w:bCs/>
                <w:color w:val="auto"/>
                <w:sz w:val="24"/>
                <w:highlight w:val="none"/>
                <w:lang w:val="en-US" w:eastAsia="zh-CN"/>
              </w:rPr>
              <w:t>情况汇总表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512"/>
              <w:gridCol w:w="790"/>
              <w:gridCol w:w="969"/>
              <w:gridCol w:w="1313"/>
              <w:gridCol w:w="1013"/>
              <w:gridCol w:w="705"/>
              <w:gridCol w:w="460"/>
              <w:gridCol w:w="722"/>
              <w:gridCol w:w="722"/>
              <w:gridCol w:w="1202"/>
            </w:tblGrid>
            <w:tr w14:paraId="0428B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442" w:type="dxa"/>
                  <w:tcBorders>
                    <w:tl2br w:val="nil"/>
                    <w:tr2bl w:val="nil"/>
                  </w:tcBorders>
                  <w:noWrap w:val="0"/>
                  <w:vAlign w:val="center"/>
                </w:tcPr>
                <w:p w14:paraId="1B23CB8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512" w:type="dxa"/>
                  <w:tcBorders>
                    <w:tl2br w:val="nil"/>
                    <w:tr2bl w:val="nil"/>
                  </w:tcBorders>
                  <w:noWrap w:val="0"/>
                  <w:vAlign w:val="center"/>
                </w:tcPr>
                <w:p w14:paraId="0462FE1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790" w:type="dxa"/>
                  <w:tcBorders>
                    <w:tl2br w:val="nil"/>
                    <w:tr2bl w:val="nil"/>
                  </w:tcBorders>
                  <w:noWrap w:val="0"/>
                  <w:vAlign w:val="center"/>
                </w:tcPr>
                <w:p w14:paraId="5376D5E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固废名称</w:t>
                  </w:r>
                </w:p>
              </w:tc>
              <w:tc>
                <w:tcPr>
                  <w:tcW w:w="969" w:type="dxa"/>
                  <w:tcBorders>
                    <w:tl2br w:val="nil"/>
                    <w:tr2bl w:val="nil"/>
                  </w:tcBorders>
                  <w:noWrap w:val="0"/>
                  <w:vAlign w:val="center"/>
                </w:tcPr>
                <w:p w14:paraId="710F232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类别</w:t>
                  </w:r>
                </w:p>
              </w:tc>
              <w:tc>
                <w:tcPr>
                  <w:tcW w:w="1313" w:type="dxa"/>
                  <w:tcBorders>
                    <w:tl2br w:val="nil"/>
                    <w:tr2bl w:val="nil"/>
                  </w:tcBorders>
                  <w:noWrap w:val="0"/>
                  <w:vAlign w:val="center"/>
                </w:tcPr>
                <w:p w14:paraId="739388F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废物代码</w:t>
                  </w:r>
                </w:p>
              </w:tc>
              <w:tc>
                <w:tcPr>
                  <w:tcW w:w="1013" w:type="dxa"/>
                  <w:tcBorders>
                    <w:tl2br w:val="nil"/>
                    <w:tr2bl w:val="nil"/>
                  </w:tcBorders>
                  <w:noWrap w:val="0"/>
                  <w:vAlign w:val="center"/>
                </w:tcPr>
                <w:p w14:paraId="73797B0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产生量t/a</w:t>
                  </w:r>
                </w:p>
              </w:tc>
              <w:tc>
                <w:tcPr>
                  <w:tcW w:w="705" w:type="dxa"/>
                  <w:tcBorders>
                    <w:tl2br w:val="nil"/>
                    <w:tr2bl w:val="nil"/>
                  </w:tcBorders>
                  <w:noWrap w:val="0"/>
                  <w:vAlign w:val="center"/>
                </w:tcPr>
                <w:p w14:paraId="0DEC63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产生环节</w:t>
                  </w:r>
                </w:p>
              </w:tc>
              <w:tc>
                <w:tcPr>
                  <w:tcW w:w="460" w:type="dxa"/>
                  <w:tcBorders>
                    <w:tl2br w:val="nil"/>
                    <w:tr2bl w:val="nil"/>
                  </w:tcBorders>
                  <w:noWrap w:val="0"/>
                  <w:vAlign w:val="center"/>
                </w:tcPr>
                <w:p w14:paraId="7F4D9A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形态</w:t>
                  </w:r>
                </w:p>
              </w:tc>
              <w:tc>
                <w:tcPr>
                  <w:tcW w:w="722" w:type="dxa"/>
                  <w:tcBorders>
                    <w:tl2br w:val="nil"/>
                    <w:tr2bl w:val="nil"/>
                  </w:tcBorders>
                  <w:noWrap w:val="0"/>
                  <w:vAlign w:val="center"/>
                </w:tcPr>
                <w:p w14:paraId="2505040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主要成分</w:t>
                  </w:r>
                </w:p>
              </w:tc>
              <w:tc>
                <w:tcPr>
                  <w:tcW w:w="722" w:type="dxa"/>
                  <w:tcBorders>
                    <w:tl2br w:val="nil"/>
                    <w:tr2bl w:val="nil"/>
                  </w:tcBorders>
                  <w:noWrap w:val="0"/>
                  <w:vAlign w:val="center"/>
                </w:tcPr>
                <w:p w14:paraId="5E8D3A4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有害成分</w:t>
                  </w:r>
                </w:p>
              </w:tc>
              <w:tc>
                <w:tcPr>
                  <w:tcW w:w="1202" w:type="dxa"/>
                  <w:tcBorders>
                    <w:tl2br w:val="nil"/>
                    <w:tr2bl w:val="nil"/>
                  </w:tcBorders>
                  <w:noWrap w:val="0"/>
                  <w:vAlign w:val="center"/>
                </w:tcPr>
                <w:p w14:paraId="19CF13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处置方式</w:t>
                  </w:r>
                </w:p>
              </w:tc>
            </w:tr>
            <w:tr w14:paraId="1783C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442" w:type="dxa"/>
                  <w:tcBorders>
                    <w:tl2br w:val="nil"/>
                    <w:tr2bl w:val="nil"/>
                  </w:tcBorders>
                  <w:shd w:val="clear" w:color="auto" w:fill="auto"/>
                  <w:noWrap w:val="0"/>
                  <w:vAlign w:val="center"/>
                </w:tcPr>
                <w:p w14:paraId="58FB55B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512" w:type="dxa"/>
                  <w:tcBorders>
                    <w:tl2br w:val="nil"/>
                    <w:tr2bl w:val="nil"/>
                  </w:tcBorders>
                  <w:shd w:val="clear" w:color="auto" w:fill="auto"/>
                  <w:noWrap w:val="0"/>
                  <w:vAlign w:val="center"/>
                </w:tcPr>
                <w:p w14:paraId="58EA358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790" w:type="dxa"/>
                  <w:tcBorders>
                    <w:tl2br w:val="nil"/>
                    <w:tr2bl w:val="nil"/>
                  </w:tcBorders>
                  <w:shd w:val="clear" w:color="auto" w:fill="auto"/>
                  <w:noWrap w:val="0"/>
                  <w:vAlign w:val="center"/>
                </w:tcPr>
                <w:p w14:paraId="59BDA49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办公、生活等</w:t>
                  </w:r>
                </w:p>
              </w:tc>
              <w:tc>
                <w:tcPr>
                  <w:tcW w:w="969" w:type="dxa"/>
                  <w:tcBorders>
                    <w:tl2br w:val="nil"/>
                    <w:tr2bl w:val="nil"/>
                  </w:tcBorders>
                  <w:shd w:val="clear" w:color="auto" w:fill="auto"/>
                  <w:noWrap w:val="0"/>
                  <w:vAlign w:val="center"/>
                </w:tcPr>
                <w:p w14:paraId="0A9E7A7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SW64其他垃圾</w:t>
                  </w:r>
                </w:p>
              </w:tc>
              <w:tc>
                <w:tcPr>
                  <w:tcW w:w="1313" w:type="dxa"/>
                  <w:tcBorders>
                    <w:tl2br w:val="nil"/>
                    <w:tr2bl w:val="nil"/>
                  </w:tcBorders>
                  <w:shd w:val="clear" w:color="auto" w:fill="auto"/>
                  <w:noWrap w:val="0"/>
                  <w:vAlign w:val="center"/>
                </w:tcPr>
                <w:p w14:paraId="7F92A26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900-099-S64</w:t>
                  </w:r>
                </w:p>
              </w:tc>
              <w:tc>
                <w:tcPr>
                  <w:tcW w:w="1013" w:type="dxa"/>
                  <w:tcBorders>
                    <w:tl2br w:val="nil"/>
                    <w:tr2bl w:val="nil"/>
                  </w:tcBorders>
                  <w:shd w:val="clear" w:color="auto" w:fill="auto"/>
                  <w:noWrap w:val="0"/>
                  <w:vAlign w:val="center"/>
                </w:tcPr>
                <w:p w14:paraId="7E5A05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w:t>
                  </w:r>
                </w:p>
              </w:tc>
              <w:tc>
                <w:tcPr>
                  <w:tcW w:w="705" w:type="dxa"/>
                  <w:tcBorders>
                    <w:tl2br w:val="nil"/>
                    <w:tr2bl w:val="nil"/>
                  </w:tcBorders>
                  <w:shd w:val="clear" w:color="auto" w:fill="auto"/>
                  <w:noWrap w:val="0"/>
                  <w:vAlign w:val="center"/>
                </w:tcPr>
                <w:p w14:paraId="62C1BF3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职工日常生活</w:t>
                  </w:r>
                </w:p>
              </w:tc>
              <w:tc>
                <w:tcPr>
                  <w:tcW w:w="460" w:type="dxa"/>
                  <w:tcBorders>
                    <w:tl2br w:val="nil"/>
                    <w:tr2bl w:val="nil"/>
                  </w:tcBorders>
                  <w:shd w:val="clear" w:color="auto" w:fill="auto"/>
                  <w:noWrap w:val="0"/>
                  <w:vAlign w:val="center"/>
                </w:tcPr>
                <w:p w14:paraId="728F21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22" w:type="dxa"/>
                  <w:tcBorders>
                    <w:tl2br w:val="nil"/>
                    <w:tr2bl w:val="nil"/>
                  </w:tcBorders>
                  <w:shd w:val="clear" w:color="auto" w:fill="auto"/>
                  <w:noWrap w:val="0"/>
                  <w:vAlign w:val="center"/>
                </w:tcPr>
                <w:p w14:paraId="1873824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22" w:type="dxa"/>
                  <w:tcBorders>
                    <w:tl2br w:val="nil"/>
                    <w:tr2bl w:val="nil"/>
                  </w:tcBorders>
                  <w:shd w:val="clear" w:color="auto" w:fill="auto"/>
                  <w:noWrap w:val="0"/>
                  <w:vAlign w:val="center"/>
                </w:tcPr>
                <w:p w14:paraId="74BD79C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202" w:type="dxa"/>
                  <w:tcBorders>
                    <w:tl2br w:val="nil"/>
                    <w:tr2bl w:val="nil"/>
                  </w:tcBorders>
                  <w:shd w:val="clear" w:color="auto" w:fill="auto"/>
                  <w:noWrap w:val="0"/>
                  <w:vAlign w:val="center"/>
                </w:tcPr>
                <w:p w14:paraId="77784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分类</w:t>
                  </w:r>
                  <w:r>
                    <w:rPr>
                      <w:rFonts w:hint="default" w:ascii="Times New Roman" w:hAnsi="Times New Roman" w:eastAsia="宋体" w:cs="Times New Roman"/>
                      <w:color w:val="auto"/>
                      <w:sz w:val="21"/>
                      <w:szCs w:val="21"/>
                      <w:highlight w:val="none"/>
                    </w:rPr>
                    <w:t>收集后交由环卫部门统一清运处置</w:t>
                  </w:r>
                </w:p>
              </w:tc>
            </w:tr>
            <w:tr w14:paraId="78F6E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42" w:type="dxa"/>
                  <w:vMerge w:val="restart"/>
                  <w:tcBorders>
                    <w:tl2br w:val="nil"/>
                    <w:tr2bl w:val="nil"/>
                  </w:tcBorders>
                  <w:noWrap w:val="0"/>
                  <w:vAlign w:val="center"/>
                </w:tcPr>
                <w:p w14:paraId="2C2945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12" w:type="dxa"/>
                  <w:vMerge w:val="restart"/>
                  <w:tcBorders>
                    <w:tl2br w:val="nil"/>
                    <w:tr2bl w:val="nil"/>
                  </w:tcBorders>
                  <w:noWrap w:val="0"/>
                  <w:vAlign w:val="center"/>
                </w:tcPr>
                <w:p w14:paraId="7C424CC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790" w:type="dxa"/>
                  <w:tcBorders>
                    <w:tl2br w:val="nil"/>
                    <w:tr2bl w:val="nil"/>
                  </w:tcBorders>
                  <w:noWrap w:val="0"/>
                  <w:vAlign w:val="center"/>
                </w:tcPr>
                <w:p w14:paraId="0A8A25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sz w:val="21"/>
                      <w:szCs w:val="21"/>
                      <w:lang w:val="en-US" w:eastAsia="zh-CN"/>
                    </w:rPr>
                    <w:t>塑料</w:t>
                  </w:r>
                  <w:r>
                    <w:rPr>
                      <w:rFonts w:hint="default" w:ascii="Times New Roman" w:hAnsi="Times New Roman" w:eastAsia="宋体" w:cs="Times New Roman"/>
                      <w:color w:val="000000"/>
                      <w:sz w:val="21"/>
                      <w:szCs w:val="21"/>
                    </w:rPr>
                    <w:t>边角料</w:t>
                  </w:r>
                  <w:r>
                    <w:rPr>
                      <w:rFonts w:hint="default" w:ascii="Times New Roman" w:hAnsi="Times New Roman" w:eastAsia="宋体" w:cs="Times New Roman"/>
                      <w:color w:val="000000"/>
                      <w:sz w:val="21"/>
                      <w:szCs w:val="21"/>
                      <w:lang w:val="en-US" w:eastAsia="zh-CN"/>
                    </w:rPr>
                    <w:t>及</w:t>
                  </w:r>
                  <w:r>
                    <w:rPr>
                      <w:rFonts w:hint="eastAsia" w:ascii="Times New Roman" w:hAnsi="Times New Roman" w:eastAsia="宋体" w:cs="Times New Roman"/>
                      <w:color w:val="000000"/>
                      <w:sz w:val="21"/>
                      <w:szCs w:val="21"/>
                      <w:lang w:val="en-US" w:eastAsia="zh-CN"/>
                    </w:rPr>
                    <w:t>不合格产品</w:t>
                  </w:r>
                </w:p>
              </w:tc>
              <w:tc>
                <w:tcPr>
                  <w:tcW w:w="969" w:type="dxa"/>
                  <w:tcBorders>
                    <w:tl2br w:val="nil"/>
                    <w:tr2bl w:val="nil"/>
                  </w:tcBorders>
                  <w:noWrap w:val="0"/>
                  <w:vAlign w:val="center"/>
                </w:tcPr>
                <w:p w14:paraId="384E17D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1313" w:type="dxa"/>
                  <w:tcBorders>
                    <w:tl2br w:val="nil"/>
                    <w:tr2bl w:val="nil"/>
                  </w:tcBorders>
                  <w:noWrap w:val="0"/>
                  <w:vAlign w:val="center"/>
                </w:tcPr>
                <w:p w14:paraId="57C252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1013" w:type="dxa"/>
                  <w:tcBorders>
                    <w:tl2br w:val="nil"/>
                    <w:tr2bl w:val="nil"/>
                  </w:tcBorders>
                  <w:noWrap w:val="0"/>
                  <w:vAlign w:val="center"/>
                </w:tcPr>
                <w:p w14:paraId="6CE246D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5.2</w:t>
                  </w:r>
                </w:p>
              </w:tc>
              <w:tc>
                <w:tcPr>
                  <w:tcW w:w="705" w:type="dxa"/>
                  <w:tcBorders>
                    <w:tl2br w:val="nil"/>
                    <w:tr2bl w:val="nil"/>
                  </w:tcBorders>
                  <w:noWrap w:val="0"/>
                  <w:vAlign w:val="center"/>
                </w:tcPr>
                <w:p w14:paraId="222AE3B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检验、修剪</w:t>
                  </w:r>
                </w:p>
              </w:tc>
              <w:tc>
                <w:tcPr>
                  <w:tcW w:w="460" w:type="dxa"/>
                  <w:tcBorders>
                    <w:tl2br w:val="nil"/>
                    <w:tr2bl w:val="nil"/>
                  </w:tcBorders>
                  <w:noWrap w:val="0"/>
                  <w:vAlign w:val="center"/>
                </w:tcPr>
                <w:p w14:paraId="4116D39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22" w:type="dxa"/>
                  <w:tcBorders>
                    <w:tl2br w:val="nil"/>
                    <w:tr2bl w:val="nil"/>
                  </w:tcBorders>
                  <w:noWrap w:val="0"/>
                  <w:vAlign w:val="center"/>
                </w:tcPr>
                <w:p w14:paraId="6F57522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废塑料</w:t>
                  </w:r>
                </w:p>
              </w:tc>
              <w:tc>
                <w:tcPr>
                  <w:tcW w:w="722" w:type="dxa"/>
                  <w:tcBorders>
                    <w:tl2br w:val="nil"/>
                    <w:tr2bl w:val="nil"/>
                  </w:tcBorders>
                  <w:noWrap w:val="0"/>
                  <w:vAlign w:val="center"/>
                </w:tcPr>
                <w:p w14:paraId="4BB72D2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202" w:type="dxa"/>
                  <w:tcBorders>
                    <w:tl2br w:val="nil"/>
                    <w:tr2bl w:val="nil"/>
                  </w:tcBorders>
                  <w:noWrap w:val="0"/>
                  <w:vAlign w:val="center"/>
                </w:tcPr>
                <w:p w14:paraId="4D15C50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收集后经破碎处理回用于生产</w:t>
                  </w:r>
                </w:p>
              </w:tc>
            </w:tr>
            <w:tr w14:paraId="5300E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442" w:type="dxa"/>
                  <w:vMerge w:val="continue"/>
                  <w:tcBorders>
                    <w:tl2br w:val="nil"/>
                    <w:tr2bl w:val="nil"/>
                  </w:tcBorders>
                  <w:noWrap w:val="0"/>
                  <w:vAlign w:val="center"/>
                </w:tcPr>
                <w:p w14:paraId="526D31A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20DB26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3315938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废包装纸箱、包装袋</w:t>
                  </w:r>
                </w:p>
              </w:tc>
              <w:tc>
                <w:tcPr>
                  <w:tcW w:w="969" w:type="dxa"/>
                  <w:tcBorders>
                    <w:tl2br w:val="nil"/>
                    <w:tr2bl w:val="nil"/>
                  </w:tcBorders>
                  <w:noWrap w:val="0"/>
                  <w:vAlign w:val="center"/>
                </w:tcPr>
                <w:p w14:paraId="7FA98A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SW17可再生类废物</w:t>
                  </w:r>
                </w:p>
              </w:tc>
              <w:tc>
                <w:tcPr>
                  <w:tcW w:w="1313" w:type="dxa"/>
                  <w:tcBorders>
                    <w:tl2br w:val="nil"/>
                    <w:tr2bl w:val="nil"/>
                  </w:tcBorders>
                  <w:noWrap w:val="0"/>
                  <w:vAlign w:val="center"/>
                </w:tcPr>
                <w:p w14:paraId="67811B9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900-003-S17</w:t>
                  </w:r>
                </w:p>
              </w:tc>
              <w:tc>
                <w:tcPr>
                  <w:tcW w:w="1013" w:type="dxa"/>
                  <w:tcBorders>
                    <w:tl2br w:val="nil"/>
                    <w:tr2bl w:val="nil"/>
                  </w:tcBorders>
                  <w:noWrap w:val="0"/>
                  <w:vAlign w:val="center"/>
                </w:tcPr>
                <w:p w14:paraId="7EAE8A8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0.018</w:t>
                  </w:r>
                </w:p>
              </w:tc>
              <w:tc>
                <w:tcPr>
                  <w:tcW w:w="705" w:type="dxa"/>
                  <w:tcBorders>
                    <w:tl2br w:val="nil"/>
                    <w:tr2bl w:val="nil"/>
                  </w:tcBorders>
                  <w:noWrap w:val="0"/>
                  <w:vAlign w:val="center"/>
                </w:tcPr>
                <w:p w14:paraId="743868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配料、包装</w:t>
                  </w:r>
                </w:p>
              </w:tc>
              <w:tc>
                <w:tcPr>
                  <w:tcW w:w="460" w:type="dxa"/>
                  <w:tcBorders>
                    <w:tl2br w:val="nil"/>
                    <w:tr2bl w:val="nil"/>
                  </w:tcBorders>
                  <w:noWrap w:val="0"/>
                  <w:vAlign w:val="center"/>
                </w:tcPr>
                <w:p w14:paraId="25509E6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22" w:type="dxa"/>
                  <w:tcBorders>
                    <w:tl2br w:val="nil"/>
                    <w:tr2bl w:val="nil"/>
                  </w:tcBorders>
                  <w:noWrap w:val="0"/>
                  <w:vAlign w:val="center"/>
                </w:tcPr>
                <w:p w14:paraId="5E02863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纸箱、塑料</w:t>
                  </w:r>
                </w:p>
              </w:tc>
              <w:tc>
                <w:tcPr>
                  <w:tcW w:w="722" w:type="dxa"/>
                  <w:tcBorders>
                    <w:tl2br w:val="nil"/>
                    <w:tr2bl w:val="nil"/>
                  </w:tcBorders>
                  <w:noWrap w:val="0"/>
                  <w:vAlign w:val="center"/>
                </w:tcPr>
                <w:p w14:paraId="6A7FE2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202" w:type="dxa"/>
                  <w:tcBorders>
                    <w:tl2br w:val="nil"/>
                    <w:tr2bl w:val="nil"/>
                  </w:tcBorders>
                  <w:noWrap w:val="0"/>
                  <w:vAlign w:val="center"/>
                </w:tcPr>
                <w:p w14:paraId="78644EB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经妥善分类收集后暂存于一般工业固废暂存间内，定期出售给回收企业综合利用</w:t>
                  </w:r>
                </w:p>
              </w:tc>
            </w:tr>
            <w:tr w14:paraId="5CDCC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442" w:type="dxa"/>
                  <w:vMerge w:val="continue"/>
                  <w:tcBorders>
                    <w:tl2br w:val="nil"/>
                    <w:tr2bl w:val="nil"/>
                  </w:tcBorders>
                  <w:noWrap w:val="0"/>
                  <w:vAlign w:val="center"/>
                </w:tcPr>
                <w:p w14:paraId="3E7AD42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487706F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589153E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收集粉尘</w:t>
                  </w:r>
                </w:p>
              </w:tc>
              <w:tc>
                <w:tcPr>
                  <w:tcW w:w="969" w:type="dxa"/>
                  <w:tcBorders>
                    <w:tl2br w:val="nil"/>
                    <w:tr2bl w:val="nil"/>
                  </w:tcBorders>
                  <w:noWrap w:val="0"/>
                  <w:vAlign w:val="center"/>
                </w:tcPr>
                <w:p w14:paraId="3EF8A9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SW17可再生类废物</w:t>
                  </w:r>
                </w:p>
              </w:tc>
              <w:tc>
                <w:tcPr>
                  <w:tcW w:w="1313" w:type="dxa"/>
                  <w:tcBorders>
                    <w:tl2br w:val="nil"/>
                    <w:tr2bl w:val="nil"/>
                  </w:tcBorders>
                  <w:noWrap w:val="0"/>
                  <w:vAlign w:val="center"/>
                </w:tcPr>
                <w:p w14:paraId="669764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900-003-S17</w:t>
                  </w:r>
                </w:p>
              </w:tc>
              <w:tc>
                <w:tcPr>
                  <w:tcW w:w="1013" w:type="dxa"/>
                  <w:tcBorders>
                    <w:tl2br w:val="nil"/>
                    <w:tr2bl w:val="nil"/>
                  </w:tcBorders>
                  <w:noWrap w:val="0"/>
                  <w:vAlign w:val="center"/>
                </w:tcPr>
                <w:p w14:paraId="6D4FE5B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0.000048</w:t>
                  </w:r>
                </w:p>
              </w:tc>
              <w:tc>
                <w:tcPr>
                  <w:tcW w:w="705" w:type="dxa"/>
                  <w:tcBorders>
                    <w:tl2br w:val="nil"/>
                    <w:tr2bl w:val="nil"/>
                  </w:tcBorders>
                  <w:noWrap w:val="0"/>
                  <w:vAlign w:val="center"/>
                </w:tcPr>
                <w:p w14:paraId="0BB38E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移动除尘器</w:t>
                  </w:r>
                </w:p>
              </w:tc>
              <w:tc>
                <w:tcPr>
                  <w:tcW w:w="460" w:type="dxa"/>
                  <w:tcBorders>
                    <w:tl2br w:val="nil"/>
                    <w:tr2bl w:val="nil"/>
                  </w:tcBorders>
                  <w:noWrap w:val="0"/>
                  <w:vAlign w:val="center"/>
                </w:tcPr>
                <w:p w14:paraId="3A051AB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22" w:type="dxa"/>
                  <w:tcBorders>
                    <w:tl2br w:val="nil"/>
                    <w:tr2bl w:val="nil"/>
                  </w:tcBorders>
                  <w:noWrap w:val="0"/>
                  <w:vAlign w:val="center"/>
                </w:tcPr>
                <w:p w14:paraId="7FF51D6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722" w:type="dxa"/>
                  <w:tcBorders>
                    <w:tl2br w:val="nil"/>
                    <w:tr2bl w:val="nil"/>
                  </w:tcBorders>
                  <w:noWrap w:val="0"/>
                  <w:vAlign w:val="center"/>
                </w:tcPr>
                <w:p w14:paraId="57718CD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202" w:type="dxa"/>
                  <w:tcBorders>
                    <w:tl2br w:val="nil"/>
                    <w:tr2bl w:val="nil"/>
                  </w:tcBorders>
                  <w:noWrap w:val="0"/>
                  <w:vAlign w:val="center"/>
                </w:tcPr>
                <w:p w14:paraId="75BE0F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经妥善分类收集后暂存于一般工业固废暂存间内，</w:t>
                  </w:r>
                  <w:r>
                    <w:rPr>
                      <w:rFonts w:hint="default" w:ascii="Times New Roman" w:hAnsi="Times New Roman" w:eastAsia="宋体" w:cs="Times New Roman"/>
                      <w:color w:val="auto"/>
                      <w:sz w:val="21"/>
                      <w:szCs w:val="21"/>
                      <w:highlight w:val="none"/>
                      <w:lang w:val="en-US" w:eastAsia="zh-CN"/>
                    </w:rPr>
                    <w:t>委托有资质的单位处置</w:t>
                  </w:r>
                </w:p>
              </w:tc>
            </w:tr>
            <w:tr w14:paraId="23177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442" w:type="dxa"/>
                  <w:vMerge w:val="restart"/>
                  <w:tcBorders>
                    <w:tl2br w:val="nil"/>
                    <w:tr2bl w:val="nil"/>
                  </w:tcBorders>
                  <w:noWrap w:val="0"/>
                  <w:vAlign w:val="center"/>
                </w:tcPr>
                <w:p w14:paraId="46905F9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12" w:type="dxa"/>
                  <w:vMerge w:val="restart"/>
                  <w:tcBorders>
                    <w:tl2br w:val="nil"/>
                    <w:tr2bl w:val="nil"/>
                  </w:tcBorders>
                  <w:noWrap w:val="0"/>
                  <w:vAlign w:val="center"/>
                </w:tcPr>
                <w:p w14:paraId="621FFCD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790" w:type="dxa"/>
                  <w:tcBorders>
                    <w:tl2br w:val="nil"/>
                    <w:tr2bl w:val="nil"/>
                  </w:tcBorders>
                  <w:noWrap w:val="0"/>
                  <w:vAlign w:val="center"/>
                </w:tcPr>
                <w:p w14:paraId="4786E36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969" w:type="dxa"/>
                  <w:tcBorders>
                    <w:tl2br w:val="nil"/>
                    <w:tr2bl w:val="nil"/>
                  </w:tcBorders>
                  <w:noWrap w:val="0"/>
                  <w:vAlign w:val="center"/>
                </w:tcPr>
                <w:p w14:paraId="6A61E0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1313" w:type="dxa"/>
                  <w:tcBorders>
                    <w:tl2br w:val="nil"/>
                    <w:tr2bl w:val="nil"/>
                  </w:tcBorders>
                  <w:noWrap w:val="0"/>
                  <w:vAlign w:val="center"/>
                </w:tcPr>
                <w:p w14:paraId="546FCD2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1013" w:type="dxa"/>
                  <w:tcBorders>
                    <w:tl2br w:val="nil"/>
                    <w:tr2bl w:val="nil"/>
                  </w:tcBorders>
                  <w:noWrap w:val="0"/>
                  <w:vAlign w:val="center"/>
                </w:tcPr>
                <w:p w14:paraId="5A365E8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0.2962</w:t>
                  </w:r>
                </w:p>
              </w:tc>
              <w:tc>
                <w:tcPr>
                  <w:tcW w:w="705" w:type="dxa"/>
                  <w:tcBorders>
                    <w:tl2br w:val="nil"/>
                    <w:tr2bl w:val="nil"/>
                  </w:tcBorders>
                  <w:noWrap w:val="0"/>
                  <w:vAlign w:val="center"/>
                </w:tcPr>
                <w:p w14:paraId="321B9E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460" w:type="dxa"/>
                  <w:tcBorders>
                    <w:tl2br w:val="nil"/>
                    <w:tr2bl w:val="nil"/>
                  </w:tcBorders>
                  <w:noWrap w:val="0"/>
                  <w:vAlign w:val="center"/>
                </w:tcPr>
                <w:p w14:paraId="719A441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722" w:type="dxa"/>
                  <w:tcBorders>
                    <w:tl2br w:val="nil"/>
                    <w:tr2bl w:val="nil"/>
                  </w:tcBorders>
                  <w:noWrap w:val="0"/>
                  <w:vAlign w:val="center"/>
                </w:tcPr>
                <w:p w14:paraId="3AE4E82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活性炭、有机物</w:t>
                  </w:r>
                </w:p>
              </w:tc>
              <w:tc>
                <w:tcPr>
                  <w:tcW w:w="722" w:type="dxa"/>
                  <w:tcBorders>
                    <w:tl2br w:val="nil"/>
                    <w:tr2bl w:val="nil"/>
                  </w:tcBorders>
                  <w:noWrap w:val="0"/>
                  <w:vAlign w:val="center"/>
                </w:tcPr>
                <w:p w14:paraId="5E0652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1202" w:type="dxa"/>
                  <w:vMerge w:val="restart"/>
                  <w:tcBorders>
                    <w:tl2br w:val="nil"/>
                    <w:tr2bl w:val="nil"/>
                  </w:tcBorders>
                  <w:noWrap w:val="0"/>
                  <w:vAlign w:val="center"/>
                </w:tcPr>
                <w:p w14:paraId="102AFC4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7AC266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1042B66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5A13BC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171A83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969" w:type="dxa"/>
                  <w:tcBorders>
                    <w:tl2br w:val="nil"/>
                    <w:tr2bl w:val="nil"/>
                  </w:tcBorders>
                  <w:noWrap w:val="0"/>
                  <w:vAlign w:val="center"/>
                </w:tcPr>
                <w:p w14:paraId="49C6AA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1313" w:type="dxa"/>
                  <w:tcBorders>
                    <w:tl2br w:val="nil"/>
                    <w:tr2bl w:val="nil"/>
                  </w:tcBorders>
                  <w:noWrap w:val="0"/>
                  <w:vAlign w:val="center"/>
                </w:tcPr>
                <w:p w14:paraId="038DDD3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321A686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013" w:type="dxa"/>
                  <w:tcBorders>
                    <w:tl2br w:val="nil"/>
                    <w:tr2bl w:val="nil"/>
                  </w:tcBorders>
                  <w:noWrap w:val="0"/>
                  <w:vAlign w:val="center"/>
                </w:tcPr>
                <w:p w14:paraId="3553B4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705" w:type="dxa"/>
                  <w:tcBorders>
                    <w:tl2br w:val="nil"/>
                    <w:tr2bl w:val="nil"/>
                  </w:tcBorders>
                  <w:noWrap w:val="0"/>
                  <w:vAlign w:val="center"/>
                </w:tcPr>
                <w:p w14:paraId="3B563A8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460" w:type="dxa"/>
                  <w:tcBorders>
                    <w:tl2br w:val="nil"/>
                    <w:tr2bl w:val="nil"/>
                  </w:tcBorders>
                  <w:noWrap w:val="0"/>
                  <w:vAlign w:val="center"/>
                </w:tcPr>
                <w:p w14:paraId="264107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722" w:type="dxa"/>
                  <w:tcBorders>
                    <w:tl2br w:val="nil"/>
                    <w:tr2bl w:val="nil"/>
                  </w:tcBorders>
                  <w:noWrap w:val="0"/>
                  <w:vAlign w:val="center"/>
                </w:tcPr>
                <w:p w14:paraId="0CC53DC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w:t>
                  </w:r>
                </w:p>
              </w:tc>
              <w:tc>
                <w:tcPr>
                  <w:tcW w:w="722" w:type="dxa"/>
                  <w:tcBorders>
                    <w:tl2br w:val="nil"/>
                    <w:tr2bl w:val="nil"/>
                  </w:tcBorders>
                  <w:noWrap w:val="0"/>
                  <w:vAlign w:val="center"/>
                </w:tcPr>
                <w:p w14:paraId="014BA73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1202" w:type="dxa"/>
                  <w:vMerge w:val="continue"/>
                  <w:tcBorders>
                    <w:tl2br w:val="nil"/>
                    <w:tr2bl w:val="nil"/>
                  </w:tcBorders>
                  <w:noWrap w:val="0"/>
                  <w:vAlign w:val="center"/>
                </w:tcPr>
                <w:p w14:paraId="32D2513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2E9B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3CD3247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0EB6A02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7E37DC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除油废液</w:t>
                  </w:r>
                </w:p>
              </w:tc>
              <w:tc>
                <w:tcPr>
                  <w:tcW w:w="969" w:type="dxa"/>
                  <w:tcBorders>
                    <w:tl2br w:val="nil"/>
                    <w:tr2bl w:val="nil"/>
                  </w:tcBorders>
                  <w:noWrap w:val="0"/>
                  <w:vAlign w:val="center"/>
                </w:tcPr>
                <w:p w14:paraId="53D1D2B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 表面处理废物</w:t>
                  </w:r>
                </w:p>
              </w:tc>
              <w:tc>
                <w:tcPr>
                  <w:tcW w:w="1313" w:type="dxa"/>
                  <w:tcBorders>
                    <w:tl2br w:val="nil"/>
                    <w:tr2bl w:val="nil"/>
                  </w:tcBorders>
                  <w:noWrap w:val="0"/>
                  <w:vAlign w:val="center"/>
                </w:tcPr>
                <w:p w14:paraId="269F06A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336-063-17</w:t>
                  </w:r>
                </w:p>
              </w:tc>
              <w:tc>
                <w:tcPr>
                  <w:tcW w:w="1013" w:type="dxa"/>
                  <w:tcBorders>
                    <w:tl2br w:val="nil"/>
                    <w:tr2bl w:val="nil"/>
                  </w:tcBorders>
                  <w:noWrap w:val="0"/>
                  <w:vAlign w:val="center"/>
                </w:tcPr>
                <w:p w14:paraId="4544ECE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0.46</w:t>
                  </w:r>
                </w:p>
              </w:tc>
              <w:tc>
                <w:tcPr>
                  <w:tcW w:w="705" w:type="dxa"/>
                  <w:tcBorders>
                    <w:tl2br w:val="nil"/>
                    <w:tr2bl w:val="nil"/>
                  </w:tcBorders>
                  <w:noWrap w:val="0"/>
                  <w:vAlign w:val="center"/>
                </w:tcPr>
                <w:p w14:paraId="5B39A9D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除油</w:t>
                  </w:r>
                </w:p>
              </w:tc>
              <w:tc>
                <w:tcPr>
                  <w:tcW w:w="460" w:type="dxa"/>
                  <w:tcBorders>
                    <w:tl2br w:val="nil"/>
                    <w:tr2bl w:val="nil"/>
                  </w:tcBorders>
                  <w:noWrap w:val="0"/>
                  <w:vAlign w:val="center"/>
                </w:tcPr>
                <w:p w14:paraId="4F8356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722" w:type="dxa"/>
                  <w:tcBorders>
                    <w:tl2br w:val="nil"/>
                    <w:tr2bl w:val="nil"/>
                  </w:tcBorders>
                  <w:noWrap w:val="0"/>
                  <w:vAlign w:val="center"/>
                </w:tcPr>
                <w:p w14:paraId="6A47E49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矿物油、有机物</w:t>
                  </w:r>
                </w:p>
              </w:tc>
              <w:tc>
                <w:tcPr>
                  <w:tcW w:w="722" w:type="dxa"/>
                  <w:tcBorders>
                    <w:tl2br w:val="nil"/>
                    <w:tr2bl w:val="nil"/>
                  </w:tcBorders>
                  <w:noWrap w:val="0"/>
                  <w:vAlign w:val="center"/>
                </w:tcPr>
                <w:p w14:paraId="04A024B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矿物油、有机物</w:t>
                  </w:r>
                </w:p>
              </w:tc>
              <w:tc>
                <w:tcPr>
                  <w:tcW w:w="1202" w:type="dxa"/>
                  <w:vMerge w:val="continue"/>
                  <w:tcBorders>
                    <w:tl2br w:val="nil"/>
                    <w:tr2bl w:val="nil"/>
                  </w:tcBorders>
                  <w:noWrap w:val="0"/>
                  <w:vAlign w:val="center"/>
                </w:tcPr>
                <w:p w14:paraId="75E0E5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5EC1D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4CF051E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0DAC7E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1CF6ED2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钝化废液</w:t>
                  </w:r>
                </w:p>
              </w:tc>
              <w:tc>
                <w:tcPr>
                  <w:tcW w:w="969" w:type="dxa"/>
                  <w:tcBorders>
                    <w:tl2br w:val="nil"/>
                    <w:tr2bl w:val="nil"/>
                  </w:tcBorders>
                  <w:noWrap w:val="0"/>
                  <w:vAlign w:val="center"/>
                </w:tcPr>
                <w:p w14:paraId="62C82F1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 表面处理废物</w:t>
                  </w:r>
                </w:p>
              </w:tc>
              <w:tc>
                <w:tcPr>
                  <w:tcW w:w="1313" w:type="dxa"/>
                  <w:tcBorders>
                    <w:tl2br w:val="nil"/>
                    <w:tr2bl w:val="nil"/>
                  </w:tcBorders>
                  <w:noWrap w:val="0"/>
                  <w:vAlign w:val="center"/>
                </w:tcPr>
                <w:p w14:paraId="238AE34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336-064-17</w:t>
                  </w:r>
                </w:p>
              </w:tc>
              <w:tc>
                <w:tcPr>
                  <w:tcW w:w="1013" w:type="dxa"/>
                  <w:tcBorders>
                    <w:tl2br w:val="nil"/>
                    <w:tr2bl w:val="nil"/>
                  </w:tcBorders>
                  <w:noWrap w:val="0"/>
                  <w:vAlign w:val="center"/>
                </w:tcPr>
                <w:p w14:paraId="7BCC626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0.46</w:t>
                  </w:r>
                </w:p>
              </w:tc>
              <w:tc>
                <w:tcPr>
                  <w:tcW w:w="705" w:type="dxa"/>
                  <w:tcBorders>
                    <w:tl2br w:val="nil"/>
                    <w:tr2bl w:val="nil"/>
                  </w:tcBorders>
                  <w:noWrap w:val="0"/>
                  <w:vAlign w:val="center"/>
                </w:tcPr>
                <w:p w14:paraId="47F21DC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钝化</w:t>
                  </w:r>
                </w:p>
              </w:tc>
              <w:tc>
                <w:tcPr>
                  <w:tcW w:w="460" w:type="dxa"/>
                  <w:tcBorders>
                    <w:tl2br w:val="nil"/>
                    <w:tr2bl w:val="nil"/>
                  </w:tcBorders>
                  <w:noWrap w:val="0"/>
                  <w:vAlign w:val="center"/>
                </w:tcPr>
                <w:p w14:paraId="07C1417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722" w:type="dxa"/>
                  <w:tcBorders>
                    <w:tl2br w:val="nil"/>
                    <w:tr2bl w:val="nil"/>
                  </w:tcBorders>
                  <w:noWrap w:val="0"/>
                  <w:vAlign w:val="center"/>
                </w:tcPr>
                <w:p w14:paraId="7F12A3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722" w:type="dxa"/>
                  <w:tcBorders>
                    <w:tl2br w:val="nil"/>
                    <w:tr2bl w:val="nil"/>
                  </w:tcBorders>
                  <w:noWrap w:val="0"/>
                  <w:vAlign w:val="center"/>
                </w:tcPr>
                <w:p w14:paraId="0D7439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1202" w:type="dxa"/>
                  <w:vMerge w:val="continue"/>
                  <w:tcBorders>
                    <w:tl2br w:val="nil"/>
                    <w:tr2bl w:val="nil"/>
                  </w:tcBorders>
                  <w:noWrap w:val="0"/>
                  <w:vAlign w:val="center"/>
                </w:tcPr>
                <w:p w14:paraId="6881B94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63E93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674D4E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50203B9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5D9D45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废水处理污泥</w:t>
                  </w:r>
                </w:p>
              </w:tc>
              <w:tc>
                <w:tcPr>
                  <w:tcW w:w="969" w:type="dxa"/>
                  <w:tcBorders>
                    <w:tl2br w:val="nil"/>
                    <w:tr2bl w:val="nil"/>
                  </w:tcBorders>
                  <w:noWrap w:val="0"/>
                  <w:vAlign w:val="center"/>
                </w:tcPr>
                <w:p w14:paraId="02B58FC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HW17</w:t>
                  </w:r>
                </w:p>
                <w:p w14:paraId="6A25609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表面处理废物</w:t>
                  </w:r>
                </w:p>
              </w:tc>
              <w:tc>
                <w:tcPr>
                  <w:tcW w:w="1313" w:type="dxa"/>
                  <w:tcBorders>
                    <w:tl2br w:val="nil"/>
                    <w:tr2bl w:val="nil"/>
                  </w:tcBorders>
                  <w:noWrap w:val="0"/>
                  <w:vAlign w:val="center"/>
                </w:tcPr>
                <w:p w14:paraId="31ADA56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336-064-17</w:t>
                  </w:r>
                </w:p>
              </w:tc>
              <w:tc>
                <w:tcPr>
                  <w:tcW w:w="1013" w:type="dxa"/>
                  <w:tcBorders>
                    <w:tl2br w:val="nil"/>
                    <w:tr2bl w:val="nil"/>
                  </w:tcBorders>
                  <w:noWrap w:val="0"/>
                  <w:vAlign w:val="center"/>
                </w:tcPr>
                <w:p w14:paraId="2EB3E0E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0.236</w:t>
                  </w:r>
                </w:p>
              </w:tc>
              <w:tc>
                <w:tcPr>
                  <w:tcW w:w="705" w:type="dxa"/>
                  <w:tcBorders>
                    <w:tl2br w:val="nil"/>
                    <w:tr2bl w:val="nil"/>
                  </w:tcBorders>
                  <w:noWrap w:val="0"/>
                  <w:vAlign w:val="center"/>
                </w:tcPr>
                <w:p w14:paraId="336FBF7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废水处理</w:t>
                  </w:r>
                </w:p>
              </w:tc>
              <w:tc>
                <w:tcPr>
                  <w:tcW w:w="460" w:type="dxa"/>
                  <w:tcBorders>
                    <w:tl2br w:val="nil"/>
                    <w:tr2bl w:val="nil"/>
                  </w:tcBorders>
                  <w:noWrap w:val="0"/>
                  <w:vAlign w:val="center"/>
                </w:tcPr>
                <w:p w14:paraId="61C155D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半固态</w:t>
                  </w:r>
                </w:p>
              </w:tc>
              <w:tc>
                <w:tcPr>
                  <w:tcW w:w="722" w:type="dxa"/>
                  <w:tcBorders>
                    <w:tl2br w:val="nil"/>
                    <w:tr2bl w:val="nil"/>
                  </w:tcBorders>
                  <w:noWrap w:val="0"/>
                  <w:vAlign w:val="center"/>
                </w:tcPr>
                <w:p w14:paraId="03E70FC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r>
                    <w:rPr>
                      <w:color w:val="auto"/>
                      <w:kern w:val="0"/>
                      <w:sz w:val="21"/>
                      <w:szCs w:val="21"/>
                    </w:rPr>
                    <w:t>等</w:t>
                  </w:r>
                </w:p>
              </w:tc>
              <w:tc>
                <w:tcPr>
                  <w:tcW w:w="722" w:type="dxa"/>
                  <w:tcBorders>
                    <w:tl2br w:val="nil"/>
                    <w:tr2bl w:val="nil"/>
                  </w:tcBorders>
                  <w:noWrap w:val="0"/>
                  <w:vAlign w:val="center"/>
                </w:tcPr>
                <w:p w14:paraId="3DD177E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有机物等</w:t>
                  </w:r>
                </w:p>
              </w:tc>
              <w:tc>
                <w:tcPr>
                  <w:tcW w:w="1202" w:type="dxa"/>
                  <w:vMerge w:val="continue"/>
                  <w:tcBorders>
                    <w:tl2br w:val="nil"/>
                    <w:tr2bl w:val="nil"/>
                  </w:tcBorders>
                  <w:noWrap w:val="0"/>
                  <w:vAlign w:val="center"/>
                </w:tcPr>
                <w:p w14:paraId="14B8FB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896E4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189AE47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168FBC8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6D16C92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槽渣</w:t>
                  </w:r>
                </w:p>
              </w:tc>
              <w:tc>
                <w:tcPr>
                  <w:tcW w:w="969" w:type="dxa"/>
                  <w:tcBorders>
                    <w:tl2br w:val="nil"/>
                    <w:tr2bl w:val="nil"/>
                  </w:tcBorders>
                  <w:noWrap w:val="0"/>
                  <w:vAlign w:val="center"/>
                </w:tcPr>
                <w:p w14:paraId="1FA9E32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HW17表面处理废物</w:t>
                  </w:r>
                </w:p>
              </w:tc>
              <w:tc>
                <w:tcPr>
                  <w:tcW w:w="1313" w:type="dxa"/>
                  <w:tcBorders>
                    <w:tl2br w:val="nil"/>
                    <w:tr2bl w:val="nil"/>
                  </w:tcBorders>
                  <w:noWrap w:val="0"/>
                  <w:vAlign w:val="center"/>
                </w:tcPr>
                <w:p w14:paraId="367B3A1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336-062-17</w:t>
                  </w:r>
                </w:p>
              </w:tc>
              <w:tc>
                <w:tcPr>
                  <w:tcW w:w="1013" w:type="dxa"/>
                  <w:tcBorders>
                    <w:tl2br w:val="nil"/>
                    <w:tr2bl w:val="nil"/>
                  </w:tcBorders>
                  <w:noWrap w:val="0"/>
                  <w:vAlign w:val="center"/>
                </w:tcPr>
                <w:p w14:paraId="6A1DEB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1.6</w:t>
                  </w:r>
                </w:p>
              </w:tc>
              <w:tc>
                <w:tcPr>
                  <w:tcW w:w="705" w:type="dxa"/>
                  <w:tcBorders>
                    <w:tl2br w:val="nil"/>
                    <w:tr2bl w:val="nil"/>
                  </w:tcBorders>
                  <w:noWrap w:val="0"/>
                  <w:vAlign w:val="center"/>
                </w:tcPr>
                <w:p w14:paraId="6570460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清洗槽</w:t>
                  </w:r>
                </w:p>
              </w:tc>
              <w:tc>
                <w:tcPr>
                  <w:tcW w:w="460" w:type="dxa"/>
                  <w:tcBorders>
                    <w:tl2br w:val="nil"/>
                    <w:tr2bl w:val="nil"/>
                  </w:tcBorders>
                  <w:noWrap w:val="0"/>
                  <w:vAlign w:val="center"/>
                </w:tcPr>
                <w:p w14:paraId="062A2F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半固态</w:t>
                  </w:r>
                </w:p>
              </w:tc>
              <w:tc>
                <w:tcPr>
                  <w:tcW w:w="722" w:type="dxa"/>
                  <w:tcBorders>
                    <w:tl2br w:val="nil"/>
                    <w:tr2bl w:val="nil"/>
                  </w:tcBorders>
                  <w:noWrap w:val="0"/>
                  <w:vAlign w:val="center"/>
                </w:tcPr>
                <w:p w14:paraId="5DF205A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722" w:type="dxa"/>
                  <w:tcBorders>
                    <w:tl2br w:val="nil"/>
                    <w:tr2bl w:val="nil"/>
                  </w:tcBorders>
                  <w:noWrap w:val="0"/>
                  <w:vAlign w:val="center"/>
                </w:tcPr>
                <w:p w14:paraId="467C6AC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有机物</w:t>
                  </w:r>
                </w:p>
              </w:tc>
              <w:tc>
                <w:tcPr>
                  <w:tcW w:w="1202" w:type="dxa"/>
                  <w:vMerge w:val="continue"/>
                  <w:tcBorders>
                    <w:tl2br w:val="nil"/>
                    <w:tr2bl w:val="nil"/>
                  </w:tcBorders>
                  <w:noWrap w:val="0"/>
                  <w:vAlign w:val="center"/>
                </w:tcPr>
                <w:p w14:paraId="60F0E98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49D73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2" w:hRule="atLeast"/>
              </w:trPr>
              <w:tc>
                <w:tcPr>
                  <w:tcW w:w="442" w:type="dxa"/>
                  <w:vMerge w:val="continue"/>
                  <w:tcBorders>
                    <w:tl2br w:val="nil"/>
                    <w:tr2bl w:val="nil"/>
                  </w:tcBorders>
                  <w:noWrap w:val="0"/>
                  <w:vAlign w:val="center"/>
                </w:tcPr>
                <w:p w14:paraId="62F231A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12" w:type="dxa"/>
                  <w:vMerge w:val="continue"/>
                  <w:tcBorders>
                    <w:tl2br w:val="nil"/>
                    <w:tr2bl w:val="nil"/>
                  </w:tcBorders>
                  <w:noWrap w:val="0"/>
                  <w:vAlign w:val="center"/>
                </w:tcPr>
                <w:p w14:paraId="773EB39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790" w:type="dxa"/>
                  <w:tcBorders>
                    <w:tl2br w:val="nil"/>
                    <w:tr2bl w:val="nil"/>
                  </w:tcBorders>
                  <w:noWrap w:val="0"/>
                  <w:vAlign w:val="center"/>
                </w:tcPr>
                <w:p w14:paraId="21079B3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废滤筒滤芯</w:t>
                  </w:r>
                </w:p>
              </w:tc>
              <w:tc>
                <w:tcPr>
                  <w:tcW w:w="969" w:type="dxa"/>
                  <w:tcBorders>
                    <w:tl2br w:val="nil"/>
                    <w:tr2bl w:val="nil"/>
                  </w:tcBorders>
                  <w:noWrap w:val="0"/>
                  <w:vAlign w:val="center"/>
                </w:tcPr>
                <w:p w14:paraId="16C0F8B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HW49其他废物</w:t>
                  </w:r>
                </w:p>
              </w:tc>
              <w:tc>
                <w:tcPr>
                  <w:tcW w:w="1313" w:type="dxa"/>
                  <w:tcBorders>
                    <w:tl2br w:val="nil"/>
                    <w:tr2bl w:val="nil"/>
                  </w:tcBorders>
                  <w:noWrap w:val="0"/>
                  <w:vAlign w:val="center"/>
                </w:tcPr>
                <w:p w14:paraId="637B4B8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pacing w:val="0"/>
                      <w:position w:val="0"/>
                      <w:sz w:val="21"/>
                      <w:szCs w:val="24"/>
                      <w:highlight w:val="none"/>
                      <w:u w:val="none"/>
                      <w:lang w:val="en-US" w:eastAsia="zh-CN"/>
                    </w:rPr>
                    <w:t>900-041-49</w:t>
                  </w:r>
                </w:p>
              </w:tc>
              <w:tc>
                <w:tcPr>
                  <w:tcW w:w="1013" w:type="dxa"/>
                  <w:tcBorders>
                    <w:tl2br w:val="nil"/>
                    <w:tr2bl w:val="nil"/>
                  </w:tcBorders>
                  <w:noWrap w:val="0"/>
                  <w:vAlign w:val="center"/>
                </w:tcPr>
                <w:p w14:paraId="449C5C9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2.01</w:t>
                  </w:r>
                </w:p>
              </w:tc>
              <w:tc>
                <w:tcPr>
                  <w:tcW w:w="705" w:type="dxa"/>
                  <w:tcBorders>
                    <w:tl2br w:val="nil"/>
                    <w:tr2bl w:val="nil"/>
                  </w:tcBorders>
                  <w:noWrap w:val="0"/>
                  <w:vAlign w:val="center"/>
                </w:tcPr>
                <w:p w14:paraId="2D3AEDB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460" w:type="dxa"/>
                  <w:tcBorders>
                    <w:tl2br w:val="nil"/>
                    <w:tr2bl w:val="nil"/>
                  </w:tcBorders>
                  <w:noWrap w:val="0"/>
                  <w:vAlign w:val="center"/>
                </w:tcPr>
                <w:p w14:paraId="4FFA51FF">
                  <w:pPr>
                    <w:topLinePunct/>
                    <w:adjustRightInd w:val="0"/>
                    <w:snapToGrid w:val="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kern w:val="0"/>
                      <w:sz w:val="21"/>
                      <w:szCs w:val="18"/>
                    </w:rPr>
                    <w:t>固态</w:t>
                  </w:r>
                </w:p>
              </w:tc>
              <w:tc>
                <w:tcPr>
                  <w:tcW w:w="722" w:type="dxa"/>
                  <w:tcBorders>
                    <w:tl2br w:val="nil"/>
                    <w:tr2bl w:val="nil"/>
                  </w:tcBorders>
                  <w:noWrap w:val="0"/>
                  <w:vAlign w:val="center"/>
                </w:tcPr>
                <w:p w14:paraId="66AD0D40">
                  <w:pPr>
                    <w:topLinePunct/>
                    <w:adjustRightInd w:val="0"/>
                    <w:snapToGrid w:val="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kern w:val="0"/>
                      <w:sz w:val="21"/>
                      <w:szCs w:val="18"/>
                    </w:rPr>
                    <w:t>有机物等</w:t>
                  </w:r>
                </w:p>
              </w:tc>
              <w:tc>
                <w:tcPr>
                  <w:tcW w:w="722" w:type="dxa"/>
                  <w:tcBorders>
                    <w:tl2br w:val="nil"/>
                    <w:tr2bl w:val="nil"/>
                  </w:tcBorders>
                  <w:noWrap w:val="0"/>
                  <w:vAlign w:val="center"/>
                </w:tcPr>
                <w:p w14:paraId="5F2E03C0">
                  <w:pPr>
                    <w:topLinePunct/>
                    <w:adjustRightInd w:val="0"/>
                    <w:snapToGrid w:val="0"/>
                    <w:jc w:val="center"/>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kern w:val="0"/>
                      <w:sz w:val="21"/>
                      <w:szCs w:val="18"/>
                    </w:rPr>
                    <w:t>有机物等</w:t>
                  </w:r>
                </w:p>
              </w:tc>
              <w:tc>
                <w:tcPr>
                  <w:tcW w:w="1202" w:type="dxa"/>
                  <w:vMerge w:val="continue"/>
                  <w:tcBorders>
                    <w:tl2br w:val="nil"/>
                    <w:tr2bl w:val="nil"/>
                  </w:tcBorders>
                  <w:noWrap w:val="0"/>
                  <w:vAlign w:val="center"/>
                </w:tcPr>
                <w:p w14:paraId="66E1C45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0C0D4420">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zh-CN" w:eastAsia="zh-CN"/>
              </w:rPr>
            </w:pPr>
            <w:bookmarkStart w:id="106" w:name="_Toc26172"/>
            <w:r>
              <w:rPr>
                <w:rFonts w:hint="eastAsia"/>
                <w:b/>
                <w:color w:val="262626"/>
                <w:kern w:val="0"/>
                <w:sz w:val="24"/>
                <w:lang w:val="zh-CN" w:eastAsia="zh-CN"/>
              </w:rPr>
              <w:t>4.4.2固废管理要求</w:t>
            </w:r>
            <w:bookmarkEnd w:id="106"/>
          </w:p>
          <w:p w14:paraId="0D55AEB2">
            <w:pPr>
              <w:spacing w:line="360" w:lineRule="auto"/>
              <w:ind w:firstLine="480" w:firstLineChars="200"/>
              <w:rPr>
                <w:color w:val="262626"/>
                <w:sz w:val="24"/>
              </w:rPr>
            </w:pPr>
            <w:r>
              <w:rPr>
                <w:rFonts w:hint="eastAsia"/>
                <w:color w:val="262626"/>
                <w:sz w:val="24"/>
              </w:rPr>
              <w:t>本项目在生产过程中产生的</w:t>
            </w:r>
            <w:r>
              <w:rPr>
                <w:rFonts w:hint="eastAsia"/>
                <w:color w:val="262626"/>
                <w:sz w:val="24"/>
                <w:lang w:val="en-US" w:eastAsia="zh-CN"/>
              </w:rPr>
              <w:t>塑料</w:t>
            </w:r>
            <w:r>
              <w:rPr>
                <w:rFonts w:hint="eastAsia"/>
                <w:color w:val="262626"/>
                <w:sz w:val="24"/>
              </w:rPr>
              <w:t>边角料</w:t>
            </w:r>
            <w:r>
              <w:rPr>
                <w:rFonts w:hint="eastAsia"/>
                <w:color w:val="262626"/>
                <w:sz w:val="24"/>
                <w:lang w:val="en-US" w:eastAsia="zh-CN"/>
              </w:rPr>
              <w:t>及次品</w:t>
            </w:r>
            <w:r>
              <w:rPr>
                <w:rFonts w:hint="eastAsia"/>
                <w:color w:val="262626"/>
                <w:sz w:val="24"/>
              </w:rPr>
              <w:t>、废包装材料</w:t>
            </w:r>
            <w:r>
              <w:rPr>
                <w:color w:val="262626"/>
                <w:sz w:val="24"/>
              </w:rPr>
              <w:t>等一般工业固废，经</w:t>
            </w:r>
            <w:r>
              <w:rPr>
                <w:rFonts w:hint="eastAsia"/>
                <w:color w:val="262626"/>
                <w:sz w:val="24"/>
              </w:rPr>
              <w:t>分类</w:t>
            </w:r>
            <w:r>
              <w:rPr>
                <w:color w:val="262626"/>
                <w:sz w:val="24"/>
              </w:rPr>
              <w:t>收集后出售给回收企业回收利用</w:t>
            </w:r>
            <w:r>
              <w:rPr>
                <w:rFonts w:hint="eastAsia"/>
                <w:color w:val="262626"/>
                <w:sz w:val="24"/>
              </w:rPr>
              <w:t>或自行综合利用</w:t>
            </w:r>
            <w:r>
              <w:rPr>
                <w:color w:val="262626"/>
                <w:sz w:val="24"/>
              </w:rPr>
              <w:t>，本评价要求项目产生的一般工业固废应按《一般工业固体废物贮存和填埋污染控制标准》</w:t>
            </w:r>
            <w:r>
              <w:rPr>
                <w:rFonts w:hint="eastAsia"/>
                <w:color w:val="262626"/>
                <w:sz w:val="24"/>
                <w:lang w:eastAsia="zh-CN"/>
              </w:rPr>
              <w:t>（</w:t>
            </w:r>
            <w:r>
              <w:rPr>
                <w:color w:val="262626"/>
                <w:sz w:val="24"/>
              </w:rPr>
              <w:t>GB 18599-2020</w:t>
            </w:r>
            <w:r>
              <w:rPr>
                <w:rFonts w:hint="eastAsia"/>
                <w:color w:val="262626"/>
                <w:sz w:val="24"/>
                <w:lang w:eastAsia="zh-CN"/>
              </w:rPr>
              <w:t>）</w:t>
            </w:r>
            <w:r>
              <w:rPr>
                <w:color w:val="262626"/>
                <w:sz w:val="24"/>
              </w:rPr>
              <w:t>要求进行规范化的</w:t>
            </w:r>
            <w:r>
              <w:rPr>
                <w:rFonts w:hint="eastAsia"/>
                <w:color w:val="262626"/>
                <w:sz w:val="24"/>
              </w:rPr>
              <w:t>暂存管理</w:t>
            </w:r>
            <w:r>
              <w:rPr>
                <w:color w:val="262626"/>
                <w:sz w:val="24"/>
              </w:rPr>
              <w:t>，并做好</w:t>
            </w:r>
            <w:r>
              <w:rPr>
                <w:rFonts w:hint="eastAsia"/>
                <w:color w:val="262626"/>
                <w:sz w:val="24"/>
              </w:rPr>
              <w:t>防雨、防漏、防渗</w:t>
            </w:r>
            <w:r>
              <w:rPr>
                <w:color w:val="262626"/>
                <w:sz w:val="24"/>
              </w:rPr>
              <w:t>等措施。</w:t>
            </w:r>
          </w:p>
          <w:p w14:paraId="027F582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07" w:name="_Toc16081"/>
            <w:r>
              <w:rPr>
                <w:rFonts w:hint="eastAsia"/>
                <w:b/>
                <w:color w:val="262626"/>
                <w:kern w:val="0"/>
                <w:sz w:val="24"/>
                <w:lang w:val="zh-CN" w:eastAsia="zh-CN"/>
              </w:rPr>
              <w:t>4.4.3危险废物管理要求</w:t>
            </w:r>
            <w:bookmarkEnd w:id="107"/>
          </w:p>
          <w:p w14:paraId="1309B6B8">
            <w:pPr>
              <w:pStyle w:val="36"/>
              <w:spacing w:line="360" w:lineRule="auto"/>
              <w:ind w:firstLine="480"/>
              <w:rPr>
                <w:rFonts w:ascii="Times New Roman" w:hAnsi="Times New Roman" w:eastAsia="宋体" w:cs="Times New Roman"/>
                <w:color w:val="262626"/>
                <w:kern w:val="2"/>
                <w:sz w:val="24"/>
                <w:szCs w:val="24"/>
                <w:lang w:val="en-US" w:eastAsia="zh-CN" w:bidi="ar-SA"/>
              </w:rPr>
            </w:pPr>
            <w:r>
              <w:rPr>
                <w:rFonts w:hint="eastAsia" w:ascii="Times New Roman" w:hAnsi="Times New Roman" w:eastAsia="宋体" w:cs="Times New Roman"/>
                <w:color w:val="262626"/>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5F5E1580">
            <w:pPr>
              <w:spacing w:line="360" w:lineRule="auto"/>
              <w:ind w:firstLine="480" w:firstLineChars="200"/>
              <w:rPr>
                <w:rFonts w:hint="eastAsia"/>
                <w:color w:val="262626"/>
                <w:sz w:val="24"/>
              </w:rPr>
            </w:pPr>
            <w:r>
              <w:rPr>
                <w:rFonts w:hint="eastAsia"/>
                <w:color w:val="262626"/>
                <w:sz w:val="24"/>
                <w:lang w:eastAsia="zh-CN"/>
              </w:rPr>
              <w:t>（</w:t>
            </w:r>
            <w:r>
              <w:rPr>
                <w:rFonts w:hint="eastAsia"/>
                <w:color w:val="262626"/>
                <w:sz w:val="24"/>
                <w:lang w:val="en-US" w:eastAsia="zh-CN"/>
              </w:rPr>
              <w:t>1）</w:t>
            </w:r>
            <w:r>
              <w:rPr>
                <w:rFonts w:hint="eastAsia"/>
                <w:color w:val="262626"/>
                <w:sz w:val="24"/>
              </w:rPr>
              <w:t>危险废物的收集包装</w:t>
            </w:r>
          </w:p>
          <w:p w14:paraId="0A5D088B">
            <w:pPr>
              <w:spacing w:line="360" w:lineRule="auto"/>
              <w:ind w:firstLine="480" w:firstLineChars="200"/>
              <w:rPr>
                <w:rFonts w:hint="eastAsia"/>
                <w:color w:val="262626"/>
                <w:sz w:val="24"/>
              </w:rPr>
            </w:pPr>
            <w:r>
              <w:rPr>
                <w:rFonts w:hint="eastAsia"/>
                <w:color w:val="262626"/>
                <w:sz w:val="24"/>
                <w:lang w:val="en-US" w:eastAsia="zh-CN"/>
              </w:rPr>
              <w:t>①</w:t>
            </w:r>
            <w:r>
              <w:rPr>
                <w:rFonts w:hint="eastAsia"/>
                <w:color w:val="262626"/>
                <w:sz w:val="24"/>
              </w:rPr>
              <w:t>有符合要求的包装容器、收集人员的个人防护设备；</w:t>
            </w:r>
          </w:p>
          <w:p w14:paraId="0755364A">
            <w:pPr>
              <w:spacing w:line="360" w:lineRule="auto"/>
              <w:ind w:firstLine="480" w:firstLineChars="200"/>
              <w:rPr>
                <w:rFonts w:hint="eastAsia"/>
                <w:color w:val="262626"/>
                <w:sz w:val="24"/>
              </w:rPr>
            </w:pPr>
            <w:r>
              <w:rPr>
                <w:rFonts w:hint="eastAsia"/>
                <w:color w:val="262626"/>
                <w:sz w:val="24"/>
                <w:lang w:val="en-US" w:eastAsia="zh-CN"/>
              </w:rPr>
              <w:t>②</w:t>
            </w:r>
            <w:r>
              <w:rPr>
                <w:rFonts w:hint="eastAsia"/>
                <w:color w:val="262626"/>
                <w:sz w:val="24"/>
              </w:rPr>
              <w:t>危险废物的收集容器应在醒目位置贴有危险废物标签，在收集场所醒目的地方设置危险废物警告标识。</w:t>
            </w:r>
          </w:p>
          <w:p w14:paraId="26368B7D">
            <w:pPr>
              <w:spacing w:line="360" w:lineRule="auto"/>
              <w:ind w:firstLine="480" w:firstLineChars="200"/>
              <w:rPr>
                <w:rFonts w:hint="eastAsia"/>
                <w:color w:val="262626"/>
                <w:sz w:val="24"/>
              </w:rPr>
            </w:pPr>
            <w:r>
              <w:rPr>
                <w:rFonts w:hint="eastAsia"/>
                <w:color w:val="262626"/>
                <w:sz w:val="24"/>
                <w:lang w:val="en-US" w:eastAsia="zh-CN"/>
              </w:rPr>
              <w:t>③</w:t>
            </w:r>
            <w:r>
              <w:rPr>
                <w:rFonts w:hint="eastAsia"/>
                <w:color w:val="262626"/>
                <w:sz w:val="24"/>
              </w:rPr>
              <w:t xml:space="preserve">危险废物标签应标明以下信息：主要化学成分或危险废物名称、数量、物理形态、危险类别、安全措施以及危险废物产生单位名称、地址、联系人及电话。 </w:t>
            </w:r>
          </w:p>
          <w:p w14:paraId="240F6C6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eastAsia="zh-CN"/>
              </w:rPr>
              <w:t>（</w:t>
            </w:r>
            <w:r>
              <w:rPr>
                <w:rFonts w:hint="eastAsia" w:ascii="Times New Roman" w:hAnsi="Times New Roman" w:eastAsia="宋体" w:cs="Times New Roman"/>
                <w:color w:val="262626"/>
                <w:sz w:val="24"/>
                <w:lang w:val="en-US" w:eastAsia="zh-CN"/>
              </w:rPr>
              <w:t>2）</w:t>
            </w:r>
            <w:r>
              <w:rPr>
                <w:rFonts w:hint="eastAsia" w:ascii="Times New Roman" w:hAnsi="Times New Roman" w:eastAsia="宋体" w:cs="Times New Roman"/>
                <w:color w:val="262626"/>
                <w:sz w:val="24"/>
              </w:rPr>
              <w:t>危险废物的暂存要求</w:t>
            </w:r>
          </w:p>
          <w:p w14:paraId="3C77500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a.一般规定：</w:t>
            </w:r>
          </w:p>
          <w:p w14:paraId="62A579F3">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①应根据危险废物的形态、物理化学性质、包装形式和污染物迁移途径，采取必要的防风、防晒、防雨、防漏、防渗、防腐以及其他环境污染防治措施，不应露天堆放危险废物；</w:t>
            </w:r>
          </w:p>
          <w:p w14:paraId="48E007E2">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②应根据危险废物的类别、数量、形态、物理化学性质和污染防治等要求设置必要的贮存分区，避免不相容的危险废物接触、混合；</w:t>
            </w:r>
          </w:p>
          <w:p w14:paraId="42CB5B1E">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③地面、墙面</w:t>
            </w:r>
            <w:r>
              <w:rPr>
                <w:rFonts w:hint="eastAsia" w:cs="Times New Roman"/>
                <w:color w:val="262626"/>
                <w:sz w:val="24"/>
                <w:lang w:eastAsia="zh-CN"/>
              </w:rPr>
              <w:t>裙角</w:t>
            </w:r>
            <w:r>
              <w:rPr>
                <w:rFonts w:hint="eastAsia" w:ascii="Times New Roman" w:hAnsi="Times New Roman" w:eastAsia="宋体" w:cs="Times New Roman"/>
                <w:color w:val="262626"/>
                <w:sz w:val="24"/>
              </w:rPr>
              <w:t>、堵截泄漏的围堰、接触危险废物的隔板和墙体等应采用坚固的材料建造，表面无裂缝；</w:t>
            </w:r>
          </w:p>
          <w:p w14:paraId="145A4D1B">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④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262626"/>
                <w:sz w:val="24"/>
                <w:lang w:eastAsia="zh-CN"/>
              </w:rPr>
              <w:t>—</w:t>
            </w:r>
            <w:r>
              <w:rPr>
                <w:rFonts w:hint="eastAsia" w:ascii="Times New Roman" w:hAnsi="Times New Roman" w:eastAsia="宋体" w:cs="Times New Roman"/>
                <w:color w:val="262626"/>
                <w:sz w:val="24"/>
                <w:vertAlign w:val="superscript"/>
              </w:rPr>
              <w:t>7</w:t>
            </w:r>
            <w:r>
              <w:rPr>
                <w:rFonts w:hint="eastAsia" w:ascii="Times New Roman" w:hAnsi="Times New Roman" w:eastAsia="宋体" w:cs="Times New Roman"/>
                <w:color w:val="262626"/>
                <w:sz w:val="24"/>
              </w:rPr>
              <w:t>cm/s），或至少2mm厚高密度聚乙烯膜等人工防渗材料（渗透系数不大于10</w:t>
            </w:r>
            <w:r>
              <w:rPr>
                <w:rFonts w:hint="eastAsia" w:cs="Times New Roman"/>
                <w:color w:val="262626"/>
                <w:sz w:val="24"/>
                <w:lang w:eastAsia="zh-CN"/>
              </w:rPr>
              <w:t>—</w:t>
            </w:r>
            <w:r>
              <w:rPr>
                <w:rFonts w:hint="eastAsia" w:ascii="Times New Roman" w:hAnsi="Times New Roman" w:eastAsia="宋体" w:cs="Times New Roman"/>
                <w:color w:val="262626"/>
                <w:sz w:val="24"/>
                <w:vertAlign w:val="superscript"/>
              </w:rPr>
              <w:t>10</w:t>
            </w:r>
            <w:r>
              <w:rPr>
                <w:rFonts w:hint="eastAsia" w:ascii="Times New Roman" w:hAnsi="Times New Roman" w:eastAsia="宋体" w:cs="Times New Roman"/>
                <w:color w:val="262626"/>
                <w:sz w:val="24"/>
              </w:rPr>
              <w:t>cm/s），或其他防渗性能等效的材料；</w:t>
            </w:r>
          </w:p>
          <w:p w14:paraId="298F15A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⑤应采取技术和管理措施防止无关人员进入。</w:t>
            </w:r>
          </w:p>
          <w:p w14:paraId="61235497">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lang w:val="en-US" w:eastAsia="zh-CN"/>
              </w:rPr>
              <w:t>（3）</w:t>
            </w:r>
            <w:r>
              <w:rPr>
                <w:rFonts w:hint="eastAsia" w:ascii="Times New Roman" w:hAnsi="Times New Roman" w:eastAsia="宋体" w:cs="Times New Roman"/>
                <w:color w:val="262626"/>
                <w:sz w:val="24"/>
              </w:rPr>
              <w:t>危险废物转移要求</w:t>
            </w:r>
          </w:p>
          <w:p w14:paraId="1EFB77EF">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根据《危险废物转移管理办法》，危险废物转移过程应满足以下要求：</w:t>
            </w:r>
          </w:p>
          <w:p w14:paraId="02B3BF66">
            <w:pPr>
              <w:spacing w:line="360" w:lineRule="auto"/>
              <w:ind w:firstLine="480" w:firstLineChars="200"/>
              <w:rPr>
                <w:rFonts w:hint="eastAsia" w:ascii="Times New Roman" w:hAnsi="Times New Roman" w:eastAsia="宋体" w:cs="Times New Roman"/>
                <w:color w:val="262626"/>
                <w:sz w:val="24"/>
              </w:rPr>
            </w:pPr>
            <w:r>
              <w:rPr>
                <w:rFonts w:hint="eastAsia" w:ascii="Times New Roman" w:hAnsi="Times New Roman" w:eastAsia="宋体" w:cs="Times New Roman"/>
                <w:color w:val="262626"/>
                <w:sz w:val="24"/>
              </w:rPr>
              <w:t>①危险废物转移联单应当根据危险废物管理计划中填报的危险废物转移等备案信息填写、运行。</w:t>
            </w:r>
          </w:p>
          <w:p w14:paraId="0CA52CB0">
            <w:pPr>
              <w:pStyle w:val="65"/>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03180508">
            <w:pPr>
              <w:pStyle w:val="65"/>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2DE1F508">
            <w:pPr>
              <w:pStyle w:val="65"/>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75D7B869">
            <w:pPr>
              <w:pStyle w:val="65"/>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19F1EB9B">
            <w:pPr>
              <w:pStyle w:val="65"/>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1CC10A97">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751D2C64">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危险废物运输和转移过程需注意：</w:t>
            </w:r>
          </w:p>
          <w:p w14:paraId="4518086C">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1D2B0BA4">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316885BA">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5967CC8E">
            <w:pPr>
              <w:pStyle w:val="65"/>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35EEEE4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8" w:name="_Toc4946"/>
            <w:r>
              <w:rPr>
                <w:rFonts w:hint="eastAsia" w:ascii="Times New Roman" w:hAnsi="Times New Roman" w:eastAsia="宋体" w:cs="Times New Roman"/>
                <w:color w:val="auto"/>
                <w:sz w:val="28"/>
                <w:szCs w:val="28"/>
                <w:u w:val="none"/>
                <w:lang w:val="en-US" w:eastAsia="zh-CN"/>
              </w:rPr>
              <w:t>4.5地下水、土壤环境影响和保护措施</w:t>
            </w:r>
            <w:bookmarkEnd w:id="108"/>
          </w:p>
          <w:p w14:paraId="7BAEA64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09" w:name="_Toc4094"/>
            <w:r>
              <w:rPr>
                <w:rFonts w:hint="eastAsia"/>
                <w:b/>
                <w:color w:val="262626"/>
                <w:kern w:val="0"/>
                <w:sz w:val="24"/>
                <w:lang w:val="zh-CN" w:eastAsia="zh-CN"/>
              </w:rPr>
              <w:t>4.5.1 地下水、土壤环境影响分析</w:t>
            </w:r>
            <w:bookmarkEnd w:id="109"/>
          </w:p>
          <w:p w14:paraId="50D9F3ED">
            <w:pPr>
              <w:pStyle w:val="59"/>
              <w:spacing w:line="360" w:lineRule="auto"/>
              <w:ind w:firstLine="480"/>
              <w:rPr>
                <w:rFonts w:hint="eastAsia" w:ascii="Times New Roman" w:hAnsi="Times New Roman"/>
                <w:bCs w:val="0"/>
                <w:color w:val="262626"/>
                <w:szCs w:val="24"/>
              </w:rPr>
            </w:pPr>
            <w:r>
              <w:rPr>
                <w:rFonts w:hint="eastAsia" w:ascii="Times New Roman" w:hAnsi="Times New Roman"/>
                <w:bCs w:val="0"/>
                <w:color w:val="262626"/>
                <w:szCs w:val="24"/>
              </w:rPr>
              <w:t>地下水环境：</w:t>
            </w:r>
            <w:r>
              <w:rPr>
                <w:rFonts w:ascii="Times New Roman" w:hAnsi="Times New Roman"/>
                <w:bCs w:val="0"/>
                <w:color w:val="262626"/>
                <w:szCs w:val="24"/>
              </w:rPr>
              <w:t>本项目生活用水全部采用自来水，不取用地下水，项目对区域地下水环境可能造成影响的污染源主要是化粪池、危废暂存间。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化粪池</w:t>
            </w:r>
            <w:r>
              <w:rPr>
                <w:rFonts w:hint="eastAsia" w:ascii="Times New Roman" w:hAnsi="Times New Roman"/>
                <w:bCs w:val="0"/>
                <w:color w:val="262626"/>
                <w:szCs w:val="24"/>
              </w:rPr>
              <w:t>、</w:t>
            </w:r>
            <w:r>
              <w:rPr>
                <w:rFonts w:ascii="Times New Roman" w:hAnsi="Times New Roman"/>
                <w:bCs w:val="0"/>
                <w:color w:val="262626"/>
                <w:szCs w:val="24"/>
              </w:rPr>
              <w:t>危废暂存间场地、污水管网系统堵塞、管道破裂破损情况下等污水下渗对地下水造成的污染</w:t>
            </w:r>
            <w:r>
              <w:rPr>
                <w:rFonts w:hint="eastAsia" w:ascii="Times New Roman" w:hAnsi="Times New Roman"/>
                <w:bCs w:val="0"/>
                <w:color w:val="262626"/>
                <w:szCs w:val="24"/>
              </w:rPr>
              <w:t>。</w:t>
            </w:r>
          </w:p>
          <w:p w14:paraId="009F5677">
            <w:pPr>
              <w:pStyle w:val="59"/>
              <w:spacing w:line="360" w:lineRule="auto"/>
              <w:ind w:firstLine="480"/>
              <w:rPr>
                <w:rFonts w:ascii="Times New Roman" w:hAnsi="Times New Roman"/>
                <w:bCs w:val="0"/>
                <w:color w:val="262626"/>
                <w:szCs w:val="24"/>
              </w:rPr>
            </w:pPr>
            <w:r>
              <w:rPr>
                <w:rFonts w:hint="eastAsia" w:ascii="Times New Roman" w:hAnsi="Times New Roman"/>
                <w:bCs w:val="0"/>
                <w:color w:val="262626"/>
                <w:szCs w:val="24"/>
              </w:rPr>
              <w:t>土壤环境：</w:t>
            </w:r>
            <w:r>
              <w:rPr>
                <w:rFonts w:ascii="Times New Roman" w:hAnsi="Times New Roman"/>
                <w:bCs w:val="0"/>
                <w:color w:val="262626"/>
                <w:szCs w:val="24"/>
              </w:rPr>
              <w:t>项目对区域</w:t>
            </w:r>
            <w:r>
              <w:rPr>
                <w:rFonts w:hint="eastAsia" w:ascii="Times New Roman" w:hAnsi="Times New Roman"/>
                <w:bCs w:val="0"/>
                <w:color w:val="262626"/>
                <w:szCs w:val="24"/>
              </w:rPr>
              <w:t>土壤</w:t>
            </w:r>
            <w:r>
              <w:rPr>
                <w:rFonts w:ascii="Times New Roman" w:hAnsi="Times New Roman"/>
                <w:bCs w:val="0"/>
                <w:color w:val="262626"/>
                <w:szCs w:val="24"/>
              </w:rPr>
              <w:t>环境可能造成影响的污染源主要是</w:t>
            </w:r>
            <w:r>
              <w:rPr>
                <w:rFonts w:hint="eastAsia" w:ascii="Times New Roman" w:hAnsi="Times New Roman"/>
                <w:bCs w:val="0"/>
                <w:color w:val="262626"/>
                <w:szCs w:val="24"/>
              </w:rPr>
              <w:t>生产产生的有机废气沉降、</w:t>
            </w:r>
            <w:r>
              <w:rPr>
                <w:rFonts w:ascii="Times New Roman" w:hAnsi="Times New Roman"/>
                <w:bCs w:val="0"/>
                <w:color w:val="262626"/>
                <w:szCs w:val="24"/>
              </w:rPr>
              <w:t>化粪池、危废暂存间。</w:t>
            </w:r>
            <w:r>
              <w:rPr>
                <w:rFonts w:hint="eastAsia" w:ascii="Times New Roman" w:hAnsi="Times New Roman"/>
                <w:bCs w:val="0"/>
                <w:color w:val="262626"/>
                <w:szCs w:val="24"/>
              </w:rPr>
              <w:t>主要影响途径为</w:t>
            </w:r>
            <w:r>
              <w:rPr>
                <w:rFonts w:ascii="Times New Roman" w:hAnsi="Times New Roman"/>
                <w:bCs w:val="0"/>
                <w:color w:val="262626"/>
                <w:szCs w:val="24"/>
              </w:rPr>
              <w:t>有机废气大气沉降影响，以及废水设施及排放管道发生泄漏和危险废物贮存、运输过程中发生泄漏或渗漏，污染因子受土壤的截留作用，因而改变土壤理化性质，影响植物的生长和发育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262626"/>
                <w:szCs w:val="24"/>
              </w:rPr>
              <w:t>。</w:t>
            </w:r>
          </w:p>
          <w:p w14:paraId="49C919F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262626"/>
                <w:kern w:val="0"/>
                <w:sz w:val="24"/>
                <w:lang w:val="zh-CN" w:eastAsia="zh-CN"/>
              </w:rPr>
            </w:pPr>
            <w:bookmarkStart w:id="110" w:name="_Toc11422"/>
            <w:r>
              <w:rPr>
                <w:rFonts w:hint="eastAsia"/>
                <w:b/>
                <w:color w:val="262626"/>
                <w:kern w:val="0"/>
                <w:sz w:val="24"/>
                <w:lang w:val="zh-CN" w:eastAsia="zh-CN"/>
              </w:rPr>
              <w:t>4.5.2 地下水、土壤环境防控措施</w:t>
            </w:r>
            <w:bookmarkEnd w:id="110"/>
          </w:p>
          <w:p w14:paraId="451A2333">
            <w:pPr>
              <w:pStyle w:val="59"/>
              <w:spacing w:line="360" w:lineRule="auto"/>
              <w:ind w:firstLine="480"/>
              <w:rPr>
                <w:rFonts w:ascii="Times New Roman" w:hAnsi="Times New Roman"/>
                <w:szCs w:val="24"/>
              </w:rPr>
            </w:pPr>
            <w:r>
              <w:rPr>
                <w:rFonts w:hint="eastAsia" w:ascii="Times New Roman" w:hAnsi="Times New Roman"/>
                <w:szCs w:val="24"/>
              </w:rPr>
              <w:t>（</w:t>
            </w:r>
            <w:r>
              <w:rPr>
                <w:rFonts w:ascii="Times New Roman" w:hAnsi="Times New Roman"/>
                <w:szCs w:val="24"/>
              </w:rPr>
              <w:t>1）重点污染区防渗措施为：</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的要求，重点防治区的防渗性能应等效黏土防渗层≥6.0m，渗透系数≤1.0×10</w:t>
            </w:r>
            <w:r>
              <w:rPr>
                <w:rFonts w:hint="eastAsia"/>
                <w:color w:val="262626"/>
                <w:kern w:val="0"/>
                <w:lang w:eastAsia="zh-CN"/>
              </w:rPr>
              <w:t>—</w:t>
            </w:r>
            <w:r>
              <w:rPr>
                <w:rFonts w:ascii="Times New Roman" w:hAnsi="Times New Roman"/>
                <w:color w:val="262626"/>
                <w:kern w:val="0"/>
                <w:vertAlign w:val="superscript"/>
              </w:rPr>
              <w:t>7</w:t>
            </w:r>
            <w:r>
              <w:rPr>
                <w:rFonts w:ascii="Times New Roman" w:hAnsi="Times New Roman"/>
                <w:color w:val="262626"/>
                <w:kern w:val="0"/>
              </w:rPr>
              <w:t>cm/s。危险废物暂存场重点防渗区应按照《危险废物污染防治技术政策》及</w:t>
            </w:r>
            <w:r>
              <w:rPr>
                <w:rFonts w:ascii="Times New Roman" w:hAnsi="Times New Roman"/>
                <w:color w:val="262626"/>
              </w:rPr>
              <w:t>《危险废物贮存污染控制标准》</w:t>
            </w:r>
            <w:r>
              <w:rPr>
                <w:rFonts w:hint="eastAsia"/>
                <w:color w:val="262626"/>
                <w:lang w:eastAsia="zh-CN"/>
              </w:rPr>
              <w:t>（</w:t>
            </w:r>
            <w:r>
              <w:rPr>
                <w:rFonts w:ascii="Times New Roman" w:hAnsi="Times New Roman"/>
                <w:color w:val="262626"/>
              </w:rPr>
              <w:t>GB18597-2023</w:t>
            </w:r>
            <w:r>
              <w:rPr>
                <w:rFonts w:hint="eastAsia"/>
                <w:color w:val="262626"/>
                <w:lang w:eastAsia="zh-CN"/>
              </w:rPr>
              <w:t>）</w:t>
            </w:r>
            <w:r>
              <w:rPr>
                <w:rFonts w:ascii="Times New Roman" w:hAnsi="Times New Roman"/>
                <w:color w:val="262626"/>
                <w:kern w:val="0"/>
              </w:rPr>
              <w:t>等危险废物处理的相关标准、法律法规的要求</w:t>
            </w:r>
            <w:r>
              <w:rPr>
                <w:rFonts w:ascii="Times New Roman" w:hAnsi="Times New Roman"/>
                <w:szCs w:val="24"/>
              </w:rPr>
              <w:t>；</w:t>
            </w:r>
          </w:p>
          <w:p w14:paraId="74E6B574">
            <w:pPr>
              <w:pStyle w:val="59"/>
              <w:spacing w:line="360" w:lineRule="auto"/>
              <w:ind w:firstLine="480"/>
              <w:rPr>
                <w:color w:val="262626"/>
              </w:rPr>
            </w:pPr>
            <w:bookmarkStart w:id="111" w:name="_Toc12701"/>
            <w:bookmarkStart w:id="112" w:name="_Toc3195"/>
            <w:bookmarkStart w:id="113" w:name="_Toc15205"/>
            <w:bookmarkStart w:id="114" w:name="_Toc9711"/>
            <w:bookmarkStart w:id="115" w:name="_Toc19130"/>
            <w:r>
              <w:rPr>
                <w:rFonts w:ascii="Times New Roman" w:hAnsi="Times New Roman"/>
                <w:szCs w:val="24"/>
              </w:rPr>
              <w:t>（2）一般污染区防渗措施：</w:t>
            </w:r>
            <w:r>
              <w:rPr>
                <w:rFonts w:ascii="Times New Roman" w:hAnsi="Times New Roman"/>
                <w:color w:val="262626"/>
                <w:szCs w:val="24"/>
              </w:rPr>
              <w:t>一般工业固废间、项目生产车间、</w:t>
            </w:r>
            <w:r>
              <w:rPr>
                <w:rFonts w:ascii="Times New Roman" w:hAnsi="Times New Roman"/>
                <w:szCs w:val="24"/>
              </w:rPr>
              <w:t>化粪池地面采取防渗水泥固化。</w:t>
            </w:r>
            <w:r>
              <w:rPr>
                <w:rFonts w:ascii="Times New Roman" w:hAnsi="Times New Roman"/>
                <w:color w:val="262626"/>
                <w:kern w:val="0"/>
              </w:rPr>
              <w:t>根据《环境影响评价技术导则地下水环境》</w:t>
            </w:r>
            <w:r>
              <w:rPr>
                <w:rFonts w:hint="eastAsia"/>
                <w:color w:val="262626"/>
                <w:kern w:val="0"/>
                <w:lang w:eastAsia="zh-CN"/>
              </w:rPr>
              <w:t>（</w:t>
            </w:r>
            <w:r>
              <w:rPr>
                <w:rFonts w:ascii="Times New Roman" w:hAnsi="Times New Roman"/>
                <w:color w:val="262626"/>
                <w:kern w:val="0"/>
              </w:rPr>
              <w:t>HJ610-2016</w:t>
            </w:r>
            <w:r>
              <w:rPr>
                <w:rFonts w:hint="eastAsia"/>
                <w:color w:val="262626"/>
                <w:kern w:val="0"/>
                <w:lang w:eastAsia="zh-CN"/>
              </w:rPr>
              <w:t>）</w:t>
            </w:r>
            <w:r>
              <w:rPr>
                <w:rFonts w:ascii="Times New Roman" w:hAnsi="Times New Roman"/>
                <w:color w:val="262626"/>
                <w:kern w:val="0"/>
              </w:rPr>
              <w:t>，一般防渗区的防渗性能等效黏土防渗层≥1.5m，渗透系数≤1.0×10</w:t>
            </w:r>
            <w:r>
              <w:rPr>
                <w:rFonts w:hint="eastAsia"/>
                <w:color w:val="262626"/>
                <w:kern w:val="0"/>
                <w:lang w:eastAsia="zh-CN"/>
              </w:rPr>
              <w:t>—</w:t>
            </w:r>
            <w:r>
              <w:rPr>
                <w:rFonts w:ascii="Times New Roman" w:hAnsi="Times New Roman"/>
                <w:color w:val="262626"/>
                <w:kern w:val="0"/>
                <w:vertAlign w:val="superscript"/>
              </w:rPr>
              <w:t>7</w:t>
            </w:r>
            <w:r>
              <w:rPr>
                <w:rFonts w:ascii="Times New Roman" w:hAnsi="Times New Roman"/>
                <w:color w:val="262626"/>
                <w:kern w:val="0"/>
              </w:rPr>
              <w:t>cm/s。一般工业固体废物暂存场一般防渗区应按照</w:t>
            </w:r>
            <w:r>
              <w:rPr>
                <w:rFonts w:ascii="Times New Roman" w:hAnsi="Times New Roman"/>
                <w:color w:val="262626"/>
              </w:rPr>
              <w:t>《一般工业固体废物贮存和填埋污染控制标准》</w:t>
            </w:r>
            <w:r>
              <w:rPr>
                <w:rFonts w:hint="eastAsia"/>
                <w:color w:val="262626"/>
                <w:lang w:eastAsia="zh-CN"/>
              </w:rPr>
              <w:t>（</w:t>
            </w:r>
            <w:r>
              <w:rPr>
                <w:rFonts w:ascii="Times New Roman" w:hAnsi="Times New Roman"/>
                <w:color w:val="262626"/>
              </w:rPr>
              <w:t>GB 18599-2020</w:t>
            </w:r>
            <w:r>
              <w:rPr>
                <w:rFonts w:hint="eastAsia"/>
                <w:color w:val="262626"/>
                <w:lang w:eastAsia="zh-CN"/>
              </w:rPr>
              <w:t>）</w:t>
            </w:r>
            <w:r>
              <w:rPr>
                <w:rFonts w:ascii="Times New Roman" w:hAnsi="Times New Roman"/>
                <w:color w:val="262626"/>
              </w:rPr>
              <w:t>中要求</w:t>
            </w:r>
            <w:r>
              <w:rPr>
                <w:rFonts w:ascii="Times New Roman" w:hAnsi="Times New Roman"/>
                <w:color w:val="262626"/>
                <w:kern w:val="0"/>
              </w:rPr>
              <w:t>进行设计</w:t>
            </w:r>
            <w:r>
              <w:rPr>
                <w:rFonts w:hint="eastAsia"/>
                <w:color w:val="262626"/>
                <w:kern w:val="0"/>
                <w:lang w:eastAsia="zh-CN"/>
              </w:rPr>
              <w:t>且</w:t>
            </w:r>
            <w:r>
              <w:rPr>
                <w:rFonts w:ascii="Times New Roman" w:hAnsi="Times New Roman"/>
                <w:color w:val="262626"/>
              </w:rPr>
              <w:t>具有防雨、防渗、防</w:t>
            </w:r>
            <w:r>
              <w:rPr>
                <w:color w:val="262626"/>
              </w:rPr>
              <w:t>风、防日晒的功能。</w:t>
            </w:r>
          </w:p>
          <w:bookmarkEnd w:id="111"/>
          <w:bookmarkEnd w:id="112"/>
          <w:bookmarkEnd w:id="113"/>
          <w:bookmarkEnd w:id="114"/>
          <w:bookmarkEnd w:id="115"/>
          <w:p w14:paraId="4AA20194">
            <w:pPr>
              <w:pStyle w:val="59"/>
              <w:spacing w:line="360" w:lineRule="auto"/>
              <w:ind w:firstLine="480"/>
              <w:rPr>
                <w:rFonts w:hint="eastAsia" w:ascii="Times New Roman" w:hAnsi="Times New Roman"/>
                <w:szCs w:val="24"/>
              </w:rPr>
            </w:pPr>
            <w:r>
              <w:rPr>
                <w:rFonts w:ascii="Times New Roman" w:hAnsi="Times New Roman"/>
                <w:szCs w:val="24"/>
              </w:rPr>
              <w:t>（3）污水管网系统堵塞、管道破裂、破损情况</w:t>
            </w:r>
            <w:r>
              <w:rPr>
                <w:rFonts w:hint="eastAsia"/>
                <w:szCs w:val="24"/>
                <w:lang w:eastAsia="zh-CN"/>
              </w:rPr>
              <w:t>下</w:t>
            </w:r>
            <w:r>
              <w:rPr>
                <w:rFonts w:ascii="Times New Roman" w:hAnsi="Times New Roman"/>
                <w:szCs w:val="24"/>
              </w:rPr>
              <w:t>污水下渗可能会对地下水造成污染，但这种情况发生的</w:t>
            </w:r>
            <w:r>
              <w:rPr>
                <w:rFonts w:hint="eastAsia"/>
                <w:szCs w:val="24"/>
                <w:lang w:eastAsia="zh-CN"/>
              </w:rPr>
              <w:t>概率</w:t>
            </w:r>
            <w:r>
              <w:rPr>
                <w:rFonts w:ascii="Times New Roman" w:hAnsi="Times New Roman"/>
                <w:szCs w:val="24"/>
              </w:rPr>
              <w:t>很小，其避免措施是：在污水管道设计中，要选择适当的设计流速和充满度，防止污泥沉积；选择合适的防腐管材，注意其封闭性，防止污水</w:t>
            </w:r>
            <w:r>
              <w:rPr>
                <w:rFonts w:hint="eastAsia"/>
                <w:szCs w:val="24"/>
                <w:lang w:eastAsia="zh-CN"/>
              </w:rPr>
              <w:t>“</w:t>
            </w:r>
            <w:r>
              <w:rPr>
                <w:rFonts w:ascii="Times New Roman" w:hAnsi="Times New Roman"/>
                <w:szCs w:val="24"/>
              </w:rPr>
              <w:t>跑、冒、滴、漏</w:t>
            </w:r>
            <w:r>
              <w:rPr>
                <w:rFonts w:hint="eastAsia"/>
                <w:szCs w:val="24"/>
                <w:lang w:eastAsia="zh-CN"/>
              </w:rPr>
              <w:t>”</w:t>
            </w:r>
            <w:r>
              <w:rPr>
                <w:rFonts w:ascii="Times New Roman" w:hAnsi="Times New Roman"/>
                <w:szCs w:val="24"/>
              </w:rPr>
              <w:t>；制定严格的污水管网维修制度；建设单位应严禁固体废物排入下水管道，环保部门应与市政部门密切配合，强化监测与管理工作</w:t>
            </w:r>
            <w:r>
              <w:rPr>
                <w:rFonts w:hint="eastAsia" w:ascii="Times New Roman" w:hAnsi="Times New Roman"/>
                <w:szCs w:val="24"/>
              </w:rPr>
              <w:t>；</w:t>
            </w:r>
          </w:p>
          <w:p w14:paraId="07D3AB6C">
            <w:pPr>
              <w:pStyle w:val="59"/>
              <w:spacing w:line="360" w:lineRule="auto"/>
              <w:ind w:firstLine="480"/>
              <w:rPr>
                <w:rFonts w:hint="eastAsia" w:ascii="Times New Roman" w:hAnsi="Times New Roman"/>
                <w:szCs w:val="24"/>
              </w:rPr>
            </w:pPr>
            <w:r>
              <w:rPr>
                <w:rFonts w:hint="eastAsia" w:ascii="Times New Roman" w:hAnsi="Times New Roman"/>
                <w:szCs w:val="24"/>
              </w:rPr>
              <w:t>（4）</w:t>
            </w:r>
            <w:r>
              <w:rPr>
                <w:rFonts w:ascii="Times New Roman" w:hAnsi="Times New Roman"/>
                <w:szCs w:val="24"/>
              </w:rPr>
              <w:t>加强废气环保设施管理，保证废气达标排放</w:t>
            </w:r>
            <w:r>
              <w:rPr>
                <w:rFonts w:hint="eastAsia" w:ascii="Times New Roman" w:hAnsi="Times New Roman"/>
                <w:szCs w:val="24"/>
              </w:rPr>
              <w:t>，减少大气沉降对地面土壤的影响；</w:t>
            </w:r>
          </w:p>
          <w:p w14:paraId="3E055170">
            <w:pPr>
              <w:pStyle w:val="11"/>
              <w:spacing w:before="0" w:after="0" w:line="360" w:lineRule="auto"/>
              <w:ind w:firstLine="480" w:firstLineChars="200"/>
              <w:rPr>
                <w:rFonts w:hint="eastAsia"/>
                <w:sz w:val="24"/>
                <w:szCs w:val="24"/>
              </w:rPr>
            </w:pPr>
            <w:r>
              <w:rPr>
                <w:rFonts w:hint="eastAsia"/>
                <w:b w:val="0"/>
                <w:bCs/>
                <w:sz w:val="24"/>
                <w:szCs w:val="24"/>
              </w:rPr>
              <w:t>跟踪监测要求：项</w:t>
            </w:r>
            <w:r>
              <w:rPr>
                <w:rFonts w:hint="eastAsia"/>
                <w:sz w:val="24"/>
                <w:szCs w:val="24"/>
              </w:rPr>
              <w:t>目已按分区防控要求提出相应的防控措施，同时项目车间地面</w:t>
            </w:r>
            <w:r>
              <w:rPr>
                <w:rFonts w:hint="eastAsia"/>
                <w:sz w:val="24"/>
                <w:szCs w:val="24"/>
                <w:lang w:val="en-US" w:eastAsia="zh-CN"/>
              </w:rPr>
              <w:t>已全部</w:t>
            </w:r>
            <w:r>
              <w:rPr>
                <w:rFonts w:hint="eastAsia"/>
                <w:sz w:val="24"/>
                <w:szCs w:val="24"/>
              </w:rPr>
              <w:t>硬化，一般情况下不会对周边地下水、土壤环境造成影响，故可不需要进行跟踪监测。</w:t>
            </w:r>
          </w:p>
          <w:p w14:paraId="5EF3561E">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6"/>
                <w:rFonts w:ascii="Times New Roman" w:hAnsi="Times New Roman"/>
                <w:b/>
                <w:bCs/>
                <w:color w:val="262626"/>
                <w:kern w:val="0"/>
                <w:sz w:val="28"/>
                <w:szCs w:val="28"/>
              </w:rPr>
            </w:pPr>
            <w:bookmarkStart w:id="116" w:name="_Toc23362"/>
            <w:r>
              <w:rPr>
                <w:rStyle w:val="66"/>
                <w:rFonts w:ascii="Times New Roman" w:hAnsi="Times New Roman"/>
                <w:b/>
                <w:bCs/>
                <w:color w:val="262626"/>
                <w:kern w:val="0"/>
                <w:sz w:val="28"/>
                <w:szCs w:val="28"/>
              </w:rPr>
              <w:t>4.</w:t>
            </w:r>
            <w:r>
              <w:rPr>
                <w:rStyle w:val="66"/>
                <w:rFonts w:hint="eastAsia" w:ascii="Times New Roman" w:hAnsi="Times New Roman"/>
                <w:b/>
                <w:bCs/>
                <w:color w:val="262626"/>
                <w:kern w:val="0"/>
                <w:sz w:val="28"/>
                <w:szCs w:val="28"/>
              </w:rPr>
              <w:t>6</w:t>
            </w:r>
            <w:r>
              <w:rPr>
                <w:rStyle w:val="66"/>
                <w:rFonts w:ascii="Times New Roman" w:hAnsi="Times New Roman"/>
                <w:b/>
                <w:bCs/>
                <w:color w:val="262626"/>
                <w:kern w:val="0"/>
                <w:sz w:val="28"/>
                <w:szCs w:val="28"/>
              </w:rPr>
              <w:t>环境风险分析</w:t>
            </w:r>
            <w:bookmarkEnd w:id="116"/>
          </w:p>
          <w:p w14:paraId="7555F82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262626"/>
                <w:kern w:val="0"/>
                <w:sz w:val="24"/>
                <w:lang w:val="en-US" w:eastAsia="zh-CN"/>
              </w:rPr>
            </w:pPr>
            <w:bookmarkStart w:id="117" w:name="_Toc19581"/>
            <w:r>
              <w:rPr>
                <w:rFonts w:hint="eastAsia"/>
                <w:b/>
                <w:color w:val="262626"/>
                <w:kern w:val="0"/>
                <w:sz w:val="24"/>
                <w:lang w:val="en-US" w:eastAsia="zh-CN"/>
              </w:rPr>
              <w:t>4.6.1</w:t>
            </w:r>
            <w:r>
              <w:rPr>
                <w:rFonts w:hint="default"/>
                <w:b/>
                <w:color w:val="262626"/>
                <w:kern w:val="0"/>
                <w:sz w:val="24"/>
                <w:lang w:val="en-US" w:eastAsia="zh-CN"/>
              </w:rPr>
              <w:t>项目危险物质调查</w:t>
            </w:r>
            <w:bookmarkEnd w:id="117"/>
          </w:p>
          <w:p w14:paraId="1B718076">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危险物质</w:t>
            </w:r>
          </w:p>
          <w:p w14:paraId="1DE3829A">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rPr>
            </w:pPr>
            <w:r>
              <w:rPr>
                <w:color w:val="auto"/>
                <w:sz w:val="24"/>
              </w:rPr>
              <w:t>根据对各原料成分性质分析，对照《建设项目环境风险评价技术导则》</w:t>
            </w:r>
            <w:r>
              <w:rPr>
                <w:rFonts w:hint="eastAsia"/>
                <w:color w:val="auto"/>
                <w:sz w:val="24"/>
                <w:lang w:eastAsia="zh-CN"/>
              </w:rPr>
              <w:t>（</w:t>
            </w:r>
            <w:r>
              <w:rPr>
                <w:color w:val="auto"/>
                <w:sz w:val="24"/>
              </w:rPr>
              <w:t>HJ 169-2018</w:t>
            </w:r>
            <w:r>
              <w:rPr>
                <w:rFonts w:hint="eastAsia"/>
                <w:color w:val="auto"/>
                <w:sz w:val="24"/>
                <w:lang w:eastAsia="zh-CN"/>
              </w:rPr>
              <w:t>）</w:t>
            </w:r>
            <w:r>
              <w:rPr>
                <w:color w:val="auto"/>
                <w:sz w:val="24"/>
              </w:rPr>
              <w:t>附录B</w:t>
            </w:r>
            <w:r>
              <w:rPr>
                <w:rFonts w:hint="eastAsia"/>
                <w:color w:val="auto"/>
                <w:sz w:val="24"/>
              </w:rPr>
              <w:t>及《企业突发环境事件风险分级方法》</w:t>
            </w:r>
            <w:r>
              <w:rPr>
                <w:rFonts w:hint="eastAsia"/>
                <w:color w:val="auto"/>
                <w:sz w:val="24"/>
                <w:lang w:eastAsia="zh-CN"/>
              </w:rPr>
              <w:t>（</w:t>
            </w:r>
            <w:r>
              <w:rPr>
                <w:rFonts w:hint="eastAsia"/>
                <w:color w:val="auto"/>
                <w:sz w:val="24"/>
              </w:rPr>
              <w:t>HJ941-2018</w:t>
            </w:r>
            <w:r>
              <w:rPr>
                <w:rFonts w:hint="eastAsia"/>
                <w:color w:val="auto"/>
                <w:sz w:val="24"/>
                <w:lang w:eastAsia="zh-CN"/>
              </w:rPr>
              <w:t>）</w:t>
            </w:r>
            <w:r>
              <w:rPr>
                <w:rFonts w:hint="eastAsia"/>
                <w:color w:val="auto"/>
                <w:sz w:val="24"/>
              </w:rPr>
              <w:t>附录A可知</w:t>
            </w:r>
            <w:r>
              <w:rPr>
                <w:color w:val="auto"/>
                <w:sz w:val="24"/>
              </w:rPr>
              <w:t>，</w:t>
            </w:r>
            <w:r>
              <w:rPr>
                <w:rFonts w:hint="eastAsia"/>
                <w:color w:val="auto"/>
                <w:sz w:val="24"/>
              </w:rPr>
              <w:t>项目使用的原辅材料均不属于危险物质；但项目产生的</w:t>
            </w:r>
            <w:r>
              <w:rPr>
                <w:rFonts w:hint="eastAsia"/>
                <w:color w:val="auto"/>
                <w:sz w:val="24"/>
                <w:lang w:val="en-US" w:eastAsia="zh-CN"/>
              </w:rPr>
              <w:t>危险废物</w:t>
            </w:r>
            <w:r>
              <w:rPr>
                <w:rFonts w:hint="eastAsia"/>
                <w:color w:val="auto"/>
                <w:sz w:val="24"/>
              </w:rPr>
              <w:t>属于环境风险物质</w:t>
            </w:r>
            <w:r>
              <w:rPr>
                <w:rFonts w:hint="eastAsia"/>
                <w:color w:val="auto"/>
                <w:sz w:val="24"/>
                <w:lang w:eastAsia="zh-CN"/>
              </w:rPr>
              <w:t>，</w:t>
            </w:r>
            <w:r>
              <w:rPr>
                <w:rFonts w:hint="eastAsia"/>
                <w:color w:val="auto"/>
                <w:sz w:val="24"/>
                <w:lang w:val="en-US" w:eastAsia="zh-CN"/>
              </w:rPr>
              <w:t>详见表4.6-1。</w:t>
            </w:r>
          </w:p>
          <w:p w14:paraId="045FAC62">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 xml:space="preserve">-1  </w:t>
            </w:r>
            <w:r>
              <w:rPr>
                <w:rFonts w:hint="default" w:ascii="Times New Roman" w:hAnsi="Times New Roman" w:eastAsia="宋体" w:cs="Times New Roman"/>
                <w:b/>
                <w:bCs/>
                <w:color w:val="auto"/>
                <w:sz w:val="24"/>
              </w:rPr>
              <w:t>主要</w:t>
            </w:r>
            <w:r>
              <w:rPr>
                <w:rFonts w:hint="default" w:ascii="Times New Roman" w:hAnsi="Times New Roman" w:eastAsia="宋体" w:cs="Times New Roman"/>
                <w:b/>
                <w:bCs/>
                <w:color w:val="auto"/>
                <w:sz w:val="24"/>
                <w:lang w:eastAsia="zh-CN"/>
              </w:rPr>
              <w:t>危险废物数量</w:t>
            </w:r>
            <w:r>
              <w:rPr>
                <w:rFonts w:hint="default" w:ascii="Times New Roman" w:hAnsi="Times New Roman" w:eastAsia="宋体" w:cs="Times New Roman"/>
                <w:b/>
                <w:bCs/>
                <w:color w:val="auto"/>
                <w:sz w:val="24"/>
              </w:rPr>
              <w:t>、有害因素分布表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684"/>
              <w:gridCol w:w="1106"/>
              <w:gridCol w:w="1440"/>
              <w:gridCol w:w="1550"/>
              <w:gridCol w:w="1175"/>
              <w:gridCol w:w="752"/>
              <w:gridCol w:w="980"/>
            </w:tblGrid>
            <w:tr w14:paraId="0AD22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61C5164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87" w:type="pct"/>
                  <w:tcBorders>
                    <w:tl2br w:val="nil"/>
                    <w:tr2bl w:val="nil"/>
                  </w:tcBorders>
                  <w:noWrap w:val="0"/>
                  <w:vAlign w:val="center"/>
                </w:tcPr>
                <w:p w14:paraId="096A8D0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25" w:type="pct"/>
                  <w:tcBorders>
                    <w:tl2br w:val="nil"/>
                    <w:tr2bl w:val="nil"/>
                  </w:tcBorders>
                  <w:noWrap w:val="0"/>
                  <w:vAlign w:val="center"/>
                </w:tcPr>
                <w:p w14:paraId="4DECB76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年储存量（t）</w:t>
                  </w:r>
                </w:p>
              </w:tc>
              <w:tc>
                <w:tcPr>
                  <w:tcW w:w="814" w:type="pct"/>
                  <w:tcBorders>
                    <w:tl2br w:val="nil"/>
                    <w:tr2bl w:val="nil"/>
                  </w:tcBorders>
                  <w:noWrap w:val="0"/>
                  <w:vAlign w:val="center"/>
                </w:tcPr>
                <w:p w14:paraId="7DECF55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最大储存量（t）</w:t>
                  </w:r>
                </w:p>
              </w:tc>
              <w:tc>
                <w:tcPr>
                  <w:tcW w:w="876" w:type="pct"/>
                  <w:tcBorders>
                    <w:tl2br w:val="nil"/>
                    <w:tr2bl w:val="nil"/>
                  </w:tcBorders>
                  <w:noWrap w:val="0"/>
                  <w:vAlign w:val="center"/>
                </w:tcPr>
                <w:p w14:paraId="7AA4BA7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664" w:type="pct"/>
                  <w:tcBorders>
                    <w:tl2br w:val="nil"/>
                    <w:tr2bl w:val="nil"/>
                  </w:tcBorders>
                  <w:noWrap w:val="0"/>
                  <w:vAlign w:val="center"/>
                </w:tcPr>
                <w:p w14:paraId="5489A44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危险特性</w:t>
                  </w:r>
                </w:p>
              </w:tc>
              <w:tc>
                <w:tcPr>
                  <w:tcW w:w="425" w:type="pct"/>
                  <w:tcBorders>
                    <w:tl2br w:val="nil"/>
                    <w:tr2bl w:val="nil"/>
                  </w:tcBorders>
                  <w:noWrap w:val="0"/>
                  <w:vAlign w:val="center"/>
                </w:tcPr>
                <w:p w14:paraId="063FAFA4">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临界量（t）</w:t>
                  </w:r>
                </w:p>
              </w:tc>
              <w:tc>
                <w:tcPr>
                  <w:tcW w:w="552" w:type="pct"/>
                  <w:tcBorders>
                    <w:tl2br w:val="nil"/>
                    <w:tr2bl w:val="nil"/>
                  </w:tcBorders>
                  <w:noWrap w:val="0"/>
                  <w:vAlign w:val="center"/>
                </w:tcPr>
                <w:p w14:paraId="30F8CD4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位置</w:t>
                  </w:r>
                </w:p>
              </w:tc>
            </w:tr>
            <w:tr w14:paraId="39F6E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118D6A3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387" w:type="pct"/>
                  <w:tcBorders>
                    <w:tl2br w:val="nil"/>
                    <w:tr2bl w:val="nil"/>
                  </w:tcBorders>
                  <w:noWrap w:val="0"/>
                  <w:vAlign w:val="center"/>
                </w:tcPr>
                <w:p w14:paraId="2A9791A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6653E22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0.2962</w:t>
                  </w:r>
                </w:p>
              </w:tc>
              <w:tc>
                <w:tcPr>
                  <w:tcW w:w="814" w:type="pct"/>
                  <w:tcBorders>
                    <w:tl2br w:val="nil"/>
                    <w:tr2bl w:val="nil"/>
                  </w:tcBorders>
                  <w:noWrap w:val="0"/>
                  <w:vAlign w:val="center"/>
                </w:tcPr>
                <w:p w14:paraId="769254B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876" w:type="pct"/>
                  <w:tcBorders>
                    <w:tl2br w:val="nil"/>
                    <w:tr2bl w:val="nil"/>
                  </w:tcBorders>
                  <w:noWrap w:val="0"/>
                  <w:vAlign w:val="center"/>
                </w:tcPr>
                <w:p w14:paraId="19FCB66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r>
                    <w:rPr>
                      <w:rFonts w:hint="default" w:ascii="Times New Roman" w:hAnsi="Times New Roman" w:eastAsia="宋体" w:cs="Times New Roman"/>
                      <w:b w:val="0"/>
                      <w:bCs/>
                      <w:color w:val="auto"/>
                      <w:sz w:val="21"/>
                      <w:szCs w:val="21"/>
                      <w:highlight w:val="none"/>
                      <w:vertAlign w:val="baseline"/>
                      <w:lang w:val="en-US" w:eastAsia="zh-CN"/>
                    </w:rPr>
                    <w:t>废活性炭</w:t>
                  </w:r>
                </w:p>
              </w:tc>
              <w:tc>
                <w:tcPr>
                  <w:tcW w:w="664" w:type="pct"/>
                  <w:tcBorders>
                    <w:tl2br w:val="nil"/>
                    <w:tr2bl w:val="nil"/>
                  </w:tcBorders>
                  <w:noWrap w:val="0"/>
                  <w:vAlign w:val="center"/>
                </w:tcPr>
                <w:p w14:paraId="0085D2A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511F50A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restart"/>
                  <w:tcBorders>
                    <w:tl2br w:val="nil"/>
                    <w:tr2bl w:val="nil"/>
                  </w:tcBorders>
                  <w:noWrap w:val="0"/>
                  <w:vAlign w:val="center"/>
                </w:tcPr>
                <w:p w14:paraId="6B34121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eastAsia="宋体"/>
                      <w:color w:val="auto"/>
                      <w:sz w:val="21"/>
                      <w:szCs w:val="21"/>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危废暂存间</w:t>
                  </w:r>
                </w:p>
              </w:tc>
            </w:tr>
            <w:tr w14:paraId="6507A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250B51F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废机油</w:t>
                  </w:r>
                </w:p>
              </w:tc>
              <w:tc>
                <w:tcPr>
                  <w:tcW w:w="387" w:type="pct"/>
                  <w:tcBorders>
                    <w:tl2br w:val="nil"/>
                    <w:tr2bl w:val="nil"/>
                  </w:tcBorders>
                  <w:noWrap w:val="0"/>
                  <w:vAlign w:val="center"/>
                </w:tcPr>
                <w:p w14:paraId="095D9C06">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5995E6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0.12</w:t>
                  </w:r>
                </w:p>
              </w:tc>
              <w:tc>
                <w:tcPr>
                  <w:tcW w:w="814" w:type="pct"/>
                  <w:tcBorders>
                    <w:tl2br w:val="nil"/>
                    <w:tr2bl w:val="nil"/>
                  </w:tcBorders>
                  <w:noWrap w:val="0"/>
                  <w:vAlign w:val="center"/>
                </w:tcPr>
                <w:p w14:paraId="297CF1F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0.05</w:t>
                  </w:r>
                </w:p>
              </w:tc>
              <w:tc>
                <w:tcPr>
                  <w:tcW w:w="876" w:type="pct"/>
                  <w:tcBorders>
                    <w:tl2br w:val="nil"/>
                    <w:tr2bl w:val="nil"/>
                  </w:tcBorders>
                  <w:noWrap w:val="0"/>
                  <w:vAlign w:val="center"/>
                </w:tcPr>
                <w:p w14:paraId="3B94403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w:t>
                  </w:r>
                </w:p>
              </w:tc>
              <w:tc>
                <w:tcPr>
                  <w:tcW w:w="664" w:type="pct"/>
                  <w:tcBorders>
                    <w:tl2br w:val="nil"/>
                    <w:tr2bl w:val="nil"/>
                  </w:tcBorders>
                  <w:noWrap w:val="0"/>
                  <w:vAlign w:val="center"/>
                </w:tcPr>
                <w:p w14:paraId="7073A7D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易燃物质</w:t>
                  </w:r>
                </w:p>
              </w:tc>
              <w:tc>
                <w:tcPr>
                  <w:tcW w:w="425" w:type="pct"/>
                  <w:tcBorders>
                    <w:tl2br w:val="nil"/>
                    <w:tr2bl w:val="nil"/>
                  </w:tcBorders>
                  <w:noWrap w:val="0"/>
                  <w:vAlign w:val="center"/>
                </w:tcPr>
                <w:p w14:paraId="2C09EC8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2500</w:t>
                  </w:r>
                </w:p>
              </w:tc>
              <w:tc>
                <w:tcPr>
                  <w:tcW w:w="552" w:type="pct"/>
                  <w:vMerge w:val="continue"/>
                  <w:tcBorders>
                    <w:tl2br w:val="nil"/>
                    <w:tr2bl w:val="nil"/>
                  </w:tcBorders>
                  <w:noWrap w:val="0"/>
                  <w:vAlign w:val="center"/>
                </w:tcPr>
                <w:p w14:paraId="6EC60396">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308C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1D74228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除油废液</w:t>
                  </w:r>
                </w:p>
              </w:tc>
              <w:tc>
                <w:tcPr>
                  <w:tcW w:w="387" w:type="pct"/>
                  <w:tcBorders>
                    <w:tl2br w:val="nil"/>
                    <w:tr2bl w:val="nil"/>
                  </w:tcBorders>
                  <w:noWrap w:val="0"/>
                  <w:vAlign w:val="center"/>
                </w:tcPr>
                <w:p w14:paraId="4E05147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067F4B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0.46</w:t>
                  </w:r>
                </w:p>
              </w:tc>
              <w:tc>
                <w:tcPr>
                  <w:tcW w:w="814" w:type="pct"/>
                  <w:tcBorders>
                    <w:tl2br w:val="nil"/>
                    <w:tr2bl w:val="nil"/>
                  </w:tcBorders>
                  <w:noWrap w:val="0"/>
                  <w:vAlign w:val="center"/>
                </w:tcPr>
                <w:p w14:paraId="18380A1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876" w:type="pct"/>
                  <w:tcBorders>
                    <w:tl2br w:val="nil"/>
                    <w:tr2bl w:val="nil"/>
                  </w:tcBorders>
                  <w:noWrap w:val="0"/>
                  <w:vAlign w:val="center"/>
                </w:tcPr>
                <w:p w14:paraId="0266520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矿物油、挥发性有机物</w:t>
                  </w:r>
                </w:p>
              </w:tc>
              <w:tc>
                <w:tcPr>
                  <w:tcW w:w="664" w:type="pct"/>
                  <w:tcBorders>
                    <w:tl2br w:val="nil"/>
                    <w:tr2bl w:val="nil"/>
                  </w:tcBorders>
                  <w:noWrap w:val="0"/>
                  <w:vAlign w:val="center"/>
                </w:tcPr>
                <w:p w14:paraId="15118DF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625B956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continue"/>
                  <w:tcBorders>
                    <w:tl2br w:val="nil"/>
                    <w:tr2bl w:val="nil"/>
                  </w:tcBorders>
                  <w:noWrap w:val="0"/>
                  <w:vAlign w:val="center"/>
                </w:tcPr>
                <w:p w14:paraId="4E31983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3F0FB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30509EF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钝化废液</w:t>
                  </w:r>
                </w:p>
              </w:tc>
              <w:tc>
                <w:tcPr>
                  <w:tcW w:w="387" w:type="pct"/>
                  <w:tcBorders>
                    <w:tl2br w:val="nil"/>
                    <w:tr2bl w:val="nil"/>
                  </w:tcBorders>
                  <w:noWrap w:val="0"/>
                  <w:vAlign w:val="center"/>
                </w:tcPr>
                <w:p w14:paraId="3D5D231E">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液态</w:t>
                  </w:r>
                </w:p>
              </w:tc>
              <w:tc>
                <w:tcPr>
                  <w:tcW w:w="625" w:type="pct"/>
                  <w:tcBorders>
                    <w:tl2br w:val="nil"/>
                    <w:tr2bl w:val="nil"/>
                  </w:tcBorders>
                  <w:shd w:val="clear" w:color="auto" w:fill="auto"/>
                  <w:noWrap w:val="0"/>
                  <w:vAlign w:val="center"/>
                </w:tcPr>
                <w:p w14:paraId="5208E60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0.46</w:t>
                  </w:r>
                </w:p>
              </w:tc>
              <w:tc>
                <w:tcPr>
                  <w:tcW w:w="814" w:type="pct"/>
                  <w:tcBorders>
                    <w:tl2br w:val="nil"/>
                    <w:tr2bl w:val="nil"/>
                  </w:tcBorders>
                  <w:noWrap w:val="0"/>
                  <w:vAlign w:val="center"/>
                </w:tcPr>
                <w:p w14:paraId="2B17019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0.2</w:t>
                  </w:r>
                </w:p>
              </w:tc>
              <w:tc>
                <w:tcPr>
                  <w:tcW w:w="876" w:type="pct"/>
                  <w:tcBorders>
                    <w:tl2br w:val="nil"/>
                    <w:tr2bl w:val="nil"/>
                  </w:tcBorders>
                  <w:noWrap w:val="0"/>
                  <w:vAlign w:val="center"/>
                </w:tcPr>
                <w:p w14:paraId="73A46B2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p>
              </w:tc>
              <w:tc>
                <w:tcPr>
                  <w:tcW w:w="664" w:type="pct"/>
                  <w:tcBorders>
                    <w:tl2br w:val="nil"/>
                    <w:tr2bl w:val="nil"/>
                  </w:tcBorders>
                  <w:noWrap w:val="0"/>
                  <w:vAlign w:val="center"/>
                </w:tcPr>
                <w:p w14:paraId="67D0A4DB">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5128D64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continue"/>
                  <w:tcBorders>
                    <w:tl2br w:val="nil"/>
                    <w:tr2bl w:val="nil"/>
                  </w:tcBorders>
                  <w:noWrap w:val="0"/>
                  <w:vAlign w:val="center"/>
                </w:tcPr>
                <w:p w14:paraId="5446CF7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18026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273A55A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废水处理污泥</w:t>
                  </w:r>
                </w:p>
              </w:tc>
              <w:tc>
                <w:tcPr>
                  <w:tcW w:w="387" w:type="pct"/>
                  <w:tcBorders>
                    <w:tl2br w:val="nil"/>
                    <w:tr2bl w:val="nil"/>
                  </w:tcBorders>
                  <w:noWrap w:val="0"/>
                  <w:vAlign w:val="center"/>
                </w:tcPr>
                <w:p w14:paraId="4610815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半</w:t>
                  </w: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4BD8C3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0.236</w:t>
                  </w:r>
                </w:p>
              </w:tc>
              <w:tc>
                <w:tcPr>
                  <w:tcW w:w="814" w:type="pct"/>
                  <w:tcBorders>
                    <w:tl2br w:val="nil"/>
                    <w:tr2bl w:val="nil"/>
                  </w:tcBorders>
                  <w:noWrap w:val="0"/>
                  <w:vAlign w:val="center"/>
                </w:tcPr>
                <w:p w14:paraId="3887CC8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0.1</w:t>
                  </w:r>
                </w:p>
              </w:tc>
              <w:tc>
                <w:tcPr>
                  <w:tcW w:w="876" w:type="pct"/>
                  <w:tcBorders>
                    <w:tl2br w:val="nil"/>
                    <w:tr2bl w:val="nil"/>
                  </w:tcBorders>
                  <w:noWrap w:val="0"/>
                  <w:vAlign w:val="center"/>
                </w:tcPr>
                <w:p w14:paraId="2ACB870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p>
              </w:tc>
              <w:tc>
                <w:tcPr>
                  <w:tcW w:w="664" w:type="pct"/>
                  <w:tcBorders>
                    <w:tl2br w:val="nil"/>
                    <w:tr2bl w:val="nil"/>
                  </w:tcBorders>
                  <w:noWrap w:val="0"/>
                  <w:vAlign w:val="center"/>
                </w:tcPr>
                <w:p w14:paraId="2AC3CF4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7AB1977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continue"/>
                  <w:tcBorders>
                    <w:tl2br w:val="nil"/>
                    <w:tr2bl w:val="nil"/>
                  </w:tcBorders>
                  <w:noWrap w:val="0"/>
                  <w:vAlign w:val="center"/>
                </w:tcPr>
                <w:p w14:paraId="757A303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28487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pct"/>
                  <w:tcBorders>
                    <w:tl2br w:val="nil"/>
                    <w:tr2bl w:val="nil"/>
                  </w:tcBorders>
                  <w:noWrap w:val="0"/>
                  <w:vAlign w:val="center"/>
                </w:tcPr>
                <w:p w14:paraId="1D41840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槽渣</w:t>
                  </w:r>
                </w:p>
              </w:tc>
              <w:tc>
                <w:tcPr>
                  <w:tcW w:w="387" w:type="pct"/>
                  <w:tcBorders>
                    <w:tl2br w:val="nil"/>
                    <w:tr2bl w:val="nil"/>
                  </w:tcBorders>
                  <w:noWrap w:val="0"/>
                  <w:vAlign w:val="center"/>
                </w:tcPr>
                <w:p w14:paraId="07C62AA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半</w:t>
                  </w: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2B30708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1.6</w:t>
                  </w:r>
                </w:p>
              </w:tc>
              <w:tc>
                <w:tcPr>
                  <w:tcW w:w="814" w:type="pct"/>
                  <w:tcBorders>
                    <w:tl2br w:val="nil"/>
                    <w:tr2bl w:val="nil"/>
                  </w:tcBorders>
                  <w:noWrap w:val="0"/>
                  <w:vAlign w:val="center"/>
                </w:tcPr>
                <w:p w14:paraId="4C52009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0.5</w:t>
                  </w:r>
                </w:p>
              </w:tc>
              <w:tc>
                <w:tcPr>
                  <w:tcW w:w="876" w:type="pct"/>
                  <w:tcBorders>
                    <w:tl2br w:val="nil"/>
                    <w:tr2bl w:val="nil"/>
                  </w:tcBorders>
                  <w:noWrap w:val="0"/>
                  <w:vAlign w:val="center"/>
                </w:tcPr>
                <w:p w14:paraId="4D0E940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p>
              </w:tc>
              <w:tc>
                <w:tcPr>
                  <w:tcW w:w="664" w:type="pct"/>
                  <w:tcBorders>
                    <w:tl2br w:val="nil"/>
                    <w:tr2bl w:val="nil"/>
                  </w:tcBorders>
                  <w:noWrap w:val="0"/>
                  <w:vAlign w:val="center"/>
                </w:tcPr>
                <w:p w14:paraId="5EBBA8B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24F63B9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continue"/>
                  <w:tcBorders>
                    <w:tl2br w:val="nil"/>
                    <w:tr2bl w:val="nil"/>
                  </w:tcBorders>
                  <w:noWrap w:val="0"/>
                  <w:vAlign w:val="center"/>
                </w:tcPr>
                <w:p w14:paraId="1A2898F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7EFF9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pct"/>
                  <w:tcBorders>
                    <w:tl2br w:val="nil"/>
                    <w:tr2bl w:val="nil"/>
                  </w:tcBorders>
                  <w:noWrap w:val="0"/>
                  <w:vAlign w:val="center"/>
                </w:tcPr>
                <w:p w14:paraId="3EC9691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废滤筒滤芯</w:t>
                  </w:r>
                </w:p>
              </w:tc>
              <w:tc>
                <w:tcPr>
                  <w:tcW w:w="387" w:type="pct"/>
                  <w:tcBorders>
                    <w:tl2br w:val="nil"/>
                    <w:tr2bl w:val="nil"/>
                  </w:tcBorders>
                  <w:noWrap w:val="0"/>
                  <w:vAlign w:val="center"/>
                </w:tcPr>
                <w:p w14:paraId="5733302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半</w:t>
                  </w:r>
                  <w:r>
                    <w:rPr>
                      <w:rFonts w:hint="eastAsia" w:ascii="Times New Roman" w:hAnsi="Times New Roman" w:eastAsia="宋体" w:cs="Times New Roman"/>
                      <w:b w:val="0"/>
                      <w:bCs/>
                      <w:color w:val="auto"/>
                      <w:sz w:val="21"/>
                      <w:szCs w:val="21"/>
                      <w:highlight w:val="none"/>
                      <w:vertAlign w:val="baseline"/>
                      <w:lang w:val="en-US" w:eastAsia="zh-CN"/>
                    </w:rPr>
                    <w:t>固态</w:t>
                  </w:r>
                </w:p>
              </w:tc>
              <w:tc>
                <w:tcPr>
                  <w:tcW w:w="625" w:type="pct"/>
                  <w:tcBorders>
                    <w:tl2br w:val="nil"/>
                    <w:tr2bl w:val="nil"/>
                  </w:tcBorders>
                  <w:shd w:val="clear" w:color="auto" w:fill="auto"/>
                  <w:noWrap w:val="0"/>
                  <w:vAlign w:val="center"/>
                </w:tcPr>
                <w:p w14:paraId="567E290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2.01</w:t>
                  </w:r>
                </w:p>
              </w:tc>
              <w:tc>
                <w:tcPr>
                  <w:tcW w:w="814" w:type="pct"/>
                  <w:tcBorders>
                    <w:tl2br w:val="nil"/>
                    <w:tr2bl w:val="nil"/>
                  </w:tcBorders>
                  <w:noWrap w:val="0"/>
                  <w:vAlign w:val="center"/>
                </w:tcPr>
                <w:p w14:paraId="6BA39B4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eastAsia="宋体" w:cs="Times New Roman"/>
                      <w:b w:val="0"/>
                      <w:bCs/>
                      <w:color w:val="auto"/>
                      <w:sz w:val="21"/>
                      <w:szCs w:val="21"/>
                      <w:highlight w:val="none"/>
                      <w:vertAlign w:val="baseline"/>
                      <w:lang w:val="en-US" w:eastAsia="zh-CN"/>
                    </w:rPr>
                    <w:t>0.5</w:t>
                  </w:r>
                </w:p>
              </w:tc>
              <w:tc>
                <w:tcPr>
                  <w:tcW w:w="876" w:type="pct"/>
                  <w:tcBorders>
                    <w:tl2br w:val="nil"/>
                    <w:tr2bl w:val="nil"/>
                  </w:tcBorders>
                  <w:noWrap w:val="0"/>
                  <w:vAlign w:val="center"/>
                </w:tcPr>
                <w:p w14:paraId="60625C3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挥发性有机物</w:t>
                  </w:r>
                </w:p>
              </w:tc>
              <w:tc>
                <w:tcPr>
                  <w:tcW w:w="664" w:type="pct"/>
                  <w:tcBorders>
                    <w:tl2br w:val="nil"/>
                    <w:tr2bl w:val="nil"/>
                  </w:tcBorders>
                  <w:noWrap w:val="0"/>
                  <w:vAlign w:val="center"/>
                </w:tcPr>
                <w:p w14:paraId="3AA760F4">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有毒、有害</w:t>
                  </w:r>
                </w:p>
              </w:tc>
              <w:tc>
                <w:tcPr>
                  <w:tcW w:w="425" w:type="pct"/>
                  <w:tcBorders>
                    <w:tl2br w:val="nil"/>
                    <w:tr2bl w:val="nil"/>
                  </w:tcBorders>
                  <w:noWrap w:val="0"/>
                  <w:vAlign w:val="center"/>
                </w:tcPr>
                <w:p w14:paraId="2F1B983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50</w:t>
                  </w:r>
                </w:p>
              </w:tc>
              <w:tc>
                <w:tcPr>
                  <w:tcW w:w="552" w:type="pct"/>
                  <w:vMerge w:val="continue"/>
                  <w:tcBorders>
                    <w:tl2br w:val="nil"/>
                    <w:tr2bl w:val="nil"/>
                  </w:tcBorders>
                  <w:noWrap w:val="0"/>
                  <w:vAlign w:val="center"/>
                </w:tcPr>
                <w:p w14:paraId="0C88DE6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p>
              </w:tc>
            </w:tr>
            <w:tr w14:paraId="5AFDF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5000" w:type="pct"/>
                  <w:gridSpan w:val="8"/>
                  <w:tcBorders>
                    <w:tl2br w:val="nil"/>
                    <w:tr2bl w:val="nil"/>
                  </w:tcBorders>
                  <w:noWrap w:val="0"/>
                  <w:vAlign w:val="center"/>
                </w:tcPr>
                <w:p w14:paraId="2138D6D8">
                  <w:pPr>
                    <w:pStyle w:val="43"/>
                    <w:keepNext w:val="0"/>
                    <w:keepLines w:val="0"/>
                    <w:pageBreakBefore w:val="0"/>
                    <w:widowControl w:val="0"/>
                    <w:kinsoku/>
                    <w:wordWrap/>
                    <w:overflowPunct/>
                    <w:topLinePunct w:val="0"/>
                    <w:autoSpaceDE w:val="0"/>
                    <w:autoSpaceDN w:val="0"/>
                    <w:bidi w:val="0"/>
                    <w:adjustRightInd w:val="0"/>
                    <w:snapToGrid w:val="0"/>
                    <w:spacing w:before="0" w:after="0" w:line="320" w:lineRule="exact"/>
                    <w:ind w:left="0" w:leftChars="0" w:firstLine="0"/>
                    <w:jc w:val="both"/>
                    <w:textAlignment w:val="baseline"/>
                    <w:outlineLvl w:val="9"/>
                    <w:rPr>
                      <w:rFonts w:hint="eastAsia" w:eastAsia="宋体"/>
                      <w:color w:val="auto"/>
                      <w:sz w:val="21"/>
                      <w:szCs w:val="21"/>
                      <w:lang w:val="en-US" w:eastAsia="zh-CN"/>
                    </w:rPr>
                  </w:pPr>
                  <w:r>
                    <w:rPr>
                      <w:rFonts w:hint="default" w:ascii="Times New Roman" w:hAnsi="Times New Roman" w:eastAsia="宋体" w:cs="Times New Roman"/>
                      <w:color w:val="auto"/>
                      <w:kern w:val="0"/>
                      <w:sz w:val="18"/>
                      <w:szCs w:val="18"/>
                    </w:rPr>
                    <w:t>备注：</w:t>
                  </w:r>
                  <w:r>
                    <w:rPr>
                      <w:rFonts w:hint="eastAsia" w:ascii="Times New Roman" w:hAnsi="Times New Roman" w:eastAsia="宋体" w:cs="Times New Roman"/>
                      <w:color w:val="auto"/>
                      <w:kern w:val="0"/>
                      <w:sz w:val="18"/>
                      <w:szCs w:val="18"/>
                      <w:lang w:val="en-US" w:eastAsia="zh-CN" w:bidi="ar-SA"/>
                    </w:rPr>
                    <w:t>（1）</w:t>
                  </w:r>
                  <w:r>
                    <w:rPr>
                      <w:rFonts w:hint="default" w:ascii="Times New Roman" w:hAnsi="Times New Roman" w:eastAsia="宋体" w:cs="Times New Roman"/>
                      <w:color w:val="auto"/>
                      <w:kern w:val="2"/>
                      <w:sz w:val="18"/>
                      <w:szCs w:val="18"/>
                      <w:highlight w:val="none"/>
                      <w:lang w:val="en-US" w:eastAsia="zh-CN" w:bidi="ar-SA"/>
                    </w:rPr>
                    <w:t>因项目物质未直接列入《建设项目环境风险评价技术导则》</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HJ 169-2018</w:t>
                  </w:r>
                  <w:r>
                    <w:rPr>
                      <w:rFonts w:hint="eastAsia" w:eastAsia="宋体" w:cs="Times New Roman"/>
                      <w:color w:val="auto"/>
                      <w:kern w:val="2"/>
                      <w:sz w:val="18"/>
                      <w:szCs w:val="18"/>
                      <w:highlight w:val="none"/>
                      <w:lang w:val="en-US" w:eastAsia="zh-CN" w:bidi="ar-SA"/>
                    </w:rPr>
                    <w:t>）</w:t>
                  </w:r>
                  <w:r>
                    <w:rPr>
                      <w:rFonts w:hint="default" w:ascii="Times New Roman" w:hAnsi="Times New Roman" w:eastAsia="宋体" w:cs="Times New Roman"/>
                      <w:color w:val="auto"/>
                      <w:kern w:val="2"/>
                      <w:sz w:val="18"/>
                      <w:szCs w:val="18"/>
                      <w:highlight w:val="none"/>
                      <w:lang w:val="en-US" w:eastAsia="zh-CN" w:bidi="ar-SA"/>
                    </w:rPr>
                    <w:t>附录B表B.1突发环境事件风险物质及临界量内，但</w:t>
                  </w:r>
                  <w:r>
                    <w:rPr>
                      <w:rFonts w:hint="eastAsia" w:ascii="Times New Roman" w:hAnsi="Times New Roman" w:eastAsia="宋体" w:cs="Times New Roman"/>
                      <w:color w:val="auto"/>
                      <w:kern w:val="2"/>
                      <w:sz w:val="18"/>
                      <w:szCs w:val="18"/>
                      <w:highlight w:val="none"/>
                      <w:lang w:val="en-US" w:eastAsia="zh-CN" w:bidi="ar-SA"/>
                    </w:rPr>
                    <w:t>其属于环境风险物质，</w:t>
                  </w:r>
                  <w:r>
                    <w:rPr>
                      <w:rFonts w:hint="eastAsia" w:ascii="宋体" w:hAnsi="宋体" w:eastAsia="宋体" w:cs="宋体"/>
                      <w:color w:val="auto"/>
                      <w:kern w:val="0"/>
                      <w:sz w:val="18"/>
                      <w:szCs w:val="18"/>
                      <w:lang w:val="en-US" w:eastAsia="zh-CN" w:bidi="ar"/>
                    </w:rPr>
                    <w:t>危险废物临界量参考《建设项目环境风险评价技术导则》（</w:t>
                  </w:r>
                  <w:r>
                    <w:rPr>
                      <w:rFonts w:hint="default" w:ascii="Times New Roman" w:hAnsi="Times New Roman" w:eastAsia="宋体" w:cs="Times New Roman"/>
                      <w:color w:val="auto"/>
                      <w:kern w:val="0"/>
                      <w:sz w:val="18"/>
                      <w:szCs w:val="18"/>
                      <w:lang w:val="en-US" w:eastAsia="zh-CN" w:bidi="ar"/>
                    </w:rPr>
                    <w:t>HJ 169-2018</w:t>
                  </w:r>
                  <w:r>
                    <w:rPr>
                      <w:rFonts w:hint="eastAsia" w:ascii="宋体" w:hAnsi="宋体" w:eastAsia="宋体" w:cs="宋体"/>
                      <w:color w:val="auto"/>
                      <w:kern w:val="0"/>
                      <w:sz w:val="18"/>
                      <w:szCs w:val="18"/>
                      <w:lang w:val="en-US" w:eastAsia="zh-CN" w:bidi="ar"/>
                    </w:rPr>
                    <w:t>）附录</w:t>
                  </w:r>
                  <w:r>
                    <w:rPr>
                      <w:rFonts w:hint="default" w:ascii="Times New Roman" w:hAnsi="Times New Roman" w:eastAsia="宋体" w:cs="Times New Roman"/>
                      <w:color w:val="auto"/>
                      <w:kern w:val="0"/>
                      <w:sz w:val="18"/>
                      <w:szCs w:val="18"/>
                      <w:lang w:val="en-US" w:eastAsia="zh-CN" w:bidi="ar"/>
                    </w:rPr>
                    <w:t>B</w:t>
                  </w:r>
                  <w:r>
                    <w:rPr>
                      <w:rFonts w:hint="eastAsia" w:ascii="宋体" w:hAnsi="宋体" w:eastAsia="宋体" w:cs="宋体"/>
                      <w:color w:val="auto"/>
                      <w:kern w:val="0"/>
                      <w:sz w:val="18"/>
                      <w:szCs w:val="18"/>
                      <w:lang w:val="en-US" w:eastAsia="zh-CN" w:bidi="ar"/>
                    </w:rPr>
                    <w:t>的表</w:t>
                  </w:r>
                  <w:r>
                    <w:rPr>
                      <w:rFonts w:hint="default" w:ascii="Times New Roman" w:hAnsi="Times New Roman" w:eastAsia="宋体" w:cs="Times New Roman"/>
                      <w:color w:val="auto"/>
                      <w:kern w:val="0"/>
                      <w:sz w:val="18"/>
                      <w:szCs w:val="18"/>
                      <w:lang w:val="en-US" w:eastAsia="zh-CN" w:bidi="ar"/>
                    </w:rPr>
                    <w:t>B.2</w:t>
                  </w:r>
                  <w:r>
                    <w:rPr>
                      <w:rFonts w:hint="eastAsia" w:ascii="宋体" w:hAnsi="宋体" w:eastAsia="宋体" w:cs="宋体"/>
                      <w:color w:val="auto"/>
                      <w:kern w:val="0"/>
                      <w:sz w:val="18"/>
                      <w:szCs w:val="18"/>
                      <w:lang w:val="en-US" w:eastAsia="zh-CN" w:bidi="ar"/>
                    </w:rPr>
                    <w:t>中健康危险急性毒性物质（类别</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，类别</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）的推荐临界量</w:t>
                  </w:r>
                  <w:r>
                    <w:rPr>
                      <w:rFonts w:hint="default" w:ascii="Times New Roman" w:hAnsi="Times New Roman" w:eastAsia="宋体" w:cs="Times New Roman"/>
                      <w:color w:val="auto"/>
                      <w:kern w:val="0"/>
                      <w:sz w:val="18"/>
                      <w:szCs w:val="18"/>
                      <w:lang w:val="en-US" w:eastAsia="zh-CN" w:bidi="ar"/>
                    </w:rPr>
                    <w:t>50t</w:t>
                  </w:r>
                </w:p>
              </w:tc>
            </w:tr>
          </w:tbl>
          <w:p w14:paraId="4135CEEB">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0.034</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 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26C23999">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118" w:name="_Toc8520"/>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 xml:space="preserve"> 环境风险识别</w:t>
            </w:r>
            <w:bookmarkEnd w:id="118"/>
          </w:p>
          <w:p w14:paraId="39FB97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39E8EC86">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3"/>
              <w:gridCol w:w="1846"/>
              <w:gridCol w:w="3475"/>
              <w:gridCol w:w="2259"/>
            </w:tblGrid>
            <w:tr w14:paraId="2ACFA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230CADE7">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119" w:name="_Toc215736207"/>
                  <w:r>
                    <w:rPr>
                      <w:rFonts w:hint="default" w:ascii="Times New Roman" w:hAnsi="Times New Roman" w:cs="Times New Roman"/>
                      <w:color w:val="auto"/>
                      <w:sz w:val="21"/>
                      <w:szCs w:val="21"/>
                      <w:highlight w:val="none"/>
                      <w:u w:val="none"/>
                    </w:rPr>
                    <w:t>潜在事故</w:t>
                  </w:r>
                </w:p>
                <w:p w14:paraId="229BDF36">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1043" w:type="pct"/>
                  <w:noWrap w:val="0"/>
                  <w:vAlign w:val="center"/>
                </w:tcPr>
                <w:p w14:paraId="797A5E00">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4" w:type="pct"/>
                  <w:noWrap w:val="0"/>
                  <w:vAlign w:val="center"/>
                </w:tcPr>
                <w:p w14:paraId="7EF3AF0F">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6981BF72">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291B5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714" w:type="pct"/>
                  <w:noWrap w:val="0"/>
                  <w:vAlign w:val="center"/>
                </w:tcPr>
                <w:p w14:paraId="4512264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4694F92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1043" w:type="pct"/>
                  <w:noWrap w:val="0"/>
                  <w:vAlign w:val="center"/>
                </w:tcPr>
                <w:p w14:paraId="3B831FB6">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56921724">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4" w:type="pct"/>
                  <w:noWrap w:val="0"/>
                  <w:vAlign w:val="center"/>
                </w:tcPr>
                <w:p w14:paraId="5F910E1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3123A20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5A96D6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5" w:hRule="atLeast"/>
                <w:jc w:val="center"/>
              </w:trPr>
              <w:tc>
                <w:tcPr>
                  <w:tcW w:w="714" w:type="pct"/>
                  <w:vMerge w:val="restart"/>
                  <w:noWrap w:val="0"/>
                  <w:vAlign w:val="center"/>
                </w:tcPr>
                <w:p w14:paraId="2200381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6E2CC81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1043" w:type="pct"/>
                  <w:noWrap w:val="0"/>
                  <w:vAlign w:val="center"/>
                </w:tcPr>
                <w:p w14:paraId="39958E9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4" w:type="pct"/>
                  <w:noWrap w:val="0"/>
                  <w:vAlign w:val="center"/>
                </w:tcPr>
                <w:p w14:paraId="79EF8EA3">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4C5BB36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264DB1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vMerge w:val="continue"/>
                  <w:noWrap w:val="0"/>
                  <w:vAlign w:val="center"/>
                </w:tcPr>
                <w:p w14:paraId="6F2FE0A8">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1043" w:type="pct"/>
                  <w:noWrap w:val="0"/>
                  <w:vAlign w:val="center"/>
                </w:tcPr>
                <w:p w14:paraId="69AA077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4" w:type="pct"/>
                  <w:noWrap w:val="0"/>
                  <w:vAlign w:val="center"/>
                </w:tcPr>
                <w:p w14:paraId="23C7F8D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49EB2C3E">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17703C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4" w:type="pct"/>
                  <w:noWrap w:val="0"/>
                  <w:vAlign w:val="center"/>
                </w:tcPr>
                <w:p w14:paraId="45E96E7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1043" w:type="pct"/>
                  <w:noWrap w:val="0"/>
                  <w:vAlign w:val="center"/>
                </w:tcPr>
                <w:p w14:paraId="69006D36">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4" w:type="pct"/>
                  <w:noWrap w:val="0"/>
                  <w:vAlign w:val="center"/>
                </w:tcPr>
                <w:p w14:paraId="250A77B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7BDA957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62D3BA9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120" w:name="_Toc2471"/>
            <w:r>
              <w:rPr>
                <w:rFonts w:hint="eastAsia" w:cs="Times New Roman"/>
                <w:b/>
                <w:bCs/>
                <w:color w:val="auto"/>
                <w:sz w:val="24"/>
                <w:highlight w:val="none"/>
                <w:lang w:val="en-US" w:eastAsia="zh-CN"/>
              </w:rPr>
              <w:t xml:space="preserve">4.6.3 </w:t>
            </w:r>
            <w:r>
              <w:rPr>
                <w:rFonts w:hint="default" w:ascii="Times New Roman" w:hAnsi="Times New Roman" w:eastAsia="宋体" w:cs="Times New Roman"/>
                <w:b/>
                <w:bCs/>
                <w:color w:val="auto"/>
                <w:sz w:val="24"/>
                <w:highlight w:val="none"/>
                <w:lang w:val="en-US" w:eastAsia="zh-CN"/>
              </w:rPr>
              <w:t>环境风险防范措施</w:t>
            </w:r>
            <w:bookmarkEnd w:id="120"/>
          </w:p>
          <w:p w14:paraId="4EB484DB">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（1）</w:t>
            </w:r>
            <w:r>
              <w:rPr>
                <w:rFonts w:hint="eastAsia"/>
                <w:color w:val="auto"/>
                <w:kern w:val="0"/>
                <w:sz w:val="24"/>
              </w:rPr>
              <w:t>废气事故排放</w:t>
            </w:r>
            <w:r>
              <w:rPr>
                <w:color w:val="auto"/>
                <w:kern w:val="0"/>
                <w:sz w:val="24"/>
              </w:rPr>
              <w:t>风险防范措施</w:t>
            </w:r>
          </w:p>
          <w:p w14:paraId="30C761EC">
            <w:pPr>
              <w:autoSpaceDE w:val="0"/>
              <w:autoSpaceDN w:val="0"/>
              <w:adjustRightInd w:val="0"/>
              <w:snapToGrid w:val="0"/>
              <w:spacing w:line="360" w:lineRule="auto"/>
              <w:ind w:firstLine="480" w:firstLineChars="200"/>
              <w:jc w:val="left"/>
              <w:rPr>
                <w:rFonts w:hint="eastAsia"/>
                <w:color w:val="auto"/>
                <w:kern w:val="0"/>
                <w:sz w:val="24"/>
              </w:rPr>
            </w:pPr>
            <w:r>
              <w:rPr>
                <w:color w:val="auto"/>
                <w:kern w:val="0"/>
                <w:sz w:val="24"/>
              </w:rPr>
              <w:t>①</w:t>
            </w:r>
            <w:r>
              <w:rPr>
                <w:rFonts w:hint="eastAsia"/>
                <w:color w:val="auto"/>
                <w:kern w:val="0"/>
                <w:sz w:val="24"/>
              </w:rPr>
              <w:t>定期对废气处理设施从设备到运输管道进行检修，发现问题及时解决。</w:t>
            </w:r>
          </w:p>
          <w:p w14:paraId="11276C95">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各生产岗位制定严格的操作规程和注意事项，车间工人需熟悉工作流程，严格按操作规程进行运行控制，防止操作失误导致废气事故排放。</w:t>
            </w:r>
          </w:p>
          <w:p w14:paraId="644B4B8F">
            <w:pPr>
              <w:autoSpaceDE w:val="0"/>
              <w:autoSpaceDN w:val="0"/>
              <w:adjustRightInd w:val="0"/>
              <w:snapToGrid w:val="0"/>
              <w:spacing w:line="360" w:lineRule="auto"/>
              <w:ind w:firstLine="480" w:firstLineChars="200"/>
              <w:jc w:val="left"/>
              <w:rPr>
                <w:rFonts w:hint="eastAsia"/>
                <w:color w:val="auto"/>
                <w:sz w:val="24"/>
              </w:rPr>
            </w:pPr>
            <w:r>
              <w:rPr>
                <w:color w:val="auto"/>
                <w:kern w:val="0"/>
                <w:sz w:val="24"/>
              </w:rPr>
              <w:t>③</w:t>
            </w:r>
            <w:r>
              <w:rPr>
                <w:rFonts w:hint="eastAsia"/>
                <w:color w:val="auto"/>
                <w:kern w:val="0"/>
                <w:sz w:val="24"/>
              </w:rPr>
              <w:t>定期更换活性炭，</w:t>
            </w:r>
            <w:r>
              <w:rPr>
                <w:color w:val="auto"/>
                <w:sz w:val="24"/>
              </w:rPr>
              <w:t>同时确保项目</w:t>
            </w:r>
            <w:r>
              <w:rPr>
                <w:rFonts w:hint="eastAsia"/>
                <w:color w:val="auto"/>
                <w:sz w:val="24"/>
                <w:lang w:eastAsia="zh-CN"/>
              </w:rPr>
              <w:t>活性炭吸附装置</w:t>
            </w:r>
            <w:r>
              <w:rPr>
                <w:color w:val="auto"/>
                <w:sz w:val="24"/>
              </w:rPr>
              <w:t>一次性装置量</w:t>
            </w:r>
            <w:r>
              <w:rPr>
                <w:rFonts w:hint="eastAsia"/>
                <w:color w:val="auto"/>
                <w:sz w:val="24"/>
              </w:rPr>
              <w:t>。</w:t>
            </w:r>
          </w:p>
          <w:p w14:paraId="5DCD9A3F">
            <w:pPr>
              <w:autoSpaceDE w:val="0"/>
              <w:autoSpaceDN w:val="0"/>
              <w:adjustRightInd w:val="0"/>
              <w:spacing w:line="360" w:lineRule="auto"/>
              <w:ind w:firstLine="480" w:firstLineChars="200"/>
              <w:jc w:val="left"/>
              <w:rPr>
                <w:color w:val="auto"/>
                <w:kern w:val="0"/>
                <w:sz w:val="24"/>
              </w:rPr>
            </w:pPr>
            <w:r>
              <w:rPr>
                <w:rFonts w:hint="eastAsia"/>
                <w:color w:val="auto"/>
                <w:sz w:val="24"/>
                <w:lang w:eastAsia="zh-CN"/>
              </w:rPr>
              <w:t>（2）</w:t>
            </w:r>
            <w:r>
              <w:rPr>
                <w:rFonts w:hint="eastAsia"/>
                <w:color w:val="auto"/>
                <w:kern w:val="0"/>
                <w:sz w:val="24"/>
              </w:rPr>
              <w:t>危险废物等</w:t>
            </w:r>
            <w:r>
              <w:rPr>
                <w:color w:val="auto"/>
                <w:kern w:val="0"/>
                <w:sz w:val="24"/>
              </w:rPr>
              <w:t>泄漏事故风险防范措施</w:t>
            </w:r>
          </w:p>
          <w:p w14:paraId="6C41553B">
            <w:pPr>
              <w:autoSpaceDE w:val="0"/>
              <w:autoSpaceDN w:val="0"/>
              <w:adjustRightInd w:val="0"/>
              <w:snapToGrid w:val="0"/>
              <w:spacing w:line="360" w:lineRule="auto"/>
              <w:ind w:firstLine="480" w:firstLineChars="200"/>
              <w:jc w:val="left"/>
              <w:rPr>
                <w:color w:val="auto"/>
                <w:kern w:val="0"/>
                <w:sz w:val="24"/>
              </w:rPr>
            </w:pPr>
            <w:r>
              <w:rPr>
                <w:color w:val="auto"/>
                <w:kern w:val="0"/>
                <w:sz w:val="24"/>
              </w:rPr>
              <w:t>①</w:t>
            </w:r>
            <w:r>
              <w:rPr>
                <w:rFonts w:hint="eastAsia"/>
                <w:color w:val="auto"/>
                <w:kern w:val="0"/>
                <w:sz w:val="24"/>
              </w:rPr>
              <w:t>危险废物间</w:t>
            </w:r>
            <w:r>
              <w:rPr>
                <w:color w:val="auto"/>
                <w:kern w:val="0"/>
                <w:sz w:val="24"/>
              </w:rPr>
              <w:t>周围设置围堰</w:t>
            </w:r>
            <w:r>
              <w:rPr>
                <w:rFonts w:hint="eastAsia"/>
                <w:color w:val="auto"/>
                <w:kern w:val="0"/>
                <w:sz w:val="24"/>
              </w:rPr>
              <w:t>，</w:t>
            </w:r>
            <w:r>
              <w:rPr>
                <w:color w:val="auto"/>
                <w:kern w:val="0"/>
                <w:sz w:val="24"/>
              </w:rPr>
              <w:t>地面采取防渗，设置导流沟</w:t>
            </w:r>
            <w:r>
              <w:rPr>
                <w:rFonts w:hint="eastAsia"/>
                <w:color w:val="auto"/>
                <w:kern w:val="0"/>
                <w:sz w:val="24"/>
              </w:rPr>
              <w:t>，</w:t>
            </w:r>
            <w:r>
              <w:rPr>
                <w:color w:val="auto"/>
                <w:kern w:val="0"/>
                <w:sz w:val="24"/>
              </w:rPr>
              <w:t>设置警示标识等</w:t>
            </w:r>
            <w:r>
              <w:rPr>
                <w:rFonts w:hint="eastAsia"/>
                <w:color w:val="auto"/>
                <w:kern w:val="0"/>
                <w:sz w:val="24"/>
              </w:rPr>
              <w:t>。</w:t>
            </w:r>
          </w:p>
          <w:p w14:paraId="7066707D">
            <w:pPr>
              <w:autoSpaceDE w:val="0"/>
              <w:autoSpaceDN w:val="0"/>
              <w:adjustRightInd w:val="0"/>
              <w:snapToGrid w:val="0"/>
              <w:spacing w:line="360" w:lineRule="auto"/>
              <w:ind w:firstLine="480" w:firstLineChars="200"/>
              <w:jc w:val="left"/>
              <w:rPr>
                <w:color w:val="auto"/>
                <w:kern w:val="0"/>
                <w:sz w:val="24"/>
              </w:rPr>
            </w:pPr>
            <w:r>
              <w:rPr>
                <w:color w:val="auto"/>
                <w:kern w:val="0"/>
                <w:sz w:val="24"/>
              </w:rPr>
              <w:t>②</w:t>
            </w:r>
            <w:r>
              <w:rPr>
                <w:rFonts w:hint="eastAsia"/>
                <w:color w:val="auto"/>
                <w:kern w:val="0"/>
                <w:sz w:val="24"/>
              </w:rPr>
              <w:t>危险废物间</w:t>
            </w:r>
            <w:r>
              <w:rPr>
                <w:color w:val="auto"/>
                <w:kern w:val="0"/>
                <w:sz w:val="24"/>
              </w:rPr>
              <w:t>严禁明火，严格遵守操作规程，避免因操作失误发生事故。</w:t>
            </w:r>
          </w:p>
          <w:p w14:paraId="24687614">
            <w:pPr>
              <w:autoSpaceDE w:val="0"/>
              <w:autoSpaceDN w:val="0"/>
              <w:adjustRightInd w:val="0"/>
              <w:snapToGrid w:val="0"/>
              <w:spacing w:line="360" w:lineRule="auto"/>
              <w:ind w:firstLine="480" w:firstLineChars="200"/>
              <w:jc w:val="left"/>
              <w:rPr>
                <w:color w:val="auto"/>
                <w:sz w:val="24"/>
              </w:rPr>
            </w:pPr>
            <w:r>
              <w:rPr>
                <w:color w:val="auto"/>
                <w:sz w:val="24"/>
              </w:rPr>
              <w:t>③</w:t>
            </w:r>
            <w:r>
              <w:rPr>
                <w:color w:val="auto"/>
                <w:kern w:val="0"/>
                <w:sz w:val="24"/>
              </w:rPr>
              <w:t>配备</w:t>
            </w:r>
            <w:r>
              <w:rPr>
                <w:color w:val="auto"/>
                <w:sz w:val="24"/>
              </w:rPr>
              <w:t>相应的堵漏材料</w:t>
            </w:r>
            <w:r>
              <w:rPr>
                <w:rFonts w:hint="eastAsia"/>
                <w:color w:val="auto"/>
                <w:sz w:val="24"/>
                <w:lang w:eastAsia="zh-CN"/>
              </w:rPr>
              <w:t>（</w:t>
            </w:r>
            <w:r>
              <w:rPr>
                <w:rFonts w:hint="eastAsia"/>
                <w:color w:val="auto"/>
                <w:sz w:val="24"/>
              </w:rPr>
              <w:t>沙袋</w:t>
            </w:r>
            <w:r>
              <w:rPr>
                <w:color w:val="auto"/>
                <w:sz w:val="24"/>
              </w:rPr>
              <w:t>、吸油毡等</w:t>
            </w:r>
            <w:r>
              <w:rPr>
                <w:rFonts w:hint="eastAsia"/>
                <w:color w:val="auto"/>
                <w:sz w:val="24"/>
                <w:lang w:eastAsia="zh-CN"/>
              </w:rPr>
              <w:t>）</w:t>
            </w:r>
            <w:r>
              <w:rPr>
                <w:color w:val="auto"/>
                <w:sz w:val="24"/>
              </w:rPr>
              <w:t>。</w:t>
            </w:r>
          </w:p>
          <w:p w14:paraId="36556C1F">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w:t>
            </w:r>
            <w:r>
              <w:rPr>
                <w:rFonts w:hint="eastAsia" w:ascii="Times New Roman" w:hAnsi="Times New Roman" w:eastAsia="宋体" w:cs="Times New Roman"/>
                <w:color w:val="auto"/>
                <w:kern w:val="0"/>
                <w:sz w:val="24"/>
                <w:highlight w:val="none"/>
                <w:u w:val="none"/>
                <w:lang w:val="en-US" w:eastAsia="zh-CN"/>
              </w:rPr>
              <w:t>危险废物贮存库</w:t>
            </w:r>
            <w:r>
              <w:rPr>
                <w:rFonts w:hint="default" w:ascii="Times New Roman" w:hAnsi="Times New Roman" w:eastAsia="宋体" w:cs="Times New Roman"/>
                <w:color w:val="auto"/>
                <w:kern w:val="0"/>
                <w:sz w:val="24"/>
                <w:highlight w:val="none"/>
                <w:u w:val="none"/>
                <w:lang w:val="en-US" w:eastAsia="zh-CN"/>
              </w:rPr>
              <w:t>应按照《危险废物贮存污染控制标准》</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GB18597-2023</w:t>
            </w:r>
            <w:r>
              <w:rPr>
                <w:rFonts w:hint="eastAsia" w:cs="Times New Roman"/>
                <w:color w:val="auto"/>
                <w:kern w:val="0"/>
                <w:sz w:val="24"/>
                <w:highlight w:val="none"/>
                <w:u w:val="none"/>
                <w:lang w:val="en-US" w:eastAsia="zh-CN"/>
              </w:rPr>
              <w:t>）</w:t>
            </w:r>
            <w:r>
              <w:rPr>
                <w:rFonts w:hint="default" w:ascii="Times New Roman" w:hAnsi="Times New Roman" w:eastAsia="宋体" w:cs="Times New Roman"/>
                <w:color w:val="auto"/>
                <w:kern w:val="0"/>
                <w:sz w:val="24"/>
                <w:highlight w:val="none"/>
                <w:u w:val="none"/>
                <w:lang w:val="en-US" w:eastAsia="zh-CN"/>
              </w:rPr>
              <w:t>要求进行建设，具备</w:t>
            </w:r>
            <w:r>
              <w:rPr>
                <w:rFonts w:hint="eastAsia" w:ascii="Times New Roman" w:hAnsi="Times New Roman" w:eastAsia="宋体" w:cs="Times New Roman"/>
                <w:color w:val="auto"/>
                <w:kern w:val="0"/>
                <w:sz w:val="24"/>
                <w:highlight w:val="none"/>
                <w:u w:val="none"/>
                <w:lang w:val="en-US" w:eastAsia="zh-CN"/>
              </w:rPr>
              <w:t>防风、防雨、防晒、防止流失及扬散、防渗、防漏等要求</w:t>
            </w:r>
            <w:r>
              <w:rPr>
                <w:rFonts w:hint="default" w:ascii="Times New Roman" w:hAnsi="Times New Roman" w:eastAsia="宋体" w:cs="Times New Roman"/>
                <w:color w:val="auto"/>
                <w:kern w:val="0"/>
                <w:sz w:val="24"/>
                <w:highlight w:val="none"/>
                <w:u w:val="none"/>
                <w:lang w:val="en-US" w:eastAsia="zh-CN"/>
              </w:rPr>
              <w:t>。</w:t>
            </w:r>
            <w:r>
              <w:rPr>
                <w:rFonts w:hint="eastAsia" w:ascii="Times New Roman" w:hAnsi="Times New Roman" w:eastAsia="宋体" w:cs="Times New Roman"/>
                <w:color w:val="auto"/>
                <w:kern w:val="0"/>
                <w:sz w:val="24"/>
                <w:highlight w:val="none"/>
                <w:u w:val="none"/>
                <w:lang w:val="en-US" w:eastAsia="zh-CN"/>
              </w:rPr>
              <w:t>危险废物等</w:t>
            </w:r>
            <w:r>
              <w:rPr>
                <w:rFonts w:hint="default" w:ascii="Times New Roman" w:hAnsi="Times New Roman" w:eastAsia="宋体" w:cs="Times New Roman"/>
                <w:color w:val="auto"/>
                <w:kern w:val="0"/>
                <w:sz w:val="24"/>
                <w:highlight w:val="none"/>
                <w:u w:val="none"/>
                <w:lang w:val="en-US" w:eastAsia="zh-CN"/>
              </w:rPr>
              <w:t>不得与禁忌化学品混合贮存。</w:t>
            </w:r>
          </w:p>
          <w:p w14:paraId="113D6662">
            <w:pPr>
              <w:autoSpaceDE w:val="0"/>
              <w:autoSpaceDN w:val="0"/>
              <w:adjustRightInd w:val="0"/>
              <w:snapToGrid w:val="0"/>
              <w:spacing w:line="360" w:lineRule="auto"/>
              <w:ind w:firstLine="480" w:firstLineChars="200"/>
              <w:jc w:val="left"/>
              <w:rPr>
                <w:color w:val="auto"/>
                <w:kern w:val="0"/>
                <w:sz w:val="24"/>
              </w:rPr>
            </w:pPr>
            <w:r>
              <w:rPr>
                <w:rFonts w:hint="eastAsia"/>
                <w:color w:val="auto"/>
                <w:kern w:val="0"/>
                <w:sz w:val="24"/>
                <w:lang w:eastAsia="zh-CN"/>
              </w:rPr>
              <w:t>（3）</w:t>
            </w:r>
            <w:r>
              <w:rPr>
                <w:color w:val="auto"/>
                <w:kern w:val="0"/>
                <w:sz w:val="24"/>
              </w:rPr>
              <w:t>火灾事故风险防范措施</w:t>
            </w:r>
          </w:p>
          <w:p w14:paraId="2EFB3343">
            <w:pPr>
              <w:adjustRightInd w:val="0"/>
              <w:snapToGrid w:val="0"/>
              <w:spacing w:line="360" w:lineRule="auto"/>
              <w:ind w:firstLine="480" w:firstLineChars="200"/>
              <w:rPr>
                <w:bCs/>
                <w:color w:val="auto"/>
                <w:sz w:val="24"/>
              </w:rPr>
            </w:pPr>
            <w:r>
              <w:rPr>
                <w:bCs/>
                <w:color w:val="auto"/>
                <w:sz w:val="24"/>
              </w:rPr>
              <w:t>①加强消防设施和灭火器材的配备，严格落实有关消防技术规范的规定，加强人员疏散设施管理，保证疏散通道畅通。</w:t>
            </w:r>
          </w:p>
          <w:p w14:paraId="553EE387">
            <w:pPr>
              <w:adjustRightInd w:val="0"/>
              <w:snapToGrid w:val="0"/>
              <w:spacing w:line="360" w:lineRule="auto"/>
              <w:ind w:firstLine="480" w:firstLineChars="200"/>
              <w:rPr>
                <w:bCs/>
                <w:color w:val="auto"/>
                <w:sz w:val="24"/>
              </w:rPr>
            </w:pPr>
            <w:r>
              <w:rPr>
                <w:bCs/>
                <w:color w:val="auto"/>
                <w:sz w:val="24"/>
              </w:rPr>
              <w:t>②定期进行防火安全检查，确保消防设施完整好用。</w:t>
            </w:r>
          </w:p>
          <w:p w14:paraId="3DC572C4">
            <w:pPr>
              <w:adjustRightInd w:val="0"/>
              <w:snapToGrid w:val="0"/>
              <w:spacing w:line="360" w:lineRule="auto"/>
              <w:ind w:firstLine="480" w:firstLineChars="200"/>
              <w:rPr>
                <w:bCs/>
                <w:color w:val="auto"/>
                <w:sz w:val="24"/>
              </w:rPr>
            </w:pPr>
            <w:r>
              <w:rPr>
                <w:color w:val="auto"/>
                <w:sz w:val="24"/>
              </w:rPr>
              <w:t>③</w:t>
            </w:r>
            <w:r>
              <w:rPr>
                <w:bCs/>
                <w:color w:val="auto"/>
                <w:sz w:val="24"/>
              </w:rPr>
              <w:t>公司要求职工应遵守各项规章制度，杜绝</w:t>
            </w:r>
            <w:r>
              <w:rPr>
                <w:rFonts w:hint="eastAsia"/>
                <w:bCs/>
                <w:color w:val="auto"/>
                <w:sz w:val="24"/>
                <w:lang w:eastAsia="zh-CN"/>
              </w:rPr>
              <w:t>“</w:t>
            </w:r>
            <w:r>
              <w:rPr>
                <w:bCs/>
                <w:color w:val="auto"/>
                <w:sz w:val="24"/>
              </w:rPr>
              <w:t>三违</w:t>
            </w:r>
            <w:r>
              <w:rPr>
                <w:rFonts w:hint="eastAsia"/>
                <w:bCs/>
                <w:color w:val="auto"/>
                <w:sz w:val="24"/>
                <w:lang w:eastAsia="zh-CN"/>
              </w:rPr>
              <w:t>”（</w:t>
            </w:r>
            <w:r>
              <w:rPr>
                <w:bCs/>
                <w:color w:val="auto"/>
                <w:sz w:val="24"/>
              </w:rPr>
              <w:t>违章作业、违章指挥、违反劳动纪律</w:t>
            </w:r>
            <w:r>
              <w:rPr>
                <w:rFonts w:hint="eastAsia"/>
                <w:bCs/>
                <w:color w:val="auto"/>
                <w:sz w:val="24"/>
                <w:lang w:eastAsia="zh-CN"/>
              </w:rPr>
              <w:t>）</w:t>
            </w:r>
            <w:r>
              <w:rPr>
                <w:bCs/>
                <w:color w:val="auto"/>
                <w:sz w:val="24"/>
              </w:rPr>
              <w:t>，作业时要遵守各项规定</w:t>
            </w:r>
            <w:r>
              <w:rPr>
                <w:rFonts w:hint="eastAsia"/>
                <w:bCs/>
                <w:color w:val="auto"/>
                <w:sz w:val="24"/>
                <w:lang w:eastAsia="zh-CN"/>
              </w:rPr>
              <w:t>（</w:t>
            </w:r>
            <w:r>
              <w:rPr>
                <w:bCs/>
                <w:color w:val="auto"/>
                <w:sz w:val="24"/>
              </w:rPr>
              <w:t>如动火、高处作业、进入设备作业等规定</w:t>
            </w:r>
            <w:r>
              <w:rPr>
                <w:rFonts w:hint="eastAsia"/>
                <w:bCs/>
                <w:color w:val="auto"/>
                <w:sz w:val="24"/>
                <w:lang w:eastAsia="zh-CN"/>
              </w:rPr>
              <w:t>）</w:t>
            </w:r>
            <w:r>
              <w:rPr>
                <w:bCs/>
                <w:color w:val="auto"/>
                <w:sz w:val="24"/>
              </w:rPr>
              <w:t>要求，确保安全生产。</w:t>
            </w:r>
          </w:p>
          <w:p w14:paraId="0347A93D">
            <w:pPr>
              <w:adjustRightInd w:val="0"/>
              <w:snapToGrid w:val="0"/>
              <w:spacing w:line="360" w:lineRule="auto"/>
              <w:ind w:firstLine="480" w:firstLineChars="200"/>
              <w:rPr>
                <w:bCs/>
                <w:color w:val="auto"/>
                <w:sz w:val="24"/>
              </w:rPr>
            </w:pPr>
            <w:r>
              <w:rPr>
                <w:bCs/>
                <w:color w:val="auto"/>
                <w:sz w:val="24"/>
              </w:rPr>
              <w:t>④公司强化安全、消防和环保管理，完善环保安全管理机构，完善各项管理制度，加强日常监督检查；</w:t>
            </w:r>
            <w:r>
              <w:rPr>
                <w:rFonts w:hint="eastAsia"/>
                <w:bCs/>
                <w:color w:val="auto"/>
                <w:sz w:val="24"/>
              </w:rPr>
              <w:t>车间</w:t>
            </w:r>
            <w:r>
              <w:rPr>
                <w:bCs/>
                <w:color w:val="auto"/>
                <w:sz w:val="24"/>
              </w:rPr>
              <w:t>内严禁烟火，严格动火审批制度，进料车辆必须戴阻火器。</w:t>
            </w:r>
          </w:p>
          <w:p w14:paraId="21ED66C6">
            <w:pPr>
              <w:pStyle w:val="70"/>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 xml:space="preserve">4.6.4 </w:t>
            </w:r>
            <w:r>
              <w:rPr>
                <w:rFonts w:hint="default" w:ascii="Times New Roman" w:hAnsi="Times New Roman" w:cs="Times New Roman"/>
                <w:b/>
                <w:bCs/>
                <w:color w:val="auto"/>
                <w:highlight w:val="none"/>
              </w:rPr>
              <w:t>风险分析结论</w:t>
            </w:r>
          </w:p>
          <w:p w14:paraId="5D021A15">
            <w:pPr>
              <w:pStyle w:val="70"/>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119"/>
          </w:p>
          <w:p w14:paraId="18A441F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21" w:name="_Toc15285"/>
            <w:r>
              <w:rPr>
                <w:rFonts w:hint="eastAsia" w:ascii="Times New Roman" w:hAnsi="Times New Roman" w:eastAsia="宋体" w:cs="Times New Roman"/>
                <w:color w:val="auto"/>
                <w:sz w:val="28"/>
                <w:szCs w:val="28"/>
                <w:u w:val="none"/>
                <w:lang w:val="en-US" w:eastAsia="zh-CN"/>
              </w:rPr>
              <w:t>4.7自行监测计划</w:t>
            </w:r>
            <w:bookmarkEnd w:id="121"/>
          </w:p>
          <w:p w14:paraId="04D45B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本评价根据《排污单位自行监测技术指南 总则》（HJ819-2017）、《排污许可证申请与核发技术规范 橡胶和塑料制品工业》（HJ1122</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2020）的要求，提出项目运营期自行监测计划，具体详见表4.</w:t>
            </w:r>
            <w:r>
              <w:rPr>
                <w:rFonts w:hint="eastAsia"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-1。</w:t>
            </w:r>
          </w:p>
          <w:p w14:paraId="46F6EE3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w:t>
            </w: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-1 本项目自行监测计划</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844"/>
              <w:gridCol w:w="3375"/>
              <w:gridCol w:w="1824"/>
              <w:gridCol w:w="1143"/>
              <w:gridCol w:w="1111"/>
            </w:tblGrid>
            <w:tr w14:paraId="09236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87" w:type="pct"/>
                  <w:gridSpan w:val="2"/>
                  <w:tcBorders>
                    <w:tl2br w:val="nil"/>
                    <w:tr2bl w:val="nil"/>
                  </w:tcBorders>
                  <w:noWrap w:val="0"/>
                  <w:vAlign w:val="center"/>
                </w:tcPr>
                <w:p w14:paraId="070B5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908" w:type="pct"/>
                  <w:tcBorders>
                    <w:tl2br w:val="nil"/>
                    <w:tr2bl w:val="nil"/>
                  </w:tcBorders>
                  <w:noWrap w:val="0"/>
                  <w:vAlign w:val="center"/>
                </w:tcPr>
                <w:p w14:paraId="50960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031" w:type="pct"/>
                  <w:tcBorders>
                    <w:tl2br w:val="nil"/>
                    <w:tr2bl w:val="nil"/>
                  </w:tcBorders>
                  <w:noWrap w:val="0"/>
                  <w:vAlign w:val="center"/>
                </w:tcPr>
                <w:p w14:paraId="4DCBE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6" w:type="pct"/>
                  <w:tcBorders>
                    <w:tl2br w:val="nil"/>
                    <w:tr2bl w:val="nil"/>
                  </w:tcBorders>
                  <w:noWrap w:val="0"/>
                  <w:vAlign w:val="center"/>
                </w:tcPr>
                <w:p w14:paraId="72733D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6" w:type="pct"/>
                  <w:tcBorders>
                    <w:tl2br w:val="nil"/>
                    <w:tr2bl w:val="nil"/>
                  </w:tcBorders>
                  <w:noWrap w:val="0"/>
                  <w:vAlign w:val="center"/>
                </w:tcPr>
                <w:p w14:paraId="2FACB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6D57D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restart"/>
                  <w:tcBorders>
                    <w:tl2br w:val="nil"/>
                    <w:tr2bl w:val="nil"/>
                  </w:tcBorders>
                  <w:noWrap w:val="0"/>
                  <w:vAlign w:val="center"/>
                </w:tcPr>
                <w:p w14:paraId="3C7D0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77" w:type="pct"/>
                  <w:vMerge w:val="restart"/>
                  <w:tcBorders>
                    <w:tl2br w:val="nil"/>
                    <w:tr2bl w:val="nil"/>
                  </w:tcBorders>
                  <w:noWrap w:val="0"/>
                  <w:vAlign w:val="center"/>
                </w:tcPr>
                <w:p w14:paraId="79CCB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tc>
              <w:tc>
                <w:tcPr>
                  <w:tcW w:w="1908" w:type="pct"/>
                  <w:tcBorders>
                    <w:tl2br w:val="nil"/>
                    <w:tr2bl w:val="nil"/>
                  </w:tcBorders>
                  <w:noWrap w:val="0"/>
                  <w:vAlign w:val="center"/>
                </w:tcPr>
                <w:p w14:paraId="3F6536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厂区内</w:t>
                  </w:r>
                  <w:r>
                    <w:rPr>
                      <w:rFonts w:hint="eastAsia" w:cs="Times New Roman"/>
                      <w:color w:val="000000"/>
                      <w:kern w:val="0"/>
                      <w:sz w:val="21"/>
                      <w:szCs w:val="21"/>
                      <w:lang w:val="en-US" w:eastAsia="zh-CN" w:bidi="ar"/>
                    </w:rPr>
                    <w:t>主要设施旁1</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5F84C2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p>
              </w:tc>
              <w:tc>
                <w:tcPr>
                  <w:tcW w:w="646" w:type="pct"/>
                  <w:tcBorders>
                    <w:tl2br w:val="nil"/>
                    <w:tr2bl w:val="nil"/>
                  </w:tcBorders>
                  <w:noWrap w:val="0"/>
                  <w:vAlign w:val="center"/>
                </w:tcPr>
                <w:p w14:paraId="3E7F0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restart"/>
                  <w:tcBorders>
                    <w:tl2br w:val="nil"/>
                    <w:tr2bl w:val="nil"/>
                  </w:tcBorders>
                  <w:noWrap w:val="0"/>
                  <w:vAlign w:val="center"/>
                </w:tcPr>
                <w:p w14:paraId="36DB752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委托专业检测单位</w:t>
                  </w:r>
                </w:p>
                <w:p w14:paraId="59747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4A4D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B64A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vMerge w:val="continue"/>
                  <w:tcBorders>
                    <w:tl2br w:val="nil"/>
                    <w:tr2bl w:val="nil"/>
                  </w:tcBorders>
                  <w:noWrap w:val="0"/>
                  <w:vAlign w:val="center"/>
                </w:tcPr>
                <w:p w14:paraId="43766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8" w:type="pct"/>
                  <w:tcBorders>
                    <w:tl2br w:val="nil"/>
                    <w:tr2bl w:val="nil"/>
                  </w:tcBorders>
                  <w:noWrap w:val="0"/>
                  <w:vAlign w:val="center"/>
                </w:tcPr>
                <w:p w14:paraId="35C9CF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厂界上风向1个监控点；下风向</w:t>
                  </w:r>
                  <w:r>
                    <w:rPr>
                      <w:rFonts w:hint="eastAsia"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个监控点</w:t>
                  </w:r>
                </w:p>
              </w:tc>
              <w:tc>
                <w:tcPr>
                  <w:tcW w:w="1031" w:type="pct"/>
                  <w:tcBorders>
                    <w:tl2br w:val="nil"/>
                    <w:tr2bl w:val="nil"/>
                  </w:tcBorders>
                  <w:noWrap w:val="0"/>
                  <w:vAlign w:val="center"/>
                </w:tcPr>
                <w:p w14:paraId="168082C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非甲烷总烃</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颗粒物、臭气浓度</w:t>
                  </w:r>
                  <w:r>
                    <w:rPr>
                      <w:rFonts w:hint="eastAsia" w:cs="Times New Roman"/>
                      <w:color w:val="000000"/>
                      <w:kern w:val="0"/>
                      <w:sz w:val="21"/>
                      <w:szCs w:val="21"/>
                      <w:lang w:val="en-US" w:eastAsia="zh-CN" w:bidi="ar"/>
                    </w:rPr>
                    <w:t>、氨</w:t>
                  </w:r>
                </w:p>
              </w:tc>
              <w:tc>
                <w:tcPr>
                  <w:tcW w:w="646" w:type="pct"/>
                  <w:tcBorders>
                    <w:tl2br w:val="nil"/>
                    <w:tr2bl w:val="nil"/>
                  </w:tcBorders>
                  <w:noWrap w:val="0"/>
                  <w:vAlign w:val="center"/>
                </w:tcPr>
                <w:p w14:paraId="0EAA1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color w:val="auto"/>
                      <w:sz w:val="21"/>
                      <w:szCs w:val="21"/>
                      <w:lang w:val="en-US" w:eastAsia="zh-CN"/>
                    </w:rPr>
                    <w:t>1次</w:t>
                  </w:r>
                  <w:r>
                    <w:rPr>
                      <w:rFonts w:hint="default" w:ascii="Times New Roman" w:hAnsi="Times New Roman" w:eastAsia="宋体" w:cs="Times New Roman"/>
                      <w:bCs/>
                      <w:color w:val="auto"/>
                      <w:sz w:val="21"/>
                      <w:szCs w:val="21"/>
                    </w:rPr>
                    <w:t>/年</w:t>
                  </w:r>
                </w:p>
              </w:tc>
              <w:tc>
                <w:tcPr>
                  <w:tcW w:w="626" w:type="pct"/>
                  <w:vMerge w:val="continue"/>
                  <w:tcBorders>
                    <w:tl2br w:val="nil"/>
                    <w:tr2bl w:val="nil"/>
                  </w:tcBorders>
                  <w:noWrap w:val="0"/>
                  <w:vAlign w:val="center"/>
                </w:tcPr>
                <w:p w14:paraId="66A97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7DF4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6A8C57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77" w:type="pct"/>
                  <w:tcBorders>
                    <w:tl2br w:val="nil"/>
                    <w:tr2bl w:val="nil"/>
                  </w:tcBorders>
                  <w:noWrap w:val="0"/>
                  <w:vAlign w:val="center"/>
                </w:tcPr>
                <w:p w14:paraId="5116AB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908" w:type="pct"/>
                  <w:tcBorders>
                    <w:tl2br w:val="nil"/>
                    <w:tr2bl w:val="nil"/>
                  </w:tcBorders>
                  <w:noWrap w:val="0"/>
                  <w:vAlign w:val="center"/>
                </w:tcPr>
                <w:p w14:paraId="440C2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val="en-US" w:eastAsia="zh-CN"/>
                    </w:rPr>
                    <w:t>有机废气排气筒DA001</w:t>
                  </w:r>
                </w:p>
              </w:tc>
              <w:tc>
                <w:tcPr>
                  <w:tcW w:w="1031" w:type="pct"/>
                  <w:tcBorders>
                    <w:tl2br w:val="nil"/>
                    <w:tr2bl w:val="nil"/>
                  </w:tcBorders>
                  <w:noWrap w:val="0"/>
                  <w:vAlign w:val="center"/>
                </w:tcPr>
                <w:p w14:paraId="324C3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非甲烷总烃、</w:t>
                  </w:r>
                  <w:r>
                    <w:rPr>
                      <w:rFonts w:hint="eastAsia" w:cs="Times New Roman"/>
                      <w:b w:val="0"/>
                      <w:bCs/>
                      <w:color w:val="auto"/>
                      <w:sz w:val="21"/>
                      <w:szCs w:val="21"/>
                      <w:vertAlign w:val="baseline"/>
                      <w:lang w:val="en-US" w:eastAsia="zh-CN"/>
                    </w:rPr>
                    <w:t>颗粒物、</w:t>
                  </w:r>
                  <w:r>
                    <w:rPr>
                      <w:rFonts w:hint="default" w:ascii="Times New Roman" w:hAnsi="Times New Roman" w:eastAsia="宋体" w:cs="Times New Roman"/>
                      <w:b w:val="0"/>
                      <w:bCs/>
                      <w:color w:val="auto"/>
                      <w:sz w:val="21"/>
                      <w:szCs w:val="21"/>
                      <w:vertAlign w:val="baseline"/>
                      <w:lang w:val="en-US" w:eastAsia="zh-CN"/>
                    </w:rPr>
                    <w:t>臭气浓度</w:t>
                  </w:r>
                  <w:r>
                    <w:rPr>
                      <w:rFonts w:hint="eastAsia" w:cs="Times New Roman"/>
                      <w:b w:val="0"/>
                      <w:bCs/>
                      <w:color w:val="auto"/>
                      <w:sz w:val="21"/>
                      <w:szCs w:val="21"/>
                      <w:vertAlign w:val="baseline"/>
                      <w:lang w:val="en-US" w:eastAsia="zh-CN"/>
                    </w:rPr>
                    <w:t>、氨、</w:t>
                  </w:r>
                  <w:r>
                    <w:rPr>
                      <w:rFonts w:hint="eastAsia"/>
                      <w:color w:val="auto"/>
                      <w:highlight w:val="none"/>
                      <w:lang w:val="en-US" w:eastAsia="zh-CN"/>
                    </w:rPr>
                    <w:t>TDI</w:t>
                  </w:r>
                  <w:r>
                    <w:rPr>
                      <w:rFonts w:hint="eastAsia" w:cs="Times New Roman"/>
                      <w:color w:val="auto"/>
                      <w:szCs w:val="21"/>
                      <w:highlight w:val="none"/>
                      <w:vertAlign w:val="baseline"/>
                      <w:lang w:eastAsia="zh-CN"/>
                    </w:rPr>
                    <w:t>、</w:t>
                  </w:r>
                  <w:r>
                    <w:rPr>
                      <w:rFonts w:hint="eastAsia"/>
                      <w:color w:val="auto"/>
                      <w:highlight w:val="none"/>
                      <w:lang w:val="en-US" w:eastAsia="zh-CN"/>
                    </w:rPr>
                    <w:t>MDI</w:t>
                  </w:r>
                  <w:r>
                    <w:rPr>
                      <w:rFonts w:hint="eastAsia" w:cs="Times New Roman"/>
                      <w:color w:val="auto"/>
                      <w:szCs w:val="21"/>
                      <w:highlight w:val="none"/>
                      <w:vertAlign w:val="baseline"/>
                      <w:lang w:eastAsia="zh-CN"/>
                    </w:rPr>
                    <w:t>、</w:t>
                  </w:r>
                  <w:r>
                    <w:rPr>
                      <w:rFonts w:hint="eastAsia"/>
                      <w:color w:val="auto"/>
                      <w:highlight w:val="none"/>
                      <w:lang w:val="en-US" w:eastAsia="zh-CN"/>
                    </w:rPr>
                    <w:t>IPDI、PAPI</w:t>
                  </w:r>
                </w:p>
              </w:tc>
              <w:tc>
                <w:tcPr>
                  <w:tcW w:w="646" w:type="pct"/>
                  <w:tcBorders>
                    <w:tl2br w:val="nil"/>
                    <w:tr2bl w:val="nil"/>
                  </w:tcBorders>
                  <w:noWrap w:val="0"/>
                  <w:vAlign w:val="center"/>
                </w:tcPr>
                <w:p w14:paraId="7BB8B7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1次/年</w:t>
                  </w:r>
                </w:p>
              </w:tc>
              <w:tc>
                <w:tcPr>
                  <w:tcW w:w="626" w:type="pct"/>
                  <w:vMerge w:val="continue"/>
                  <w:tcBorders>
                    <w:tl2br w:val="nil"/>
                    <w:tr2bl w:val="nil"/>
                  </w:tcBorders>
                  <w:noWrap w:val="0"/>
                  <w:vAlign w:val="center"/>
                </w:tcPr>
                <w:p w14:paraId="5DC43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A132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359A0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212" w:type="pct"/>
                  <w:gridSpan w:val="4"/>
                  <w:tcBorders>
                    <w:tl2br w:val="nil"/>
                    <w:tr2bl w:val="nil"/>
                  </w:tcBorders>
                  <w:noWrap w:val="0"/>
                  <w:vAlign w:val="center"/>
                </w:tcPr>
                <w:p w14:paraId="52EA58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总则》（HJ819-2017）、《排污许可证申请与核发技术规范 橡胶和塑料制品工业》（HJ1122—2020），间接排放的生活污水单独排放口无自行监测要求。因此，本评价不对生活污水提出自行监测要求。</w:t>
                  </w:r>
                </w:p>
              </w:tc>
            </w:tr>
            <w:tr w14:paraId="6BDDD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7" w:type="pct"/>
                  <w:gridSpan w:val="2"/>
                  <w:tcBorders>
                    <w:tl2br w:val="nil"/>
                    <w:tr2bl w:val="nil"/>
                  </w:tcBorders>
                  <w:noWrap w:val="0"/>
                  <w:vAlign w:val="center"/>
                </w:tcPr>
                <w:p w14:paraId="227547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08" w:type="pct"/>
                  <w:tcBorders>
                    <w:tl2br w:val="nil"/>
                    <w:tr2bl w:val="nil"/>
                  </w:tcBorders>
                  <w:noWrap w:val="0"/>
                  <w:vAlign w:val="center"/>
                </w:tcPr>
                <w:p w14:paraId="3D3FCC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厂界四周外1m</w:t>
                  </w:r>
                </w:p>
              </w:tc>
              <w:tc>
                <w:tcPr>
                  <w:tcW w:w="1031" w:type="pct"/>
                  <w:tcBorders>
                    <w:tl2br w:val="nil"/>
                    <w:tr2bl w:val="nil"/>
                  </w:tcBorders>
                  <w:noWrap w:val="0"/>
                  <w:vAlign w:val="center"/>
                </w:tcPr>
                <w:p w14:paraId="21E09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lang w:eastAsia="zh-CN"/>
                    </w:rPr>
                    <w:t>等效</w:t>
                  </w:r>
                  <w:r>
                    <w:rPr>
                      <w:rFonts w:hint="default" w:ascii="Times New Roman" w:hAnsi="Times New Roman" w:eastAsia="宋体" w:cs="Times New Roman"/>
                      <w:color w:val="auto"/>
                      <w:sz w:val="21"/>
                      <w:szCs w:val="21"/>
                      <w:lang w:val="en-US" w:eastAsia="zh-CN"/>
                    </w:rPr>
                    <w:t>A声级</w:t>
                  </w:r>
                </w:p>
              </w:tc>
              <w:tc>
                <w:tcPr>
                  <w:tcW w:w="646" w:type="pct"/>
                  <w:tcBorders>
                    <w:tl2br w:val="nil"/>
                    <w:tr2bl w:val="nil"/>
                  </w:tcBorders>
                  <w:noWrap w:val="0"/>
                  <w:vAlign w:val="center"/>
                </w:tcPr>
                <w:p w14:paraId="3B7DC3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bidi="ar-SA"/>
                    </w:rPr>
                    <w:t>1次/季度</w:t>
                  </w:r>
                </w:p>
              </w:tc>
              <w:tc>
                <w:tcPr>
                  <w:tcW w:w="626" w:type="pct"/>
                  <w:tcBorders>
                    <w:tl2br w:val="nil"/>
                    <w:tr2bl w:val="nil"/>
                  </w:tcBorders>
                  <w:noWrap w:val="0"/>
                  <w:vAlign w:val="center"/>
                </w:tcPr>
                <w:p w14:paraId="238DA1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委托专业检测单位</w:t>
                  </w:r>
                </w:p>
              </w:tc>
            </w:tr>
            <w:tr w14:paraId="67DE8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Borders>
                    <w:tl2br w:val="nil"/>
                    <w:tr2bl w:val="nil"/>
                  </w:tcBorders>
                  <w:noWrap w:val="0"/>
                  <w:vAlign w:val="center"/>
                </w:tcPr>
                <w:p w14:paraId="44DF5AF0">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000000"/>
                      <w:kern w:val="0"/>
                      <w:sz w:val="21"/>
                      <w:szCs w:val="21"/>
                      <w:lang w:val="en-US" w:eastAsia="zh-CN" w:bidi="ar"/>
                    </w:rPr>
                  </w:pPr>
                  <w:bookmarkStart w:id="122" w:name="_Toc11633"/>
                  <w:bookmarkStart w:id="123" w:name="_Toc12062"/>
                  <w:bookmarkStart w:id="124" w:name="_Toc7744"/>
                  <w:bookmarkStart w:id="125" w:name="_Toc25365"/>
                  <w:bookmarkStart w:id="126" w:name="_Toc26125"/>
                  <w:bookmarkStart w:id="127" w:name="_Toc17846"/>
                  <w:r>
                    <w:rPr>
                      <w:rFonts w:hint="eastAsia"/>
                      <w:color w:val="auto"/>
                      <w:highlight w:val="none"/>
                      <w:lang w:val="en-US" w:eastAsia="zh-CN"/>
                    </w:rPr>
                    <w:t>注：TDI</w:t>
                  </w:r>
                  <w:r>
                    <w:rPr>
                      <w:rFonts w:hint="eastAsia" w:cs="Times New Roman"/>
                      <w:color w:val="auto"/>
                      <w:szCs w:val="21"/>
                      <w:highlight w:val="none"/>
                      <w:vertAlign w:val="baseline"/>
                      <w:lang w:eastAsia="zh-CN"/>
                    </w:rPr>
                    <w:t>、</w:t>
                  </w:r>
                  <w:r>
                    <w:rPr>
                      <w:rFonts w:hint="eastAsia"/>
                      <w:color w:val="auto"/>
                      <w:highlight w:val="none"/>
                      <w:lang w:val="en-US" w:eastAsia="zh-CN"/>
                    </w:rPr>
                    <w:t>MDI</w:t>
                  </w:r>
                  <w:r>
                    <w:rPr>
                      <w:rFonts w:hint="eastAsia" w:cs="Times New Roman"/>
                      <w:color w:val="auto"/>
                      <w:szCs w:val="21"/>
                      <w:highlight w:val="none"/>
                      <w:vertAlign w:val="baseline"/>
                      <w:lang w:eastAsia="zh-CN"/>
                    </w:rPr>
                    <w:t>、</w:t>
                  </w:r>
                  <w:r>
                    <w:rPr>
                      <w:rFonts w:hint="eastAsia"/>
                      <w:color w:val="auto"/>
                      <w:highlight w:val="none"/>
                      <w:lang w:val="en-US" w:eastAsia="zh-CN"/>
                    </w:rPr>
                    <w:t>IPDI、PAPI</w:t>
                  </w:r>
                  <w:r>
                    <w:rPr>
                      <w:rFonts w:hint="eastAsia" w:cs="Times New Roman"/>
                      <w:b w:val="0"/>
                      <w:bCs w:val="0"/>
                      <w:color w:val="auto"/>
                      <w:sz w:val="21"/>
                      <w:szCs w:val="21"/>
                      <w:vertAlign w:val="baseline"/>
                      <w:lang w:val="en-US" w:eastAsia="zh-CN"/>
                    </w:rPr>
                    <w:t>待国家污染物监测方法标准发布后实施</w:t>
                  </w:r>
                </w:p>
              </w:tc>
            </w:tr>
          </w:tbl>
          <w:p w14:paraId="0DD34D04">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r>
              <w:rPr>
                <w:rFonts w:hint="eastAsia" w:ascii="Times New Roman" w:hAnsi="Times New Roman" w:eastAsia="宋体" w:cs="Times New Roman"/>
                <w:color w:val="auto"/>
                <w:sz w:val="28"/>
                <w:szCs w:val="28"/>
                <w:u w:val="none"/>
                <w:lang w:val="en-US" w:eastAsia="zh-CN"/>
              </w:rPr>
              <w:t>4.8环保投资估算</w:t>
            </w:r>
            <w:bookmarkEnd w:id="122"/>
            <w:bookmarkEnd w:id="123"/>
            <w:bookmarkEnd w:id="124"/>
            <w:bookmarkEnd w:id="125"/>
            <w:bookmarkEnd w:id="126"/>
            <w:bookmarkEnd w:id="127"/>
          </w:p>
          <w:p w14:paraId="34EE3246">
            <w:pPr>
              <w:widowControl w:val="0"/>
              <w:bidi w:val="0"/>
              <w:spacing w:line="360" w:lineRule="auto"/>
              <w:ind w:firstLine="480" w:firstLineChars="200"/>
              <w:jc w:val="both"/>
              <w:rPr>
                <w:rFonts w:hint="eastAsia" w:ascii="Times New Roman" w:hAnsi="Times New Roman" w:eastAsia="宋体" w:cs="宋体"/>
                <w:color w:val="000000"/>
                <w:kern w:val="2"/>
                <w:sz w:val="24"/>
                <w:szCs w:val="24"/>
                <w:lang w:val="en-US" w:eastAsia="zh-CN" w:bidi="ar-SA"/>
              </w:rPr>
            </w:pPr>
            <w:r>
              <w:rPr>
                <w:rFonts w:hint="eastAsia" w:ascii="Times New Roman" w:hAnsi="Times New Roman" w:eastAsia="宋体" w:cs="宋体"/>
                <w:color w:val="000000"/>
                <w:kern w:val="2"/>
                <w:sz w:val="24"/>
                <w:szCs w:val="24"/>
                <w:lang w:val="en-US" w:eastAsia="zh-CN" w:bidi="ar-SA"/>
              </w:rPr>
              <w:t>本项目环保措施包括废水、废气、噪声治理措施、固体废物收集场所等。具体见表4.</w:t>
            </w:r>
            <w:r>
              <w:rPr>
                <w:rFonts w:hint="eastAsia" w:cs="宋体"/>
                <w:color w:val="000000"/>
                <w:kern w:val="2"/>
                <w:sz w:val="24"/>
                <w:szCs w:val="24"/>
                <w:lang w:val="en-US" w:eastAsia="zh-CN" w:bidi="ar-SA"/>
              </w:rPr>
              <w:t>8</w:t>
            </w:r>
            <w:r>
              <w:rPr>
                <w:rFonts w:hint="eastAsia" w:ascii="Times New Roman" w:hAnsi="Times New Roman" w:eastAsia="宋体" w:cs="宋体"/>
                <w:color w:val="000000"/>
                <w:kern w:val="2"/>
                <w:sz w:val="24"/>
                <w:szCs w:val="24"/>
                <w:lang w:val="en-US" w:eastAsia="zh-CN" w:bidi="ar-SA"/>
              </w:rPr>
              <w:t>-1。</w:t>
            </w:r>
          </w:p>
          <w:p w14:paraId="5FB3E865">
            <w:pPr>
              <w:pStyle w:val="71"/>
              <w:bidi w:val="0"/>
              <w:rPr>
                <w:rFonts w:hint="default"/>
                <w:color w:val="000000"/>
                <w:lang w:val="en-US" w:eastAsia="zh-CN"/>
              </w:rPr>
            </w:pPr>
            <w:r>
              <w:rPr>
                <w:rFonts w:hint="eastAsia"/>
                <w:color w:val="000000"/>
                <w:lang w:val="en-US" w:eastAsia="zh-CN"/>
              </w:rPr>
              <w:t>表4.8-1环保投资估算</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932"/>
              <w:gridCol w:w="5678"/>
              <w:gridCol w:w="1517"/>
            </w:tblGrid>
            <w:tr w14:paraId="20446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5E80AEB1">
                  <w:pPr>
                    <w:pStyle w:val="54"/>
                    <w:bidi w:val="0"/>
                    <w:rPr>
                      <w:rFonts w:hint="default"/>
                      <w:color w:val="000000"/>
                      <w:lang w:val="en-US" w:eastAsia="zh-CN"/>
                    </w:rPr>
                  </w:pPr>
                  <w:r>
                    <w:rPr>
                      <w:rFonts w:hint="eastAsia"/>
                      <w:color w:val="000000"/>
                      <w:lang w:val="en-US" w:eastAsia="zh-CN"/>
                    </w:rPr>
                    <w:t>序号</w:t>
                  </w:r>
                </w:p>
              </w:tc>
              <w:tc>
                <w:tcPr>
                  <w:tcW w:w="527" w:type="pct"/>
                  <w:tcBorders>
                    <w:tl2br w:val="nil"/>
                    <w:tr2bl w:val="nil"/>
                  </w:tcBorders>
                  <w:noWrap w:val="0"/>
                  <w:vAlign w:val="center"/>
                </w:tcPr>
                <w:p w14:paraId="15DEC259">
                  <w:pPr>
                    <w:pStyle w:val="54"/>
                    <w:bidi w:val="0"/>
                    <w:rPr>
                      <w:rFonts w:hint="default"/>
                      <w:color w:val="000000"/>
                      <w:lang w:val="en-US" w:eastAsia="zh-CN"/>
                    </w:rPr>
                  </w:pPr>
                  <w:r>
                    <w:rPr>
                      <w:rFonts w:hint="eastAsia"/>
                      <w:color w:val="000000"/>
                      <w:lang w:val="en-US" w:eastAsia="zh-CN"/>
                    </w:rPr>
                    <w:t>污染源</w:t>
                  </w:r>
                </w:p>
              </w:tc>
              <w:tc>
                <w:tcPr>
                  <w:tcW w:w="3208" w:type="pct"/>
                  <w:tcBorders>
                    <w:tl2br w:val="nil"/>
                    <w:tr2bl w:val="nil"/>
                  </w:tcBorders>
                  <w:noWrap w:val="0"/>
                  <w:vAlign w:val="center"/>
                </w:tcPr>
                <w:p w14:paraId="30CEB22C">
                  <w:pPr>
                    <w:pStyle w:val="54"/>
                    <w:bidi w:val="0"/>
                    <w:rPr>
                      <w:rFonts w:hint="default"/>
                      <w:color w:val="000000"/>
                      <w:lang w:val="en-US" w:eastAsia="zh-CN"/>
                    </w:rPr>
                  </w:pPr>
                  <w:r>
                    <w:rPr>
                      <w:rFonts w:hint="eastAsia"/>
                      <w:color w:val="000000"/>
                      <w:lang w:val="en-US" w:eastAsia="zh-CN"/>
                    </w:rPr>
                    <w:t>措施</w:t>
                  </w:r>
                </w:p>
              </w:tc>
              <w:tc>
                <w:tcPr>
                  <w:tcW w:w="857" w:type="pct"/>
                  <w:tcBorders>
                    <w:tl2br w:val="nil"/>
                    <w:tr2bl w:val="nil"/>
                  </w:tcBorders>
                  <w:noWrap w:val="0"/>
                  <w:vAlign w:val="center"/>
                </w:tcPr>
                <w:p w14:paraId="79DF20C7">
                  <w:pPr>
                    <w:pStyle w:val="54"/>
                    <w:bidi w:val="0"/>
                    <w:rPr>
                      <w:rFonts w:hint="default"/>
                      <w:color w:val="000000"/>
                      <w:lang w:val="en-US" w:eastAsia="zh-CN"/>
                    </w:rPr>
                  </w:pPr>
                  <w:r>
                    <w:rPr>
                      <w:rFonts w:hint="eastAsia"/>
                      <w:color w:val="000000"/>
                      <w:lang w:val="en-US" w:eastAsia="zh-CN"/>
                    </w:rPr>
                    <w:t>投资</w:t>
                  </w:r>
                </w:p>
              </w:tc>
            </w:tr>
            <w:tr w14:paraId="4AD7C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37BEB6F6">
                  <w:pPr>
                    <w:pStyle w:val="54"/>
                    <w:bidi w:val="0"/>
                    <w:rPr>
                      <w:rFonts w:hint="default"/>
                      <w:color w:val="000000"/>
                      <w:lang w:val="en-US" w:eastAsia="zh-CN"/>
                    </w:rPr>
                  </w:pPr>
                  <w:r>
                    <w:rPr>
                      <w:rFonts w:hint="eastAsia"/>
                      <w:color w:val="000000"/>
                      <w:lang w:val="en-US" w:eastAsia="zh-CN"/>
                    </w:rPr>
                    <w:t>1</w:t>
                  </w:r>
                </w:p>
              </w:tc>
              <w:tc>
                <w:tcPr>
                  <w:tcW w:w="527" w:type="pct"/>
                  <w:tcBorders>
                    <w:tl2br w:val="nil"/>
                    <w:tr2bl w:val="nil"/>
                  </w:tcBorders>
                  <w:noWrap w:val="0"/>
                  <w:vAlign w:val="center"/>
                </w:tcPr>
                <w:p w14:paraId="7A56C8BE">
                  <w:pPr>
                    <w:pStyle w:val="54"/>
                    <w:bidi w:val="0"/>
                    <w:rPr>
                      <w:rFonts w:hint="default"/>
                      <w:color w:val="000000"/>
                      <w:lang w:val="en-US" w:eastAsia="zh-CN"/>
                    </w:rPr>
                  </w:pPr>
                  <w:r>
                    <w:rPr>
                      <w:rFonts w:hint="eastAsia"/>
                      <w:color w:val="000000"/>
                      <w:lang w:val="en-US" w:eastAsia="zh-CN"/>
                    </w:rPr>
                    <w:t>废水</w:t>
                  </w:r>
                </w:p>
              </w:tc>
              <w:tc>
                <w:tcPr>
                  <w:tcW w:w="3208" w:type="pct"/>
                  <w:tcBorders>
                    <w:tl2br w:val="nil"/>
                    <w:tr2bl w:val="nil"/>
                  </w:tcBorders>
                  <w:noWrap w:val="0"/>
                  <w:vAlign w:val="center"/>
                </w:tcPr>
                <w:p w14:paraId="61C6132C">
                  <w:pPr>
                    <w:pStyle w:val="54"/>
                    <w:bidi w:val="0"/>
                    <w:rPr>
                      <w:rFonts w:hint="default"/>
                      <w:color w:val="auto"/>
                      <w:lang w:val="en-US" w:eastAsia="zh-CN"/>
                    </w:rPr>
                  </w:pPr>
                  <w:r>
                    <w:rPr>
                      <w:rFonts w:hint="eastAsia" w:ascii="Times New Roman" w:hAnsi="Times New Roman" w:cs="Times New Roman"/>
                      <w:bCs/>
                      <w:color w:val="auto"/>
                      <w:sz w:val="21"/>
                      <w:szCs w:val="21"/>
                      <w:lang w:val="en-US" w:eastAsia="zh-CN"/>
                    </w:rPr>
                    <w:t>冷却水循环使用不外排，</w:t>
                  </w:r>
                  <w:r>
                    <w:rPr>
                      <w:rFonts w:hint="eastAsia" w:cs="Times New Roman"/>
                      <w:bCs/>
                      <w:color w:val="auto"/>
                      <w:sz w:val="21"/>
                      <w:szCs w:val="21"/>
                      <w:lang w:val="en-US" w:eastAsia="zh-CN"/>
                    </w:rPr>
                    <w:t>喷粉前清洗废水通过废水处理设施处理后回用于生产工序，生活污水依托园区化粪池处理后接入市政污水管网</w:t>
                  </w:r>
                </w:p>
              </w:tc>
              <w:tc>
                <w:tcPr>
                  <w:tcW w:w="857" w:type="pct"/>
                  <w:tcBorders>
                    <w:tl2br w:val="nil"/>
                    <w:tr2bl w:val="nil"/>
                  </w:tcBorders>
                  <w:noWrap w:val="0"/>
                  <w:vAlign w:val="center"/>
                </w:tcPr>
                <w:p w14:paraId="44C63B4C">
                  <w:pPr>
                    <w:pStyle w:val="54"/>
                    <w:bidi w:val="0"/>
                    <w:rPr>
                      <w:rFonts w:hint="default"/>
                      <w:color w:val="000000"/>
                      <w:lang w:val="en-US" w:eastAsia="zh-CN"/>
                    </w:rPr>
                  </w:pPr>
                  <w:r>
                    <w:rPr>
                      <w:rFonts w:hint="eastAsia"/>
                      <w:color w:val="000000"/>
                      <w:lang w:val="en-US" w:eastAsia="zh-CN"/>
                    </w:rPr>
                    <w:t>4万元</w:t>
                  </w:r>
                </w:p>
              </w:tc>
            </w:tr>
            <w:tr w14:paraId="211E0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6" w:type="pct"/>
                  <w:tcBorders>
                    <w:tl2br w:val="nil"/>
                    <w:tr2bl w:val="nil"/>
                  </w:tcBorders>
                  <w:noWrap w:val="0"/>
                  <w:vAlign w:val="center"/>
                </w:tcPr>
                <w:p w14:paraId="792187F1">
                  <w:pPr>
                    <w:pStyle w:val="54"/>
                    <w:bidi w:val="0"/>
                    <w:rPr>
                      <w:rFonts w:hint="default"/>
                      <w:color w:val="000000"/>
                      <w:lang w:val="en-US" w:eastAsia="zh-CN"/>
                    </w:rPr>
                  </w:pPr>
                  <w:r>
                    <w:rPr>
                      <w:rFonts w:hint="eastAsia"/>
                      <w:color w:val="000000"/>
                      <w:lang w:val="en-US" w:eastAsia="zh-CN"/>
                    </w:rPr>
                    <w:t>2</w:t>
                  </w:r>
                </w:p>
              </w:tc>
              <w:tc>
                <w:tcPr>
                  <w:tcW w:w="527" w:type="pct"/>
                  <w:tcBorders>
                    <w:tl2br w:val="nil"/>
                    <w:tr2bl w:val="nil"/>
                  </w:tcBorders>
                  <w:noWrap w:val="0"/>
                  <w:vAlign w:val="center"/>
                </w:tcPr>
                <w:p w14:paraId="3F2C2E6E">
                  <w:pPr>
                    <w:pStyle w:val="54"/>
                    <w:bidi w:val="0"/>
                    <w:rPr>
                      <w:rFonts w:hint="default"/>
                      <w:color w:val="000000"/>
                      <w:lang w:val="en-US" w:eastAsia="zh-CN"/>
                    </w:rPr>
                  </w:pPr>
                  <w:r>
                    <w:rPr>
                      <w:rFonts w:hint="eastAsia"/>
                      <w:color w:val="000000"/>
                      <w:lang w:val="en-US" w:eastAsia="zh-CN"/>
                    </w:rPr>
                    <w:t>废气</w:t>
                  </w:r>
                </w:p>
              </w:tc>
              <w:tc>
                <w:tcPr>
                  <w:tcW w:w="3208" w:type="pct"/>
                  <w:tcBorders>
                    <w:tl2br w:val="nil"/>
                    <w:tr2bl w:val="nil"/>
                  </w:tcBorders>
                  <w:noWrap w:val="0"/>
                  <w:vAlign w:val="center"/>
                </w:tcPr>
                <w:p w14:paraId="106B61F0">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项目注塑</w:t>
                  </w:r>
                  <w:r>
                    <w:rPr>
                      <w:rFonts w:hint="eastAsia" w:cs="Times New Roman"/>
                      <w:color w:val="auto"/>
                      <w:sz w:val="21"/>
                      <w:szCs w:val="21"/>
                      <w:highlight w:val="none"/>
                      <w:vertAlign w:val="baseline"/>
                      <w:lang w:val="en-US" w:eastAsia="zh-CN"/>
                    </w:rPr>
                    <w:t>、包胶</w:t>
                  </w:r>
                  <w:r>
                    <w:rPr>
                      <w:rFonts w:hint="eastAsia" w:ascii="Times New Roman" w:hAnsi="Times New Roman" w:eastAsia="宋体" w:cs="Times New Roman"/>
                      <w:color w:val="auto"/>
                      <w:sz w:val="21"/>
                      <w:szCs w:val="21"/>
                      <w:highlight w:val="none"/>
                      <w:vertAlign w:val="baseline"/>
                      <w:lang w:val="en-US" w:eastAsia="zh-CN"/>
                    </w:rPr>
                    <w:t>废气</w:t>
                  </w:r>
                  <w:r>
                    <w:rPr>
                      <w:rFonts w:hint="eastAsia" w:cs="Times New Roman"/>
                      <w:color w:val="auto"/>
                      <w:sz w:val="21"/>
                      <w:szCs w:val="21"/>
                      <w:highlight w:val="none"/>
                      <w:vertAlign w:val="baseline"/>
                      <w:lang w:val="en-US" w:eastAsia="zh-CN"/>
                    </w:rPr>
                    <w:t>、烘烤废气、除油废气、投料废气</w:t>
                  </w:r>
                  <w:r>
                    <w:rPr>
                      <w:rFonts w:hint="eastAsia" w:ascii="Times New Roman" w:hAnsi="Times New Roman" w:eastAsia="宋体" w:cs="Times New Roman"/>
                      <w:color w:val="auto"/>
                      <w:sz w:val="21"/>
                      <w:szCs w:val="21"/>
                      <w:highlight w:val="none"/>
                      <w:vertAlign w:val="baseline"/>
                      <w:lang w:val="en-US" w:eastAsia="zh-CN"/>
                    </w:rPr>
                    <w:t>通过集气罩收集后由一套“</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color w:val="auto"/>
                      <w:sz w:val="21"/>
                      <w:szCs w:val="21"/>
                      <w:highlight w:val="none"/>
                      <w:vertAlign w:val="baseline"/>
                      <w:lang w:val="en-US" w:eastAsia="zh-CN"/>
                    </w:rPr>
                    <w:t>（TA001）</w:t>
                  </w:r>
                  <w:r>
                    <w:rPr>
                      <w:rFonts w:hint="eastAsia" w:ascii="Times New Roman" w:hAnsi="Times New Roman" w:eastAsia="宋体" w:cs="Times New Roman"/>
                      <w:color w:val="auto"/>
                      <w:sz w:val="21"/>
                      <w:szCs w:val="21"/>
                      <w:highlight w:val="none"/>
                      <w:vertAlign w:val="baseline"/>
                      <w:lang w:val="en-US" w:eastAsia="zh-CN"/>
                    </w:rPr>
                    <w:t>处理后，通过1根15</w:t>
                  </w:r>
                  <w:r>
                    <w:rPr>
                      <w:rFonts w:hint="eastAsia" w:cs="Times New Roman"/>
                      <w:color w:val="auto"/>
                      <w:sz w:val="21"/>
                      <w:szCs w:val="21"/>
                      <w:highlight w:val="none"/>
                      <w:vertAlign w:val="baseline"/>
                      <w:lang w:val="en-US" w:eastAsia="zh-CN"/>
                    </w:rPr>
                    <w:t>m</w:t>
                  </w:r>
                  <w:r>
                    <w:rPr>
                      <w:rFonts w:hint="eastAsia" w:ascii="Times New Roman" w:hAnsi="Times New Roman" w:eastAsia="宋体" w:cs="Times New Roman"/>
                      <w:color w:val="auto"/>
                      <w:sz w:val="21"/>
                      <w:szCs w:val="21"/>
                      <w:highlight w:val="none"/>
                      <w:vertAlign w:val="baseline"/>
                      <w:lang w:val="en-US" w:eastAsia="zh-CN"/>
                    </w:rPr>
                    <w:t>高排气筒DA00</w:t>
                  </w:r>
                  <w:r>
                    <w:rPr>
                      <w:rFonts w:hint="eastAsia" w:cs="Times New Roman"/>
                      <w:color w:val="auto"/>
                      <w:sz w:val="21"/>
                      <w:szCs w:val="21"/>
                      <w:highlight w:val="none"/>
                      <w:vertAlign w:val="baseline"/>
                      <w:lang w:val="en-US" w:eastAsia="zh-CN"/>
                    </w:rPr>
                    <w:t>1</w:t>
                  </w:r>
                  <w:r>
                    <w:rPr>
                      <w:rFonts w:hint="eastAsia" w:ascii="Times New Roman" w:hAnsi="Times New Roman" w:eastAsia="宋体" w:cs="Times New Roman"/>
                      <w:color w:val="auto"/>
                      <w:sz w:val="21"/>
                      <w:szCs w:val="21"/>
                      <w:highlight w:val="none"/>
                      <w:vertAlign w:val="baseline"/>
                      <w:lang w:val="en-US" w:eastAsia="zh-CN"/>
                    </w:rPr>
                    <w:t>排放</w:t>
                  </w:r>
                  <w:r>
                    <w:rPr>
                      <w:rFonts w:hint="eastAsia" w:cs="Times New Roman"/>
                      <w:color w:val="auto"/>
                      <w:sz w:val="21"/>
                      <w:szCs w:val="21"/>
                      <w:highlight w:val="none"/>
                      <w:vertAlign w:val="baseline"/>
                      <w:lang w:val="en-US" w:eastAsia="zh-CN"/>
                    </w:rPr>
                    <w:t>；喷粉废气通过滤芯回收系统后接入二级活性炭吸附装置（TA001），通过DA001排放；料头粉碎废气通过移动除尘器处理。</w:t>
                  </w:r>
                </w:p>
              </w:tc>
              <w:tc>
                <w:tcPr>
                  <w:tcW w:w="857" w:type="pct"/>
                  <w:tcBorders>
                    <w:tl2br w:val="nil"/>
                    <w:tr2bl w:val="nil"/>
                  </w:tcBorders>
                  <w:noWrap w:val="0"/>
                  <w:vAlign w:val="center"/>
                </w:tcPr>
                <w:p w14:paraId="66D7496C">
                  <w:pPr>
                    <w:pStyle w:val="54"/>
                    <w:bidi w:val="0"/>
                    <w:rPr>
                      <w:rFonts w:hint="default"/>
                      <w:color w:val="000000"/>
                      <w:lang w:val="en-US" w:eastAsia="zh-CN"/>
                    </w:rPr>
                  </w:pPr>
                  <w:r>
                    <w:rPr>
                      <w:rFonts w:hint="eastAsia"/>
                      <w:color w:val="000000"/>
                      <w:lang w:val="en-US" w:eastAsia="zh-CN"/>
                    </w:rPr>
                    <w:t>8万元</w:t>
                  </w:r>
                </w:p>
              </w:tc>
            </w:tr>
            <w:tr w14:paraId="45C84D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0922D158">
                  <w:pPr>
                    <w:pStyle w:val="54"/>
                    <w:bidi w:val="0"/>
                    <w:rPr>
                      <w:rFonts w:hint="default"/>
                      <w:color w:val="000000"/>
                      <w:lang w:val="en-US" w:eastAsia="zh-CN"/>
                    </w:rPr>
                  </w:pPr>
                  <w:r>
                    <w:rPr>
                      <w:rFonts w:hint="eastAsia"/>
                      <w:color w:val="000000"/>
                      <w:lang w:val="en-US" w:eastAsia="zh-CN"/>
                    </w:rPr>
                    <w:t>3</w:t>
                  </w:r>
                </w:p>
              </w:tc>
              <w:tc>
                <w:tcPr>
                  <w:tcW w:w="527" w:type="pct"/>
                  <w:tcBorders>
                    <w:tl2br w:val="nil"/>
                    <w:tr2bl w:val="nil"/>
                  </w:tcBorders>
                  <w:noWrap w:val="0"/>
                  <w:vAlign w:val="center"/>
                </w:tcPr>
                <w:p w14:paraId="7871DC3F">
                  <w:pPr>
                    <w:pStyle w:val="54"/>
                    <w:bidi w:val="0"/>
                    <w:rPr>
                      <w:rFonts w:hint="default"/>
                      <w:color w:val="000000"/>
                      <w:lang w:val="en-US" w:eastAsia="zh-CN"/>
                    </w:rPr>
                  </w:pPr>
                  <w:r>
                    <w:rPr>
                      <w:rFonts w:hint="eastAsia"/>
                      <w:color w:val="000000"/>
                      <w:lang w:val="en-US" w:eastAsia="zh-CN"/>
                    </w:rPr>
                    <w:t>噪声</w:t>
                  </w:r>
                </w:p>
              </w:tc>
              <w:tc>
                <w:tcPr>
                  <w:tcW w:w="3208" w:type="pct"/>
                  <w:tcBorders>
                    <w:tl2br w:val="nil"/>
                    <w:tr2bl w:val="nil"/>
                  </w:tcBorders>
                  <w:noWrap w:val="0"/>
                  <w:vAlign w:val="center"/>
                </w:tcPr>
                <w:p w14:paraId="77751744">
                  <w:pPr>
                    <w:pStyle w:val="54"/>
                    <w:bidi w:val="0"/>
                    <w:rPr>
                      <w:rFonts w:hint="default"/>
                      <w:color w:val="000000"/>
                      <w:lang w:val="en-US" w:eastAsia="zh-CN"/>
                    </w:rPr>
                  </w:pPr>
                  <w:r>
                    <w:rPr>
                      <w:rFonts w:hint="eastAsia"/>
                      <w:color w:val="000000"/>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857" w:type="pct"/>
                  <w:tcBorders>
                    <w:tl2br w:val="nil"/>
                    <w:tr2bl w:val="nil"/>
                  </w:tcBorders>
                  <w:noWrap w:val="0"/>
                  <w:vAlign w:val="center"/>
                </w:tcPr>
                <w:p w14:paraId="4CBA8234">
                  <w:pPr>
                    <w:pStyle w:val="54"/>
                    <w:bidi w:val="0"/>
                    <w:rPr>
                      <w:rFonts w:hint="default"/>
                      <w:color w:val="000000"/>
                      <w:lang w:val="en-US" w:eastAsia="zh-CN"/>
                    </w:rPr>
                  </w:pPr>
                  <w:r>
                    <w:rPr>
                      <w:rFonts w:hint="eastAsia"/>
                      <w:color w:val="000000"/>
                      <w:lang w:val="en-US" w:eastAsia="zh-CN"/>
                    </w:rPr>
                    <w:t>2万元</w:t>
                  </w:r>
                </w:p>
              </w:tc>
            </w:tr>
            <w:tr w14:paraId="75AFA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6" w:type="pct"/>
                  <w:tcBorders>
                    <w:tl2br w:val="nil"/>
                    <w:tr2bl w:val="nil"/>
                  </w:tcBorders>
                  <w:noWrap w:val="0"/>
                  <w:vAlign w:val="center"/>
                </w:tcPr>
                <w:p w14:paraId="6D82F731">
                  <w:pPr>
                    <w:pStyle w:val="54"/>
                    <w:bidi w:val="0"/>
                    <w:rPr>
                      <w:rFonts w:hint="default"/>
                      <w:color w:val="000000"/>
                      <w:lang w:val="en-US" w:eastAsia="zh-CN"/>
                    </w:rPr>
                  </w:pPr>
                  <w:r>
                    <w:rPr>
                      <w:rFonts w:hint="eastAsia"/>
                      <w:color w:val="000000"/>
                      <w:lang w:val="en-US" w:eastAsia="zh-CN"/>
                    </w:rPr>
                    <w:t>4</w:t>
                  </w:r>
                </w:p>
              </w:tc>
              <w:tc>
                <w:tcPr>
                  <w:tcW w:w="527" w:type="pct"/>
                  <w:tcBorders>
                    <w:tl2br w:val="nil"/>
                    <w:tr2bl w:val="nil"/>
                  </w:tcBorders>
                  <w:noWrap w:val="0"/>
                  <w:vAlign w:val="center"/>
                </w:tcPr>
                <w:p w14:paraId="647CCE5E">
                  <w:pPr>
                    <w:pStyle w:val="54"/>
                    <w:bidi w:val="0"/>
                    <w:rPr>
                      <w:rFonts w:hint="default"/>
                      <w:color w:val="000000"/>
                      <w:lang w:val="en-US" w:eastAsia="zh-CN"/>
                    </w:rPr>
                  </w:pPr>
                  <w:r>
                    <w:rPr>
                      <w:rFonts w:hint="eastAsia"/>
                      <w:color w:val="000000"/>
                      <w:lang w:val="en-US" w:eastAsia="zh-CN"/>
                    </w:rPr>
                    <w:t>固体废物</w:t>
                  </w:r>
                </w:p>
              </w:tc>
              <w:tc>
                <w:tcPr>
                  <w:tcW w:w="3208" w:type="pct"/>
                  <w:tcBorders>
                    <w:tl2br w:val="nil"/>
                    <w:tr2bl w:val="nil"/>
                  </w:tcBorders>
                  <w:noWrap w:val="0"/>
                  <w:vAlign w:val="center"/>
                </w:tcPr>
                <w:p w14:paraId="6CEADA1A">
                  <w:pPr>
                    <w:pStyle w:val="54"/>
                    <w:bidi w:val="0"/>
                    <w:rPr>
                      <w:rFonts w:hint="default"/>
                      <w:color w:val="000000"/>
                      <w:lang w:val="en-US" w:eastAsia="zh-CN"/>
                    </w:rPr>
                  </w:pPr>
                  <w:r>
                    <w:rPr>
                      <w:rFonts w:hint="eastAsia"/>
                      <w:color w:val="000000"/>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000000"/>
                      <w:lang w:val="en-US" w:eastAsia="zh-CN"/>
                    </w:rPr>
                    <w:t>贮存库，定</w:t>
                  </w:r>
                  <w:r>
                    <w:rPr>
                      <w:rFonts w:hint="eastAsia"/>
                      <w:color w:val="000000"/>
                      <w:lang w:val="en-US" w:eastAsia="zh-CN"/>
                    </w:rPr>
                    <w:t>期委托有处置危险废物资质的单位处置</w:t>
                  </w:r>
                </w:p>
              </w:tc>
              <w:tc>
                <w:tcPr>
                  <w:tcW w:w="857" w:type="pct"/>
                  <w:tcBorders>
                    <w:tl2br w:val="nil"/>
                    <w:tr2bl w:val="nil"/>
                  </w:tcBorders>
                  <w:noWrap w:val="0"/>
                  <w:vAlign w:val="center"/>
                </w:tcPr>
                <w:p w14:paraId="3CFB3A40">
                  <w:pPr>
                    <w:pStyle w:val="54"/>
                    <w:bidi w:val="0"/>
                    <w:rPr>
                      <w:rFonts w:hint="default"/>
                      <w:color w:val="000000"/>
                      <w:lang w:val="en-US" w:eastAsia="zh-CN"/>
                    </w:rPr>
                  </w:pPr>
                  <w:r>
                    <w:rPr>
                      <w:rFonts w:hint="eastAsia"/>
                      <w:color w:val="000000"/>
                      <w:lang w:val="en-US" w:eastAsia="zh-CN"/>
                    </w:rPr>
                    <w:t>1万元</w:t>
                  </w:r>
                </w:p>
              </w:tc>
            </w:tr>
            <w:tr w14:paraId="5E9C7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2" w:type="pct"/>
                  <w:gridSpan w:val="3"/>
                  <w:tcBorders>
                    <w:tl2br w:val="nil"/>
                    <w:tr2bl w:val="nil"/>
                  </w:tcBorders>
                  <w:noWrap w:val="0"/>
                  <w:vAlign w:val="center"/>
                </w:tcPr>
                <w:p w14:paraId="40CED72C">
                  <w:pPr>
                    <w:pStyle w:val="54"/>
                    <w:bidi w:val="0"/>
                    <w:rPr>
                      <w:rFonts w:hint="default"/>
                      <w:color w:val="000000"/>
                      <w:lang w:val="en-US" w:eastAsia="zh-CN"/>
                    </w:rPr>
                  </w:pPr>
                  <w:r>
                    <w:rPr>
                      <w:rFonts w:hint="eastAsia"/>
                      <w:color w:val="000000"/>
                      <w:lang w:val="en-US" w:eastAsia="zh-CN"/>
                    </w:rPr>
                    <w:t>合计</w:t>
                  </w:r>
                </w:p>
              </w:tc>
              <w:tc>
                <w:tcPr>
                  <w:tcW w:w="857" w:type="pct"/>
                  <w:tcBorders>
                    <w:tl2br w:val="nil"/>
                    <w:tr2bl w:val="nil"/>
                  </w:tcBorders>
                  <w:noWrap w:val="0"/>
                  <w:vAlign w:val="center"/>
                </w:tcPr>
                <w:p w14:paraId="0D0822D8">
                  <w:pPr>
                    <w:pStyle w:val="54"/>
                    <w:bidi w:val="0"/>
                    <w:rPr>
                      <w:rFonts w:hint="default"/>
                      <w:color w:val="000000"/>
                      <w:lang w:val="en-US" w:eastAsia="zh-CN"/>
                    </w:rPr>
                  </w:pPr>
                  <w:r>
                    <w:rPr>
                      <w:rFonts w:hint="eastAsia"/>
                      <w:color w:val="000000"/>
                      <w:lang w:val="en-US" w:eastAsia="zh-CN"/>
                    </w:rPr>
                    <w:t>15万元</w:t>
                  </w:r>
                </w:p>
              </w:tc>
            </w:tr>
          </w:tbl>
          <w:p w14:paraId="6FFB2B5F">
            <w:pPr>
              <w:pStyle w:val="3"/>
              <w:rPr>
                <w:rFonts w:hint="default"/>
                <w:lang w:val="en-US" w:eastAsia="zh-CN"/>
              </w:rPr>
            </w:pPr>
          </w:p>
        </w:tc>
      </w:tr>
    </w:tbl>
    <w:p w14:paraId="22EB707C">
      <w:pPr>
        <w:pStyle w:val="75"/>
        <w:rPr>
          <w:color w:val="auto"/>
          <w:highlight w:val="none"/>
        </w:rPr>
      </w:pPr>
      <w:bookmarkStart w:id="128" w:name="_Toc1654"/>
      <w:bookmarkStart w:id="129" w:name="_Toc9430"/>
      <w:bookmarkStart w:id="130" w:name="_Toc12951"/>
      <w:bookmarkStart w:id="131" w:name="_Toc25037"/>
      <w:bookmarkStart w:id="132" w:name="_Toc27194"/>
      <w:bookmarkStart w:id="133" w:name="_Toc25125"/>
      <w:bookmarkStart w:id="134" w:name="_Toc28426"/>
      <w:bookmarkStart w:id="135" w:name="_Toc31345"/>
      <w:r>
        <w:rPr>
          <w:color w:val="auto"/>
          <w:highlight w:val="none"/>
        </w:rPr>
        <w:t>五、</w:t>
      </w:r>
      <w:bookmarkStart w:id="136" w:name="_Hlk54167917"/>
      <w:r>
        <w:rPr>
          <w:color w:val="auto"/>
          <w:highlight w:val="none"/>
        </w:rPr>
        <w:t>环境保护措施监督检查清单</w:t>
      </w:r>
      <w:bookmarkEnd w:id="128"/>
      <w:bookmarkEnd w:id="129"/>
      <w:bookmarkEnd w:id="130"/>
      <w:bookmarkEnd w:id="131"/>
      <w:bookmarkEnd w:id="132"/>
      <w:bookmarkEnd w:id="133"/>
      <w:bookmarkEnd w:id="134"/>
      <w:bookmarkEnd w:id="135"/>
      <w:bookmarkEnd w:id="136"/>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170"/>
        <w:gridCol w:w="1356"/>
        <w:gridCol w:w="2040"/>
        <w:gridCol w:w="3874"/>
      </w:tblGrid>
      <w:tr w14:paraId="67369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848" w:type="dxa"/>
            <w:tcBorders>
              <w:tl2br w:val="single" w:color="auto" w:sz="4" w:space="0"/>
            </w:tcBorders>
            <w:noWrap w:val="0"/>
            <w:vAlign w:val="top"/>
          </w:tcPr>
          <w:p w14:paraId="3E27B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sz w:val="21"/>
                <w:szCs w:val="21"/>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588D7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2AAE4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170" w:type="dxa"/>
            <w:noWrap w:val="0"/>
            <w:vAlign w:val="center"/>
          </w:tcPr>
          <w:p w14:paraId="68B67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1356" w:type="dxa"/>
            <w:noWrap w:val="0"/>
            <w:vAlign w:val="center"/>
          </w:tcPr>
          <w:p w14:paraId="1A076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040" w:type="dxa"/>
            <w:noWrap w:val="0"/>
            <w:vAlign w:val="center"/>
          </w:tcPr>
          <w:p w14:paraId="18DDA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874" w:type="dxa"/>
            <w:noWrap w:val="0"/>
            <w:vAlign w:val="center"/>
          </w:tcPr>
          <w:p w14:paraId="39352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30DE4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848" w:type="dxa"/>
            <w:vMerge w:val="restart"/>
            <w:noWrap w:val="0"/>
            <w:vAlign w:val="center"/>
          </w:tcPr>
          <w:p w14:paraId="3429F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大气环境</w:t>
            </w:r>
          </w:p>
        </w:tc>
        <w:tc>
          <w:tcPr>
            <w:tcW w:w="1170" w:type="dxa"/>
            <w:noWrap w:val="0"/>
            <w:vAlign w:val="center"/>
          </w:tcPr>
          <w:p w14:paraId="460F8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生产废气</w:t>
            </w:r>
            <w:r>
              <w:rPr>
                <w:rFonts w:hint="default" w:ascii="Times New Roman" w:hAnsi="Times New Roman" w:eastAsia="宋体" w:cs="Times New Roman"/>
                <w:color w:val="auto"/>
                <w:kern w:val="2"/>
                <w:sz w:val="21"/>
                <w:szCs w:val="21"/>
                <w:highlight w:val="none"/>
                <w:lang w:val="en-US" w:eastAsia="zh-CN" w:bidi="ar-SA"/>
              </w:rPr>
              <w:t>排气筒DA001</w:t>
            </w:r>
            <w:r>
              <w:rPr>
                <w:rFonts w:hint="eastAsia" w:cs="Times New Roman"/>
                <w:color w:val="auto"/>
                <w:kern w:val="2"/>
                <w:sz w:val="21"/>
                <w:szCs w:val="21"/>
                <w:highlight w:val="none"/>
                <w:lang w:val="en-US" w:eastAsia="zh-CN" w:bidi="ar-SA"/>
              </w:rPr>
              <w:t>（注塑、包胶废气、烘烤废气、除油废气、投料废气）</w:t>
            </w:r>
          </w:p>
        </w:tc>
        <w:tc>
          <w:tcPr>
            <w:tcW w:w="1356" w:type="dxa"/>
            <w:noWrap w:val="0"/>
            <w:vAlign w:val="center"/>
          </w:tcPr>
          <w:p w14:paraId="58E19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非甲烷总烃、氨、甲苯二异氰酸酯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TDI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、二苯基甲烷二异氰酸酯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MDI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、异佛尔酮二异氰酸酯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IPDI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、多亚甲基多苯基异氰酸酯</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PAPI</w:t>
            </w:r>
            <w:r>
              <w:rPr>
                <w:rFonts w:hint="eastAsia" w:cs="Times New Roman"/>
                <w:color w:val="auto"/>
                <w:spacing w:val="0"/>
                <w:kern w:val="21"/>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w:t>
            </w:r>
            <w:r>
              <w:rPr>
                <w:rFonts w:hint="eastAsia" w:cs="Times New Roman"/>
                <w:color w:val="auto"/>
                <w:spacing w:val="0"/>
                <w:kern w:val="21"/>
                <w:sz w:val="21"/>
                <w:szCs w:val="21"/>
                <w:highlight w:val="none"/>
                <w:lang w:val="en-US" w:eastAsia="zh-CN"/>
              </w:rPr>
              <w:t>颗粒物、</w:t>
            </w:r>
            <w:r>
              <w:rPr>
                <w:rFonts w:hint="default" w:ascii="Times New Roman" w:hAnsi="Times New Roman" w:eastAsia="宋体" w:cs="Times New Roman"/>
                <w:color w:val="auto"/>
                <w:spacing w:val="0"/>
                <w:kern w:val="21"/>
                <w:sz w:val="21"/>
                <w:szCs w:val="21"/>
                <w:highlight w:val="none"/>
                <w:lang w:val="en-US" w:eastAsia="zh-CN"/>
              </w:rPr>
              <w:t>臭气浓度</w:t>
            </w:r>
          </w:p>
        </w:tc>
        <w:tc>
          <w:tcPr>
            <w:tcW w:w="2040" w:type="dxa"/>
            <w:noWrap w:val="0"/>
            <w:vAlign w:val="center"/>
          </w:tcPr>
          <w:p w14:paraId="3A525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w:t>
            </w:r>
            <w:r>
              <w:rPr>
                <w:rFonts w:hint="eastAsia" w:eastAsia="宋体" w:cs="Times New Roman"/>
                <w:color w:val="auto"/>
                <w:sz w:val="21"/>
                <w:szCs w:val="21"/>
                <w:highlight w:val="none"/>
                <w:lang w:val="en-US" w:eastAsia="zh-CN"/>
              </w:rPr>
              <w:t>（TA001）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eastAsia" w:ascii="Times New Roman" w:hAnsi="Times New Roman" w:eastAsia="宋体" w:cs="Times New Roman"/>
                <w:color w:val="auto"/>
                <w:sz w:val="21"/>
                <w:szCs w:val="21"/>
                <w:highlight w:val="none"/>
                <w:lang w:val="en-US" w:eastAsia="zh-CN"/>
              </w:rPr>
              <w:t>投料过程为密闭投料，投料废气随注塑废气处理系统协同处理</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集气罩+二级活性炭吸附装置（TA001）+15</w:t>
            </w:r>
            <w:r>
              <w:rPr>
                <w:rFonts w:hint="default" w:ascii="Times New Roman" w:hAnsi="Times New Roman" w:eastAsia="宋体" w:cs="Times New Roman"/>
                <w:color w:val="auto"/>
                <w:sz w:val="21"/>
                <w:szCs w:val="21"/>
                <w:highlight w:val="none"/>
                <w:lang w:val="en-US" w:eastAsia="zh-CN"/>
              </w:rPr>
              <w:t>m高排气筒</w:t>
            </w:r>
            <w:r>
              <w:rPr>
                <w:rFonts w:hint="eastAsia" w:ascii="Times New Roman" w:hAnsi="Times New Roman" w:eastAsia="宋体" w:cs="Times New Roman"/>
                <w:color w:val="auto"/>
                <w:sz w:val="21"/>
                <w:szCs w:val="21"/>
                <w:highlight w:val="none"/>
                <w:lang w:val="en-US" w:eastAsia="zh-CN"/>
              </w:rPr>
              <w:t>（DA001）排放</w:t>
            </w:r>
            <w:r>
              <w:rPr>
                <w:rFonts w:hint="eastAsia" w:cs="Times New Roman"/>
                <w:color w:val="auto"/>
                <w:sz w:val="21"/>
                <w:szCs w:val="21"/>
                <w:highlight w:val="none"/>
                <w:lang w:val="en-US" w:eastAsia="zh-CN"/>
              </w:rPr>
              <w:t>）</w:t>
            </w:r>
          </w:p>
        </w:tc>
        <w:tc>
          <w:tcPr>
            <w:tcW w:w="3874" w:type="dxa"/>
            <w:noWrap w:val="0"/>
            <w:vAlign w:val="center"/>
          </w:tcPr>
          <w:p w14:paraId="1A60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highlight w:val="none"/>
                <w:lang w:val="en-GB"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w:t>
            </w:r>
            <w:r>
              <w:rPr>
                <w:rFonts w:hint="default" w:ascii="Times New Roman" w:hAnsi="Times New Roman" w:eastAsia="宋体" w:cs="Times New Roman"/>
                <w:color w:val="auto"/>
                <w:spacing w:val="0"/>
                <w:kern w:val="21"/>
                <w:sz w:val="21"/>
                <w:szCs w:val="21"/>
                <w:highlight w:val="none"/>
                <w:lang w:val="en-US" w:eastAsia="zh-CN"/>
              </w:rPr>
              <w:t>氨、TDI、MDI、IPDI、PAPI</w:t>
            </w:r>
            <w:r>
              <w:rPr>
                <w:rFonts w:hint="eastAsia" w:cs="Times New Roman"/>
                <w:color w:val="auto"/>
                <w:spacing w:val="0"/>
                <w:kern w:val="21"/>
                <w:sz w:val="21"/>
                <w:szCs w:val="21"/>
                <w:highlight w:val="none"/>
                <w:lang w:val="en-US" w:eastAsia="zh-CN"/>
              </w:rPr>
              <w:t>、颗粒物</w:t>
            </w:r>
            <w:r>
              <w:rPr>
                <w:rFonts w:hint="eastAsia" w:ascii="Times New Roman" w:hAnsi="Times New Roman" w:eastAsia="宋体" w:cs="Times New Roman"/>
                <w:color w:val="auto"/>
                <w:spacing w:val="0"/>
                <w:sz w:val="21"/>
                <w:szCs w:val="21"/>
                <w:highlight w:val="none"/>
                <w:lang w:val="en-US" w:eastAsia="zh-CN"/>
              </w:rPr>
              <w:t>有组织排放执行</w:t>
            </w:r>
            <w:r>
              <w:rPr>
                <w:rFonts w:hint="eastAsia" w:ascii="Times New Roman" w:hAnsi="Times New Roman" w:eastAsia="宋体" w:cs="Times New Roman"/>
                <w:color w:val="auto"/>
                <w:kern w:val="18"/>
                <w:lang w:val="en-US" w:eastAsia="zh-CN"/>
              </w:rPr>
              <w:t>《合成树脂工业污染物排放标准》（GB31572-2015）中表</w:t>
            </w:r>
            <w:r>
              <w:rPr>
                <w:rFonts w:hint="eastAsia" w:eastAsia="宋体" w:cs="Times New Roman"/>
                <w:color w:val="auto"/>
                <w:kern w:val="18"/>
                <w:lang w:val="en-US" w:eastAsia="zh-CN"/>
              </w:rPr>
              <w:t>5</w:t>
            </w:r>
            <w:r>
              <w:rPr>
                <w:rFonts w:hint="eastAsia" w:ascii="Times New Roman" w:hAnsi="Times New Roman" w:eastAsia="宋体" w:cs="Times New Roman"/>
                <w:color w:val="auto"/>
                <w:kern w:val="18"/>
                <w:lang w:val="en-US" w:eastAsia="zh-CN"/>
              </w:rPr>
              <w:t>大气污染物排放限值</w:t>
            </w:r>
            <w:r>
              <w:rPr>
                <w:rFonts w:hint="eastAsia" w:ascii="Times New Roman" w:hAnsi="Times New Roman" w:eastAsia="宋体" w:cs="Times New Roman"/>
                <w:color w:val="auto"/>
                <w:kern w:val="18"/>
                <w:highlight w:val="none"/>
                <w:lang w:val="en-US" w:eastAsia="zh-CN"/>
              </w:rPr>
              <w:t>；臭气浓度有组织排放执行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2</w:t>
            </w:r>
            <w:r>
              <w:rPr>
                <w:rFonts w:hint="eastAsia" w:ascii="Times New Roman" w:hAnsi="Times New Roman" w:eastAsia="宋体" w:cs="Times New Roman"/>
                <w:color w:val="auto"/>
                <w:spacing w:val="0"/>
                <w:sz w:val="21"/>
                <w:szCs w:val="21"/>
                <w:highlight w:val="none"/>
                <w:lang w:eastAsia="zh-CN"/>
              </w:rPr>
              <w:t>（</w:t>
            </w:r>
            <w:r>
              <w:rPr>
                <w:rFonts w:hint="eastAsia"/>
                <w:color w:val="auto"/>
                <w:highlight w:val="none"/>
                <w:lang w:val="en-US" w:eastAsia="zh-CN"/>
              </w:rPr>
              <w:t>即非甲烷总烃</w:t>
            </w:r>
            <w:r>
              <w:rPr>
                <w:rFonts w:hint="eastAsia" w:cs="Times New Roman"/>
                <w:color w:val="auto"/>
                <w:szCs w:val="21"/>
                <w:highlight w:val="none"/>
                <w:lang w:eastAsia="zh-CN"/>
              </w:rPr>
              <w:t>≤</w:t>
            </w:r>
            <w:r>
              <w:rPr>
                <w:rFonts w:hint="eastAsia" w:cs="Times New Roman"/>
                <w:color w:val="auto"/>
                <w:szCs w:val="21"/>
                <w:highlight w:val="none"/>
                <w:lang w:val="en-US" w:eastAsia="zh-CN"/>
              </w:rPr>
              <w:t>60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氨</w:t>
            </w:r>
            <w:r>
              <w:rPr>
                <w:rFonts w:hint="eastAsia" w:cs="Times New Roman"/>
                <w:color w:val="auto"/>
                <w:szCs w:val="21"/>
                <w:highlight w:val="none"/>
                <w:lang w:eastAsia="zh-CN"/>
              </w:rPr>
              <w:t>≤</w:t>
            </w:r>
            <w:r>
              <w:rPr>
                <w:rFonts w:hint="eastAsia" w:cs="Times New Roman"/>
                <w:color w:val="auto"/>
                <w:szCs w:val="21"/>
                <w:highlight w:val="none"/>
                <w:lang w:val="en-US" w:eastAsia="zh-CN"/>
              </w:rPr>
              <w:t>20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TDI</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MDI</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IPDI</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ascii="Times New Roman" w:hAnsi="Times New Roman" w:cs="Times New Roman"/>
                <w:color w:val="auto"/>
                <w:szCs w:val="21"/>
                <w:highlight w:val="none"/>
                <w:vertAlign w:val="baseline"/>
                <w:lang w:eastAsia="zh-CN"/>
              </w:rPr>
              <w:t>；</w:t>
            </w:r>
            <w:r>
              <w:rPr>
                <w:rFonts w:hint="eastAsia"/>
                <w:color w:val="auto"/>
                <w:highlight w:val="none"/>
                <w:lang w:val="en-US" w:eastAsia="zh-CN"/>
              </w:rPr>
              <w:t>PAPI</w:t>
            </w:r>
            <w:r>
              <w:rPr>
                <w:rFonts w:hint="eastAsia" w:cs="Times New Roman"/>
                <w:color w:val="auto"/>
                <w:szCs w:val="21"/>
                <w:highlight w:val="none"/>
                <w:lang w:eastAsia="zh-CN"/>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r>
              <w:rPr>
                <w:rFonts w:hint="eastAsia" w:cs="Times New Roman"/>
                <w:color w:val="auto"/>
                <w:szCs w:val="21"/>
                <w:highlight w:val="none"/>
                <w:vertAlign w:val="baseline"/>
                <w:lang w:eastAsia="zh-CN"/>
              </w:rPr>
              <w:t>、</w:t>
            </w:r>
            <w:r>
              <w:rPr>
                <w:rFonts w:hint="eastAsia" w:cs="Times New Roman"/>
                <w:color w:val="auto"/>
                <w:szCs w:val="21"/>
                <w:highlight w:val="none"/>
                <w:vertAlign w:val="baseline"/>
                <w:lang w:val="en-US" w:eastAsia="zh-CN"/>
              </w:rPr>
              <w:t>颗粒物</w:t>
            </w:r>
            <w:r>
              <w:rPr>
                <w:rFonts w:hint="default" w:ascii="Times New Roman" w:hAnsi="Times New Roman" w:cs="Times New Roman"/>
                <w:spacing w:val="0"/>
                <w:sz w:val="21"/>
                <w:szCs w:val="21"/>
                <w:lang w:val="en-US" w:eastAsia="zh-CN"/>
              </w:rPr>
              <w:t>≤20mg/m</w:t>
            </w:r>
            <w:r>
              <w:rPr>
                <w:rFonts w:hint="default" w:ascii="Times New Roman" w:hAnsi="Times New Roman" w:cs="Times New Roman"/>
                <w:spacing w:val="0"/>
                <w:sz w:val="21"/>
                <w:szCs w:val="21"/>
                <w:vertAlign w:val="superscript"/>
                <w:lang w:val="en-US" w:eastAsia="zh-CN"/>
              </w:rPr>
              <w:t>3</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2000（无量纲））（</w:t>
            </w:r>
            <w:r>
              <w:rPr>
                <w:rFonts w:hint="eastAsia"/>
                <w:color w:val="auto"/>
                <w:highlight w:val="none"/>
                <w:lang w:val="en-US" w:eastAsia="zh-CN"/>
              </w:rPr>
              <w:t>TDI</w:t>
            </w:r>
            <w:r>
              <w:rPr>
                <w:rFonts w:hint="eastAsia" w:cs="Times New Roman"/>
                <w:color w:val="auto"/>
                <w:szCs w:val="21"/>
                <w:highlight w:val="none"/>
                <w:vertAlign w:val="baseline"/>
                <w:lang w:eastAsia="zh-CN"/>
              </w:rPr>
              <w:t>、</w:t>
            </w:r>
            <w:r>
              <w:rPr>
                <w:rFonts w:hint="eastAsia"/>
                <w:color w:val="auto"/>
                <w:highlight w:val="none"/>
                <w:lang w:val="en-US" w:eastAsia="zh-CN"/>
              </w:rPr>
              <w:t>MDI</w:t>
            </w:r>
            <w:r>
              <w:rPr>
                <w:rFonts w:hint="eastAsia" w:cs="Times New Roman"/>
                <w:color w:val="auto"/>
                <w:szCs w:val="21"/>
                <w:highlight w:val="none"/>
                <w:vertAlign w:val="baseline"/>
                <w:lang w:eastAsia="zh-CN"/>
              </w:rPr>
              <w:t>、</w:t>
            </w:r>
            <w:r>
              <w:rPr>
                <w:rFonts w:hint="eastAsia"/>
                <w:color w:val="auto"/>
                <w:highlight w:val="none"/>
                <w:lang w:val="en-US" w:eastAsia="zh-CN"/>
              </w:rPr>
              <w:t>IPDI、PAPI</w:t>
            </w:r>
            <w:r>
              <w:rPr>
                <w:rFonts w:hint="eastAsia" w:cs="Times New Roman"/>
                <w:b w:val="0"/>
                <w:bCs w:val="0"/>
                <w:color w:val="auto"/>
                <w:sz w:val="21"/>
                <w:szCs w:val="21"/>
                <w:vertAlign w:val="baseline"/>
                <w:lang w:val="en-US" w:eastAsia="zh-CN"/>
              </w:rPr>
              <w:t>待国家污染物监测方法标准发布后实施）</w:t>
            </w:r>
          </w:p>
        </w:tc>
      </w:tr>
      <w:tr w14:paraId="0A5786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848" w:type="dxa"/>
            <w:vMerge w:val="continue"/>
            <w:noWrap w:val="0"/>
            <w:vAlign w:val="center"/>
          </w:tcPr>
          <w:p w14:paraId="678D5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0FC2BC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生产废气</w:t>
            </w:r>
            <w:r>
              <w:rPr>
                <w:rFonts w:hint="default" w:ascii="Times New Roman" w:hAnsi="Times New Roman" w:eastAsia="宋体" w:cs="Times New Roman"/>
                <w:color w:val="auto"/>
                <w:kern w:val="2"/>
                <w:sz w:val="21"/>
                <w:szCs w:val="21"/>
                <w:highlight w:val="none"/>
                <w:lang w:val="en-US" w:eastAsia="zh-CN" w:bidi="ar-SA"/>
              </w:rPr>
              <w:t>排气筒DA001</w:t>
            </w:r>
            <w:r>
              <w:rPr>
                <w:rFonts w:hint="eastAsia"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喷粉废气）</w:t>
            </w:r>
          </w:p>
        </w:tc>
        <w:tc>
          <w:tcPr>
            <w:tcW w:w="1356" w:type="dxa"/>
            <w:noWrap w:val="0"/>
            <w:vAlign w:val="center"/>
          </w:tcPr>
          <w:p w14:paraId="407F1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eastAsia" w:cs="Times New Roman"/>
                <w:color w:val="auto"/>
                <w:spacing w:val="0"/>
                <w:kern w:val="21"/>
                <w:sz w:val="21"/>
                <w:szCs w:val="21"/>
                <w:highlight w:val="none"/>
                <w:lang w:val="en-US" w:eastAsia="zh-CN"/>
              </w:rPr>
              <w:t>颗粒物</w:t>
            </w:r>
          </w:p>
        </w:tc>
        <w:tc>
          <w:tcPr>
            <w:tcW w:w="2040" w:type="dxa"/>
            <w:noWrap w:val="0"/>
            <w:vAlign w:val="center"/>
          </w:tcPr>
          <w:p w14:paraId="4A3F5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喷粉废气通过</w:t>
            </w:r>
            <w:r>
              <w:rPr>
                <w:rFonts w:hint="eastAsia" w:cs="Times New Roman"/>
                <w:color w:val="auto"/>
                <w:sz w:val="21"/>
                <w:szCs w:val="21"/>
                <w:highlight w:val="none"/>
                <w:lang w:val="en-US" w:eastAsia="zh-CN"/>
              </w:rPr>
              <w:t>正压收集+滤芯回收系统</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DA001</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排放</w:t>
            </w:r>
            <w:r>
              <w:rPr>
                <w:rFonts w:hint="eastAsia" w:cs="Times New Roman"/>
                <w:color w:val="auto"/>
                <w:sz w:val="21"/>
                <w:szCs w:val="21"/>
                <w:highlight w:val="none"/>
                <w:lang w:val="en-US" w:eastAsia="zh-CN"/>
              </w:rPr>
              <w:t>，风机风量为8000m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p>
        </w:tc>
        <w:tc>
          <w:tcPr>
            <w:tcW w:w="3874" w:type="dxa"/>
            <w:noWrap w:val="0"/>
            <w:vAlign w:val="center"/>
          </w:tcPr>
          <w:p w14:paraId="62033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bidi="he-IL"/>
              </w:rPr>
              <w:t>《合成树脂工业污染物排放标准》（GB31572-2015）中表5大气污染物排放限值</w:t>
            </w:r>
            <w:r>
              <w:rPr>
                <w:rFonts w:hint="default" w:ascii="Times New Roman" w:hAnsi="Times New Roman" w:cs="Times New Roman"/>
                <w:spacing w:val="0"/>
                <w:sz w:val="21"/>
                <w:szCs w:val="21"/>
                <w:lang w:eastAsia="zh-CN"/>
              </w:rPr>
              <w:t>（</w:t>
            </w:r>
            <w:r>
              <w:rPr>
                <w:rFonts w:hint="default" w:ascii="Times New Roman" w:hAnsi="Times New Roman" w:cs="Times New Roman"/>
                <w:spacing w:val="0"/>
                <w:sz w:val="21"/>
                <w:szCs w:val="21"/>
                <w:lang w:val="en-US" w:eastAsia="zh-CN"/>
              </w:rPr>
              <w:t>最高浓度限值≤20mg/m</w:t>
            </w:r>
            <w:r>
              <w:rPr>
                <w:rFonts w:hint="default" w:ascii="Times New Roman" w:hAnsi="Times New Roman" w:cs="Times New Roman"/>
                <w:spacing w:val="0"/>
                <w:sz w:val="21"/>
                <w:szCs w:val="21"/>
                <w:vertAlign w:val="superscript"/>
                <w:lang w:val="en-US" w:eastAsia="zh-CN"/>
              </w:rPr>
              <w:t>3</w:t>
            </w:r>
            <w:r>
              <w:rPr>
                <w:rFonts w:hint="default" w:ascii="Times New Roman" w:hAnsi="Times New Roman" w:cs="Times New Roman"/>
                <w:spacing w:val="0"/>
                <w:sz w:val="21"/>
                <w:szCs w:val="21"/>
                <w:lang w:eastAsia="zh-CN"/>
              </w:rPr>
              <w:t>）</w:t>
            </w:r>
          </w:p>
        </w:tc>
      </w:tr>
      <w:tr w14:paraId="069F8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vMerge w:val="continue"/>
            <w:noWrap w:val="0"/>
            <w:vAlign w:val="center"/>
          </w:tcPr>
          <w:p w14:paraId="24A915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5E8799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1356" w:type="dxa"/>
            <w:noWrap w:val="0"/>
            <w:vAlign w:val="center"/>
          </w:tcPr>
          <w:p w14:paraId="4C3CF7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40" w:type="dxa"/>
            <w:vMerge w:val="restart"/>
            <w:noWrap w:val="0"/>
            <w:vAlign w:val="center"/>
          </w:tcPr>
          <w:p w14:paraId="15376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eastAsia" w:cs="Times New Roman"/>
                <w:color w:val="auto"/>
                <w:spacing w:val="0"/>
                <w:kern w:val="0"/>
                <w:sz w:val="21"/>
                <w:szCs w:val="21"/>
                <w:highlight w:val="none"/>
                <w:lang w:val="en-US" w:eastAsia="zh-CN" w:bidi="he-IL"/>
              </w:rPr>
              <w:t>料头粉碎（颗粒物）通过移动式除尘器处理后无组织排放；</w:t>
            </w:r>
            <w:r>
              <w:rPr>
                <w:rFonts w:hint="default" w:ascii="Times New Roman" w:hAnsi="Times New Roman" w:eastAsia="宋体" w:cs="Times New Roman"/>
                <w:color w:val="auto"/>
                <w:spacing w:val="0"/>
                <w:kern w:val="0"/>
                <w:sz w:val="21"/>
                <w:szCs w:val="21"/>
                <w:highlight w:val="none"/>
                <w:lang w:val="en-US" w:eastAsia="zh-CN" w:bidi="he-IL"/>
              </w:rPr>
              <w:t>加强废气的收集及</w:t>
            </w:r>
            <w:r>
              <w:rPr>
                <w:rFonts w:hint="eastAsia" w:cs="Times New Roman"/>
                <w:color w:val="auto"/>
                <w:spacing w:val="0"/>
                <w:kern w:val="0"/>
                <w:sz w:val="21"/>
                <w:szCs w:val="21"/>
                <w:highlight w:val="none"/>
                <w:lang w:val="en-US" w:eastAsia="zh-CN" w:bidi="he-IL"/>
              </w:rPr>
              <w:t>二级</w:t>
            </w:r>
            <w:r>
              <w:rPr>
                <w:rFonts w:hint="default" w:ascii="Times New Roman" w:hAnsi="Times New Roman" w:eastAsia="宋体" w:cs="Times New Roman"/>
                <w:color w:val="auto"/>
                <w:spacing w:val="0"/>
                <w:kern w:val="0"/>
                <w:sz w:val="21"/>
                <w:szCs w:val="21"/>
                <w:highlight w:val="none"/>
                <w:lang w:val="en-US" w:eastAsia="zh-CN" w:bidi="he-IL"/>
              </w:rPr>
              <w:t>活性炭吸附净化装置维护保养，防止废气事故无组织排放；生产过程中门窗关闭，保持一个相对密闭的空间，合理设计送排风系统</w:t>
            </w:r>
          </w:p>
        </w:tc>
        <w:tc>
          <w:tcPr>
            <w:tcW w:w="3874" w:type="dxa"/>
            <w:tcBorders>
              <w:bottom w:val="single" w:color="000000" w:sz="4" w:space="0"/>
            </w:tcBorders>
            <w:noWrap w:val="0"/>
            <w:vAlign w:val="center"/>
          </w:tcPr>
          <w:p w14:paraId="57073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cs="Times New Roman"/>
                <w:color w:val="auto"/>
                <w:sz w:val="21"/>
                <w:szCs w:val="21"/>
                <w:highlight w:val="none"/>
                <w:lang w:val="en-US" w:eastAsia="zh-CN"/>
              </w:rPr>
              <w:t>监控点1h平均浓度值</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厂区内监控点任意一次浓度值</w:t>
            </w:r>
            <w:r>
              <w:rPr>
                <w:rFonts w:hint="default" w:ascii="Times New Roman" w:hAnsi="Times New Roman" w:cs="Times New Roman"/>
                <w:color w:val="auto"/>
                <w:sz w:val="21"/>
                <w:szCs w:val="21"/>
                <w:highlight w:val="none"/>
                <w:lang w:eastAsia="zh-CN"/>
              </w:rPr>
              <w:t>满足</w:t>
            </w:r>
            <w:r>
              <w:rPr>
                <w:rFonts w:hint="default" w:ascii="Times New Roman" w:hAnsi="Times New Roman" w:eastAsia="宋体" w:cs="Times New Roman"/>
                <w:color w:val="auto"/>
                <w:sz w:val="21"/>
                <w:szCs w:val="21"/>
                <w:highlight w:val="none"/>
                <w:lang w:val="en-US" w:eastAsia="zh-CN"/>
              </w:rPr>
              <w:t>《挥发性有机物无组织排放控制标准》</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GB37822-2019</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shd w:val="clear" w:color="auto" w:fill="FFFFFF"/>
                <w:lang w:eastAsia="zh-CN"/>
              </w:rPr>
              <w:t>中附录A表A.1</w:t>
            </w:r>
            <w:r>
              <w:rPr>
                <w:rFonts w:hint="eastAsia" w:cs="Times New Roman"/>
                <w:color w:val="auto"/>
                <w:sz w:val="21"/>
                <w:szCs w:val="21"/>
                <w:shd w:val="clear" w:color="auto" w:fill="FFFFFF"/>
                <w:lang w:val="en-US" w:eastAsia="zh-CN"/>
              </w:rPr>
              <w:t>特别排放</w:t>
            </w:r>
            <w:r>
              <w:rPr>
                <w:rFonts w:hint="default" w:ascii="Times New Roman" w:hAnsi="Times New Roman" w:cs="Times New Roman"/>
                <w:color w:val="auto"/>
                <w:sz w:val="21"/>
                <w:szCs w:val="21"/>
                <w:shd w:val="clear" w:color="auto" w:fill="FFFFFF"/>
                <w:lang w:eastAsia="zh-CN"/>
              </w:rPr>
              <w:t>标准限值</w:t>
            </w:r>
            <w:r>
              <w:rPr>
                <w:rFonts w:hint="eastAsia" w:ascii="Times New Roman" w:hAnsi="Times New Roman" w:cs="Times New Roman"/>
                <w:color w:val="auto"/>
                <w:sz w:val="21"/>
                <w:szCs w:val="21"/>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即非甲烷总烃无组织排放</w:t>
            </w:r>
            <w:r>
              <w:rPr>
                <w:rFonts w:hint="default" w:ascii="Times New Roman" w:hAnsi="Times New Roman" w:eastAsia="宋体" w:cs="Times New Roman"/>
                <w:color w:val="auto"/>
                <w:sz w:val="21"/>
                <w:szCs w:val="21"/>
                <w:shd w:val="clear" w:color="auto" w:fill="FFFFFF"/>
                <w:lang w:eastAsia="zh-CN"/>
              </w:rPr>
              <w:t>监控点处</w:t>
            </w:r>
            <w:r>
              <w:rPr>
                <w:rFonts w:hint="default" w:ascii="Times New Roman" w:hAnsi="Times New Roman" w:eastAsia="宋体" w:cs="Times New Roman"/>
                <w:color w:val="auto"/>
                <w:sz w:val="21"/>
                <w:szCs w:val="21"/>
                <w:shd w:val="clear" w:color="auto" w:fill="FFFFFF"/>
                <w:lang w:val="en-US" w:eastAsia="zh-CN"/>
              </w:rPr>
              <w:t>1h平均浓度值</w:t>
            </w:r>
            <w:r>
              <w:rPr>
                <w:rFonts w:hint="eastAsia" w:ascii="Times New Roman" w:hAnsi="Times New Roman" w:eastAsia="宋体" w:cs="Times New Roman"/>
                <w:color w:val="auto"/>
                <w:sz w:val="21"/>
                <w:szCs w:val="21"/>
                <w:shd w:val="clear" w:color="auto" w:fill="FFFFFF"/>
                <w:lang w:val="en-US" w:eastAsia="zh-CN"/>
              </w:rPr>
              <w:t>≤</w:t>
            </w:r>
            <w:r>
              <w:rPr>
                <w:rFonts w:hint="eastAsia" w:eastAsia="宋体" w:cs="Times New Roman"/>
                <w:color w:val="auto"/>
                <w:sz w:val="21"/>
                <w:szCs w:val="21"/>
                <w:shd w:val="clear" w:color="auto" w:fill="FFFFFF"/>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，监控点处任意一点浓度值</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p>
        </w:tc>
      </w:tr>
      <w:tr w14:paraId="12E38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48" w:type="dxa"/>
            <w:vMerge w:val="continue"/>
            <w:noWrap w:val="0"/>
            <w:vAlign w:val="center"/>
          </w:tcPr>
          <w:p w14:paraId="62DB8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17589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1356" w:type="dxa"/>
            <w:noWrap w:val="0"/>
            <w:vAlign w:val="center"/>
          </w:tcPr>
          <w:p w14:paraId="717EA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非甲烷总烃、颗粒物、臭气浓度</w:t>
            </w:r>
            <w:r>
              <w:rPr>
                <w:rFonts w:hint="eastAsia" w:cs="Times New Roman"/>
                <w:color w:val="auto"/>
                <w:sz w:val="21"/>
                <w:szCs w:val="21"/>
                <w:highlight w:val="none"/>
                <w:lang w:val="en-US" w:eastAsia="zh-CN"/>
              </w:rPr>
              <w:t>、氨</w:t>
            </w:r>
          </w:p>
        </w:tc>
        <w:tc>
          <w:tcPr>
            <w:tcW w:w="2040" w:type="dxa"/>
            <w:vMerge w:val="continue"/>
            <w:noWrap w:val="0"/>
            <w:vAlign w:val="center"/>
          </w:tcPr>
          <w:p w14:paraId="12BEB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874" w:type="dxa"/>
            <w:noWrap w:val="0"/>
            <w:vAlign w:val="center"/>
          </w:tcPr>
          <w:p w14:paraId="74D3E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非甲烷总烃</w:t>
            </w:r>
            <w:r>
              <w:rPr>
                <w:rFonts w:hint="eastAsia" w:cs="Times New Roman"/>
                <w:color w:val="auto"/>
                <w:spacing w:val="0"/>
                <w:sz w:val="21"/>
                <w:szCs w:val="21"/>
                <w:highlight w:val="none"/>
                <w:lang w:val="en-US" w:eastAsia="zh-CN"/>
              </w:rPr>
              <w:t>、颗粒物</w:t>
            </w:r>
            <w:r>
              <w:rPr>
                <w:rFonts w:hint="eastAsia" w:ascii="Times New Roman" w:hAnsi="Times New Roman" w:eastAsia="宋体" w:cs="Times New Roman"/>
                <w:color w:val="auto"/>
                <w:spacing w:val="0"/>
                <w:sz w:val="21"/>
                <w:szCs w:val="21"/>
                <w:highlight w:val="none"/>
                <w:lang w:val="en-US" w:eastAsia="zh-CN"/>
              </w:rPr>
              <w:t>执行《合成树脂工业污染物排放标准》（GB31572-2015）中表9企业边界大气污染物浓度限值</w:t>
            </w:r>
            <w:r>
              <w:rPr>
                <w:rFonts w:hint="eastAsia" w:ascii="Times New Roman" w:hAnsi="Times New Roman" w:eastAsia="宋体" w:cs="Times New Roman"/>
                <w:color w:val="auto"/>
                <w:kern w:val="18"/>
                <w:lang w:val="en-US" w:eastAsia="zh-CN"/>
              </w:rPr>
              <w:t>；臭气浓度</w:t>
            </w:r>
            <w:r>
              <w:rPr>
                <w:rFonts w:hint="eastAsia" w:cs="Times New Roman"/>
                <w:color w:val="auto"/>
                <w:kern w:val="18"/>
                <w:lang w:val="en-US" w:eastAsia="zh-CN"/>
              </w:rPr>
              <w:t>、氨</w:t>
            </w:r>
            <w:r>
              <w:rPr>
                <w:rFonts w:hint="eastAsia" w:ascii="Times New Roman" w:hAnsi="Times New Roman" w:eastAsia="宋体" w:cs="Times New Roman"/>
                <w:color w:val="auto"/>
                <w:kern w:val="18"/>
                <w:lang w:val="en-US" w:eastAsia="zh-CN"/>
              </w:rPr>
              <w:t>厂界执行</w:t>
            </w:r>
            <w:r>
              <w:rPr>
                <w:rFonts w:hint="default" w:ascii="Times New Roman" w:hAnsi="Times New Roman" w:eastAsia="宋体" w:cs="Times New Roman"/>
                <w:color w:val="auto"/>
                <w:sz w:val="21"/>
                <w:szCs w:val="21"/>
                <w:highlight w:val="none"/>
              </w:rPr>
              <w:t>《恶臭污染物排放标准》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GB14554-93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标准限值</w:t>
            </w:r>
            <w:r>
              <w:rPr>
                <w:rFonts w:hint="eastAsia" w:ascii="Times New Roman" w:hAnsi="Times New Roman" w:eastAsia="宋体" w:cs="Times New Roman"/>
                <w:color w:val="auto"/>
                <w:kern w:val="18"/>
                <w:lang w:val="en-US" w:eastAsia="zh-CN"/>
              </w:rPr>
              <w:t>，</w:t>
            </w:r>
            <w:r>
              <w:rPr>
                <w:rFonts w:hint="eastAsia" w:ascii="Times New Roman" w:hAnsi="Times New Roman" w:eastAsia="宋体" w:cs="Times New Roman"/>
                <w:color w:val="auto"/>
                <w:kern w:val="2"/>
                <w:sz w:val="21"/>
                <w:szCs w:val="21"/>
                <w:lang w:val="en-US" w:eastAsia="zh-CN" w:bidi="ar-SA"/>
              </w:rPr>
              <w:t>即非甲烷总烃≤</w:t>
            </w: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；颗粒物</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Cs w:val="21"/>
                <w:highlight w:val="none"/>
                <w:vertAlign w:val="baseline"/>
                <w:lang w:eastAsia="zh-CN"/>
              </w:rPr>
              <w:t>臭气浓度</w:t>
            </w:r>
            <w:r>
              <w:rPr>
                <w:rFonts w:hint="eastAsia" w:cs="Times New Roman"/>
                <w:color w:val="auto"/>
                <w:szCs w:val="21"/>
                <w:highlight w:val="none"/>
                <w:lang w:eastAsia="zh-CN"/>
              </w:rPr>
              <w:t>≤</w:t>
            </w:r>
            <w:r>
              <w:rPr>
                <w:rFonts w:hint="eastAsia" w:cs="Times New Roman"/>
                <w:color w:val="auto"/>
                <w:szCs w:val="21"/>
                <w:highlight w:val="none"/>
                <w:lang w:val="en-US" w:eastAsia="zh-CN"/>
              </w:rPr>
              <w:t>20（无量纲）；氨</w:t>
            </w:r>
            <w:r>
              <w:rPr>
                <w:rFonts w:hint="eastAsia" w:cs="Times New Roman"/>
                <w:color w:val="auto"/>
                <w:szCs w:val="21"/>
                <w:highlight w:val="none"/>
                <w:lang w:eastAsia="zh-CN"/>
              </w:rPr>
              <w:t>≤</w:t>
            </w:r>
            <w:r>
              <w:rPr>
                <w:rFonts w:hint="eastAsia" w:cs="Times New Roman"/>
                <w:color w:val="auto"/>
                <w:szCs w:val="21"/>
                <w:highlight w:val="none"/>
                <w:lang w:val="en-US" w:eastAsia="zh-CN"/>
              </w:rPr>
              <w:t>1.5</w:t>
            </w:r>
            <w:r>
              <w:rPr>
                <w:rFonts w:hint="eastAsia" w:ascii="Times New Roman" w:hAnsi="Times New Roman" w:eastAsia="宋体" w:cs="Times New Roman"/>
                <w:b w:val="0"/>
                <w:bCs w:val="0"/>
                <w:sz w:val="21"/>
                <w:szCs w:val="21"/>
                <w:vertAlign w:val="baseline"/>
                <w:lang w:val="en-US" w:eastAsia="zh-CN"/>
              </w:rPr>
              <w:t>mg/m</w:t>
            </w:r>
            <w:r>
              <w:rPr>
                <w:rFonts w:hint="eastAsia" w:ascii="Times New Roman" w:hAnsi="Times New Roman" w:eastAsia="宋体" w:cs="Times New Roman"/>
                <w:b w:val="0"/>
                <w:bCs w:val="0"/>
                <w:sz w:val="21"/>
                <w:szCs w:val="21"/>
                <w:vertAlign w:val="superscript"/>
                <w:lang w:val="en-US" w:eastAsia="zh-CN"/>
              </w:rPr>
              <w:t>3</w:t>
            </w:r>
          </w:p>
        </w:tc>
      </w:tr>
      <w:tr w14:paraId="2213B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48" w:type="dxa"/>
            <w:vMerge w:val="restart"/>
            <w:noWrap w:val="0"/>
            <w:vAlign w:val="center"/>
          </w:tcPr>
          <w:p w14:paraId="458C6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07F4F8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170" w:type="dxa"/>
            <w:noWrap w:val="0"/>
            <w:vAlign w:val="center"/>
          </w:tcPr>
          <w:p w14:paraId="5DDA8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w:t>
            </w:r>
            <w:r>
              <w:rPr>
                <w:rFonts w:hint="eastAsia" w:cs="Times New Roman"/>
                <w:color w:val="auto"/>
                <w:sz w:val="21"/>
                <w:szCs w:val="21"/>
                <w:highlight w:val="none"/>
                <w:lang w:val="en-US" w:eastAsia="zh-CN"/>
              </w:rPr>
              <w:t>污</w:t>
            </w:r>
            <w:r>
              <w:rPr>
                <w:rFonts w:hint="default" w:ascii="Times New Roman" w:hAnsi="Times New Roman" w:eastAsia="宋体" w:cs="Times New Roman"/>
                <w:color w:val="auto"/>
                <w:sz w:val="21"/>
                <w:szCs w:val="21"/>
                <w:highlight w:val="none"/>
                <w:lang w:val="en-US" w:eastAsia="zh-CN"/>
              </w:rPr>
              <w:t>水</w:t>
            </w:r>
          </w:p>
        </w:tc>
        <w:tc>
          <w:tcPr>
            <w:tcW w:w="1356" w:type="dxa"/>
            <w:noWrap w:val="0"/>
            <w:vAlign w:val="center"/>
          </w:tcPr>
          <w:p w14:paraId="04ACC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040" w:type="dxa"/>
            <w:noWrap w:val="0"/>
            <w:vAlign w:val="center"/>
          </w:tcPr>
          <w:p w14:paraId="778AD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000000"/>
                <w:sz w:val="21"/>
                <w:szCs w:val="21"/>
                <w:lang w:val="en-US" w:eastAsia="zh-CN"/>
              </w:rPr>
              <w:t>生活污水</w:t>
            </w:r>
            <w:r>
              <w:rPr>
                <w:rFonts w:hint="default" w:ascii="Times New Roman" w:hAnsi="Times New Roman" w:eastAsia="宋体" w:cs="Times New Roman"/>
                <w:bCs/>
                <w:color w:val="000000"/>
                <w:sz w:val="21"/>
                <w:szCs w:val="21"/>
              </w:rPr>
              <w:t>经化粪池预处理后接入市政污水管网排入</w:t>
            </w:r>
            <w:r>
              <w:rPr>
                <w:rFonts w:hint="default" w:ascii="Times New Roman" w:hAnsi="Times New Roman" w:eastAsia="宋体" w:cs="Times New Roman"/>
                <w:bCs/>
                <w:color w:val="auto"/>
                <w:sz w:val="21"/>
                <w:szCs w:val="21"/>
              </w:rPr>
              <w:t>福清市融元污水处理厂集中</w:t>
            </w:r>
            <w:r>
              <w:rPr>
                <w:rFonts w:hint="default" w:ascii="Times New Roman" w:hAnsi="Times New Roman" w:eastAsia="宋体" w:cs="Times New Roman"/>
                <w:bCs/>
                <w:color w:val="000000"/>
                <w:sz w:val="21"/>
                <w:szCs w:val="21"/>
              </w:rPr>
              <w:t>处理</w:t>
            </w:r>
          </w:p>
        </w:tc>
        <w:tc>
          <w:tcPr>
            <w:tcW w:w="3874" w:type="dxa"/>
            <w:noWrap w:val="0"/>
            <w:vAlign w:val="center"/>
          </w:tcPr>
          <w:p w14:paraId="45A63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3D3BE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848" w:type="dxa"/>
            <w:vMerge w:val="continue"/>
            <w:noWrap w:val="0"/>
            <w:vAlign w:val="center"/>
          </w:tcPr>
          <w:p w14:paraId="2D3C9C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170" w:type="dxa"/>
            <w:noWrap w:val="0"/>
            <w:vAlign w:val="center"/>
          </w:tcPr>
          <w:p w14:paraId="1A73A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1356" w:type="dxa"/>
            <w:noWrap w:val="0"/>
            <w:vAlign w:val="center"/>
          </w:tcPr>
          <w:p w14:paraId="56F1DC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040" w:type="dxa"/>
            <w:noWrap w:val="0"/>
            <w:vAlign w:val="center"/>
          </w:tcPr>
          <w:p w14:paraId="2A8564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cs="Times New Roman"/>
                <w:bCs/>
                <w:color w:val="000000"/>
                <w:sz w:val="21"/>
                <w:szCs w:val="21"/>
                <w:lang w:val="en-US" w:eastAsia="zh-CN"/>
              </w:rPr>
            </w:pPr>
            <w:r>
              <w:rPr>
                <w:rFonts w:hint="eastAsia" w:ascii="Times New Roman" w:hAnsi="Times New Roman" w:cs="Times New Roman"/>
                <w:bCs/>
                <w:color w:val="000000"/>
                <w:sz w:val="21"/>
                <w:szCs w:val="21"/>
                <w:lang w:val="en-US" w:eastAsia="zh-CN"/>
              </w:rPr>
              <w:t>冷却水循环使用不外排</w:t>
            </w:r>
            <w:r>
              <w:rPr>
                <w:rFonts w:hint="eastAsia" w:cs="Times New Roman"/>
                <w:bCs/>
                <w:color w:val="000000"/>
                <w:sz w:val="21"/>
                <w:szCs w:val="21"/>
                <w:lang w:val="en-US" w:eastAsia="zh-CN"/>
              </w:rPr>
              <w:t>；喷粉前清洗水通过废水处理设施</w:t>
            </w:r>
            <w:r>
              <w:rPr>
                <w:rFonts w:hint="eastAsia" w:cs="Times New Roman"/>
                <w:color w:val="auto"/>
                <w:sz w:val="21"/>
                <w:szCs w:val="21"/>
                <w:u w:val="none"/>
                <w:vertAlign w:val="baseline"/>
                <w:lang w:val="en-US" w:eastAsia="zh-CN"/>
              </w:rPr>
              <w:t>（气浮+A/O+沉淀）</w:t>
            </w:r>
            <w:r>
              <w:rPr>
                <w:rFonts w:hint="eastAsia" w:cs="Times New Roman"/>
                <w:bCs/>
                <w:color w:val="000000"/>
                <w:sz w:val="21"/>
                <w:szCs w:val="21"/>
                <w:lang w:val="en-US" w:eastAsia="zh-CN"/>
              </w:rPr>
              <w:t>处理后回用于清洗工序，不外排；</w:t>
            </w:r>
          </w:p>
        </w:tc>
        <w:tc>
          <w:tcPr>
            <w:tcW w:w="3874" w:type="dxa"/>
            <w:noWrap w:val="0"/>
            <w:vAlign w:val="center"/>
          </w:tcPr>
          <w:p w14:paraId="2CF80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GB" w:eastAsia="zh-CN" w:bidi="ar-SA"/>
              </w:rPr>
              <w:t>/</w:t>
            </w:r>
          </w:p>
        </w:tc>
      </w:tr>
      <w:tr w14:paraId="64BAC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47CCB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170" w:type="dxa"/>
            <w:noWrap w:val="0"/>
            <w:vAlign w:val="center"/>
          </w:tcPr>
          <w:p w14:paraId="4AA09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1356" w:type="dxa"/>
            <w:noWrap w:val="0"/>
            <w:vAlign w:val="center"/>
          </w:tcPr>
          <w:p w14:paraId="57B0D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040" w:type="dxa"/>
            <w:noWrap w:val="0"/>
            <w:vAlign w:val="center"/>
          </w:tcPr>
          <w:p w14:paraId="48924B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874" w:type="dxa"/>
            <w:noWrap w:val="0"/>
            <w:vAlign w:val="center"/>
          </w:tcPr>
          <w:p w14:paraId="5D940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GB12348-2008</w:t>
            </w:r>
            <w:r>
              <w:rPr>
                <w:rFonts w:hint="eastAsia" w:ascii="Times New Roman" w:hAnsi="Times New Roman" w:eastAsia="宋体" w:cs="Times New Roman"/>
                <w:color w:val="auto"/>
                <w:kern w:val="2"/>
                <w:sz w:val="21"/>
                <w:szCs w:val="21"/>
                <w:highlight w:val="none"/>
                <w:lang w:val="en-GB" w:eastAsia="zh-CN" w:bidi="ar-SA"/>
              </w:rPr>
              <w:t>）</w:t>
            </w:r>
            <w:r>
              <w:rPr>
                <w:rFonts w:hint="eastAsia"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夜</w:t>
            </w:r>
            <w:r>
              <w:rPr>
                <w:rFonts w:hint="default" w:ascii="Times New Roman" w:hAnsi="Times New Roman" w:eastAsia="宋体" w:cs="Times New Roman"/>
                <w:color w:val="auto"/>
                <w:kern w:val="2"/>
                <w:sz w:val="21"/>
                <w:szCs w:val="21"/>
                <w:highlight w:val="none"/>
                <w:lang w:val="en-GB" w:eastAsia="zh-CN" w:bidi="ar-SA"/>
              </w:rPr>
              <w:t>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w:t>
            </w:r>
            <w:r>
              <w:rPr>
                <w:rFonts w:hint="eastAsia"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A</w:t>
            </w:r>
            <w:r>
              <w:rPr>
                <w:rFonts w:hint="eastAsia" w:ascii="Times New Roman" w:hAnsi="Times New Roman" w:eastAsia="宋体" w:cs="Times New Roman"/>
                <w:color w:val="auto"/>
                <w:kern w:val="2"/>
                <w:sz w:val="21"/>
                <w:szCs w:val="21"/>
                <w:highlight w:val="none"/>
                <w:lang w:val="en-GB" w:eastAsia="zh-CN" w:bidi="ar-SA"/>
              </w:rPr>
              <w:t>））</w:t>
            </w:r>
          </w:p>
        </w:tc>
      </w:tr>
      <w:tr w14:paraId="6F1AA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6BF0833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41ACE2F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170" w:type="dxa"/>
            <w:noWrap w:val="0"/>
            <w:vAlign w:val="center"/>
          </w:tcPr>
          <w:p w14:paraId="015E07C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1356" w:type="dxa"/>
            <w:noWrap w:val="0"/>
            <w:vAlign w:val="center"/>
          </w:tcPr>
          <w:p w14:paraId="438936E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040" w:type="dxa"/>
            <w:noWrap w:val="0"/>
            <w:vAlign w:val="center"/>
          </w:tcPr>
          <w:p w14:paraId="73C6BCD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874" w:type="dxa"/>
            <w:noWrap w:val="0"/>
            <w:vAlign w:val="center"/>
          </w:tcPr>
          <w:p w14:paraId="249BA72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251C8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8" w:type="dxa"/>
            <w:noWrap w:val="0"/>
            <w:vAlign w:val="center"/>
          </w:tcPr>
          <w:p w14:paraId="798C7DE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1EE117F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440" w:type="dxa"/>
            <w:gridSpan w:val="4"/>
            <w:noWrap w:val="0"/>
            <w:vAlign w:val="center"/>
          </w:tcPr>
          <w:p w14:paraId="3F3F6DF0">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本项目一般固废有塑料边角料及不合格产品、废包装材料、收集粉尘，项目拟</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 18599-2020）的相关要求；</w:t>
            </w:r>
          </w:p>
          <w:p w14:paraId="7C43102E">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本项目危险废物有废活性炭、废机油、除油废液、钝化废液、废水处理污泥、槽渣以及废滤筒滤芯，项目拟</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 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248E3F7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771B2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07FC1D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440" w:type="dxa"/>
            <w:gridSpan w:val="4"/>
            <w:noWrap w:val="0"/>
            <w:vAlign w:val="center"/>
          </w:tcPr>
          <w:p w14:paraId="3B5BD06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1325C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848" w:type="dxa"/>
            <w:noWrap w:val="0"/>
            <w:vAlign w:val="center"/>
          </w:tcPr>
          <w:p w14:paraId="6A3E3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440" w:type="dxa"/>
            <w:gridSpan w:val="4"/>
            <w:noWrap w:val="0"/>
            <w:vAlign w:val="center"/>
          </w:tcPr>
          <w:p w14:paraId="4D7C9A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7CF1E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5" w:hRule="atLeast"/>
          <w:jc w:val="center"/>
        </w:trPr>
        <w:tc>
          <w:tcPr>
            <w:tcW w:w="848" w:type="dxa"/>
            <w:noWrap w:val="0"/>
            <w:vAlign w:val="center"/>
          </w:tcPr>
          <w:p w14:paraId="63D86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440" w:type="dxa"/>
            <w:gridSpan w:val="4"/>
            <w:noWrap w:val="0"/>
            <w:vAlign w:val="center"/>
          </w:tcPr>
          <w:p w14:paraId="1557843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393CE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 w:type="dxa"/>
            <w:noWrap w:val="0"/>
            <w:vAlign w:val="center"/>
          </w:tcPr>
          <w:p w14:paraId="4DFEDD6C">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5A6253C5">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440" w:type="dxa"/>
            <w:gridSpan w:val="4"/>
            <w:noWrap w:val="0"/>
            <w:vAlign w:val="center"/>
          </w:tcPr>
          <w:p w14:paraId="1D36E80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68ACA2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32DD2D3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  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87"/>
              <w:gridCol w:w="1347"/>
              <w:gridCol w:w="1348"/>
              <w:gridCol w:w="1348"/>
              <w:gridCol w:w="1395"/>
              <w:gridCol w:w="1297"/>
            </w:tblGrid>
            <w:tr w14:paraId="383C180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3EA7D2F5">
                  <w:pPr>
                    <w:pStyle w:val="64"/>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137" w:name="_Toc24814499"/>
                  <w:r>
                    <w:rPr>
                      <w:color w:val="auto"/>
                      <w:sz w:val="21"/>
                      <w:highlight w:val="none"/>
                      <w:lang w:val="en-GB"/>
                    </w:rPr>
                    <w:t xml:space="preserve">  排放部位</w:t>
                  </w:r>
                </w:p>
                <w:p w14:paraId="3929C778">
                  <w:pPr>
                    <w:pStyle w:val="64"/>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185A9D88">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4235F501">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12D7036">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155D52ED">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4FE1F507">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3AE48C9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5C3F6C5D">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552C56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0288"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43" name="组合 4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40"/>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41"/>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42"/>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3"/>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0288;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40"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41"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42"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3" o:title=""/>
                              <o:lock v:ext="edit" aspectratio="f"/>
                            </v:shape>
                          </v:group>
                        </w:pict>
                      </mc:Fallback>
                    </mc:AlternateContent>
                  </w:r>
                </w:p>
                <w:p w14:paraId="693B6EC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51D02ABF">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609DB7A">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4A8A676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0A6431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1F4AD6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0145C9F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F04F845">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F7353A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3914968E">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20351B7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4"/>
                                <a:stretch>
                                  <a:fillRect/>
                                </a:stretch>
                              </pic:blipFill>
                              <pic:spPr>
                                <a:xfrm>
                                  <a:off x="0" y="0"/>
                                  <a:ext cx="660400" cy="600710"/>
                                </a:xfrm>
                                <a:prstGeom prst="rect">
                                  <a:avLst/>
                                </a:prstGeom>
                                <a:noFill/>
                                <a:ln>
                                  <a:noFill/>
                                </a:ln>
                              </pic:spPr>
                            </pic:pic>
                          </a:graphicData>
                        </a:graphic>
                      </wp:inline>
                    </w:drawing>
                  </w:r>
                </w:p>
              </w:tc>
            </w:tr>
            <w:tr w14:paraId="0E5C1E7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3B7070A1">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CEE6D0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A07FF2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B10574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49DA8E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0BF04B7D">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76FD8845">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48C84D28">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270BF0EB">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BD0E90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644781CE">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63EBC21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3562882A">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44C3C5E6">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66BD09D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66C77A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7D1DB09">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51DB5FB9">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0A7329C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00A8168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46DCDDC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66E260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排污许可</w:t>
            </w:r>
            <w:r>
              <w:rPr>
                <w:rFonts w:hint="eastAsia" w:eastAsia="宋体" w:cs="Times New Roman"/>
                <w:b/>
                <w:bCs/>
                <w:color w:val="auto"/>
                <w:kern w:val="2"/>
                <w:sz w:val="24"/>
                <w:szCs w:val="24"/>
                <w:highlight w:val="none"/>
                <w:lang w:val="en-US" w:eastAsia="zh-CN" w:bidi="ar-SA"/>
              </w:rPr>
              <w:t>登记</w:t>
            </w:r>
            <w:r>
              <w:rPr>
                <w:rFonts w:hint="default" w:ascii="Times New Roman" w:hAnsi="Times New Roman" w:eastAsia="宋体" w:cs="Times New Roman"/>
                <w:b/>
                <w:bCs/>
                <w:color w:val="auto"/>
                <w:kern w:val="2"/>
                <w:sz w:val="24"/>
                <w:szCs w:val="24"/>
                <w:highlight w:val="none"/>
                <w:lang w:val="en-US" w:eastAsia="zh-CN" w:bidi="ar-SA"/>
              </w:rPr>
              <w:t>管理</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eastAsia="宋体" w:cs="Times New Roman"/>
                <w:b/>
                <w:bCs/>
                <w:color w:val="auto"/>
                <w:kern w:val="2"/>
                <w:sz w:val="24"/>
                <w:szCs w:val="24"/>
                <w:highlight w:val="none"/>
                <w:lang w:val="en-US" w:eastAsia="zh-CN" w:bidi="ar-SA"/>
              </w:rPr>
              <w:t>登记填</w:t>
            </w:r>
            <w:r>
              <w:rPr>
                <w:rFonts w:hint="eastAsia" w:ascii="Times New Roman" w:hAnsi="Times New Roman" w:eastAsia="宋体" w:cs="Times New Roman"/>
                <w:b/>
                <w:bCs/>
                <w:color w:val="auto"/>
                <w:kern w:val="2"/>
                <w:sz w:val="24"/>
                <w:szCs w:val="24"/>
                <w:highlight w:val="none"/>
                <w:lang w:val="en-US" w:eastAsia="zh-CN" w:bidi="ar-SA"/>
              </w:rPr>
              <w:t>报</w:t>
            </w:r>
            <w:r>
              <w:rPr>
                <w:rFonts w:hint="default" w:ascii="Times New Roman" w:hAnsi="Times New Roman" w:eastAsia="宋体" w:cs="Times New Roman"/>
                <w:color w:val="auto"/>
                <w:kern w:val="2"/>
                <w:sz w:val="24"/>
                <w:szCs w:val="24"/>
                <w:highlight w:val="none"/>
                <w:lang w:val="en-US" w:eastAsia="zh-CN" w:bidi="ar-SA"/>
              </w:rPr>
              <w:t>。</w:t>
            </w:r>
          </w:p>
          <w:p w14:paraId="1AC241BB">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 xml:space="preserve">表 5.1-2 </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75"/>
              <w:gridCol w:w="1030"/>
              <w:gridCol w:w="3908"/>
              <w:gridCol w:w="890"/>
            </w:tblGrid>
            <w:tr w14:paraId="70D1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48" w:type="pct"/>
                  <w:vAlign w:val="center"/>
                </w:tcPr>
                <w:p w14:paraId="38EE619F">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序号</w:t>
                  </w:r>
                </w:p>
              </w:tc>
              <w:tc>
                <w:tcPr>
                  <w:tcW w:w="1202" w:type="pct"/>
                  <w:vAlign w:val="center"/>
                </w:tcPr>
                <w:p w14:paraId="43B77FC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行业类别</w:t>
                  </w:r>
                </w:p>
              </w:tc>
              <w:tc>
                <w:tcPr>
                  <w:tcW w:w="627" w:type="pct"/>
                  <w:vAlign w:val="center"/>
                </w:tcPr>
                <w:p w14:paraId="6F59A0EB">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重点管理</w:t>
                  </w:r>
                </w:p>
              </w:tc>
              <w:tc>
                <w:tcPr>
                  <w:tcW w:w="2379" w:type="pct"/>
                  <w:vAlign w:val="center"/>
                </w:tcPr>
                <w:p w14:paraId="7837261E">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简化管理</w:t>
                  </w:r>
                </w:p>
              </w:tc>
              <w:tc>
                <w:tcPr>
                  <w:tcW w:w="542" w:type="pct"/>
                  <w:shd w:val="clear" w:color="auto" w:fill="CFCECE" w:themeFill="background2" w:themeFillShade="E5"/>
                  <w:vAlign w:val="center"/>
                </w:tcPr>
                <w:p w14:paraId="5217F0DF">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登记管理</w:t>
                  </w:r>
                </w:p>
              </w:tc>
            </w:tr>
            <w:tr w14:paraId="2F0E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CFCECE" w:themeFill="background2" w:themeFillShade="E5"/>
                  <w:vAlign w:val="center"/>
                </w:tcPr>
                <w:p w14:paraId="18206B55">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b/>
                      <w:bCs/>
                      <w:color w:val="000000"/>
                      <w:kern w:val="0"/>
                      <w:sz w:val="21"/>
                      <w:szCs w:val="21"/>
                      <w:lang w:val="en-US" w:eastAsia="zh-CN" w:bidi="ar"/>
                    </w:rPr>
                    <w:t>二十四、橡胶和塑料制品业 29</w:t>
                  </w:r>
                </w:p>
              </w:tc>
            </w:tr>
            <w:tr w14:paraId="6633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3ABB2CD8">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62</w:t>
                  </w:r>
                </w:p>
              </w:tc>
              <w:tc>
                <w:tcPr>
                  <w:tcW w:w="1202" w:type="pct"/>
                  <w:vAlign w:val="center"/>
                </w:tcPr>
                <w:p w14:paraId="077CE0C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color w:val="000000"/>
                      <w:kern w:val="0"/>
                      <w:sz w:val="21"/>
                      <w:szCs w:val="21"/>
                      <w:lang w:val="en-US" w:eastAsia="zh-CN" w:bidi="ar"/>
                    </w:rPr>
                    <w:t>塑料制品业 292</w:t>
                  </w:r>
                </w:p>
                <w:p w14:paraId="4D2356A0">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627" w:type="pct"/>
                  <w:vAlign w:val="center"/>
                </w:tcPr>
                <w:p w14:paraId="6A22B25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塑料人造革、合成革制造 2925</w:t>
                  </w:r>
                </w:p>
                <w:p w14:paraId="51511929">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p>
              </w:tc>
              <w:tc>
                <w:tcPr>
                  <w:tcW w:w="2379" w:type="pct"/>
                  <w:vAlign w:val="center"/>
                </w:tcPr>
                <w:p w14:paraId="6742799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年产1万吨及以上的泡沫塑料制造 2924，年产1万吨及以上涉及改性的塑料薄膜制造 2921、塑料板、管、型材制造 2922、塑料丝、绳和编织品制造 2923、塑料包装箱及容器制造 2926、日用塑料品制造 2927、人造草坪制造 2928、塑料零件及其他塑料制品制造 2929</w:t>
                  </w:r>
                </w:p>
              </w:tc>
              <w:tc>
                <w:tcPr>
                  <w:tcW w:w="542" w:type="pct"/>
                  <w:shd w:val="clear" w:color="auto" w:fill="CFCECE" w:themeFill="background2" w:themeFillShade="E5"/>
                  <w:vAlign w:val="center"/>
                </w:tcPr>
                <w:p w14:paraId="2C0FE69E">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262626"/>
                      <w:sz w:val="21"/>
                      <w:szCs w:val="21"/>
                      <w:vertAlign w:val="baseline"/>
                      <w:lang w:val="en-US" w:eastAsia="zh-CN"/>
                    </w:rPr>
                  </w:pPr>
                  <w:r>
                    <w:rPr>
                      <w:rFonts w:hint="default" w:ascii="Times New Roman" w:hAnsi="Times New Roman" w:eastAsia="宋体" w:cs="Times New Roman"/>
                      <w:color w:val="262626"/>
                      <w:sz w:val="21"/>
                      <w:szCs w:val="21"/>
                      <w:vertAlign w:val="baseline"/>
                      <w:lang w:val="en-US" w:eastAsia="zh-CN"/>
                    </w:rPr>
                    <w:t>其他</w:t>
                  </w:r>
                </w:p>
              </w:tc>
            </w:tr>
            <w:tr w14:paraId="61B1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CFCECE" w:themeFill="background2" w:themeFillShade="E5"/>
                  <w:vAlign w:val="center"/>
                </w:tcPr>
                <w:p w14:paraId="41613D2E">
                  <w:pPr>
                    <w:keepNext w:val="0"/>
                    <w:keepLines w:val="0"/>
                    <w:widowControl/>
                    <w:suppressLineNumbers w:val="0"/>
                    <w:jc w:val="left"/>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三十五、电气机械和器材制造业 38</w:t>
                  </w:r>
                </w:p>
              </w:tc>
            </w:tr>
            <w:tr w14:paraId="2BCF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518F87E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77</w:t>
                  </w:r>
                </w:p>
              </w:tc>
              <w:tc>
                <w:tcPr>
                  <w:tcW w:w="1202" w:type="pct"/>
                  <w:vAlign w:val="center"/>
                </w:tcPr>
                <w:p w14:paraId="36A3384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电机制造381</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输配电及控制设备制造382</w:t>
                  </w:r>
                  <w:r>
                    <w:rPr>
                      <w:rFonts w:hint="eastAsia" w:cs="Times New Roman"/>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电线、电缆、光缆及电工器材制造383</w:t>
                  </w:r>
                  <w:r>
                    <w:rPr>
                      <w:rFonts w:hint="eastAsia" w:cs="Times New Roman"/>
                      <w:b/>
                      <w:bCs/>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电池制造384</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家用电力器具制造385</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非电力家用器具制造386</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照明器具制造387</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其他电气机械及器材制造389</w:t>
                  </w:r>
                </w:p>
              </w:tc>
              <w:tc>
                <w:tcPr>
                  <w:tcW w:w="627" w:type="pct"/>
                  <w:vAlign w:val="center"/>
                </w:tcPr>
                <w:p w14:paraId="3175A9DE">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铅蓄电池制造</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太阳能电池片生产；有电镀工艺的；年用溶剂型涂料</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含稀释剂</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10吨及以上的</w:t>
                  </w:r>
                </w:p>
              </w:tc>
              <w:tc>
                <w:tcPr>
                  <w:tcW w:w="2379" w:type="pct"/>
                  <w:vAlign w:val="center"/>
                </w:tcPr>
                <w:p w14:paraId="1464C0D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其他</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仅分割、焊接、组装的除外；年用非溶剂型低VOCs含量涂料10吨以下的除外</w:t>
                  </w:r>
                  <w:r>
                    <w:rPr>
                      <w:rFonts w:hint="eastAsia" w:cs="Times New Roman"/>
                      <w:color w:val="000000"/>
                      <w:kern w:val="0"/>
                      <w:sz w:val="21"/>
                      <w:szCs w:val="21"/>
                      <w:lang w:val="en-US" w:eastAsia="zh-CN" w:bidi="ar"/>
                    </w:rPr>
                    <w:t>）</w:t>
                  </w:r>
                </w:p>
              </w:tc>
              <w:tc>
                <w:tcPr>
                  <w:tcW w:w="542" w:type="pct"/>
                  <w:shd w:val="clear" w:color="auto" w:fill="CFCECE" w:themeFill="background2" w:themeFillShade="E5"/>
                  <w:vAlign w:val="center"/>
                </w:tcPr>
                <w:p w14:paraId="40F3148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w:t>
                  </w:r>
                </w:p>
              </w:tc>
            </w:tr>
            <w:tr w14:paraId="2EC9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CFCECE" w:themeFill="background2" w:themeFillShade="E5"/>
                  <w:vAlign w:val="center"/>
                </w:tcPr>
                <w:p w14:paraId="12CF8B2B">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三十六、计算机、通信和其他电子设备制造业 39</w:t>
                  </w:r>
                </w:p>
              </w:tc>
            </w:tr>
            <w:tr w14:paraId="53232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780A02F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81</w:t>
                  </w:r>
                </w:p>
              </w:tc>
              <w:tc>
                <w:tcPr>
                  <w:tcW w:w="1202" w:type="pct"/>
                  <w:vAlign w:val="center"/>
                </w:tcPr>
                <w:p w14:paraId="67AD365C">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电子元件及电子专用材料制造398</w:t>
                  </w:r>
                </w:p>
              </w:tc>
              <w:tc>
                <w:tcPr>
                  <w:tcW w:w="627" w:type="pct"/>
                  <w:vAlign w:val="center"/>
                </w:tcPr>
                <w:p w14:paraId="54A6EFE7">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半导体材料制造；电子化工材料制造</w:t>
                  </w:r>
                </w:p>
              </w:tc>
              <w:tc>
                <w:tcPr>
                  <w:tcW w:w="2379" w:type="pct"/>
                  <w:vAlign w:val="center"/>
                </w:tcPr>
                <w:p w14:paraId="7DB482B7">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印刷电路板制造；电子专用材料制造</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电子化工材料制造除外</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；使用有机溶剂的；有酸洗的以上均不含仅分割、焊接、组装的</w:t>
                  </w:r>
                </w:p>
              </w:tc>
              <w:tc>
                <w:tcPr>
                  <w:tcW w:w="542" w:type="pct"/>
                  <w:shd w:val="clear" w:color="auto" w:fill="CFCECE" w:themeFill="background2" w:themeFillShade="E5"/>
                  <w:vAlign w:val="center"/>
                </w:tcPr>
                <w:p w14:paraId="0BFDA8D8">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w:t>
                  </w:r>
                </w:p>
              </w:tc>
            </w:tr>
          </w:tbl>
          <w:p w14:paraId="18A82E0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137"/>
            <w:bookmarkStart w:id="138"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138"/>
          </w:p>
          <w:p w14:paraId="26AAFF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06BBF0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2BF16EAA">
      <w:r>
        <w:br w:type="page"/>
      </w:r>
    </w:p>
    <w:p w14:paraId="1C32D8D6">
      <w:pPr>
        <w:pStyle w:val="22"/>
        <w:jc w:val="center"/>
        <w:outlineLvl w:val="0"/>
        <w:rPr>
          <w:rFonts w:ascii="Times New Roman" w:hAnsi="Times New Roman" w:eastAsia="黑体"/>
          <w:snapToGrid w:val="0"/>
          <w:sz w:val="30"/>
          <w:szCs w:val="30"/>
        </w:rPr>
      </w:pPr>
      <w:bookmarkStart w:id="139" w:name="_Toc4252"/>
      <w:bookmarkStart w:id="140" w:name="_Toc19634"/>
      <w:r>
        <w:rPr>
          <w:rFonts w:ascii="Times New Roman" w:hAnsi="Times New Roman" w:eastAsia="黑体"/>
          <w:snapToGrid w:val="0"/>
          <w:sz w:val="30"/>
          <w:szCs w:val="30"/>
        </w:rPr>
        <w:drawing>
          <wp:anchor distT="0" distB="0" distL="114300" distR="114300" simplePos="0" relativeHeight="251664384" behindDoc="0" locked="0" layoutInCell="1" allowOverlap="1">
            <wp:simplePos x="0" y="0"/>
            <wp:positionH relativeFrom="column">
              <wp:posOffset>-440690</wp:posOffset>
            </wp:positionH>
            <wp:positionV relativeFrom="paragraph">
              <wp:posOffset>38100</wp:posOffset>
            </wp:positionV>
            <wp:extent cx="6433820" cy="8771255"/>
            <wp:effectExtent l="0" t="0" r="5080" b="10795"/>
            <wp:wrapNone/>
            <wp:docPr id="217" name="图片 217" descr="doc00514620251120170130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doc00514620251120170130_10(1)"/>
                    <pic:cNvPicPr>
                      <a:picLocks noChangeAspect="1"/>
                    </pic:cNvPicPr>
                  </pic:nvPicPr>
                  <pic:blipFill>
                    <a:blip r:embed="rId45"/>
                    <a:stretch>
                      <a:fillRect/>
                    </a:stretch>
                  </pic:blipFill>
                  <pic:spPr>
                    <a:xfrm>
                      <a:off x="0" y="0"/>
                      <a:ext cx="6433820" cy="8771255"/>
                    </a:xfrm>
                    <a:prstGeom prst="rect">
                      <a:avLst/>
                    </a:prstGeom>
                  </pic:spPr>
                </pic:pic>
              </a:graphicData>
            </a:graphic>
          </wp:anchor>
        </w:drawing>
      </w:r>
      <w:r>
        <w:rPr>
          <w:rFonts w:ascii="Times New Roman" w:hAnsi="Times New Roman" w:eastAsia="黑体"/>
          <w:snapToGrid w:val="0"/>
          <w:sz w:val="30"/>
          <w:szCs w:val="30"/>
        </w:rPr>
        <w:t>六、结论</w:t>
      </w:r>
      <w:bookmarkEnd w:id="139"/>
      <w:bookmarkEnd w:id="140"/>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6933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2ED0DDE2">
            <w:pPr>
              <w:spacing w:line="360" w:lineRule="auto"/>
              <w:rPr>
                <w:b/>
                <w:bCs/>
                <w:sz w:val="28"/>
                <w:szCs w:val="28"/>
              </w:rPr>
            </w:pPr>
            <w:r>
              <w:rPr>
                <w:b/>
                <w:bCs/>
                <w:sz w:val="28"/>
                <w:szCs w:val="28"/>
              </w:rPr>
              <w:t>6.1 总结论</w:t>
            </w:r>
          </w:p>
          <w:p w14:paraId="081D5EDC">
            <w:pPr>
              <w:spacing w:line="360" w:lineRule="auto"/>
              <w:ind w:firstLine="480" w:firstLineChars="200"/>
              <w:rPr>
                <w:rFonts w:ascii="Times New Roman" w:hAnsi="Times New Roman"/>
                <w:sz w:val="24"/>
                <w:szCs w:val="24"/>
              </w:rPr>
            </w:pPr>
            <w:r>
              <w:rPr>
                <w:rFonts w:hint="eastAsia"/>
                <w:sz w:val="24"/>
              </w:rPr>
              <w:t>本项目</w:t>
            </w:r>
            <w:r>
              <w:rPr>
                <w:rFonts w:hint="eastAsia"/>
                <w:sz w:val="24"/>
                <w:lang w:val="en-US" w:eastAsia="zh-CN"/>
              </w:rPr>
              <w:t>位于福清融侨经济技术开发区（均和云谷·福清科技港39#厂房）），项目主要从事工业连接器和工业线缆制造，建设符合国家相关产业政策、符合《福清融侨经济技术开发区总体规划环境影响报告书（2018-2035年）》中的相关要求。符合“三线一单”以及生态分区管控控制要求，选址可行。经采取综合性、积极有效性的防治措施并确保污染物达标排放后，可避免或减少这些不利影响，使这些不利影响均在可接受范围内。</w:t>
            </w:r>
            <w:r>
              <w:rPr>
                <w:rFonts w:ascii="Times New Roman" w:hAnsi="Times New Roman"/>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3115E267">
            <w:pPr>
              <w:spacing w:line="360" w:lineRule="auto"/>
              <w:ind w:firstLine="480" w:firstLineChars="200"/>
              <w:rPr>
                <w:rFonts w:ascii="Times New Roman" w:hAnsi="Times New Roman" w:eastAsia="宋体" w:cs="Times New Roman"/>
                <w:sz w:val="24"/>
              </w:rPr>
            </w:pPr>
            <w:r>
              <w:rPr>
                <w:sz w:val="24"/>
              </w:rPr>
              <w:t>综上所述</w:t>
            </w:r>
            <w:r>
              <w:rPr>
                <w:rFonts w:hint="eastAsia"/>
                <w:sz w:val="24"/>
                <w:lang w:eastAsia="zh-CN"/>
              </w:rPr>
              <w:t>，</w:t>
            </w:r>
            <w:r>
              <w:rPr>
                <w:sz w:val="24"/>
              </w:rPr>
              <w:t>认真执行建设项目</w:t>
            </w:r>
            <w:r>
              <w:rPr>
                <w:rFonts w:hint="eastAsia"/>
                <w:sz w:val="24"/>
                <w:lang w:eastAsia="zh-CN"/>
              </w:rPr>
              <w:t>“</w:t>
            </w:r>
            <w:r>
              <w:rPr>
                <w:sz w:val="24"/>
              </w:rPr>
              <w:t>三同时</w:t>
            </w:r>
            <w:r>
              <w:rPr>
                <w:rFonts w:hint="eastAsia"/>
                <w:b w:val="0"/>
                <w:bCs w:val="0"/>
                <w:color w:val="auto"/>
                <w:sz w:val="24"/>
                <w:lang w:eastAsia="zh-CN"/>
              </w:rPr>
              <w:t>”</w:t>
            </w:r>
            <w:r>
              <w:rPr>
                <w:b w:val="0"/>
                <w:bCs w:val="0"/>
                <w:color w:val="auto"/>
                <w:sz w:val="24"/>
              </w:rPr>
              <w:t>制度，切实落实各项规划方案的要求，完成本次环境影响评价提出的各项污染防治措施</w:t>
            </w:r>
            <w:r>
              <w:rPr>
                <w:rFonts w:hint="eastAsia"/>
                <w:b w:val="0"/>
                <w:bCs w:val="0"/>
                <w:color w:val="auto"/>
                <w:sz w:val="24"/>
                <w:lang w:eastAsia="zh-CN"/>
              </w:rPr>
              <w:t>，在</w:t>
            </w:r>
            <w:r>
              <w:rPr>
                <w:rFonts w:ascii="Times New Roman" w:hAnsi="Times New Roman" w:eastAsia="宋体" w:cs="Times New Roman"/>
                <w:b w:val="0"/>
                <w:bCs w:val="0"/>
                <w:color w:val="auto"/>
                <w:sz w:val="24"/>
              </w:rPr>
              <w:t>严格落实</w:t>
            </w:r>
            <w:r>
              <w:rPr>
                <w:rFonts w:hint="eastAsia" w:ascii="Times New Roman" w:hAnsi="Times New Roman" w:eastAsia="宋体" w:cs="Times New Roman"/>
                <w:b w:val="0"/>
                <w:bCs w:val="0"/>
                <w:color w:val="auto"/>
                <w:sz w:val="24"/>
              </w:rPr>
              <w:t>各项生态环境保护和污染防治措施后，</w:t>
            </w:r>
            <w:r>
              <w:rPr>
                <w:rFonts w:ascii="Times New Roman" w:hAnsi="Times New Roman" w:eastAsia="宋体" w:cs="Times New Roman"/>
                <w:b w:val="0"/>
                <w:bCs w:val="0"/>
                <w:color w:val="auto"/>
                <w:sz w:val="24"/>
              </w:rPr>
              <w:t>确保各污染物达标排放，对周围的环境影响较小。从环</w:t>
            </w:r>
            <w:r>
              <w:rPr>
                <w:rFonts w:ascii="Times New Roman" w:hAnsi="Times New Roman" w:eastAsia="宋体" w:cs="Times New Roman"/>
                <w:sz w:val="24"/>
              </w:rPr>
              <w:t>境</w:t>
            </w:r>
            <w:r>
              <w:rPr>
                <w:rFonts w:hint="eastAsia" w:ascii="Times New Roman" w:hAnsi="Times New Roman" w:eastAsia="宋体" w:cs="Times New Roman"/>
                <w:sz w:val="24"/>
                <w:lang w:val="en-US" w:eastAsia="zh-CN"/>
              </w:rPr>
              <w:t>影响</w:t>
            </w:r>
            <w:r>
              <w:rPr>
                <w:rFonts w:ascii="Times New Roman" w:hAnsi="Times New Roman" w:eastAsia="宋体" w:cs="Times New Roman"/>
                <w:sz w:val="24"/>
              </w:rPr>
              <w:t>角度分析，该项目的建设是可行的。</w:t>
            </w:r>
          </w:p>
          <w:p w14:paraId="59467899">
            <w:pPr>
              <w:spacing w:line="360" w:lineRule="auto"/>
              <w:ind w:firstLine="482" w:firstLineChars="200"/>
              <w:rPr>
                <w:b/>
                <w:bCs/>
                <w:sz w:val="24"/>
              </w:rPr>
            </w:pPr>
          </w:p>
          <w:p w14:paraId="50D3A4FE">
            <w:pPr>
              <w:spacing w:line="360" w:lineRule="auto"/>
              <w:ind w:firstLine="482" w:firstLineChars="200"/>
              <w:jc w:val="right"/>
              <w:rPr>
                <w:rFonts w:hint="default" w:eastAsia="宋体"/>
                <w:b/>
                <w:bCs/>
                <w:sz w:val="24"/>
                <w:lang w:val="en-US" w:eastAsia="zh-CN"/>
              </w:rPr>
            </w:pPr>
          </w:p>
          <w:p w14:paraId="0721067D">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rFonts w:hint="eastAsia"/>
                <w:b w:val="0"/>
                <w:bCs w:val="0"/>
                <w:sz w:val="24"/>
                <w:highlight w:val="none"/>
                <w:lang w:val="en-US" w:eastAsia="zh-CN"/>
              </w:rPr>
              <w:t>福州朴诚至信环保科技有限公司</w:t>
            </w:r>
          </w:p>
          <w:p w14:paraId="6FF708AF">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sz w:val="24"/>
                <w:highlight w:val="none"/>
                <w:lang w:val="en-US" w:eastAsia="zh-CN"/>
              </w:rPr>
            </w:pPr>
            <w:r>
              <w:rPr>
                <w:b w:val="0"/>
                <w:bCs w:val="0"/>
                <w:sz w:val="24"/>
                <w:highlight w:val="none"/>
              </w:rPr>
              <w:t>202</w:t>
            </w:r>
            <w:r>
              <w:rPr>
                <w:rFonts w:hint="eastAsia"/>
                <w:b w:val="0"/>
                <w:bCs w:val="0"/>
                <w:sz w:val="24"/>
                <w:highlight w:val="none"/>
                <w:lang w:val="en-US" w:eastAsia="zh-CN"/>
              </w:rPr>
              <w:t>5</w:t>
            </w:r>
            <w:r>
              <w:rPr>
                <w:b w:val="0"/>
                <w:bCs w:val="0"/>
                <w:sz w:val="24"/>
                <w:highlight w:val="none"/>
              </w:rPr>
              <w:t>年</w:t>
            </w:r>
            <w:r>
              <w:rPr>
                <w:rFonts w:hint="eastAsia"/>
                <w:b w:val="0"/>
                <w:bCs w:val="0"/>
                <w:sz w:val="24"/>
                <w:highlight w:val="none"/>
                <w:lang w:val="en-US" w:eastAsia="zh-CN"/>
              </w:rPr>
              <w:t>11</w:t>
            </w:r>
            <w:r>
              <w:rPr>
                <w:b w:val="0"/>
                <w:bCs w:val="0"/>
                <w:sz w:val="24"/>
                <w:highlight w:val="none"/>
              </w:rPr>
              <w:t>月</w:t>
            </w:r>
          </w:p>
          <w:p w14:paraId="4DAC92D2">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sz w:val="24"/>
                <w:highlight w:val="none"/>
              </w:rPr>
            </w:pPr>
          </w:p>
          <w:p w14:paraId="79F02346">
            <w:pPr>
              <w:spacing w:line="360" w:lineRule="auto"/>
              <w:ind w:firstLine="482" w:firstLineChars="200"/>
              <w:rPr>
                <w:b/>
                <w:bCs/>
                <w:sz w:val="24"/>
              </w:rPr>
            </w:pPr>
          </w:p>
          <w:p w14:paraId="5909E627">
            <w:pPr>
              <w:spacing w:line="360" w:lineRule="auto"/>
              <w:ind w:firstLine="482" w:firstLineChars="200"/>
              <w:rPr>
                <w:b/>
                <w:bCs/>
                <w:sz w:val="24"/>
              </w:rPr>
            </w:pPr>
          </w:p>
          <w:p w14:paraId="79602A53">
            <w:pPr>
              <w:spacing w:line="360" w:lineRule="auto"/>
              <w:ind w:firstLine="482" w:firstLineChars="200"/>
              <w:rPr>
                <w:b/>
                <w:bCs/>
                <w:sz w:val="24"/>
              </w:rPr>
            </w:pPr>
          </w:p>
          <w:p w14:paraId="0C2399D6">
            <w:pPr>
              <w:spacing w:line="360" w:lineRule="auto"/>
              <w:ind w:firstLine="482" w:firstLineChars="200"/>
              <w:rPr>
                <w:b/>
                <w:bCs/>
                <w:sz w:val="24"/>
              </w:rPr>
            </w:pPr>
          </w:p>
          <w:p w14:paraId="4D547767">
            <w:pPr>
              <w:spacing w:line="360" w:lineRule="auto"/>
              <w:rPr>
                <w:sz w:val="24"/>
              </w:rPr>
            </w:pPr>
          </w:p>
        </w:tc>
      </w:tr>
    </w:tbl>
    <w:p w14:paraId="7462C461">
      <w:pPr>
        <w:rPr>
          <w:rFonts w:hint="eastAsia"/>
          <w:b/>
          <w:bCs/>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14:paraId="6037D73A">
      <w:pPr>
        <w:pStyle w:val="22"/>
        <w:adjustRightInd w:val="0"/>
        <w:snapToGrid w:val="0"/>
        <w:spacing w:before="120" w:beforeLines="50" w:beforeAutospacing="0" w:after="0" w:afterAutospacing="0"/>
        <w:jc w:val="both"/>
        <w:outlineLvl w:val="0"/>
        <w:rPr>
          <w:rFonts w:ascii="Times New Roman" w:hAnsi="Times New Roman" w:eastAsia="方正小标宋_GBK"/>
          <w:snapToGrid w:val="0"/>
          <w:sz w:val="38"/>
          <w:szCs w:val="38"/>
        </w:rPr>
      </w:pPr>
      <w:bookmarkStart w:id="141" w:name="_Toc16366"/>
      <w:bookmarkStart w:id="142" w:name="_Toc7093"/>
      <w:r>
        <w:rPr>
          <w:rFonts w:ascii="Times New Roman" w:hAnsi="Times New Roman" w:eastAsia="方正小标宋_GBK"/>
          <w:b/>
          <w:bCs/>
          <w:snapToGrid w:val="0"/>
          <w:sz w:val="38"/>
          <w:szCs w:val="38"/>
        </w:rPr>
        <w:t>附</w:t>
      </w:r>
      <w:r>
        <w:rPr>
          <w:rFonts w:ascii="Times New Roman" w:hAnsi="Times New Roman" w:eastAsia="方正小标宋_GBK" w:cs="Times New Roman"/>
          <w:b/>
          <w:bCs/>
          <w:snapToGrid w:val="0"/>
          <w:sz w:val="38"/>
          <w:szCs w:val="38"/>
        </w:rPr>
        <w:t>表</w:t>
      </w:r>
      <w:bookmarkEnd w:id="141"/>
      <w:bookmarkEnd w:id="142"/>
    </w:p>
    <w:p w14:paraId="47BBF350">
      <w:pPr>
        <w:pStyle w:val="22"/>
        <w:adjustRightInd w:val="0"/>
        <w:snapToGrid w:val="0"/>
        <w:spacing w:before="0" w:beforeLines="0" w:beforeAutospacing="0" w:after="0" w:afterLines="0" w:afterAutospacing="0"/>
        <w:jc w:val="center"/>
        <w:outlineLvl w:val="0"/>
        <w:rPr>
          <w:rFonts w:ascii="Times New Roman" w:hAnsi="Times New Roman" w:eastAsia="方正小标宋_GBK"/>
          <w:snapToGrid w:val="0"/>
          <w:color w:val="auto"/>
          <w:sz w:val="38"/>
          <w:szCs w:val="38"/>
        </w:rPr>
      </w:pPr>
      <w:bookmarkStart w:id="143" w:name="_Toc13012"/>
      <w:bookmarkStart w:id="144" w:name="_Toc13889"/>
      <w:bookmarkStart w:id="145" w:name="_Toc96"/>
      <w:r>
        <w:rPr>
          <w:rFonts w:ascii="Times New Roman" w:hAnsi="Times New Roman" w:eastAsia="方正小标宋_GBK"/>
          <w:snapToGrid w:val="0"/>
          <w:color w:val="auto"/>
          <w:sz w:val="38"/>
          <w:szCs w:val="38"/>
        </w:rPr>
        <w:t>建设项目污染物排放量汇总表</w:t>
      </w:r>
      <w:bookmarkEnd w:id="143"/>
      <w:bookmarkEnd w:id="144"/>
      <w:bookmarkEnd w:id="145"/>
    </w:p>
    <w:tbl>
      <w:tblPr>
        <w:tblStyle w:val="23"/>
        <w:tblW w:w="1408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2145"/>
        <w:gridCol w:w="1332"/>
        <w:gridCol w:w="1276"/>
        <w:gridCol w:w="1701"/>
        <w:gridCol w:w="1559"/>
        <w:gridCol w:w="1761"/>
        <w:gridCol w:w="1959"/>
        <w:gridCol w:w="1122"/>
      </w:tblGrid>
      <w:tr w14:paraId="0279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tcBorders>
              <w:tl2br w:val="single" w:color="auto" w:sz="4" w:space="0"/>
            </w:tcBorders>
            <w:noWrap w:val="0"/>
            <w:tcMar>
              <w:left w:w="28" w:type="dxa"/>
              <w:right w:w="28" w:type="dxa"/>
            </w:tcMar>
            <w:vAlign w:val="center"/>
          </w:tcPr>
          <w:p w14:paraId="6EEC77B8">
            <w:pPr>
              <w:pStyle w:val="77"/>
              <w:bidi w:val="0"/>
              <w:jc w:val="right"/>
              <w:rPr>
                <w:color w:val="auto"/>
              </w:rPr>
            </w:pPr>
            <w:r>
              <w:rPr>
                <w:color w:val="auto"/>
              </w:rPr>
              <w:t>项目</w:t>
            </w:r>
          </w:p>
          <w:p w14:paraId="44653EB8">
            <w:pPr>
              <w:pStyle w:val="77"/>
              <w:bidi w:val="0"/>
              <w:jc w:val="left"/>
              <w:rPr>
                <w:color w:val="auto"/>
              </w:rPr>
            </w:pPr>
            <w:r>
              <w:rPr>
                <w:color w:val="auto"/>
              </w:rPr>
              <w:t>分类</w:t>
            </w:r>
          </w:p>
        </w:tc>
        <w:tc>
          <w:tcPr>
            <w:tcW w:w="2145" w:type="dxa"/>
            <w:noWrap w:val="0"/>
            <w:tcMar>
              <w:left w:w="28" w:type="dxa"/>
              <w:right w:w="28" w:type="dxa"/>
            </w:tcMar>
            <w:vAlign w:val="center"/>
          </w:tcPr>
          <w:p w14:paraId="020E018E">
            <w:pPr>
              <w:pStyle w:val="77"/>
              <w:bidi w:val="0"/>
              <w:rPr>
                <w:color w:val="auto"/>
              </w:rPr>
            </w:pPr>
            <w:r>
              <w:rPr>
                <w:color w:val="auto"/>
              </w:rPr>
              <w:t>污染物名称</w:t>
            </w:r>
          </w:p>
        </w:tc>
        <w:tc>
          <w:tcPr>
            <w:tcW w:w="1332" w:type="dxa"/>
            <w:noWrap w:val="0"/>
            <w:tcMar>
              <w:left w:w="28" w:type="dxa"/>
              <w:right w:w="28" w:type="dxa"/>
            </w:tcMar>
            <w:vAlign w:val="center"/>
          </w:tcPr>
          <w:p w14:paraId="52B22978">
            <w:pPr>
              <w:pStyle w:val="77"/>
              <w:bidi w:val="0"/>
              <w:rPr>
                <w:color w:val="auto"/>
              </w:rPr>
            </w:pPr>
            <w:r>
              <w:rPr>
                <w:color w:val="auto"/>
              </w:rPr>
              <w:t>现有工程</w:t>
            </w:r>
          </w:p>
          <w:p w14:paraId="43E656A1">
            <w:pPr>
              <w:pStyle w:val="77"/>
              <w:bidi w:val="0"/>
              <w:rPr>
                <w:color w:val="auto"/>
              </w:rPr>
            </w:pPr>
            <w:r>
              <w:rPr>
                <w:color w:val="auto"/>
              </w:rPr>
              <w:t>排放量（固体废物产生量）</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tc>
        <w:tc>
          <w:tcPr>
            <w:tcW w:w="1276" w:type="dxa"/>
            <w:noWrap w:val="0"/>
            <w:tcMar>
              <w:left w:w="28" w:type="dxa"/>
              <w:right w:w="28" w:type="dxa"/>
            </w:tcMar>
            <w:vAlign w:val="center"/>
          </w:tcPr>
          <w:p w14:paraId="5A777679">
            <w:pPr>
              <w:pStyle w:val="77"/>
              <w:bidi w:val="0"/>
              <w:rPr>
                <w:color w:val="auto"/>
              </w:rPr>
            </w:pPr>
            <w:r>
              <w:rPr>
                <w:color w:val="auto"/>
              </w:rPr>
              <w:t>现有工程</w:t>
            </w:r>
          </w:p>
          <w:p w14:paraId="0F69E4D3">
            <w:pPr>
              <w:pStyle w:val="77"/>
              <w:bidi w:val="0"/>
              <w:rPr>
                <w:color w:val="auto"/>
              </w:rPr>
            </w:pPr>
            <w:r>
              <w:rPr>
                <w:color w:val="auto"/>
              </w:rPr>
              <w:t>许可排放量</w:t>
            </w:r>
          </w:p>
          <w:p w14:paraId="5629ECB7">
            <w:pPr>
              <w:pStyle w:val="77"/>
              <w:bidi w:val="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p>
        </w:tc>
        <w:tc>
          <w:tcPr>
            <w:tcW w:w="1701" w:type="dxa"/>
            <w:noWrap w:val="0"/>
            <w:tcMar>
              <w:left w:w="28" w:type="dxa"/>
              <w:right w:w="28" w:type="dxa"/>
            </w:tcMar>
            <w:vAlign w:val="center"/>
          </w:tcPr>
          <w:p w14:paraId="13CE313C">
            <w:pPr>
              <w:pStyle w:val="77"/>
              <w:bidi w:val="0"/>
              <w:rPr>
                <w:color w:val="auto"/>
              </w:rPr>
            </w:pPr>
            <w:r>
              <w:rPr>
                <w:color w:val="auto"/>
              </w:rPr>
              <w:t>在建工程</w:t>
            </w:r>
          </w:p>
          <w:p w14:paraId="31C266A4">
            <w:pPr>
              <w:pStyle w:val="77"/>
              <w:bidi w:val="0"/>
              <w:rPr>
                <w:color w:val="auto"/>
              </w:rPr>
            </w:pPr>
            <w:r>
              <w:rPr>
                <w:color w:val="auto"/>
              </w:rPr>
              <w:t>排放量（固体废物产生量）</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p>
        </w:tc>
        <w:tc>
          <w:tcPr>
            <w:tcW w:w="1559" w:type="dxa"/>
            <w:noWrap w:val="0"/>
            <w:tcMar>
              <w:left w:w="28" w:type="dxa"/>
              <w:right w:w="28" w:type="dxa"/>
            </w:tcMar>
            <w:vAlign w:val="center"/>
          </w:tcPr>
          <w:p w14:paraId="31DEE739">
            <w:pPr>
              <w:pStyle w:val="77"/>
              <w:bidi w:val="0"/>
              <w:rPr>
                <w:color w:val="auto"/>
              </w:rPr>
            </w:pPr>
            <w:r>
              <w:rPr>
                <w:color w:val="auto"/>
              </w:rPr>
              <w:t>本项目</w:t>
            </w:r>
          </w:p>
          <w:p w14:paraId="57D9B791">
            <w:pPr>
              <w:pStyle w:val="77"/>
              <w:bidi w:val="0"/>
              <w:rPr>
                <w:color w:val="auto"/>
              </w:rPr>
            </w:pPr>
            <w:r>
              <w:rPr>
                <w:color w:val="auto"/>
              </w:rPr>
              <w:t>排放量（固体废物产生量）</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p>
        </w:tc>
        <w:tc>
          <w:tcPr>
            <w:tcW w:w="1761" w:type="dxa"/>
            <w:noWrap w:val="0"/>
            <w:tcMar>
              <w:left w:w="28" w:type="dxa"/>
              <w:right w:w="28" w:type="dxa"/>
            </w:tcMar>
            <w:vAlign w:val="center"/>
          </w:tcPr>
          <w:p w14:paraId="6FA71E6A">
            <w:pPr>
              <w:pStyle w:val="77"/>
              <w:bidi w:val="0"/>
              <w:rPr>
                <w:color w:val="auto"/>
              </w:rPr>
            </w:pPr>
            <w:r>
              <w:rPr>
                <w:color w:val="auto"/>
              </w:rPr>
              <w:t>以新带老削减量</w:t>
            </w:r>
          </w:p>
          <w:p w14:paraId="0D788B36">
            <w:pPr>
              <w:pStyle w:val="77"/>
              <w:bidi w:val="0"/>
              <w:rPr>
                <w:color w:val="auto"/>
              </w:rPr>
            </w:pPr>
            <w:r>
              <w:rPr>
                <w:color w:val="auto"/>
              </w:rPr>
              <w:t>（新建项目不填）</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p>
        </w:tc>
        <w:tc>
          <w:tcPr>
            <w:tcW w:w="1959" w:type="dxa"/>
            <w:noWrap w:val="0"/>
            <w:tcMar>
              <w:left w:w="28" w:type="dxa"/>
              <w:right w:w="28" w:type="dxa"/>
            </w:tcMar>
            <w:vAlign w:val="center"/>
          </w:tcPr>
          <w:p w14:paraId="1DE2B617">
            <w:pPr>
              <w:pStyle w:val="77"/>
              <w:bidi w:val="0"/>
              <w:rPr>
                <w:color w:val="auto"/>
              </w:rPr>
            </w:pPr>
            <w:r>
              <w:rPr>
                <w:color w:val="auto"/>
              </w:rPr>
              <w:t>本项目建成后</w:t>
            </w:r>
          </w:p>
          <w:p w14:paraId="3120F9C0">
            <w:pPr>
              <w:pStyle w:val="77"/>
              <w:bidi w:val="0"/>
              <w:rPr>
                <w:color w:val="auto"/>
              </w:rPr>
            </w:pPr>
            <w:r>
              <w:rPr>
                <w:color w:val="auto"/>
              </w:rPr>
              <w:t>全厂排放量（固体废物产生量）</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p>
        </w:tc>
        <w:tc>
          <w:tcPr>
            <w:tcW w:w="1122" w:type="dxa"/>
            <w:noWrap w:val="0"/>
            <w:tcMar>
              <w:left w:w="28" w:type="dxa"/>
              <w:right w:w="28" w:type="dxa"/>
            </w:tcMar>
            <w:vAlign w:val="center"/>
          </w:tcPr>
          <w:p w14:paraId="4E651958">
            <w:pPr>
              <w:pStyle w:val="77"/>
              <w:bidi w:val="0"/>
              <w:rPr>
                <w:color w:val="auto"/>
              </w:rPr>
            </w:pPr>
            <w:r>
              <w:rPr>
                <w:color w:val="auto"/>
              </w:rPr>
              <w:t>变化量</w:t>
            </w:r>
          </w:p>
          <w:p w14:paraId="19B0FAAC">
            <w:pPr>
              <w:pStyle w:val="77"/>
              <w:bidi w:val="0"/>
              <w:rPr>
                <w:color w:val="auto"/>
              </w:rPr>
            </w:pP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p>
        </w:tc>
      </w:tr>
      <w:tr w14:paraId="5AC76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65D0A567">
            <w:pPr>
              <w:pStyle w:val="77"/>
              <w:bidi w:val="0"/>
              <w:rPr>
                <w:rFonts w:hint="eastAsia"/>
                <w:color w:val="auto"/>
                <w:lang w:val="en-US" w:eastAsia="zh-CN"/>
              </w:rPr>
            </w:pPr>
            <w:r>
              <w:rPr>
                <w:rFonts w:hint="eastAsia"/>
                <w:color w:val="auto"/>
                <w:lang w:val="en-US" w:eastAsia="zh-CN"/>
              </w:rPr>
              <w:t>废气</w:t>
            </w:r>
          </w:p>
        </w:tc>
        <w:tc>
          <w:tcPr>
            <w:tcW w:w="2145" w:type="dxa"/>
            <w:noWrap w:val="0"/>
            <w:vAlign w:val="center"/>
          </w:tcPr>
          <w:p w14:paraId="239E0B45">
            <w:pPr>
              <w:pStyle w:val="77"/>
              <w:bidi w:val="0"/>
              <w:rPr>
                <w:rFonts w:hint="eastAsia" w:eastAsia="宋体"/>
                <w:color w:val="auto"/>
                <w:lang w:eastAsia="zh-CN"/>
              </w:rPr>
            </w:pPr>
            <w:r>
              <w:rPr>
                <w:color w:val="auto"/>
              </w:rPr>
              <w:t>非甲烷总烃</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0BB767D1">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5AAFA5A3">
            <w:pPr>
              <w:pStyle w:val="77"/>
              <w:bidi w:val="0"/>
              <w:rPr>
                <w:rFonts w:hint="default"/>
                <w:color w:val="auto"/>
                <w:lang w:val="en-US" w:eastAsia="zh-CN"/>
              </w:rPr>
            </w:pPr>
            <w:r>
              <w:rPr>
                <w:rFonts w:hint="eastAsia"/>
                <w:color w:val="auto"/>
                <w:lang w:val="en-US" w:eastAsia="zh-CN"/>
              </w:rPr>
              <w:t>/</w:t>
            </w:r>
          </w:p>
        </w:tc>
        <w:tc>
          <w:tcPr>
            <w:tcW w:w="1701" w:type="dxa"/>
            <w:noWrap w:val="0"/>
            <w:vAlign w:val="center"/>
          </w:tcPr>
          <w:p w14:paraId="0E7982D7">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147CDBAE">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0.0358</w:t>
            </w:r>
          </w:p>
        </w:tc>
        <w:tc>
          <w:tcPr>
            <w:tcW w:w="1761" w:type="dxa"/>
            <w:noWrap w:val="0"/>
            <w:vAlign w:val="center"/>
          </w:tcPr>
          <w:p w14:paraId="178D5B03">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27B8F2DE">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0.0358</w:t>
            </w:r>
          </w:p>
        </w:tc>
        <w:tc>
          <w:tcPr>
            <w:tcW w:w="1122" w:type="dxa"/>
            <w:shd w:val="clear" w:color="auto" w:fill="auto"/>
            <w:noWrap w:val="0"/>
            <w:vAlign w:val="center"/>
          </w:tcPr>
          <w:p w14:paraId="21702D2F">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+0.0358</w:t>
            </w:r>
          </w:p>
        </w:tc>
      </w:tr>
      <w:tr w14:paraId="5DB84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2B95DBE0">
            <w:pPr>
              <w:pStyle w:val="77"/>
              <w:bidi w:val="0"/>
              <w:rPr>
                <w:rFonts w:hint="eastAsia"/>
                <w:color w:val="auto"/>
                <w:lang w:val="en-US" w:eastAsia="zh-CN"/>
              </w:rPr>
            </w:pPr>
          </w:p>
        </w:tc>
        <w:tc>
          <w:tcPr>
            <w:tcW w:w="2145" w:type="dxa"/>
            <w:noWrap w:val="0"/>
            <w:vAlign w:val="center"/>
          </w:tcPr>
          <w:p w14:paraId="72BF5518">
            <w:pPr>
              <w:pStyle w:val="77"/>
              <w:bidi w:val="0"/>
              <w:rPr>
                <w:rFonts w:hint="default" w:eastAsia="宋体"/>
                <w:color w:val="auto"/>
                <w:lang w:val="en-US" w:eastAsia="zh-CN"/>
              </w:rPr>
            </w:pPr>
            <w:r>
              <w:rPr>
                <w:rFonts w:hint="eastAsia"/>
                <w:color w:val="auto"/>
                <w:lang w:val="en-US" w:eastAsia="zh-CN"/>
              </w:rPr>
              <w:t>颗粒物（</w:t>
            </w:r>
            <w:r>
              <w:rPr>
                <w:color w:val="auto"/>
              </w:rPr>
              <w:t>t</w:t>
            </w:r>
            <w:r>
              <w:rPr>
                <w:rFonts w:hint="eastAsia"/>
                <w:color w:val="auto"/>
                <w:lang w:val="en-US" w:eastAsia="zh-CN"/>
              </w:rPr>
              <w:t>/a）</w:t>
            </w:r>
          </w:p>
        </w:tc>
        <w:tc>
          <w:tcPr>
            <w:tcW w:w="1332" w:type="dxa"/>
            <w:noWrap w:val="0"/>
            <w:vAlign w:val="center"/>
          </w:tcPr>
          <w:p w14:paraId="70B42863">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246B79DE">
            <w:pPr>
              <w:pStyle w:val="77"/>
              <w:bidi w:val="0"/>
              <w:rPr>
                <w:rFonts w:hint="default"/>
                <w:color w:val="auto"/>
                <w:lang w:val="en-US" w:eastAsia="zh-CN"/>
              </w:rPr>
            </w:pPr>
            <w:r>
              <w:rPr>
                <w:rFonts w:hint="eastAsia"/>
                <w:color w:val="auto"/>
                <w:lang w:val="en-US" w:eastAsia="zh-CN"/>
              </w:rPr>
              <w:t>/</w:t>
            </w:r>
          </w:p>
        </w:tc>
        <w:tc>
          <w:tcPr>
            <w:tcW w:w="1701" w:type="dxa"/>
            <w:noWrap w:val="0"/>
            <w:vAlign w:val="center"/>
          </w:tcPr>
          <w:p w14:paraId="4CC4D7A3">
            <w:pPr>
              <w:pStyle w:val="77"/>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25D4AE08">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0.000455</w:t>
            </w:r>
          </w:p>
        </w:tc>
        <w:tc>
          <w:tcPr>
            <w:tcW w:w="1761" w:type="dxa"/>
            <w:noWrap w:val="0"/>
            <w:vAlign w:val="center"/>
          </w:tcPr>
          <w:p w14:paraId="2D8840C8">
            <w:pPr>
              <w:pStyle w:val="77"/>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5A4AF4A3">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0.000455</w:t>
            </w:r>
          </w:p>
        </w:tc>
        <w:tc>
          <w:tcPr>
            <w:tcW w:w="1122" w:type="dxa"/>
            <w:shd w:val="clear" w:color="auto" w:fill="auto"/>
            <w:noWrap w:val="0"/>
            <w:vAlign w:val="center"/>
          </w:tcPr>
          <w:p w14:paraId="531362CA">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+0.000455</w:t>
            </w:r>
          </w:p>
        </w:tc>
      </w:tr>
      <w:tr w14:paraId="0EDF3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2C95F53B">
            <w:pPr>
              <w:pStyle w:val="77"/>
              <w:bidi w:val="0"/>
              <w:rPr>
                <w:color w:val="auto"/>
              </w:rPr>
            </w:pPr>
            <w:r>
              <w:rPr>
                <w:color w:val="auto"/>
              </w:rPr>
              <w:t>废水</w:t>
            </w:r>
          </w:p>
        </w:tc>
        <w:tc>
          <w:tcPr>
            <w:tcW w:w="2145" w:type="dxa"/>
            <w:noWrap w:val="0"/>
            <w:vAlign w:val="center"/>
          </w:tcPr>
          <w:p w14:paraId="64C6403F">
            <w:pPr>
              <w:pStyle w:val="77"/>
              <w:bidi w:val="0"/>
              <w:rPr>
                <w:rFonts w:hint="eastAsia" w:eastAsia="宋体"/>
                <w:color w:val="auto"/>
                <w:lang w:eastAsia="zh-CN"/>
              </w:rPr>
            </w:pPr>
            <w:r>
              <w:rPr>
                <w:color w:val="auto"/>
              </w:rPr>
              <w:t>COD</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7DFD111E">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7FAA1A17">
            <w:pPr>
              <w:pStyle w:val="77"/>
              <w:bidi w:val="0"/>
              <w:rPr>
                <w:color w:val="auto"/>
              </w:rPr>
            </w:pPr>
            <w:r>
              <w:rPr>
                <w:rFonts w:hint="eastAsia"/>
                <w:color w:val="auto"/>
                <w:lang w:val="en-US" w:eastAsia="zh-CN"/>
              </w:rPr>
              <w:t>/</w:t>
            </w:r>
          </w:p>
        </w:tc>
        <w:tc>
          <w:tcPr>
            <w:tcW w:w="1701" w:type="dxa"/>
            <w:noWrap w:val="0"/>
            <w:vAlign w:val="center"/>
          </w:tcPr>
          <w:p w14:paraId="3F37E464">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0A13BCA">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0.204</w:t>
            </w:r>
          </w:p>
        </w:tc>
        <w:tc>
          <w:tcPr>
            <w:tcW w:w="1761" w:type="dxa"/>
            <w:noWrap w:val="0"/>
            <w:vAlign w:val="center"/>
          </w:tcPr>
          <w:p w14:paraId="34F8C3C6">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5889401D">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0.204</w:t>
            </w:r>
          </w:p>
        </w:tc>
        <w:tc>
          <w:tcPr>
            <w:tcW w:w="1122" w:type="dxa"/>
            <w:shd w:val="clear" w:color="auto" w:fill="auto"/>
            <w:noWrap w:val="0"/>
            <w:vAlign w:val="center"/>
          </w:tcPr>
          <w:p w14:paraId="7B2D8EA4">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+0.204</w:t>
            </w:r>
          </w:p>
        </w:tc>
      </w:tr>
      <w:tr w14:paraId="6A4EB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AD69EDD">
            <w:pPr>
              <w:pStyle w:val="77"/>
              <w:bidi w:val="0"/>
              <w:rPr>
                <w:color w:val="auto"/>
              </w:rPr>
            </w:pPr>
          </w:p>
        </w:tc>
        <w:tc>
          <w:tcPr>
            <w:tcW w:w="2145" w:type="dxa"/>
            <w:noWrap w:val="0"/>
            <w:vAlign w:val="center"/>
          </w:tcPr>
          <w:p w14:paraId="129D1AE0">
            <w:pPr>
              <w:pStyle w:val="77"/>
              <w:bidi w:val="0"/>
              <w:rPr>
                <w:rFonts w:hint="eastAsia" w:eastAsia="宋体"/>
                <w:color w:val="auto"/>
                <w:lang w:eastAsia="zh-CN"/>
              </w:rPr>
            </w:pPr>
            <w:r>
              <w:rPr>
                <w:color w:val="auto"/>
              </w:rPr>
              <w:t>BOD</w:t>
            </w:r>
            <w:r>
              <w:rPr>
                <w:color w:val="auto"/>
                <w:vertAlign w:val="subscript"/>
              </w:rPr>
              <w:t>5</w:t>
            </w:r>
            <w:r>
              <w:rPr>
                <w:rFonts w:hint="eastAsia"/>
                <w:color w:val="auto"/>
                <w:vertAlign w:val="subscript"/>
                <w:lang w:eastAsia="zh-CN"/>
              </w:rPr>
              <w:t>(</w:t>
            </w:r>
            <w:r>
              <w:rPr>
                <w:color w:val="auto"/>
              </w:rPr>
              <w:t>t/a</w:t>
            </w:r>
            <w:r>
              <w:rPr>
                <w:rFonts w:hint="eastAsia"/>
                <w:color w:val="auto"/>
                <w:lang w:eastAsia="zh-CN"/>
              </w:rPr>
              <w:t>)</w:t>
            </w:r>
          </w:p>
        </w:tc>
        <w:tc>
          <w:tcPr>
            <w:tcW w:w="1332" w:type="dxa"/>
            <w:noWrap w:val="0"/>
            <w:vAlign w:val="center"/>
          </w:tcPr>
          <w:p w14:paraId="27E82DD2">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406433B1">
            <w:pPr>
              <w:pStyle w:val="77"/>
              <w:bidi w:val="0"/>
              <w:rPr>
                <w:color w:val="auto"/>
              </w:rPr>
            </w:pPr>
            <w:r>
              <w:rPr>
                <w:rFonts w:hint="eastAsia"/>
                <w:color w:val="auto"/>
                <w:lang w:val="en-US" w:eastAsia="zh-CN"/>
              </w:rPr>
              <w:t>/</w:t>
            </w:r>
          </w:p>
        </w:tc>
        <w:tc>
          <w:tcPr>
            <w:tcW w:w="1701" w:type="dxa"/>
            <w:noWrap w:val="0"/>
            <w:vAlign w:val="center"/>
          </w:tcPr>
          <w:p w14:paraId="6DF704A9">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2EE0215B">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0.096</w:t>
            </w:r>
          </w:p>
        </w:tc>
        <w:tc>
          <w:tcPr>
            <w:tcW w:w="1761" w:type="dxa"/>
            <w:noWrap w:val="0"/>
            <w:vAlign w:val="center"/>
          </w:tcPr>
          <w:p w14:paraId="42302DED">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71F80EB3">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0.096</w:t>
            </w:r>
          </w:p>
        </w:tc>
        <w:tc>
          <w:tcPr>
            <w:tcW w:w="1122" w:type="dxa"/>
            <w:shd w:val="clear" w:color="auto" w:fill="auto"/>
            <w:noWrap w:val="0"/>
            <w:vAlign w:val="center"/>
          </w:tcPr>
          <w:p w14:paraId="64D6BA15">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+0.096</w:t>
            </w:r>
          </w:p>
        </w:tc>
      </w:tr>
      <w:tr w14:paraId="540A1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A3A9702">
            <w:pPr>
              <w:pStyle w:val="77"/>
              <w:bidi w:val="0"/>
              <w:rPr>
                <w:color w:val="auto"/>
              </w:rPr>
            </w:pPr>
          </w:p>
        </w:tc>
        <w:tc>
          <w:tcPr>
            <w:tcW w:w="2145" w:type="dxa"/>
            <w:noWrap w:val="0"/>
            <w:vAlign w:val="center"/>
          </w:tcPr>
          <w:p w14:paraId="2342D640">
            <w:pPr>
              <w:pStyle w:val="77"/>
              <w:bidi w:val="0"/>
              <w:rPr>
                <w:rFonts w:hint="eastAsia" w:eastAsia="宋体"/>
                <w:color w:val="auto"/>
                <w:lang w:eastAsia="zh-CN"/>
              </w:rPr>
            </w:pPr>
            <w:r>
              <w:rPr>
                <w:color w:val="auto"/>
              </w:rPr>
              <w:t>SS</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62AAF00E">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5574E194">
            <w:pPr>
              <w:pStyle w:val="77"/>
              <w:bidi w:val="0"/>
              <w:rPr>
                <w:color w:val="auto"/>
              </w:rPr>
            </w:pPr>
            <w:r>
              <w:rPr>
                <w:rFonts w:hint="eastAsia"/>
                <w:color w:val="auto"/>
                <w:lang w:val="en-US" w:eastAsia="zh-CN"/>
              </w:rPr>
              <w:t>/</w:t>
            </w:r>
          </w:p>
        </w:tc>
        <w:tc>
          <w:tcPr>
            <w:tcW w:w="1701" w:type="dxa"/>
            <w:noWrap w:val="0"/>
            <w:vAlign w:val="center"/>
          </w:tcPr>
          <w:p w14:paraId="06359B49">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629A9455">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761" w:type="dxa"/>
            <w:noWrap w:val="0"/>
            <w:vAlign w:val="center"/>
          </w:tcPr>
          <w:p w14:paraId="5163B8D5">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57EC4E0">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c>
          <w:tcPr>
            <w:tcW w:w="1122" w:type="dxa"/>
            <w:shd w:val="clear" w:color="auto" w:fill="auto"/>
            <w:noWrap w:val="0"/>
            <w:vAlign w:val="center"/>
          </w:tcPr>
          <w:p w14:paraId="67C2696E">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+0.072</w:t>
            </w:r>
          </w:p>
        </w:tc>
      </w:tr>
      <w:tr w14:paraId="64910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229" w:type="dxa"/>
            <w:vMerge w:val="continue"/>
            <w:noWrap w:val="0"/>
            <w:vAlign w:val="center"/>
          </w:tcPr>
          <w:p w14:paraId="7F8DF448">
            <w:pPr>
              <w:pStyle w:val="77"/>
              <w:bidi w:val="0"/>
              <w:rPr>
                <w:color w:val="auto"/>
              </w:rPr>
            </w:pPr>
          </w:p>
        </w:tc>
        <w:tc>
          <w:tcPr>
            <w:tcW w:w="2145" w:type="dxa"/>
            <w:noWrap w:val="0"/>
            <w:vAlign w:val="center"/>
          </w:tcPr>
          <w:p w14:paraId="3DEAE997">
            <w:pPr>
              <w:pStyle w:val="77"/>
              <w:bidi w:val="0"/>
              <w:rPr>
                <w:rFonts w:hint="eastAsia" w:eastAsia="宋体"/>
                <w:color w:val="auto"/>
                <w:lang w:eastAsia="zh-CN"/>
              </w:rPr>
            </w:pPr>
            <w:r>
              <w:rPr>
                <w:color w:val="auto"/>
              </w:rPr>
              <w:t>NH</w:t>
            </w:r>
            <w:r>
              <w:rPr>
                <w:color w:val="auto"/>
                <w:vertAlign w:val="subscript"/>
              </w:rPr>
              <w:t>3</w:t>
            </w:r>
            <w:r>
              <w:rPr>
                <w:color w:val="auto"/>
              </w:rPr>
              <w:t>-N</w:t>
            </w:r>
            <w:r>
              <w:rPr>
                <w:rFonts w:hint="eastAsia"/>
                <w:color w:val="auto"/>
                <w:lang w:eastAsia="zh-CN"/>
              </w:rPr>
              <w:t>(</w:t>
            </w:r>
            <w:r>
              <w:rPr>
                <w:color w:val="auto"/>
              </w:rPr>
              <w:t>t/a</w:t>
            </w:r>
            <w:r>
              <w:rPr>
                <w:rFonts w:hint="eastAsia"/>
                <w:color w:val="auto"/>
                <w:lang w:eastAsia="zh-CN"/>
              </w:rPr>
              <w:t>)</w:t>
            </w:r>
          </w:p>
        </w:tc>
        <w:tc>
          <w:tcPr>
            <w:tcW w:w="1332" w:type="dxa"/>
            <w:noWrap w:val="0"/>
            <w:vAlign w:val="center"/>
          </w:tcPr>
          <w:p w14:paraId="4C82A0F4">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02FD6125">
            <w:pPr>
              <w:pStyle w:val="77"/>
              <w:bidi w:val="0"/>
              <w:rPr>
                <w:color w:val="auto"/>
              </w:rPr>
            </w:pPr>
            <w:r>
              <w:rPr>
                <w:rFonts w:hint="eastAsia"/>
                <w:color w:val="auto"/>
                <w:lang w:val="en-US" w:eastAsia="zh-CN"/>
              </w:rPr>
              <w:t>/</w:t>
            </w:r>
          </w:p>
        </w:tc>
        <w:tc>
          <w:tcPr>
            <w:tcW w:w="1701" w:type="dxa"/>
            <w:noWrap w:val="0"/>
            <w:vAlign w:val="center"/>
          </w:tcPr>
          <w:p w14:paraId="492AD782">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04F56B2D">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w:t>
            </w:r>
          </w:p>
        </w:tc>
        <w:tc>
          <w:tcPr>
            <w:tcW w:w="1761" w:type="dxa"/>
            <w:noWrap w:val="0"/>
            <w:vAlign w:val="center"/>
          </w:tcPr>
          <w:p w14:paraId="65C65FDD">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32EE34B">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w:t>
            </w:r>
          </w:p>
        </w:tc>
        <w:tc>
          <w:tcPr>
            <w:tcW w:w="1122" w:type="dxa"/>
            <w:shd w:val="clear" w:color="auto" w:fill="auto"/>
            <w:noWrap w:val="0"/>
            <w:vAlign w:val="center"/>
          </w:tcPr>
          <w:p w14:paraId="242B46CE">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+0.025</w:t>
            </w:r>
          </w:p>
        </w:tc>
      </w:tr>
      <w:tr w14:paraId="657AC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173ED7BE">
            <w:pPr>
              <w:pStyle w:val="77"/>
              <w:bidi w:val="0"/>
              <w:rPr>
                <w:color w:val="auto"/>
              </w:rPr>
            </w:pPr>
            <w:r>
              <w:rPr>
                <w:color w:val="auto"/>
              </w:rPr>
              <w:t>一般工业</w:t>
            </w:r>
          </w:p>
          <w:p w14:paraId="4146D966">
            <w:pPr>
              <w:pStyle w:val="77"/>
              <w:bidi w:val="0"/>
              <w:rPr>
                <w:color w:val="auto"/>
              </w:rPr>
            </w:pPr>
            <w:r>
              <w:rPr>
                <w:color w:val="auto"/>
              </w:rPr>
              <w:t>固体废物</w:t>
            </w:r>
          </w:p>
        </w:tc>
        <w:tc>
          <w:tcPr>
            <w:tcW w:w="2145" w:type="dxa"/>
            <w:noWrap w:val="0"/>
            <w:vAlign w:val="center"/>
          </w:tcPr>
          <w:p w14:paraId="3D587CBB">
            <w:pPr>
              <w:pStyle w:val="77"/>
              <w:bidi w:val="0"/>
              <w:rPr>
                <w:rFonts w:hint="default"/>
                <w:color w:val="auto"/>
                <w:lang w:val="en-US" w:eastAsia="zh-CN"/>
              </w:rPr>
            </w:pPr>
            <w:r>
              <w:rPr>
                <w:rFonts w:hint="eastAsia"/>
                <w:color w:val="auto"/>
                <w:lang w:val="en-US" w:eastAsia="zh-CN"/>
              </w:rPr>
              <w:t>塑料边角料及不合格产品（t/a）</w:t>
            </w:r>
          </w:p>
        </w:tc>
        <w:tc>
          <w:tcPr>
            <w:tcW w:w="1332" w:type="dxa"/>
            <w:noWrap w:val="0"/>
            <w:vAlign w:val="center"/>
          </w:tcPr>
          <w:p w14:paraId="1890CA1C">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3AECA964">
            <w:pPr>
              <w:pStyle w:val="77"/>
              <w:bidi w:val="0"/>
              <w:rPr>
                <w:rFonts w:hint="default"/>
                <w:color w:val="auto"/>
                <w:lang w:val="en-US" w:eastAsia="zh-CN"/>
              </w:rPr>
            </w:pPr>
            <w:r>
              <w:rPr>
                <w:rFonts w:hint="eastAsia"/>
                <w:color w:val="auto"/>
                <w:lang w:val="en-US" w:eastAsia="zh-CN"/>
              </w:rPr>
              <w:t>/</w:t>
            </w:r>
          </w:p>
        </w:tc>
        <w:tc>
          <w:tcPr>
            <w:tcW w:w="1701" w:type="dxa"/>
            <w:noWrap w:val="0"/>
            <w:vAlign w:val="center"/>
          </w:tcPr>
          <w:p w14:paraId="0C7BA6F9">
            <w:pPr>
              <w:pStyle w:val="77"/>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15FBA85D">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5.2</w:t>
            </w:r>
          </w:p>
        </w:tc>
        <w:tc>
          <w:tcPr>
            <w:tcW w:w="1761" w:type="dxa"/>
            <w:noWrap w:val="0"/>
            <w:vAlign w:val="center"/>
          </w:tcPr>
          <w:p w14:paraId="1104E2E9">
            <w:pPr>
              <w:pStyle w:val="77"/>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344E62A7">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5.2</w:t>
            </w:r>
          </w:p>
        </w:tc>
        <w:tc>
          <w:tcPr>
            <w:tcW w:w="1122" w:type="dxa"/>
            <w:shd w:val="clear" w:color="auto" w:fill="auto"/>
            <w:noWrap w:val="0"/>
            <w:vAlign w:val="center"/>
          </w:tcPr>
          <w:p w14:paraId="19AD01EB">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+5.2</w:t>
            </w:r>
          </w:p>
        </w:tc>
      </w:tr>
      <w:tr w14:paraId="4D424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7DCB407A">
            <w:pPr>
              <w:pStyle w:val="77"/>
              <w:bidi w:val="0"/>
              <w:rPr>
                <w:color w:val="auto"/>
              </w:rPr>
            </w:pPr>
          </w:p>
        </w:tc>
        <w:tc>
          <w:tcPr>
            <w:tcW w:w="2145" w:type="dxa"/>
            <w:noWrap w:val="0"/>
            <w:vAlign w:val="center"/>
          </w:tcPr>
          <w:p w14:paraId="0BF48AC1">
            <w:pPr>
              <w:pStyle w:val="77"/>
              <w:bidi w:val="0"/>
              <w:rPr>
                <w:rFonts w:hint="default"/>
                <w:color w:val="auto"/>
                <w:lang w:val="en-US" w:eastAsia="zh-CN"/>
              </w:rPr>
            </w:pPr>
            <w:r>
              <w:rPr>
                <w:rFonts w:hint="eastAsia"/>
                <w:color w:val="auto"/>
                <w:lang w:val="en-US" w:eastAsia="zh-CN"/>
              </w:rPr>
              <w:t>废包装材料（t/a）</w:t>
            </w:r>
          </w:p>
        </w:tc>
        <w:tc>
          <w:tcPr>
            <w:tcW w:w="1332" w:type="dxa"/>
            <w:noWrap w:val="0"/>
            <w:vAlign w:val="center"/>
          </w:tcPr>
          <w:p w14:paraId="0ED781AA">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2F32DB3C">
            <w:pPr>
              <w:pStyle w:val="77"/>
              <w:bidi w:val="0"/>
              <w:rPr>
                <w:rFonts w:hint="default"/>
                <w:color w:val="auto"/>
                <w:lang w:val="en-US" w:eastAsia="zh-CN"/>
              </w:rPr>
            </w:pPr>
            <w:r>
              <w:rPr>
                <w:rFonts w:hint="eastAsia"/>
                <w:color w:val="auto"/>
                <w:lang w:val="en-US" w:eastAsia="zh-CN"/>
              </w:rPr>
              <w:t>/</w:t>
            </w:r>
          </w:p>
        </w:tc>
        <w:tc>
          <w:tcPr>
            <w:tcW w:w="1701" w:type="dxa"/>
            <w:noWrap w:val="0"/>
            <w:vAlign w:val="center"/>
          </w:tcPr>
          <w:p w14:paraId="332D5BD5">
            <w:pPr>
              <w:pStyle w:val="77"/>
              <w:bidi w:val="0"/>
              <w:rPr>
                <w:rFonts w:hint="default"/>
                <w:color w:val="auto"/>
                <w:lang w:val="en-US" w:eastAsia="zh-CN"/>
              </w:rPr>
            </w:pPr>
            <w:r>
              <w:rPr>
                <w:rFonts w:hint="eastAsia"/>
                <w:color w:val="auto"/>
                <w:lang w:val="en-US" w:eastAsia="zh-CN"/>
              </w:rPr>
              <w:t>/</w:t>
            </w:r>
          </w:p>
        </w:tc>
        <w:tc>
          <w:tcPr>
            <w:tcW w:w="1559" w:type="dxa"/>
            <w:shd w:val="clear" w:color="auto" w:fill="auto"/>
            <w:noWrap w:val="0"/>
            <w:vAlign w:val="center"/>
          </w:tcPr>
          <w:p w14:paraId="655868D0">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0.018</w:t>
            </w:r>
          </w:p>
        </w:tc>
        <w:tc>
          <w:tcPr>
            <w:tcW w:w="1761" w:type="dxa"/>
            <w:noWrap w:val="0"/>
            <w:vAlign w:val="center"/>
          </w:tcPr>
          <w:p w14:paraId="05BA9F7E">
            <w:pPr>
              <w:pStyle w:val="77"/>
              <w:bidi w:val="0"/>
              <w:rPr>
                <w:rFonts w:hint="default"/>
                <w:color w:val="auto"/>
                <w:lang w:val="en-US" w:eastAsia="zh-CN"/>
              </w:rPr>
            </w:pPr>
            <w:r>
              <w:rPr>
                <w:rFonts w:hint="eastAsia"/>
                <w:color w:val="auto"/>
                <w:lang w:val="en-US" w:eastAsia="zh-CN"/>
              </w:rPr>
              <w:t>/</w:t>
            </w:r>
          </w:p>
        </w:tc>
        <w:tc>
          <w:tcPr>
            <w:tcW w:w="1959" w:type="dxa"/>
            <w:shd w:val="clear" w:color="auto" w:fill="auto"/>
            <w:noWrap w:val="0"/>
            <w:vAlign w:val="center"/>
          </w:tcPr>
          <w:p w14:paraId="3162F7AD">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0.018</w:t>
            </w:r>
          </w:p>
        </w:tc>
        <w:tc>
          <w:tcPr>
            <w:tcW w:w="1122" w:type="dxa"/>
            <w:shd w:val="clear" w:color="auto" w:fill="auto"/>
            <w:noWrap w:val="0"/>
            <w:vAlign w:val="center"/>
          </w:tcPr>
          <w:p w14:paraId="7EC39E08">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+0.018</w:t>
            </w:r>
          </w:p>
        </w:tc>
      </w:tr>
      <w:tr w14:paraId="65E94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DF68B2A">
            <w:pPr>
              <w:pStyle w:val="77"/>
              <w:bidi w:val="0"/>
              <w:rPr>
                <w:color w:val="auto"/>
              </w:rPr>
            </w:pPr>
          </w:p>
        </w:tc>
        <w:tc>
          <w:tcPr>
            <w:tcW w:w="2145" w:type="dxa"/>
            <w:noWrap w:val="0"/>
            <w:vAlign w:val="center"/>
          </w:tcPr>
          <w:p w14:paraId="61C9250B">
            <w:pPr>
              <w:pStyle w:val="77"/>
              <w:bidi w:val="0"/>
              <w:rPr>
                <w:rFonts w:hint="default"/>
                <w:color w:val="auto"/>
                <w:lang w:val="en-US" w:eastAsia="zh-CN"/>
              </w:rPr>
            </w:pPr>
            <w:r>
              <w:rPr>
                <w:rFonts w:hint="eastAsia"/>
                <w:color w:val="auto"/>
                <w:lang w:val="en-US" w:eastAsia="zh-CN"/>
              </w:rPr>
              <w:t>收集粉尘</w:t>
            </w:r>
          </w:p>
        </w:tc>
        <w:tc>
          <w:tcPr>
            <w:tcW w:w="1332" w:type="dxa"/>
            <w:shd w:val="clear" w:color="auto" w:fill="auto"/>
            <w:noWrap w:val="0"/>
            <w:vAlign w:val="center"/>
          </w:tcPr>
          <w:p w14:paraId="76C98485">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276" w:type="dxa"/>
            <w:shd w:val="clear" w:color="auto" w:fill="auto"/>
            <w:noWrap w:val="0"/>
            <w:vAlign w:val="center"/>
          </w:tcPr>
          <w:p w14:paraId="4E02D031">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701" w:type="dxa"/>
            <w:shd w:val="clear" w:color="auto" w:fill="auto"/>
            <w:noWrap w:val="0"/>
            <w:vAlign w:val="center"/>
          </w:tcPr>
          <w:p w14:paraId="560B5866">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559" w:type="dxa"/>
            <w:shd w:val="clear" w:color="auto" w:fill="auto"/>
            <w:noWrap w:val="0"/>
            <w:vAlign w:val="center"/>
          </w:tcPr>
          <w:p w14:paraId="374629D6">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0.000048</w:t>
            </w:r>
          </w:p>
        </w:tc>
        <w:tc>
          <w:tcPr>
            <w:tcW w:w="1761" w:type="dxa"/>
            <w:shd w:val="clear" w:color="auto" w:fill="auto"/>
            <w:noWrap w:val="0"/>
            <w:vAlign w:val="center"/>
          </w:tcPr>
          <w:p w14:paraId="10B0714A">
            <w:pPr>
              <w:pStyle w:val="77"/>
              <w:bidi w:val="0"/>
              <w:rPr>
                <w:rFonts w:hint="eastAsia" w:ascii="Times New Roman" w:hAnsi="Times New Roman" w:eastAsia="宋体" w:cs="Times New Roman"/>
                <w:color w:val="auto"/>
                <w:kern w:val="0"/>
                <w:sz w:val="21"/>
                <w:szCs w:val="20"/>
                <w:lang w:val="en-US" w:eastAsia="zh-CN" w:bidi="ar-SA"/>
              </w:rPr>
            </w:pPr>
            <w:r>
              <w:rPr>
                <w:rFonts w:hint="eastAsia"/>
                <w:color w:val="auto"/>
                <w:lang w:val="en-US" w:eastAsia="zh-CN"/>
              </w:rPr>
              <w:t>/</w:t>
            </w:r>
          </w:p>
        </w:tc>
        <w:tc>
          <w:tcPr>
            <w:tcW w:w="1959" w:type="dxa"/>
            <w:shd w:val="clear" w:color="auto" w:fill="auto"/>
            <w:noWrap w:val="0"/>
            <w:vAlign w:val="center"/>
          </w:tcPr>
          <w:p w14:paraId="3400C546">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0.000048</w:t>
            </w:r>
          </w:p>
        </w:tc>
        <w:tc>
          <w:tcPr>
            <w:tcW w:w="1122" w:type="dxa"/>
            <w:shd w:val="clear" w:color="auto" w:fill="auto"/>
            <w:noWrap w:val="0"/>
            <w:vAlign w:val="center"/>
          </w:tcPr>
          <w:p w14:paraId="13F0F646">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+0.000048</w:t>
            </w:r>
          </w:p>
        </w:tc>
      </w:tr>
      <w:tr w14:paraId="73450C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restart"/>
            <w:noWrap w:val="0"/>
            <w:vAlign w:val="center"/>
          </w:tcPr>
          <w:p w14:paraId="5DE319EA">
            <w:pPr>
              <w:pStyle w:val="77"/>
              <w:bidi w:val="0"/>
              <w:rPr>
                <w:color w:val="auto"/>
              </w:rPr>
            </w:pPr>
            <w:r>
              <w:rPr>
                <w:color w:val="auto"/>
              </w:rPr>
              <w:t>危险废物</w:t>
            </w:r>
          </w:p>
        </w:tc>
        <w:tc>
          <w:tcPr>
            <w:tcW w:w="2145" w:type="dxa"/>
            <w:noWrap w:val="0"/>
            <w:vAlign w:val="center"/>
          </w:tcPr>
          <w:p w14:paraId="22EB6F7B">
            <w:pPr>
              <w:pStyle w:val="77"/>
              <w:bidi w:val="0"/>
              <w:rPr>
                <w:color w:val="auto"/>
                <w:lang w:val="en-US" w:eastAsia="zh-CN"/>
              </w:rPr>
            </w:pPr>
            <w:r>
              <w:rPr>
                <w:rFonts w:hint="eastAsia"/>
                <w:color w:val="auto"/>
                <w:lang w:val="en-US" w:eastAsia="zh-CN"/>
              </w:rPr>
              <w:t>废活性炭（t/a）</w:t>
            </w:r>
          </w:p>
        </w:tc>
        <w:tc>
          <w:tcPr>
            <w:tcW w:w="1332" w:type="dxa"/>
            <w:noWrap w:val="0"/>
            <w:vAlign w:val="center"/>
          </w:tcPr>
          <w:p w14:paraId="701C19CF">
            <w:pPr>
              <w:pStyle w:val="77"/>
              <w:bidi w:val="0"/>
              <w:rPr>
                <w:rFonts w:hint="eastAsia"/>
                <w:color w:val="auto"/>
                <w:lang w:eastAsia="zh-CN"/>
              </w:rPr>
            </w:pPr>
            <w:r>
              <w:rPr>
                <w:rFonts w:hint="eastAsia"/>
                <w:color w:val="auto"/>
                <w:lang w:val="en-US" w:eastAsia="zh-CN"/>
              </w:rPr>
              <w:t>/</w:t>
            </w:r>
          </w:p>
        </w:tc>
        <w:tc>
          <w:tcPr>
            <w:tcW w:w="1276" w:type="dxa"/>
            <w:noWrap w:val="0"/>
            <w:vAlign w:val="center"/>
          </w:tcPr>
          <w:p w14:paraId="14AB3B43">
            <w:pPr>
              <w:pStyle w:val="77"/>
              <w:bidi w:val="0"/>
              <w:rPr>
                <w:color w:val="auto"/>
              </w:rPr>
            </w:pPr>
            <w:r>
              <w:rPr>
                <w:rFonts w:hint="eastAsia"/>
                <w:color w:val="auto"/>
                <w:lang w:val="en-US" w:eastAsia="zh-CN"/>
              </w:rPr>
              <w:t>/</w:t>
            </w:r>
          </w:p>
        </w:tc>
        <w:tc>
          <w:tcPr>
            <w:tcW w:w="1701" w:type="dxa"/>
            <w:noWrap w:val="0"/>
            <w:vAlign w:val="center"/>
          </w:tcPr>
          <w:p w14:paraId="4E4F8D4D">
            <w:pPr>
              <w:pStyle w:val="77"/>
              <w:bidi w:val="0"/>
              <w:rPr>
                <w:rFonts w:hint="eastAsia"/>
                <w:color w:val="auto"/>
                <w:lang w:eastAsia="zh-CN"/>
              </w:rPr>
            </w:pPr>
            <w:r>
              <w:rPr>
                <w:rFonts w:hint="eastAsia"/>
                <w:color w:val="auto"/>
                <w:lang w:val="en-US" w:eastAsia="zh-CN"/>
              </w:rPr>
              <w:t>/</w:t>
            </w:r>
          </w:p>
        </w:tc>
        <w:tc>
          <w:tcPr>
            <w:tcW w:w="1559" w:type="dxa"/>
            <w:shd w:val="clear" w:color="auto" w:fill="auto"/>
            <w:noWrap w:val="0"/>
            <w:vAlign w:val="center"/>
          </w:tcPr>
          <w:p w14:paraId="4F579546">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0.2962</w:t>
            </w:r>
          </w:p>
        </w:tc>
        <w:tc>
          <w:tcPr>
            <w:tcW w:w="1761" w:type="dxa"/>
            <w:noWrap w:val="0"/>
            <w:vAlign w:val="center"/>
          </w:tcPr>
          <w:p w14:paraId="7D0DB365">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6E00E9E0">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0.2962</w:t>
            </w:r>
          </w:p>
        </w:tc>
        <w:tc>
          <w:tcPr>
            <w:tcW w:w="1122" w:type="dxa"/>
            <w:shd w:val="clear" w:color="auto" w:fill="auto"/>
            <w:noWrap w:val="0"/>
            <w:vAlign w:val="center"/>
          </w:tcPr>
          <w:p w14:paraId="01D6F24A">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+0.2962</w:t>
            </w:r>
          </w:p>
        </w:tc>
      </w:tr>
      <w:tr w14:paraId="3221D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8C021F0">
            <w:pPr>
              <w:pStyle w:val="77"/>
              <w:bidi w:val="0"/>
              <w:rPr>
                <w:color w:val="auto"/>
              </w:rPr>
            </w:pPr>
          </w:p>
        </w:tc>
        <w:tc>
          <w:tcPr>
            <w:tcW w:w="2145" w:type="dxa"/>
            <w:noWrap w:val="0"/>
            <w:vAlign w:val="center"/>
          </w:tcPr>
          <w:p w14:paraId="08C996F0">
            <w:pPr>
              <w:pStyle w:val="54"/>
              <w:bidi w:val="0"/>
              <w:rPr>
                <w:rFonts w:hint="eastAsia"/>
                <w:color w:val="auto"/>
                <w:lang w:val="en-US" w:eastAsia="zh-CN"/>
              </w:rPr>
            </w:pPr>
            <w:r>
              <w:rPr>
                <w:rFonts w:hint="eastAsia"/>
                <w:color w:val="auto"/>
                <w:lang w:val="en-US" w:eastAsia="zh-CN"/>
              </w:rPr>
              <w:t>废机油（t/a）</w:t>
            </w:r>
          </w:p>
        </w:tc>
        <w:tc>
          <w:tcPr>
            <w:tcW w:w="1332" w:type="dxa"/>
            <w:noWrap w:val="0"/>
            <w:vAlign w:val="center"/>
          </w:tcPr>
          <w:p w14:paraId="7B198C5A">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6BAD7C13">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613EA760">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79AEA46C">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761" w:type="dxa"/>
            <w:noWrap w:val="0"/>
            <w:vAlign w:val="center"/>
          </w:tcPr>
          <w:p w14:paraId="19D0F543">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4D5726CF">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c>
          <w:tcPr>
            <w:tcW w:w="1122" w:type="dxa"/>
            <w:shd w:val="clear" w:color="auto" w:fill="auto"/>
            <w:noWrap w:val="0"/>
            <w:vAlign w:val="center"/>
          </w:tcPr>
          <w:p w14:paraId="39D2CF15">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+0.12</w:t>
            </w:r>
          </w:p>
        </w:tc>
      </w:tr>
      <w:tr w14:paraId="191FD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28A1AA50">
            <w:pPr>
              <w:pStyle w:val="77"/>
              <w:bidi w:val="0"/>
              <w:rPr>
                <w:color w:val="auto"/>
              </w:rPr>
            </w:pPr>
          </w:p>
        </w:tc>
        <w:tc>
          <w:tcPr>
            <w:tcW w:w="2145" w:type="dxa"/>
            <w:noWrap w:val="0"/>
            <w:vAlign w:val="center"/>
          </w:tcPr>
          <w:p w14:paraId="5B1DEEB7">
            <w:pPr>
              <w:pStyle w:val="54"/>
              <w:bidi w:val="0"/>
              <w:rPr>
                <w:rFonts w:hint="default"/>
                <w:color w:val="auto"/>
                <w:lang w:val="en-US" w:eastAsia="zh-CN"/>
              </w:rPr>
            </w:pPr>
            <w:r>
              <w:rPr>
                <w:rFonts w:hint="eastAsia"/>
                <w:color w:val="auto"/>
                <w:lang w:val="en-US" w:eastAsia="zh-CN"/>
              </w:rPr>
              <w:t>除油废液</w:t>
            </w:r>
          </w:p>
        </w:tc>
        <w:tc>
          <w:tcPr>
            <w:tcW w:w="1332" w:type="dxa"/>
            <w:noWrap w:val="0"/>
            <w:vAlign w:val="center"/>
          </w:tcPr>
          <w:p w14:paraId="026938AD">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2332F7B5">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27F56A4C">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0458025">
            <w:pPr>
              <w:pStyle w:val="77"/>
              <w:bidi w:val="0"/>
              <w:rPr>
                <w:rFonts w:hint="default"/>
                <w:color w:val="auto"/>
                <w:lang w:val="en-US" w:eastAsia="zh-CN"/>
              </w:rPr>
            </w:pPr>
            <w:r>
              <w:rPr>
                <w:rFonts w:hint="eastAsia"/>
                <w:color w:val="auto"/>
                <w:lang w:val="en-US" w:eastAsia="zh-CN"/>
              </w:rPr>
              <w:t>0.46</w:t>
            </w:r>
          </w:p>
        </w:tc>
        <w:tc>
          <w:tcPr>
            <w:tcW w:w="1761" w:type="dxa"/>
            <w:noWrap w:val="0"/>
            <w:vAlign w:val="center"/>
          </w:tcPr>
          <w:p w14:paraId="1DAC5078">
            <w:pPr>
              <w:pStyle w:val="77"/>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5C0E383B">
            <w:pPr>
              <w:pStyle w:val="77"/>
              <w:bidi w:val="0"/>
              <w:rPr>
                <w:rFonts w:hint="eastAsia"/>
                <w:color w:val="auto"/>
                <w:lang w:val="en-US" w:eastAsia="zh-CN"/>
              </w:rPr>
            </w:pPr>
            <w:r>
              <w:rPr>
                <w:rFonts w:hint="eastAsia"/>
                <w:color w:val="auto"/>
                <w:lang w:val="en-US" w:eastAsia="zh-CN"/>
              </w:rPr>
              <w:t>0.46</w:t>
            </w:r>
          </w:p>
        </w:tc>
        <w:tc>
          <w:tcPr>
            <w:tcW w:w="1122" w:type="dxa"/>
            <w:shd w:val="clear" w:color="auto" w:fill="auto"/>
            <w:noWrap w:val="0"/>
            <w:vAlign w:val="center"/>
          </w:tcPr>
          <w:p w14:paraId="0E2269D9">
            <w:pPr>
              <w:pStyle w:val="77"/>
              <w:bidi w:val="0"/>
              <w:rPr>
                <w:rFonts w:hint="eastAsia"/>
                <w:color w:val="auto"/>
                <w:lang w:val="en-US" w:eastAsia="zh-CN"/>
              </w:rPr>
            </w:pPr>
            <w:r>
              <w:rPr>
                <w:rFonts w:hint="eastAsia"/>
                <w:color w:val="auto"/>
                <w:lang w:val="en-US" w:eastAsia="zh-CN"/>
              </w:rPr>
              <w:t>+0.46</w:t>
            </w:r>
          </w:p>
        </w:tc>
      </w:tr>
      <w:tr w14:paraId="1F0611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64BB540F">
            <w:pPr>
              <w:pStyle w:val="77"/>
              <w:bidi w:val="0"/>
              <w:rPr>
                <w:color w:val="auto"/>
              </w:rPr>
            </w:pPr>
          </w:p>
        </w:tc>
        <w:tc>
          <w:tcPr>
            <w:tcW w:w="2145" w:type="dxa"/>
            <w:noWrap w:val="0"/>
            <w:vAlign w:val="center"/>
          </w:tcPr>
          <w:p w14:paraId="7A1B651F">
            <w:pPr>
              <w:pStyle w:val="54"/>
              <w:bidi w:val="0"/>
              <w:rPr>
                <w:rFonts w:hint="default"/>
                <w:color w:val="auto"/>
                <w:lang w:val="en-US" w:eastAsia="zh-CN"/>
              </w:rPr>
            </w:pPr>
            <w:r>
              <w:rPr>
                <w:rFonts w:hint="eastAsia"/>
                <w:color w:val="auto"/>
                <w:lang w:val="en-US" w:eastAsia="zh-CN"/>
              </w:rPr>
              <w:t>钝化废液</w:t>
            </w:r>
          </w:p>
        </w:tc>
        <w:tc>
          <w:tcPr>
            <w:tcW w:w="1332" w:type="dxa"/>
            <w:noWrap w:val="0"/>
            <w:vAlign w:val="center"/>
          </w:tcPr>
          <w:p w14:paraId="5BDBB288">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5799E812">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79A2BFF7">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65A73534">
            <w:pPr>
              <w:pStyle w:val="77"/>
              <w:bidi w:val="0"/>
              <w:rPr>
                <w:rFonts w:hint="default"/>
                <w:color w:val="auto"/>
                <w:lang w:val="en-US" w:eastAsia="zh-CN"/>
              </w:rPr>
            </w:pPr>
            <w:r>
              <w:rPr>
                <w:rFonts w:hint="eastAsia"/>
                <w:color w:val="auto"/>
                <w:lang w:val="en-US" w:eastAsia="zh-CN"/>
              </w:rPr>
              <w:t>0.46</w:t>
            </w:r>
          </w:p>
        </w:tc>
        <w:tc>
          <w:tcPr>
            <w:tcW w:w="1761" w:type="dxa"/>
            <w:noWrap w:val="0"/>
            <w:vAlign w:val="center"/>
          </w:tcPr>
          <w:p w14:paraId="44694901">
            <w:pPr>
              <w:pStyle w:val="77"/>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4D90D8A3">
            <w:pPr>
              <w:pStyle w:val="77"/>
              <w:bidi w:val="0"/>
              <w:rPr>
                <w:rFonts w:hint="eastAsia"/>
                <w:color w:val="auto"/>
                <w:lang w:val="en-US" w:eastAsia="zh-CN"/>
              </w:rPr>
            </w:pPr>
            <w:r>
              <w:rPr>
                <w:rFonts w:hint="eastAsia"/>
                <w:color w:val="auto"/>
                <w:lang w:val="en-US" w:eastAsia="zh-CN"/>
              </w:rPr>
              <w:t>0.46</w:t>
            </w:r>
          </w:p>
        </w:tc>
        <w:tc>
          <w:tcPr>
            <w:tcW w:w="1122" w:type="dxa"/>
            <w:shd w:val="clear" w:color="auto" w:fill="auto"/>
            <w:noWrap w:val="0"/>
            <w:vAlign w:val="center"/>
          </w:tcPr>
          <w:p w14:paraId="3F2A6925">
            <w:pPr>
              <w:pStyle w:val="77"/>
              <w:bidi w:val="0"/>
              <w:rPr>
                <w:rFonts w:hint="eastAsia"/>
                <w:color w:val="auto"/>
                <w:lang w:val="en-US" w:eastAsia="zh-CN"/>
              </w:rPr>
            </w:pPr>
            <w:r>
              <w:rPr>
                <w:rFonts w:hint="eastAsia"/>
                <w:color w:val="auto"/>
                <w:lang w:val="en-US" w:eastAsia="zh-CN"/>
              </w:rPr>
              <w:t>+0.46</w:t>
            </w:r>
          </w:p>
        </w:tc>
      </w:tr>
      <w:tr w14:paraId="387AB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1030EC28">
            <w:pPr>
              <w:pStyle w:val="77"/>
              <w:bidi w:val="0"/>
              <w:rPr>
                <w:color w:val="auto"/>
              </w:rPr>
            </w:pPr>
          </w:p>
        </w:tc>
        <w:tc>
          <w:tcPr>
            <w:tcW w:w="2145" w:type="dxa"/>
            <w:noWrap w:val="0"/>
            <w:vAlign w:val="center"/>
          </w:tcPr>
          <w:p w14:paraId="77F65195">
            <w:pPr>
              <w:pStyle w:val="54"/>
              <w:bidi w:val="0"/>
              <w:rPr>
                <w:rFonts w:hint="default"/>
                <w:color w:val="auto"/>
                <w:lang w:val="en-US" w:eastAsia="zh-CN"/>
              </w:rPr>
            </w:pPr>
            <w:r>
              <w:rPr>
                <w:rFonts w:hint="eastAsia"/>
                <w:color w:val="auto"/>
                <w:lang w:val="en-US" w:eastAsia="zh-CN"/>
              </w:rPr>
              <w:t>废水处理污泥</w:t>
            </w:r>
          </w:p>
        </w:tc>
        <w:tc>
          <w:tcPr>
            <w:tcW w:w="1332" w:type="dxa"/>
            <w:noWrap w:val="0"/>
            <w:vAlign w:val="center"/>
          </w:tcPr>
          <w:p w14:paraId="019B7CA0">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3039C756">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343629BA">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35552A5">
            <w:pPr>
              <w:pStyle w:val="77"/>
              <w:bidi w:val="0"/>
              <w:rPr>
                <w:rFonts w:hint="default"/>
                <w:color w:val="auto"/>
                <w:lang w:val="en-US" w:eastAsia="zh-CN"/>
              </w:rPr>
            </w:pPr>
            <w:r>
              <w:rPr>
                <w:rFonts w:hint="eastAsia"/>
                <w:color w:val="auto"/>
                <w:lang w:val="en-US" w:eastAsia="zh-CN"/>
              </w:rPr>
              <w:t>0.236</w:t>
            </w:r>
          </w:p>
        </w:tc>
        <w:tc>
          <w:tcPr>
            <w:tcW w:w="1761" w:type="dxa"/>
            <w:noWrap w:val="0"/>
            <w:vAlign w:val="center"/>
          </w:tcPr>
          <w:p w14:paraId="5ED4B9FC">
            <w:pPr>
              <w:pStyle w:val="77"/>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2C5D8F69">
            <w:pPr>
              <w:pStyle w:val="77"/>
              <w:bidi w:val="0"/>
              <w:rPr>
                <w:rFonts w:hint="eastAsia"/>
                <w:color w:val="auto"/>
                <w:lang w:val="en-US" w:eastAsia="zh-CN"/>
              </w:rPr>
            </w:pPr>
            <w:r>
              <w:rPr>
                <w:rFonts w:hint="eastAsia"/>
                <w:color w:val="auto"/>
                <w:lang w:val="en-US" w:eastAsia="zh-CN"/>
              </w:rPr>
              <w:t>0.236</w:t>
            </w:r>
          </w:p>
        </w:tc>
        <w:tc>
          <w:tcPr>
            <w:tcW w:w="1122" w:type="dxa"/>
            <w:shd w:val="clear" w:color="auto" w:fill="auto"/>
            <w:noWrap w:val="0"/>
            <w:vAlign w:val="center"/>
          </w:tcPr>
          <w:p w14:paraId="39C1D3B4">
            <w:pPr>
              <w:pStyle w:val="77"/>
              <w:bidi w:val="0"/>
              <w:rPr>
                <w:rFonts w:hint="eastAsia"/>
                <w:color w:val="auto"/>
                <w:lang w:val="en-US" w:eastAsia="zh-CN"/>
              </w:rPr>
            </w:pPr>
            <w:r>
              <w:rPr>
                <w:rFonts w:hint="eastAsia"/>
                <w:color w:val="auto"/>
                <w:lang w:val="en-US" w:eastAsia="zh-CN"/>
              </w:rPr>
              <w:t>+0.236</w:t>
            </w:r>
          </w:p>
        </w:tc>
      </w:tr>
      <w:tr w14:paraId="79B41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3066AB17">
            <w:pPr>
              <w:pStyle w:val="77"/>
              <w:bidi w:val="0"/>
              <w:rPr>
                <w:color w:val="auto"/>
              </w:rPr>
            </w:pPr>
          </w:p>
        </w:tc>
        <w:tc>
          <w:tcPr>
            <w:tcW w:w="2145" w:type="dxa"/>
            <w:noWrap w:val="0"/>
            <w:vAlign w:val="center"/>
          </w:tcPr>
          <w:p w14:paraId="384B9B26">
            <w:pPr>
              <w:pStyle w:val="54"/>
              <w:bidi w:val="0"/>
              <w:rPr>
                <w:rFonts w:hint="default"/>
                <w:color w:val="auto"/>
                <w:lang w:val="en-US" w:eastAsia="zh-CN"/>
              </w:rPr>
            </w:pPr>
            <w:r>
              <w:rPr>
                <w:rFonts w:hint="eastAsia"/>
                <w:color w:val="auto"/>
                <w:lang w:val="en-US" w:eastAsia="zh-CN"/>
              </w:rPr>
              <w:t>槽渣</w:t>
            </w:r>
          </w:p>
        </w:tc>
        <w:tc>
          <w:tcPr>
            <w:tcW w:w="1332" w:type="dxa"/>
            <w:noWrap w:val="0"/>
            <w:vAlign w:val="center"/>
          </w:tcPr>
          <w:p w14:paraId="030FB1AB">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107499A8">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0F18DE04">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07B4D5FD">
            <w:pPr>
              <w:pStyle w:val="77"/>
              <w:bidi w:val="0"/>
              <w:rPr>
                <w:rFonts w:hint="default"/>
                <w:color w:val="auto"/>
                <w:lang w:val="en-US" w:eastAsia="zh-CN"/>
              </w:rPr>
            </w:pPr>
            <w:r>
              <w:rPr>
                <w:rFonts w:hint="eastAsia"/>
                <w:color w:val="auto"/>
                <w:lang w:val="en-US" w:eastAsia="zh-CN"/>
              </w:rPr>
              <w:t>1.6</w:t>
            </w:r>
          </w:p>
        </w:tc>
        <w:tc>
          <w:tcPr>
            <w:tcW w:w="1761" w:type="dxa"/>
            <w:noWrap w:val="0"/>
            <w:vAlign w:val="center"/>
          </w:tcPr>
          <w:p w14:paraId="0E5FA5A6">
            <w:pPr>
              <w:pStyle w:val="77"/>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56B9C97F">
            <w:pPr>
              <w:pStyle w:val="77"/>
              <w:bidi w:val="0"/>
              <w:rPr>
                <w:rFonts w:hint="eastAsia"/>
                <w:color w:val="auto"/>
                <w:lang w:val="en-US" w:eastAsia="zh-CN"/>
              </w:rPr>
            </w:pPr>
            <w:r>
              <w:rPr>
                <w:rFonts w:hint="eastAsia"/>
                <w:color w:val="auto"/>
                <w:lang w:val="en-US" w:eastAsia="zh-CN"/>
              </w:rPr>
              <w:t>1.6</w:t>
            </w:r>
          </w:p>
        </w:tc>
        <w:tc>
          <w:tcPr>
            <w:tcW w:w="1122" w:type="dxa"/>
            <w:shd w:val="clear" w:color="auto" w:fill="auto"/>
            <w:noWrap w:val="0"/>
            <w:vAlign w:val="center"/>
          </w:tcPr>
          <w:p w14:paraId="0D8ABE7F">
            <w:pPr>
              <w:pStyle w:val="77"/>
              <w:bidi w:val="0"/>
              <w:rPr>
                <w:rFonts w:hint="eastAsia"/>
                <w:color w:val="auto"/>
                <w:lang w:val="en-US" w:eastAsia="zh-CN"/>
              </w:rPr>
            </w:pPr>
            <w:r>
              <w:rPr>
                <w:rFonts w:hint="eastAsia"/>
                <w:color w:val="auto"/>
                <w:lang w:val="en-US" w:eastAsia="zh-CN"/>
              </w:rPr>
              <w:t>+1.6</w:t>
            </w:r>
          </w:p>
        </w:tc>
      </w:tr>
      <w:tr w14:paraId="5F764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vMerge w:val="continue"/>
            <w:noWrap w:val="0"/>
            <w:vAlign w:val="center"/>
          </w:tcPr>
          <w:p w14:paraId="5B18A456">
            <w:pPr>
              <w:pStyle w:val="77"/>
              <w:bidi w:val="0"/>
              <w:rPr>
                <w:color w:val="auto"/>
              </w:rPr>
            </w:pPr>
          </w:p>
        </w:tc>
        <w:tc>
          <w:tcPr>
            <w:tcW w:w="2145" w:type="dxa"/>
            <w:noWrap w:val="0"/>
            <w:vAlign w:val="center"/>
          </w:tcPr>
          <w:p w14:paraId="7DD424E0">
            <w:pPr>
              <w:pStyle w:val="54"/>
              <w:bidi w:val="0"/>
              <w:rPr>
                <w:rFonts w:hint="default"/>
                <w:color w:val="auto"/>
                <w:lang w:val="en-US" w:eastAsia="zh-CN"/>
              </w:rPr>
            </w:pPr>
            <w:r>
              <w:rPr>
                <w:rFonts w:hint="eastAsia"/>
                <w:color w:val="auto"/>
                <w:lang w:val="en-US" w:eastAsia="zh-CN"/>
              </w:rPr>
              <w:t>废滤筒滤芯</w:t>
            </w:r>
          </w:p>
        </w:tc>
        <w:tc>
          <w:tcPr>
            <w:tcW w:w="1332" w:type="dxa"/>
            <w:noWrap w:val="0"/>
            <w:vAlign w:val="center"/>
          </w:tcPr>
          <w:p w14:paraId="1160995F">
            <w:pPr>
              <w:pStyle w:val="77"/>
              <w:bidi w:val="0"/>
              <w:rPr>
                <w:rFonts w:hint="eastAsia"/>
                <w:color w:val="auto"/>
                <w:lang w:val="en-US" w:eastAsia="zh-CN"/>
              </w:rPr>
            </w:pPr>
            <w:r>
              <w:rPr>
                <w:rFonts w:hint="eastAsia"/>
                <w:color w:val="auto"/>
                <w:lang w:val="en-US" w:eastAsia="zh-CN"/>
              </w:rPr>
              <w:t>/</w:t>
            </w:r>
          </w:p>
        </w:tc>
        <w:tc>
          <w:tcPr>
            <w:tcW w:w="1276" w:type="dxa"/>
            <w:noWrap w:val="0"/>
            <w:vAlign w:val="center"/>
          </w:tcPr>
          <w:p w14:paraId="3DDC9D75">
            <w:pPr>
              <w:pStyle w:val="77"/>
              <w:bidi w:val="0"/>
              <w:rPr>
                <w:rFonts w:hint="eastAsia"/>
                <w:color w:val="auto"/>
                <w:lang w:val="en-US" w:eastAsia="zh-CN"/>
              </w:rPr>
            </w:pPr>
            <w:r>
              <w:rPr>
                <w:rFonts w:hint="eastAsia"/>
                <w:color w:val="auto"/>
                <w:lang w:val="en-US" w:eastAsia="zh-CN"/>
              </w:rPr>
              <w:t>/</w:t>
            </w:r>
          </w:p>
        </w:tc>
        <w:tc>
          <w:tcPr>
            <w:tcW w:w="1701" w:type="dxa"/>
            <w:noWrap w:val="0"/>
            <w:vAlign w:val="center"/>
          </w:tcPr>
          <w:p w14:paraId="23F00CB4">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2B389A8E">
            <w:pPr>
              <w:pStyle w:val="77"/>
              <w:bidi w:val="0"/>
              <w:rPr>
                <w:rFonts w:hint="default"/>
                <w:color w:val="auto"/>
                <w:lang w:val="en-US" w:eastAsia="zh-CN"/>
              </w:rPr>
            </w:pPr>
            <w:r>
              <w:rPr>
                <w:rFonts w:hint="eastAsia"/>
                <w:color w:val="auto"/>
                <w:lang w:val="en-US" w:eastAsia="zh-CN"/>
              </w:rPr>
              <w:t>2.01</w:t>
            </w:r>
          </w:p>
        </w:tc>
        <w:tc>
          <w:tcPr>
            <w:tcW w:w="1761" w:type="dxa"/>
            <w:noWrap w:val="0"/>
            <w:vAlign w:val="center"/>
          </w:tcPr>
          <w:p w14:paraId="37D3B8A7">
            <w:pPr>
              <w:pStyle w:val="77"/>
              <w:bidi w:val="0"/>
              <w:rPr>
                <w:rFonts w:hint="eastAsia"/>
                <w:color w:val="auto"/>
                <w:lang w:val="en-US" w:eastAsia="zh-CN"/>
              </w:rPr>
            </w:pPr>
            <w:r>
              <w:rPr>
                <w:rFonts w:hint="eastAsia"/>
                <w:color w:val="auto"/>
                <w:lang w:val="en-US" w:eastAsia="zh-CN"/>
              </w:rPr>
              <w:t>/</w:t>
            </w:r>
          </w:p>
        </w:tc>
        <w:tc>
          <w:tcPr>
            <w:tcW w:w="1959" w:type="dxa"/>
            <w:shd w:val="clear" w:color="auto" w:fill="auto"/>
            <w:noWrap w:val="0"/>
            <w:vAlign w:val="center"/>
          </w:tcPr>
          <w:p w14:paraId="774213CE">
            <w:pPr>
              <w:pStyle w:val="77"/>
              <w:bidi w:val="0"/>
              <w:rPr>
                <w:rFonts w:hint="eastAsia"/>
                <w:color w:val="auto"/>
                <w:lang w:val="en-US" w:eastAsia="zh-CN"/>
              </w:rPr>
            </w:pPr>
            <w:r>
              <w:rPr>
                <w:rFonts w:hint="eastAsia"/>
                <w:color w:val="auto"/>
                <w:lang w:val="en-US" w:eastAsia="zh-CN"/>
              </w:rPr>
              <w:t>2.01</w:t>
            </w:r>
          </w:p>
        </w:tc>
        <w:tc>
          <w:tcPr>
            <w:tcW w:w="1122" w:type="dxa"/>
            <w:shd w:val="clear" w:color="auto" w:fill="auto"/>
            <w:noWrap w:val="0"/>
            <w:vAlign w:val="center"/>
          </w:tcPr>
          <w:p w14:paraId="379460E8">
            <w:pPr>
              <w:pStyle w:val="77"/>
              <w:bidi w:val="0"/>
              <w:rPr>
                <w:rFonts w:hint="eastAsia"/>
                <w:color w:val="auto"/>
                <w:lang w:val="en-US" w:eastAsia="zh-CN"/>
              </w:rPr>
            </w:pPr>
            <w:r>
              <w:rPr>
                <w:rFonts w:hint="eastAsia"/>
                <w:color w:val="auto"/>
                <w:lang w:val="en-US" w:eastAsia="zh-CN"/>
              </w:rPr>
              <w:t>+2.01</w:t>
            </w:r>
          </w:p>
        </w:tc>
      </w:tr>
      <w:tr w14:paraId="0876D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229" w:type="dxa"/>
            <w:noWrap w:val="0"/>
            <w:vAlign w:val="center"/>
          </w:tcPr>
          <w:p w14:paraId="60037590">
            <w:pPr>
              <w:pStyle w:val="77"/>
              <w:bidi w:val="0"/>
              <w:rPr>
                <w:rFonts w:hint="eastAsia"/>
                <w:color w:val="auto"/>
                <w:lang w:val="en-US" w:eastAsia="zh-CN"/>
              </w:rPr>
            </w:pPr>
            <w:r>
              <w:rPr>
                <w:rFonts w:hint="eastAsia"/>
                <w:color w:val="auto"/>
                <w:lang w:val="en-US" w:eastAsia="zh-CN"/>
              </w:rPr>
              <w:t>生活垃圾</w:t>
            </w:r>
          </w:p>
        </w:tc>
        <w:tc>
          <w:tcPr>
            <w:tcW w:w="2145" w:type="dxa"/>
            <w:noWrap w:val="0"/>
            <w:vAlign w:val="center"/>
          </w:tcPr>
          <w:p w14:paraId="38B8BB9D">
            <w:pPr>
              <w:pStyle w:val="77"/>
              <w:bidi w:val="0"/>
              <w:rPr>
                <w:rFonts w:hint="eastAsia"/>
                <w:color w:val="auto"/>
                <w:lang w:val="en-US" w:eastAsia="zh-CN"/>
              </w:rPr>
            </w:pPr>
            <w:r>
              <w:rPr>
                <w:rFonts w:hint="eastAsia"/>
                <w:color w:val="auto"/>
                <w:lang w:val="en-US" w:eastAsia="zh-CN"/>
              </w:rPr>
              <w:t>生活垃圾</w:t>
            </w:r>
          </w:p>
        </w:tc>
        <w:tc>
          <w:tcPr>
            <w:tcW w:w="1332" w:type="dxa"/>
            <w:noWrap w:val="0"/>
            <w:vAlign w:val="center"/>
          </w:tcPr>
          <w:p w14:paraId="72B402E3">
            <w:pPr>
              <w:pStyle w:val="77"/>
              <w:bidi w:val="0"/>
              <w:rPr>
                <w:rFonts w:hint="default"/>
                <w:color w:val="auto"/>
                <w:lang w:val="en-US" w:eastAsia="zh-CN"/>
              </w:rPr>
            </w:pPr>
            <w:r>
              <w:rPr>
                <w:rFonts w:hint="eastAsia"/>
                <w:color w:val="auto"/>
                <w:lang w:val="en-US" w:eastAsia="zh-CN"/>
              </w:rPr>
              <w:t>/</w:t>
            </w:r>
          </w:p>
        </w:tc>
        <w:tc>
          <w:tcPr>
            <w:tcW w:w="1276" w:type="dxa"/>
            <w:noWrap w:val="0"/>
            <w:vAlign w:val="center"/>
          </w:tcPr>
          <w:p w14:paraId="3027CEEB">
            <w:pPr>
              <w:pStyle w:val="77"/>
              <w:bidi w:val="0"/>
              <w:rPr>
                <w:rFonts w:hint="eastAsia"/>
                <w:color w:val="auto"/>
              </w:rPr>
            </w:pPr>
            <w:r>
              <w:rPr>
                <w:rFonts w:hint="eastAsia"/>
                <w:color w:val="auto"/>
                <w:lang w:val="en-US" w:eastAsia="zh-CN"/>
              </w:rPr>
              <w:t>/</w:t>
            </w:r>
          </w:p>
        </w:tc>
        <w:tc>
          <w:tcPr>
            <w:tcW w:w="1701" w:type="dxa"/>
            <w:noWrap w:val="0"/>
            <w:vAlign w:val="center"/>
          </w:tcPr>
          <w:p w14:paraId="243BBAC8">
            <w:pPr>
              <w:pStyle w:val="77"/>
              <w:bidi w:val="0"/>
              <w:rPr>
                <w:rFonts w:hint="eastAsia"/>
                <w:color w:val="auto"/>
                <w:lang w:val="en-US" w:eastAsia="zh-CN"/>
              </w:rPr>
            </w:pPr>
            <w:r>
              <w:rPr>
                <w:rFonts w:hint="eastAsia"/>
                <w:color w:val="auto"/>
                <w:lang w:val="en-US" w:eastAsia="zh-CN"/>
              </w:rPr>
              <w:t>/</w:t>
            </w:r>
          </w:p>
        </w:tc>
        <w:tc>
          <w:tcPr>
            <w:tcW w:w="1559" w:type="dxa"/>
            <w:shd w:val="clear" w:color="auto" w:fill="auto"/>
            <w:noWrap w:val="0"/>
            <w:vAlign w:val="center"/>
          </w:tcPr>
          <w:p w14:paraId="5052D42B">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10.5</w:t>
            </w:r>
          </w:p>
        </w:tc>
        <w:tc>
          <w:tcPr>
            <w:tcW w:w="1761" w:type="dxa"/>
            <w:noWrap w:val="0"/>
            <w:vAlign w:val="center"/>
          </w:tcPr>
          <w:p w14:paraId="104D1B3D">
            <w:pPr>
              <w:pStyle w:val="77"/>
              <w:bidi w:val="0"/>
              <w:rPr>
                <w:rFonts w:hint="eastAsia"/>
                <w:color w:val="auto"/>
              </w:rPr>
            </w:pPr>
            <w:r>
              <w:rPr>
                <w:rFonts w:hint="eastAsia"/>
                <w:color w:val="auto"/>
                <w:lang w:val="en-US" w:eastAsia="zh-CN"/>
              </w:rPr>
              <w:t>/</w:t>
            </w:r>
          </w:p>
        </w:tc>
        <w:tc>
          <w:tcPr>
            <w:tcW w:w="1959" w:type="dxa"/>
            <w:shd w:val="clear" w:color="auto" w:fill="auto"/>
            <w:noWrap w:val="0"/>
            <w:vAlign w:val="center"/>
          </w:tcPr>
          <w:p w14:paraId="0CCE8DAD">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10.5</w:t>
            </w:r>
          </w:p>
        </w:tc>
        <w:tc>
          <w:tcPr>
            <w:tcW w:w="1122" w:type="dxa"/>
            <w:shd w:val="clear" w:color="auto" w:fill="auto"/>
            <w:noWrap w:val="0"/>
            <w:vAlign w:val="center"/>
          </w:tcPr>
          <w:p w14:paraId="6046A677">
            <w:pPr>
              <w:pStyle w:val="77"/>
              <w:bidi w:val="0"/>
              <w:rPr>
                <w:rFonts w:hint="default" w:ascii="Times New Roman" w:hAnsi="Times New Roman" w:eastAsia="宋体" w:cs="Times New Roman"/>
                <w:color w:val="auto"/>
                <w:kern w:val="0"/>
                <w:sz w:val="21"/>
                <w:szCs w:val="20"/>
                <w:lang w:val="en-US" w:eastAsia="zh-CN" w:bidi="ar-SA"/>
              </w:rPr>
            </w:pPr>
            <w:r>
              <w:rPr>
                <w:rFonts w:hint="eastAsia"/>
                <w:color w:val="auto"/>
                <w:lang w:val="en-US" w:eastAsia="zh-CN"/>
              </w:rPr>
              <w:t>+10.5</w:t>
            </w:r>
          </w:p>
        </w:tc>
      </w:tr>
    </w:tbl>
    <w:p w14:paraId="41AFEF5A">
      <w:pPr>
        <w:pStyle w:val="12"/>
        <w:bidi w:val="0"/>
        <w:rPr>
          <w:color w:val="auto"/>
        </w:rPr>
        <w:sectPr>
          <w:footerReference r:id="rId5" w:type="default"/>
          <w:pgSz w:w="16838" w:h="11906" w:orient="landscape"/>
          <w:pgMar w:top="1417" w:right="1417" w:bottom="1417"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t>注：</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w:t>
      </w:r>
      <w:r>
        <w:rPr>
          <w:color w:val="auto"/>
        </w:rPr>
        <w:fldChar w:fldCharType="begin"/>
      </w:r>
      <w:r>
        <w:rPr>
          <w:color w:val="auto"/>
        </w:rPr>
        <w:instrText xml:space="preserve"> = 7 \* GB3 \* MERGEFORMAT </w:instrText>
      </w:r>
      <w:r>
        <w:rPr>
          <w:color w:val="auto"/>
        </w:rPr>
        <w:fldChar w:fldCharType="separate"/>
      </w:r>
      <w:r>
        <w:rPr>
          <w:color w:val="auto"/>
        </w:rPr>
        <w:t>⑦</w:t>
      </w:r>
      <w:r>
        <w:rPr>
          <w:color w:val="auto"/>
        </w:rPr>
        <w:fldChar w:fldCharType="end"/>
      </w:r>
      <w:r>
        <w:rPr>
          <w:color w:val="auto"/>
        </w:rPr>
        <w:t>=</w:t>
      </w:r>
      <w:r>
        <w:rPr>
          <w:color w:val="auto"/>
        </w:rPr>
        <w:fldChar w:fldCharType="begin"/>
      </w:r>
      <w:r>
        <w:rPr>
          <w:color w:val="auto"/>
        </w:rPr>
        <w:instrText xml:space="preserve"> = 6 \* GB3 \* MERGEFORMAT </w:instrText>
      </w:r>
      <w:r>
        <w:rPr>
          <w:color w:val="auto"/>
        </w:rPr>
        <w:fldChar w:fldCharType="separate"/>
      </w:r>
      <w:r>
        <w:rPr>
          <w:color w:val="auto"/>
        </w:rPr>
        <w:t>⑥</w:t>
      </w:r>
      <w:r>
        <w:rPr>
          <w:color w:val="auto"/>
        </w:rPr>
        <w:fldChar w:fldCharType="end"/>
      </w:r>
      <w:r>
        <w:rPr>
          <w:color w:val="auto"/>
        </w:rPr>
        <w:t>-</w:t>
      </w: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p>
    <w:p w14:paraId="5992B0F5">
      <w:pPr>
        <w:outlineLvl w:val="1"/>
        <w:rPr>
          <w:rFonts w:hint="eastAsia"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kern w:val="2"/>
          <w:sz w:val="24"/>
          <w:szCs w:val="32"/>
          <w:lang w:val="en-US" w:eastAsia="zh-CN" w:bidi="ar-SA"/>
        </w:rPr>
        <w:t>附件：关于环评文件公开文本涉密删除依据和说明</w:t>
      </w:r>
    </w:p>
    <w:p w14:paraId="24D0EC42">
      <w:pPr>
        <w:bidi w:val="0"/>
        <w:rPr>
          <w:rFonts w:hint="default"/>
          <w:lang w:val="en-US" w:eastAsia="zh-CN"/>
        </w:rPr>
      </w:pPr>
      <w:r>
        <w:rPr>
          <w:rFonts w:hint="default"/>
          <w:lang w:val="en-US" w:eastAsia="zh-CN"/>
        </w:rPr>
        <w:drawing>
          <wp:inline distT="0" distB="0" distL="114300" distR="114300">
            <wp:extent cx="5757545" cy="8208645"/>
            <wp:effectExtent l="0" t="0" r="14605" b="1905"/>
            <wp:docPr id="198" name="图片 198" descr="扫描_20251120_00393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扫描_20251120_003930_05"/>
                    <pic:cNvPicPr>
                      <a:picLocks noChangeAspect="1"/>
                    </pic:cNvPicPr>
                  </pic:nvPicPr>
                  <pic:blipFill>
                    <a:blip r:embed="rId46"/>
                    <a:stretch>
                      <a:fillRect/>
                    </a:stretch>
                  </pic:blipFill>
                  <pic:spPr>
                    <a:xfrm>
                      <a:off x="0" y="0"/>
                      <a:ext cx="5757545" cy="8208645"/>
                    </a:xfrm>
                    <a:prstGeom prst="rect">
                      <a:avLst/>
                    </a:prstGeom>
                  </pic:spPr>
                </pic:pic>
              </a:graphicData>
            </a:graphic>
          </wp:inline>
        </w:drawing>
      </w:r>
    </w:p>
    <w:p w14:paraId="71C5E829">
      <w:pPr>
        <w:rPr>
          <w:rFonts w:hint="default" w:ascii="Times New Roman" w:hAnsi="Times New Roman" w:eastAsia="宋体" w:cs="Times New Roman"/>
          <w:b/>
          <w:bCs/>
          <w:kern w:val="2"/>
          <w:sz w:val="24"/>
          <w:szCs w:val="32"/>
          <w:lang w:val="en-US" w:eastAsia="zh-CN" w:bidi="ar-SA"/>
        </w:rPr>
      </w:pPr>
      <w:r>
        <w:rPr>
          <w:rFonts w:hint="default" w:ascii="Times New Roman" w:hAnsi="Times New Roman" w:eastAsia="宋体" w:cs="Times New Roman"/>
          <w:b/>
          <w:bCs/>
          <w:kern w:val="2"/>
          <w:sz w:val="24"/>
          <w:szCs w:val="32"/>
          <w:lang w:val="en-US" w:eastAsia="zh-CN" w:bidi="ar-SA"/>
        </w:rPr>
        <w:br w:type="page"/>
      </w:r>
    </w:p>
    <w:p w14:paraId="6FB01D9F">
      <w:pPr>
        <w:bidi w:val="0"/>
        <w:rPr>
          <w:rFonts w:hint="default"/>
          <w:lang w:val="en-US" w:eastAsia="zh-CN"/>
        </w:rPr>
      </w:pPr>
      <w:r>
        <w:rPr>
          <w:rFonts w:hint="default"/>
          <w:lang w:val="en-US" w:eastAsia="zh-CN"/>
        </w:rPr>
        <w:drawing>
          <wp:inline distT="0" distB="0" distL="114300" distR="114300">
            <wp:extent cx="5757545" cy="8208645"/>
            <wp:effectExtent l="0" t="0" r="14605" b="1905"/>
            <wp:docPr id="199" name="图片 199" descr="扫描_20251120_00393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扫描_20251120_003930_06"/>
                    <pic:cNvPicPr>
                      <a:picLocks noChangeAspect="1"/>
                    </pic:cNvPicPr>
                  </pic:nvPicPr>
                  <pic:blipFill>
                    <a:blip r:embed="rId47"/>
                    <a:stretch>
                      <a:fillRect/>
                    </a:stretch>
                  </pic:blipFill>
                  <pic:spPr>
                    <a:xfrm>
                      <a:off x="0" y="0"/>
                      <a:ext cx="5757545" cy="8208645"/>
                    </a:xfrm>
                    <a:prstGeom prst="rect">
                      <a:avLst/>
                    </a:prstGeom>
                  </pic:spPr>
                </pic:pic>
              </a:graphicData>
            </a:graphic>
          </wp:inline>
        </w:drawing>
      </w:r>
    </w:p>
    <w:p w14:paraId="46FCBD9C">
      <w:pPr>
        <w:rPr>
          <w:rFonts w:hint="default" w:ascii="Times New Roman" w:hAnsi="Times New Roman" w:eastAsia="宋体" w:cs="Times New Roman"/>
          <w:b/>
          <w:bCs/>
          <w:kern w:val="2"/>
          <w:sz w:val="24"/>
          <w:szCs w:val="32"/>
          <w:lang w:val="en-US" w:eastAsia="zh-CN" w:bidi="ar-SA"/>
        </w:rPr>
      </w:pPr>
    </w:p>
    <w:sectPr>
      <w:footerReference r:id="rId6" w:type="default"/>
      <w:pgSz w:w="11906" w:h="16838"/>
      <w:pgMar w:top="1587" w:right="1417" w:bottom="1587" w:left="1417"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D79C0">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FBBC">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66FC9">
                          <w:pPr>
                            <w:pStyle w:val="1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00666FC9">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E6530">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422BE">
                          <w:pPr>
                            <w:pStyle w:val="17"/>
                          </w:pPr>
                          <w:r>
                            <w:fldChar w:fldCharType="begin"/>
                          </w:r>
                          <w:r>
                            <w:instrText xml:space="preserve"> PAGE  \* MERGEFORMAT </w:instrText>
                          </w:r>
                          <w:r>
                            <w:fldChar w:fldCharType="separate"/>
                          </w:r>
                          <w:r>
                            <w:t>LXXXVII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330422BE">
                    <w:pPr>
                      <w:pStyle w:val="17"/>
                    </w:pPr>
                    <w:r>
                      <w:fldChar w:fldCharType="begin"/>
                    </w:r>
                    <w:r>
                      <w:instrText xml:space="preserve"> PAGE  \* MERGEFORMAT </w:instrText>
                    </w:r>
                    <w:r>
                      <w:fldChar w:fldCharType="separate"/>
                    </w:r>
                    <w:r>
                      <w:t>LXXXVII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96088">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90D46">
                          <w:pPr>
                            <w:pStyle w:val="17"/>
                          </w:pPr>
                          <w:r>
                            <w:fldChar w:fldCharType="begin"/>
                          </w:r>
                          <w:r>
                            <w:instrText xml:space="preserve"> PAGE  \* MERGEFORMAT </w:instrText>
                          </w:r>
                          <w:r>
                            <w:fldChar w:fldCharType="separate"/>
                          </w:r>
                          <w:r>
                            <w:t>CI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77990D46">
                    <w:pPr>
                      <w:pStyle w:val="17"/>
                    </w:pPr>
                    <w:r>
                      <w:fldChar w:fldCharType="begin"/>
                    </w:r>
                    <w:r>
                      <w:instrText xml:space="preserve"> PAGE  \* MERGEFORMAT </w:instrText>
                    </w:r>
                    <w:r>
                      <w:fldChar w:fldCharType="separate"/>
                    </w:r>
                    <w:r>
                      <w:t>CI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6ACC"/>
    <w:multiLevelType w:val="singleLevel"/>
    <w:tmpl w:val="89B46ACC"/>
    <w:lvl w:ilvl="0" w:tentative="0">
      <w:start w:val="2"/>
      <w:numFmt w:val="chineseCounting"/>
      <w:suff w:val="nothing"/>
      <w:lvlText w:val="%1、"/>
      <w:lvlJc w:val="left"/>
      <w:rPr>
        <w:rFonts w:hint="eastAsia"/>
      </w:rPr>
    </w:lvl>
  </w:abstractNum>
  <w:abstractNum w:abstractNumId="1">
    <w:nsid w:val="8A89E824"/>
    <w:multiLevelType w:val="singleLevel"/>
    <w:tmpl w:val="8A89E824"/>
    <w:lvl w:ilvl="0" w:tentative="0">
      <w:start w:val="2"/>
      <w:numFmt w:val="chineseCounting"/>
      <w:suff w:val="nothing"/>
      <w:lvlText w:val="（%1）"/>
      <w:lvlJc w:val="left"/>
      <w:rPr>
        <w:rFonts w:hint="eastAsia"/>
      </w:rPr>
    </w:lvl>
  </w:abstractNum>
  <w:abstractNum w:abstractNumId="2">
    <w:nsid w:val="E17324D8"/>
    <w:multiLevelType w:val="singleLevel"/>
    <w:tmpl w:val="E17324D8"/>
    <w:lvl w:ilvl="0" w:tentative="0">
      <w:start w:val="1"/>
      <w:numFmt w:val="decimal"/>
      <w:lvlText w:val="(%1)"/>
      <w:lvlJc w:val="left"/>
      <w:pPr>
        <w:ind w:left="425" w:hanging="425"/>
      </w:pPr>
      <w:rPr>
        <w:rFonts w:hint="default"/>
      </w:rPr>
    </w:lvl>
  </w:abstractNum>
  <w:abstractNum w:abstractNumId="3">
    <w:nsid w:val="002B350F"/>
    <w:multiLevelType w:val="singleLevel"/>
    <w:tmpl w:val="002B350F"/>
    <w:lvl w:ilvl="0" w:tentative="0">
      <w:start w:val="1"/>
      <w:numFmt w:val="decimal"/>
      <w:suff w:val="nothing"/>
      <w:lvlText w:val="%1、"/>
      <w:lvlJc w:val="left"/>
    </w:lvl>
  </w:abstractNum>
  <w:abstractNum w:abstractNumId="4">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6833FA05"/>
    <w:multiLevelType w:val="singleLevel"/>
    <w:tmpl w:val="6833FA05"/>
    <w:lvl w:ilvl="0" w:tentative="0">
      <w:start w:val="1"/>
      <w:numFmt w:val="decimal"/>
      <w:suff w:val="nothing"/>
      <w:lvlText w:val="%1、"/>
      <w:lvlJc w:val="left"/>
    </w:lvl>
  </w:abstractNum>
  <w:abstractNum w:abstractNumId="6">
    <w:nsid w:val="76E68910"/>
    <w:multiLevelType w:val="singleLevel"/>
    <w:tmpl w:val="76E68910"/>
    <w:lvl w:ilvl="0" w:tentative="0">
      <w:start w:val="1"/>
      <w:numFmt w:val="decimal"/>
      <w:suff w:val="nothing"/>
      <w:lvlText w:val="（%1）"/>
      <w:lvlJc w:val="left"/>
    </w:lvl>
  </w:abstractNum>
  <w:abstractNum w:abstractNumId="7">
    <w:nsid w:val="7E752F05"/>
    <w:multiLevelType w:val="singleLevel"/>
    <w:tmpl w:val="7E752F05"/>
    <w:lvl w:ilvl="0" w:tentative="0">
      <w:start w:val="1"/>
      <w:numFmt w:val="decimal"/>
      <w:suff w:val="nothing"/>
      <w:lvlText w:val="%1、"/>
      <w:lvlJc w:val="left"/>
    </w:lvl>
  </w:abstractNum>
  <w:num w:numId="1">
    <w:abstractNumId w:val="4"/>
  </w:num>
  <w:num w:numId="2">
    <w:abstractNumId w:val="0"/>
  </w:num>
  <w:num w:numId="3">
    <w:abstractNumId w:val="3"/>
  </w:num>
  <w:num w:numId="4">
    <w:abstractNumId w:val="7"/>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DYyMDI5MmUxMWQ1MWU2OWQzMjM3NzU0YjVkY2EifQ=="/>
  </w:docVars>
  <w:rsids>
    <w:rsidRoot w:val="00000000"/>
    <w:rsid w:val="0042528A"/>
    <w:rsid w:val="0075388E"/>
    <w:rsid w:val="008E39B3"/>
    <w:rsid w:val="00B65805"/>
    <w:rsid w:val="012855CE"/>
    <w:rsid w:val="01312D03"/>
    <w:rsid w:val="014D056D"/>
    <w:rsid w:val="016C7A79"/>
    <w:rsid w:val="026C3A98"/>
    <w:rsid w:val="029C1412"/>
    <w:rsid w:val="03247959"/>
    <w:rsid w:val="03501EED"/>
    <w:rsid w:val="035A6E90"/>
    <w:rsid w:val="03B373C8"/>
    <w:rsid w:val="03F434D0"/>
    <w:rsid w:val="04762237"/>
    <w:rsid w:val="04E11367"/>
    <w:rsid w:val="05184F9C"/>
    <w:rsid w:val="0518743A"/>
    <w:rsid w:val="05467935"/>
    <w:rsid w:val="0599625C"/>
    <w:rsid w:val="05B16FE4"/>
    <w:rsid w:val="05B60A3D"/>
    <w:rsid w:val="060F45F1"/>
    <w:rsid w:val="06732DD2"/>
    <w:rsid w:val="06D60D20"/>
    <w:rsid w:val="06FE0CEC"/>
    <w:rsid w:val="074F7AC9"/>
    <w:rsid w:val="08506999"/>
    <w:rsid w:val="09704E33"/>
    <w:rsid w:val="09BB5BCC"/>
    <w:rsid w:val="0B045128"/>
    <w:rsid w:val="0B354A5D"/>
    <w:rsid w:val="0B431F62"/>
    <w:rsid w:val="0B6A0E7D"/>
    <w:rsid w:val="0C14470F"/>
    <w:rsid w:val="0CD658CB"/>
    <w:rsid w:val="0DAC5E3C"/>
    <w:rsid w:val="0DC962E6"/>
    <w:rsid w:val="0E52151F"/>
    <w:rsid w:val="0E94387A"/>
    <w:rsid w:val="0EA0672E"/>
    <w:rsid w:val="0F005480"/>
    <w:rsid w:val="0F27519E"/>
    <w:rsid w:val="0F2B709E"/>
    <w:rsid w:val="0F947289"/>
    <w:rsid w:val="0FA45DAA"/>
    <w:rsid w:val="0FB3423F"/>
    <w:rsid w:val="103D34C7"/>
    <w:rsid w:val="10686559"/>
    <w:rsid w:val="10FE0470"/>
    <w:rsid w:val="114762E6"/>
    <w:rsid w:val="119E6CF5"/>
    <w:rsid w:val="11C67CFA"/>
    <w:rsid w:val="1218305C"/>
    <w:rsid w:val="12320CA3"/>
    <w:rsid w:val="12396910"/>
    <w:rsid w:val="123C2076"/>
    <w:rsid w:val="125B4B29"/>
    <w:rsid w:val="129310EE"/>
    <w:rsid w:val="12E2773F"/>
    <w:rsid w:val="12EB50C2"/>
    <w:rsid w:val="12F21BA5"/>
    <w:rsid w:val="130A6291"/>
    <w:rsid w:val="134E0C3A"/>
    <w:rsid w:val="13DB3C17"/>
    <w:rsid w:val="142976A3"/>
    <w:rsid w:val="143B75BD"/>
    <w:rsid w:val="14ED0523"/>
    <w:rsid w:val="151A35DC"/>
    <w:rsid w:val="15447000"/>
    <w:rsid w:val="15E440F6"/>
    <w:rsid w:val="16016621"/>
    <w:rsid w:val="16AB0C66"/>
    <w:rsid w:val="17C16DCB"/>
    <w:rsid w:val="17E70DF8"/>
    <w:rsid w:val="184077D8"/>
    <w:rsid w:val="19392E3F"/>
    <w:rsid w:val="195065E6"/>
    <w:rsid w:val="198F3627"/>
    <w:rsid w:val="19AA4B51"/>
    <w:rsid w:val="19AF5431"/>
    <w:rsid w:val="1A9611D4"/>
    <w:rsid w:val="1AEF1640"/>
    <w:rsid w:val="1B0678E6"/>
    <w:rsid w:val="1B20658C"/>
    <w:rsid w:val="1B7A20B5"/>
    <w:rsid w:val="1B9D1ACE"/>
    <w:rsid w:val="1C136A38"/>
    <w:rsid w:val="1C723D3B"/>
    <w:rsid w:val="1C9A0A4A"/>
    <w:rsid w:val="1CC34BB0"/>
    <w:rsid w:val="1D1D0F4A"/>
    <w:rsid w:val="1D7644E2"/>
    <w:rsid w:val="1DAA1998"/>
    <w:rsid w:val="1E617138"/>
    <w:rsid w:val="1E7855D7"/>
    <w:rsid w:val="1E9B481C"/>
    <w:rsid w:val="1ED50A3D"/>
    <w:rsid w:val="1F6C1AC3"/>
    <w:rsid w:val="1F953961"/>
    <w:rsid w:val="20566C4C"/>
    <w:rsid w:val="205D0A19"/>
    <w:rsid w:val="21112B24"/>
    <w:rsid w:val="21652233"/>
    <w:rsid w:val="21E872AF"/>
    <w:rsid w:val="224A458F"/>
    <w:rsid w:val="22561186"/>
    <w:rsid w:val="22796B9E"/>
    <w:rsid w:val="22F97F47"/>
    <w:rsid w:val="23AB72AF"/>
    <w:rsid w:val="24000D54"/>
    <w:rsid w:val="24423C0B"/>
    <w:rsid w:val="246E3BEE"/>
    <w:rsid w:val="24B148C0"/>
    <w:rsid w:val="25205A7B"/>
    <w:rsid w:val="268D24CB"/>
    <w:rsid w:val="26FF1810"/>
    <w:rsid w:val="26FF2560"/>
    <w:rsid w:val="275C7D48"/>
    <w:rsid w:val="27E762EC"/>
    <w:rsid w:val="27F645D9"/>
    <w:rsid w:val="288438A8"/>
    <w:rsid w:val="28897B1C"/>
    <w:rsid w:val="28A12B3E"/>
    <w:rsid w:val="29035282"/>
    <w:rsid w:val="2A1803B1"/>
    <w:rsid w:val="2A50295E"/>
    <w:rsid w:val="2A60296B"/>
    <w:rsid w:val="2A701750"/>
    <w:rsid w:val="2AAC3C25"/>
    <w:rsid w:val="2AB67C54"/>
    <w:rsid w:val="2B465B0F"/>
    <w:rsid w:val="2B536BAA"/>
    <w:rsid w:val="2C0F4FCD"/>
    <w:rsid w:val="2D6C0914"/>
    <w:rsid w:val="2D81692A"/>
    <w:rsid w:val="2D984ECD"/>
    <w:rsid w:val="2E0E0B66"/>
    <w:rsid w:val="2E183793"/>
    <w:rsid w:val="2E250044"/>
    <w:rsid w:val="2E4647A4"/>
    <w:rsid w:val="2E717347"/>
    <w:rsid w:val="2EA25B05"/>
    <w:rsid w:val="2ECE4F81"/>
    <w:rsid w:val="2F511D30"/>
    <w:rsid w:val="2F6464B4"/>
    <w:rsid w:val="2F686C4D"/>
    <w:rsid w:val="2FA240C1"/>
    <w:rsid w:val="305D5210"/>
    <w:rsid w:val="321F5BEE"/>
    <w:rsid w:val="32405F41"/>
    <w:rsid w:val="325158EC"/>
    <w:rsid w:val="327D450D"/>
    <w:rsid w:val="331649C0"/>
    <w:rsid w:val="331E49BC"/>
    <w:rsid w:val="332E2F85"/>
    <w:rsid w:val="34DF5D43"/>
    <w:rsid w:val="350F349A"/>
    <w:rsid w:val="353636EA"/>
    <w:rsid w:val="35C222B8"/>
    <w:rsid w:val="35C600EF"/>
    <w:rsid w:val="35CA5CBB"/>
    <w:rsid w:val="362C2FB9"/>
    <w:rsid w:val="36632AEA"/>
    <w:rsid w:val="368B560A"/>
    <w:rsid w:val="36B77716"/>
    <w:rsid w:val="36EE057B"/>
    <w:rsid w:val="36F46607"/>
    <w:rsid w:val="3716170E"/>
    <w:rsid w:val="372D2697"/>
    <w:rsid w:val="377E31D6"/>
    <w:rsid w:val="37BC5AD7"/>
    <w:rsid w:val="37CF2348"/>
    <w:rsid w:val="38062414"/>
    <w:rsid w:val="38600BF2"/>
    <w:rsid w:val="38CA5FD2"/>
    <w:rsid w:val="38DC3EDC"/>
    <w:rsid w:val="39721E98"/>
    <w:rsid w:val="39D655A6"/>
    <w:rsid w:val="3A0D43C8"/>
    <w:rsid w:val="3A2A31D8"/>
    <w:rsid w:val="3A7B3269"/>
    <w:rsid w:val="3B5F50F7"/>
    <w:rsid w:val="3BDE2BA6"/>
    <w:rsid w:val="3C8E01DC"/>
    <w:rsid w:val="3CAD3C40"/>
    <w:rsid w:val="3CB46C57"/>
    <w:rsid w:val="3CCE564F"/>
    <w:rsid w:val="3CE04016"/>
    <w:rsid w:val="3CE45C48"/>
    <w:rsid w:val="3CF86493"/>
    <w:rsid w:val="3D962E9A"/>
    <w:rsid w:val="3E271818"/>
    <w:rsid w:val="3EA7036D"/>
    <w:rsid w:val="3EAA56FE"/>
    <w:rsid w:val="3F0F1503"/>
    <w:rsid w:val="3F127E08"/>
    <w:rsid w:val="3FB633FB"/>
    <w:rsid w:val="3FB9596C"/>
    <w:rsid w:val="3FD04F2C"/>
    <w:rsid w:val="40FC0CF2"/>
    <w:rsid w:val="40FD5B5C"/>
    <w:rsid w:val="4186530E"/>
    <w:rsid w:val="41E756B8"/>
    <w:rsid w:val="426024C3"/>
    <w:rsid w:val="42644CFC"/>
    <w:rsid w:val="42712D90"/>
    <w:rsid w:val="428E37C9"/>
    <w:rsid w:val="431557C4"/>
    <w:rsid w:val="43250271"/>
    <w:rsid w:val="438A7C97"/>
    <w:rsid w:val="43D43925"/>
    <w:rsid w:val="43D852A4"/>
    <w:rsid w:val="441F174E"/>
    <w:rsid w:val="44647233"/>
    <w:rsid w:val="449657A6"/>
    <w:rsid w:val="45EF24D9"/>
    <w:rsid w:val="46084AF2"/>
    <w:rsid w:val="462C0005"/>
    <w:rsid w:val="46E44703"/>
    <w:rsid w:val="47705F96"/>
    <w:rsid w:val="47B257FA"/>
    <w:rsid w:val="47B2713B"/>
    <w:rsid w:val="48B545A9"/>
    <w:rsid w:val="48C14817"/>
    <w:rsid w:val="48E56510"/>
    <w:rsid w:val="4933371F"/>
    <w:rsid w:val="49460182"/>
    <w:rsid w:val="4972249A"/>
    <w:rsid w:val="4A430135"/>
    <w:rsid w:val="4AFF5FAF"/>
    <w:rsid w:val="4B517646"/>
    <w:rsid w:val="4C1E01ED"/>
    <w:rsid w:val="4C44431E"/>
    <w:rsid w:val="4CBC43F6"/>
    <w:rsid w:val="4DAD76E3"/>
    <w:rsid w:val="4E453CD9"/>
    <w:rsid w:val="4E761BF7"/>
    <w:rsid w:val="4EA73979"/>
    <w:rsid w:val="4EBB3F9B"/>
    <w:rsid w:val="4ED17C62"/>
    <w:rsid w:val="4EE4650E"/>
    <w:rsid w:val="4F2A1121"/>
    <w:rsid w:val="4F457D08"/>
    <w:rsid w:val="4F7C26F1"/>
    <w:rsid w:val="4F7C6D36"/>
    <w:rsid w:val="505E0D05"/>
    <w:rsid w:val="506D7517"/>
    <w:rsid w:val="50C01D3C"/>
    <w:rsid w:val="50F41DB2"/>
    <w:rsid w:val="51052079"/>
    <w:rsid w:val="51152D85"/>
    <w:rsid w:val="51CC5C50"/>
    <w:rsid w:val="52676984"/>
    <w:rsid w:val="5288019F"/>
    <w:rsid w:val="52AD5CF4"/>
    <w:rsid w:val="5367649F"/>
    <w:rsid w:val="53ED7E15"/>
    <w:rsid w:val="54092EF7"/>
    <w:rsid w:val="54B65D10"/>
    <w:rsid w:val="55DD6EED"/>
    <w:rsid w:val="561C01EA"/>
    <w:rsid w:val="562464C8"/>
    <w:rsid w:val="567A5DDC"/>
    <w:rsid w:val="56856B80"/>
    <w:rsid w:val="56D219CC"/>
    <w:rsid w:val="59854F6F"/>
    <w:rsid w:val="598F6523"/>
    <w:rsid w:val="59931BA0"/>
    <w:rsid w:val="59A12058"/>
    <w:rsid w:val="59A56C72"/>
    <w:rsid w:val="59AD4E28"/>
    <w:rsid w:val="59C9643D"/>
    <w:rsid w:val="5A3D61AC"/>
    <w:rsid w:val="5A6A34FF"/>
    <w:rsid w:val="5AC97A40"/>
    <w:rsid w:val="5AD2718F"/>
    <w:rsid w:val="5BE049C1"/>
    <w:rsid w:val="5C3B007A"/>
    <w:rsid w:val="5C3B6762"/>
    <w:rsid w:val="5C574E82"/>
    <w:rsid w:val="5CD252D1"/>
    <w:rsid w:val="5CF76AE6"/>
    <w:rsid w:val="5D1475BA"/>
    <w:rsid w:val="5DB22A0D"/>
    <w:rsid w:val="5E0771FD"/>
    <w:rsid w:val="5E352B67"/>
    <w:rsid w:val="5F1F7CA3"/>
    <w:rsid w:val="5F834869"/>
    <w:rsid w:val="5F94195C"/>
    <w:rsid w:val="5FB574FE"/>
    <w:rsid w:val="5FF82CFA"/>
    <w:rsid w:val="604C4F0B"/>
    <w:rsid w:val="60A76380"/>
    <w:rsid w:val="60B06C30"/>
    <w:rsid w:val="60BB31B3"/>
    <w:rsid w:val="6134186F"/>
    <w:rsid w:val="614C4F26"/>
    <w:rsid w:val="61C342E5"/>
    <w:rsid w:val="61EC6729"/>
    <w:rsid w:val="620E2129"/>
    <w:rsid w:val="626B2804"/>
    <w:rsid w:val="628C1E57"/>
    <w:rsid w:val="62E0001C"/>
    <w:rsid w:val="62F2581B"/>
    <w:rsid w:val="63144A9E"/>
    <w:rsid w:val="63A70B3A"/>
    <w:rsid w:val="643313A9"/>
    <w:rsid w:val="64C67634"/>
    <w:rsid w:val="64CF0348"/>
    <w:rsid w:val="64E663E2"/>
    <w:rsid w:val="652C5425"/>
    <w:rsid w:val="65764C68"/>
    <w:rsid w:val="65775B6D"/>
    <w:rsid w:val="65A90B99"/>
    <w:rsid w:val="65FF4C5D"/>
    <w:rsid w:val="66801F8E"/>
    <w:rsid w:val="66DE09F2"/>
    <w:rsid w:val="677253F4"/>
    <w:rsid w:val="677B14E7"/>
    <w:rsid w:val="678F3DBF"/>
    <w:rsid w:val="67DF3732"/>
    <w:rsid w:val="68077DF9"/>
    <w:rsid w:val="68254072"/>
    <w:rsid w:val="688356D2"/>
    <w:rsid w:val="689E3902"/>
    <w:rsid w:val="690A7C03"/>
    <w:rsid w:val="69537901"/>
    <w:rsid w:val="695A2772"/>
    <w:rsid w:val="69602F7D"/>
    <w:rsid w:val="69BB75A3"/>
    <w:rsid w:val="6AE14931"/>
    <w:rsid w:val="6AE30E7D"/>
    <w:rsid w:val="6B5E5F82"/>
    <w:rsid w:val="6BF57752"/>
    <w:rsid w:val="6C3F3B3F"/>
    <w:rsid w:val="6D6B0293"/>
    <w:rsid w:val="6DA07A76"/>
    <w:rsid w:val="6DEB25DD"/>
    <w:rsid w:val="6E2F5A53"/>
    <w:rsid w:val="6E3D0876"/>
    <w:rsid w:val="6E91728B"/>
    <w:rsid w:val="6EB17135"/>
    <w:rsid w:val="6EC90F3F"/>
    <w:rsid w:val="6EE37A6B"/>
    <w:rsid w:val="6F6211D8"/>
    <w:rsid w:val="6F69100D"/>
    <w:rsid w:val="6FB57106"/>
    <w:rsid w:val="6FB87AD8"/>
    <w:rsid w:val="70335223"/>
    <w:rsid w:val="70935EC8"/>
    <w:rsid w:val="70A13798"/>
    <w:rsid w:val="71281524"/>
    <w:rsid w:val="719E53B6"/>
    <w:rsid w:val="71B92164"/>
    <w:rsid w:val="72137A0F"/>
    <w:rsid w:val="72146479"/>
    <w:rsid w:val="722A2C74"/>
    <w:rsid w:val="72691DDC"/>
    <w:rsid w:val="72A845A9"/>
    <w:rsid w:val="72D2323B"/>
    <w:rsid w:val="734E65AD"/>
    <w:rsid w:val="73730B78"/>
    <w:rsid w:val="73F67ACD"/>
    <w:rsid w:val="74161AF0"/>
    <w:rsid w:val="746A231C"/>
    <w:rsid w:val="76640175"/>
    <w:rsid w:val="76E75934"/>
    <w:rsid w:val="77470212"/>
    <w:rsid w:val="77C840CC"/>
    <w:rsid w:val="77D926FB"/>
    <w:rsid w:val="785E0CFE"/>
    <w:rsid w:val="79765E0F"/>
    <w:rsid w:val="797E5570"/>
    <w:rsid w:val="799E34B2"/>
    <w:rsid w:val="79B56793"/>
    <w:rsid w:val="7A4A482E"/>
    <w:rsid w:val="7A904A94"/>
    <w:rsid w:val="7AC202DC"/>
    <w:rsid w:val="7B1D47C7"/>
    <w:rsid w:val="7B6E0463"/>
    <w:rsid w:val="7BED0F85"/>
    <w:rsid w:val="7C06069C"/>
    <w:rsid w:val="7D451FD4"/>
    <w:rsid w:val="7D466F15"/>
    <w:rsid w:val="7D697A68"/>
    <w:rsid w:val="7DC861E9"/>
    <w:rsid w:val="7DE22616"/>
    <w:rsid w:val="7E0230E5"/>
    <w:rsid w:val="7E6478FC"/>
    <w:rsid w:val="7E9E1D43"/>
    <w:rsid w:val="7ED37F08"/>
    <w:rsid w:val="7EEF1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2"/>
    <w:autoRedefine/>
    <w:qFormat/>
    <w:uiPriority w:val="0"/>
    <w:pPr>
      <w:keepNext/>
      <w:keepLines/>
      <w:spacing w:line="240" w:lineRule="auto"/>
      <w:outlineLvl w:val="1"/>
    </w:pPr>
    <w:rPr>
      <w:rFonts w:ascii="Times New Roman" w:hAnsi="Times New Roman" w:eastAsia="宋体"/>
      <w:b/>
      <w:bCs/>
      <w:sz w:val="24"/>
      <w:szCs w:val="32"/>
    </w:rPr>
  </w:style>
  <w:style w:type="paragraph" w:styleId="4">
    <w:name w:val="heading 3"/>
    <w:basedOn w:val="1"/>
    <w:next w:val="1"/>
    <w:autoRedefine/>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autoRedefine/>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autoRedefine/>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autoRedefine/>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12"/>
    <w:autoRedefine/>
    <w:qFormat/>
    <w:uiPriority w:val="0"/>
    <w:pPr>
      <w:widowControl/>
      <w:snapToGrid w:val="0"/>
      <w:spacing w:before="60" w:after="160" w:line="259" w:lineRule="auto"/>
      <w:ind w:right="113"/>
    </w:pPr>
    <w:rPr>
      <w:kern w:val="0"/>
      <w:sz w:val="18"/>
      <w:szCs w:val="20"/>
    </w:rPr>
  </w:style>
  <w:style w:type="paragraph" w:styleId="12">
    <w:name w:val="Plain Text"/>
    <w:basedOn w:val="1"/>
    <w:autoRedefine/>
    <w:qFormat/>
    <w:uiPriority w:val="0"/>
    <w:rPr>
      <w:rFonts w:ascii="Times New Roman" w:hAnsi="Times New Roman" w:eastAsia="宋体" w:cs="Courier New"/>
      <w:szCs w:val="21"/>
    </w:rPr>
  </w:style>
  <w:style w:type="paragraph" w:styleId="13">
    <w:name w:val="Body Text Indent"/>
    <w:basedOn w:val="1"/>
    <w:next w:val="14"/>
    <w:link w:val="68"/>
    <w:qFormat/>
    <w:uiPriority w:val="0"/>
    <w:pPr>
      <w:spacing w:after="120"/>
      <w:ind w:left="420" w:leftChars="200"/>
    </w:pPr>
    <w:rPr>
      <w:kern w:val="0"/>
      <w:sz w:val="24"/>
      <w:szCs w:val="20"/>
    </w:rPr>
  </w:style>
  <w:style w:type="paragraph" w:styleId="14">
    <w:name w:val="Body Text First Indent 2"/>
    <w:basedOn w:val="13"/>
    <w:next w:val="15"/>
    <w:autoRedefine/>
    <w:qFormat/>
    <w:uiPriority w:val="0"/>
    <w:pPr>
      <w:spacing w:after="120"/>
      <w:ind w:left="420" w:leftChars="200" w:firstLine="210" w:firstLineChars="200"/>
    </w:pPr>
    <w:rPr>
      <w:sz w:val="21"/>
    </w:rPr>
  </w:style>
  <w:style w:type="paragraph" w:styleId="15">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paragraph" w:styleId="16">
    <w:name w:val="toc 3"/>
    <w:basedOn w:val="1"/>
    <w:next w:val="1"/>
    <w:qFormat/>
    <w:uiPriority w:val="0"/>
    <w:pPr>
      <w:ind w:left="840" w:leftChars="400"/>
    </w:p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List"/>
    <w:basedOn w:val="1"/>
    <w:autoRedefine/>
    <w:qFormat/>
    <w:uiPriority w:val="0"/>
    <w:pPr>
      <w:ind w:left="200" w:hanging="200" w:hangingChars="200"/>
    </w:pPr>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autoRedefine/>
    <w:qFormat/>
    <w:uiPriority w:val="0"/>
  </w:style>
  <w:style w:type="character" w:styleId="28">
    <w:name w:val="Hyperlink"/>
    <w:basedOn w:val="25"/>
    <w:qFormat/>
    <w:uiPriority w:val="0"/>
    <w:rPr>
      <w:color w:val="0000FF"/>
      <w:u w:val="single"/>
    </w:rPr>
  </w:style>
  <w:style w:type="paragraph" w:customStyle="1" w:styleId="29">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0">
    <w:name w:val=" Char Char Char Char Char Char Char Char Char1 Char"/>
    <w:basedOn w:val="1"/>
    <w:autoRedefine/>
    <w:semiHidden/>
    <w:qFormat/>
    <w:uiPriority w:val="0"/>
    <w:pPr>
      <w:ind w:firstLine="0"/>
    </w:pPr>
    <w:rPr>
      <w:rFonts w:ascii="宋体" w:hAnsi="宋体" w:eastAsia="宋体" w:cs="Courier New"/>
      <w:sz w:val="32"/>
      <w:szCs w:val="32"/>
    </w:rPr>
  </w:style>
  <w:style w:type="paragraph" w:customStyle="1" w:styleId="31">
    <w:name w:val="章1正文样式"/>
    <w:basedOn w:val="1"/>
    <w:autoRedefine/>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2">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3">
    <w:name w:val="Table Text"/>
    <w:basedOn w:val="1"/>
    <w:semiHidden/>
    <w:qFormat/>
    <w:uiPriority w:val="0"/>
    <w:rPr>
      <w:rFonts w:ascii="宋体" w:hAnsi="宋体" w:eastAsia="宋体" w:cs="宋体"/>
      <w:sz w:val="24"/>
      <w:szCs w:val="24"/>
      <w:lang w:val="en-US" w:eastAsia="en-US" w:bidi="ar-SA"/>
    </w:rPr>
  </w:style>
  <w:style w:type="paragraph" w:customStyle="1" w:styleId="34">
    <w:name w:val="表内容"/>
    <w:autoRedefine/>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5">
    <w:name w:val="H图表内容"/>
    <w:basedOn w:val="1"/>
    <w:qFormat/>
    <w:uiPriority w:val="0"/>
    <w:rPr>
      <w:szCs w:val="20"/>
    </w:rPr>
  </w:style>
  <w:style w:type="paragraph" w:customStyle="1" w:styleId="36">
    <w:name w:val="正文（）"/>
    <w:basedOn w:val="1"/>
    <w:autoRedefine/>
    <w:qFormat/>
    <w:uiPriority w:val="0"/>
    <w:pPr>
      <w:adjustRightInd w:val="0"/>
      <w:snapToGrid w:val="0"/>
      <w:spacing w:line="360" w:lineRule="auto"/>
      <w:ind w:firstLine="200" w:firstLineChars="200"/>
    </w:pPr>
    <w:rPr>
      <w:color w:val="5B9BD5"/>
      <w:sz w:val="24"/>
      <w:szCs w:val="20"/>
    </w:rPr>
  </w:style>
  <w:style w:type="paragraph" w:customStyle="1" w:styleId="37">
    <w:name w:val="6表格"/>
    <w:basedOn w:val="1"/>
    <w:qFormat/>
    <w:uiPriority w:val="0"/>
    <w:pPr>
      <w:jc w:val="center"/>
    </w:pPr>
  </w:style>
  <w:style w:type="paragraph" w:customStyle="1" w:styleId="38">
    <w:name w:val="表格内容（）"/>
    <w:basedOn w:val="1"/>
    <w:autoRedefine/>
    <w:qFormat/>
    <w:uiPriority w:val="0"/>
    <w:pPr>
      <w:widowControl w:val="0"/>
      <w:spacing w:line="240" w:lineRule="auto"/>
      <w:ind w:firstLine="0" w:firstLineChars="0"/>
      <w:jc w:val="center"/>
    </w:pPr>
    <w:rPr>
      <w:color w:val="00B0F0"/>
      <w:sz w:val="21"/>
      <w:szCs w:val="21"/>
    </w:rPr>
  </w:style>
  <w:style w:type="paragraph" w:customStyle="1" w:styleId="39">
    <w:name w:val="表格固定文字"/>
    <w:basedOn w:val="1"/>
    <w:qFormat/>
    <w:uiPriority w:val="0"/>
    <w:pPr>
      <w:ind w:firstLine="0"/>
    </w:pPr>
    <w:rPr>
      <w:rFonts w:eastAsia="宋体"/>
      <w:sz w:val="21"/>
      <w:szCs w:val="24"/>
    </w:rPr>
  </w:style>
  <w:style w:type="paragraph" w:customStyle="1" w:styleId="40">
    <w:name w:val="个人  标题2"/>
    <w:basedOn w:val="1"/>
    <w:autoRedefine/>
    <w:qFormat/>
    <w:uiPriority w:val="0"/>
    <w:pPr>
      <w:ind w:firstLine="0" w:firstLineChars="0"/>
      <w:outlineLvl w:val="1"/>
    </w:pPr>
    <w:rPr>
      <w:b/>
      <w:sz w:val="30"/>
    </w:rPr>
  </w:style>
  <w:style w:type="paragraph" w:customStyle="1" w:styleId="41">
    <w:name w:val="正文_10"/>
    <w:qFormat/>
    <w:uiPriority w:val="0"/>
    <w:pPr>
      <w:widowControl w:val="0"/>
      <w:spacing w:line="360" w:lineRule="auto"/>
      <w:jc w:val="both"/>
    </w:pPr>
    <w:rPr>
      <w:rFonts w:ascii="Times New Roman" w:hAnsi="Times New Roman" w:eastAsia="宋体" w:cs="Times New Roman"/>
      <w:kern w:val="2"/>
      <w:sz w:val="21"/>
      <w:szCs w:val="22"/>
      <w:lang w:val="en-US" w:eastAsia="zh-CN" w:bidi="ar-SA"/>
    </w:rPr>
  </w:style>
  <w:style w:type="paragraph" w:customStyle="1" w:styleId="42">
    <w:name w:val="表格表头"/>
    <w:basedOn w:val="43"/>
    <w:qFormat/>
    <w:uiPriority w:val="0"/>
    <w:pPr>
      <w:spacing w:before="50" w:beforeLines="50" w:line="240" w:lineRule="auto"/>
      <w:ind w:firstLine="0"/>
      <w:jc w:val="center"/>
    </w:pPr>
    <w:rPr>
      <w:rFonts w:eastAsia="黑体"/>
    </w:rPr>
  </w:style>
  <w:style w:type="paragraph" w:customStyle="1" w:styleId="43">
    <w:name w:val="zhang正文"/>
    <w:basedOn w:val="13"/>
    <w:next w:val="1"/>
    <w:link w:val="67"/>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4">
    <w:name w:val="表正文"/>
    <w:basedOn w:val="1"/>
    <w:qFormat/>
    <w:uiPriority w:val="0"/>
    <w:pPr>
      <w:spacing w:line="360" w:lineRule="auto"/>
      <w:ind w:firstLine="200" w:firstLineChars="200"/>
    </w:pPr>
    <w:rPr>
      <w:sz w:val="24"/>
    </w:rPr>
  </w:style>
  <w:style w:type="paragraph" w:customStyle="1" w:styleId="45">
    <w:name w:val="个人标题3"/>
    <w:basedOn w:val="1"/>
    <w:qFormat/>
    <w:uiPriority w:val="0"/>
    <w:pPr>
      <w:ind w:firstLine="0" w:firstLineChars="0"/>
      <w:outlineLvl w:val="2"/>
    </w:pPr>
    <w:rPr>
      <w:b/>
      <w:sz w:val="28"/>
    </w:rPr>
  </w:style>
  <w:style w:type="paragraph" w:customStyle="1" w:styleId="46">
    <w:name w:val="正文内容"/>
    <w:basedOn w:val="1"/>
    <w:autoRedefine/>
    <w:qFormat/>
    <w:uiPriority w:val="0"/>
    <w:pPr>
      <w:adjustRightInd w:val="0"/>
      <w:spacing w:line="360" w:lineRule="auto"/>
      <w:ind w:firstLine="480" w:firstLineChars="200"/>
    </w:pPr>
    <w:rPr>
      <w:rFonts w:ascii="宋体" w:hAnsi="宋体" w:cs="宋体"/>
      <w:sz w:val="24"/>
    </w:rPr>
  </w:style>
  <w:style w:type="paragraph" w:customStyle="1" w:styleId="47">
    <w:name w:val="三级aaa"/>
    <w:basedOn w:val="4"/>
    <w:next w:val="1"/>
    <w:autoRedefine/>
    <w:qFormat/>
    <w:uiPriority w:val="0"/>
    <w:pPr>
      <w:keepNext w:val="0"/>
      <w:keepLines w:val="0"/>
      <w:widowControl w:val="0"/>
      <w:adjustRightInd w:val="0"/>
      <w:snapToGrid w:val="0"/>
      <w:spacing w:before="0" w:after="0" w:line="360" w:lineRule="auto"/>
    </w:pPr>
    <w:rPr>
      <w:sz w:val="28"/>
    </w:rPr>
  </w:style>
  <w:style w:type="paragraph" w:customStyle="1" w:styleId="48">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9">
    <w:name w:val="正文（无网格）"/>
    <w:basedOn w:val="1"/>
    <w:autoRedefine/>
    <w:qFormat/>
    <w:uiPriority w:val="0"/>
    <w:pPr>
      <w:adjustRightInd w:val="0"/>
      <w:snapToGrid w:val="0"/>
      <w:spacing w:line="360" w:lineRule="auto"/>
      <w:ind w:firstLine="480" w:firstLineChars="200"/>
    </w:pPr>
    <w:rPr>
      <w:rFonts w:cs="宋体"/>
      <w:sz w:val="24"/>
      <w:szCs w:val="20"/>
    </w:rPr>
  </w:style>
  <w:style w:type="paragraph" w:customStyle="1" w:styleId="50">
    <w:name w:val="常用"/>
    <w:basedOn w:val="1"/>
    <w:autoRedefine/>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1">
    <w:name w:val="闽创报告正文"/>
    <w:basedOn w:val="52"/>
    <w:qFormat/>
    <w:uiPriority w:val="0"/>
    <w:pPr>
      <w:tabs>
        <w:tab w:val="left" w:pos="0"/>
      </w:tabs>
      <w:spacing w:line="360" w:lineRule="auto"/>
      <w:ind w:firstLine="200" w:firstLineChars="200"/>
    </w:pPr>
    <w:rPr>
      <w:color w:val="000000"/>
      <w:sz w:val="24"/>
      <w:szCs w:val="20"/>
    </w:rPr>
  </w:style>
  <w:style w:type="paragraph" w:customStyle="1" w:styleId="52">
    <w:name w:val="0正文"/>
    <w:basedOn w:val="13"/>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53">
    <w:name w:val="表格名称1"/>
    <w:basedOn w:val="1"/>
    <w:autoRedefine/>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4">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5">
    <w:name w:val="22标题2"/>
    <w:basedOn w:val="56"/>
    <w:autoRedefine/>
    <w:qFormat/>
    <w:uiPriority w:val="0"/>
    <w:pPr>
      <w:adjustRightInd w:val="0"/>
      <w:snapToGrid w:val="0"/>
    </w:pPr>
    <w:rPr>
      <w:color w:val="0000FF"/>
    </w:rPr>
  </w:style>
  <w:style w:type="paragraph" w:customStyle="1" w:styleId="56">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7">
    <w:name w:val="样式 首行缩进:  2 字符1"/>
    <w:basedOn w:val="1"/>
    <w:autoRedefine/>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8">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9">
    <w:name w:val="样式 样式 正文01 + 黑色 首行缩进:  2 字符 段前: 0 磅 行距: 1.5 倍行距 + 首行缩进:  2 字符"/>
    <w:basedOn w:val="60"/>
    <w:autoRedefine/>
    <w:qFormat/>
    <w:uiPriority w:val="0"/>
    <w:pPr>
      <w:spacing w:line="440" w:lineRule="exact"/>
      <w:ind w:firstLine="200"/>
    </w:pPr>
    <w:rPr>
      <w:rFonts w:eastAsia="宋体"/>
      <w:bCs/>
    </w:rPr>
  </w:style>
  <w:style w:type="paragraph" w:customStyle="1" w:styleId="60">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61">
    <w:name w:val="表格标题（）"/>
    <w:basedOn w:val="1"/>
    <w:autoRedefine/>
    <w:qFormat/>
    <w:uiPriority w:val="0"/>
    <w:pPr>
      <w:widowControl w:val="0"/>
      <w:spacing w:line="240" w:lineRule="auto"/>
      <w:ind w:firstLine="0" w:firstLineChars="0"/>
      <w:jc w:val="center"/>
    </w:pPr>
    <w:rPr>
      <w:rFonts w:eastAsia="黑体"/>
      <w:color w:val="000000"/>
      <w:lang w:val="zh-CN" w:bidi="he-IL"/>
    </w:rPr>
  </w:style>
  <w:style w:type="paragraph" w:customStyle="1" w:styleId="62">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3">
    <w:name w:val="表格标题"/>
    <w:basedOn w:val="46"/>
    <w:next w:val="1"/>
    <w:qFormat/>
    <w:uiPriority w:val="0"/>
    <w:pPr>
      <w:tabs>
        <w:tab w:val="left" w:pos="4507"/>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4">
    <w:name w:val="表格内容"/>
    <w:basedOn w:val="20"/>
    <w:next w:val="1"/>
    <w:qFormat/>
    <w:uiPriority w:val="0"/>
    <w:pPr>
      <w:autoSpaceDE w:val="0"/>
      <w:autoSpaceDN w:val="0"/>
      <w:ind w:firstLine="0"/>
      <w:jc w:val="center"/>
    </w:pPr>
    <w:rPr>
      <w:kern w:val="0"/>
      <w:sz w:val="24"/>
      <w:lang w:bidi="he-IL"/>
    </w:rPr>
  </w:style>
  <w:style w:type="paragraph" w:customStyle="1" w:styleId="6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6">
    <w:name w:val="样式 zhang正文 + 宋体 小四 Char"/>
    <w:basedOn w:val="67"/>
    <w:link w:val="69"/>
    <w:qFormat/>
    <w:uiPriority w:val="0"/>
    <w:rPr>
      <w:rFonts w:ascii="宋体" w:hAnsi="宋体" w:eastAsia="宋体"/>
      <w:sz w:val="24"/>
    </w:rPr>
  </w:style>
  <w:style w:type="character" w:customStyle="1" w:styleId="67">
    <w:name w:val="zhang正文 Char1"/>
    <w:basedOn w:val="68"/>
    <w:link w:val="43"/>
    <w:autoRedefine/>
    <w:qFormat/>
    <w:uiPriority w:val="0"/>
    <w:rPr>
      <w:rFonts w:eastAsia="楷体_GB2312"/>
      <w:sz w:val="28"/>
    </w:rPr>
  </w:style>
  <w:style w:type="character" w:customStyle="1" w:styleId="68">
    <w:name w:val="正文文本缩进 Char1"/>
    <w:basedOn w:val="25"/>
    <w:link w:val="13"/>
    <w:autoRedefine/>
    <w:qFormat/>
    <w:uiPriority w:val="0"/>
    <w:rPr>
      <w:kern w:val="0"/>
      <w:sz w:val="24"/>
      <w:szCs w:val="20"/>
    </w:rPr>
  </w:style>
  <w:style w:type="paragraph" w:customStyle="1" w:styleId="69">
    <w:name w:val="样式 zhang正文 + 宋体 小四"/>
    <w:basedOn w:val="43"/>
    <w:link w:val="66"/>
    <w:autoRedefine/>
    <w:qFormat/>
    <w:uiPriority w:val="0"/>
    <w:rPr>
      <w:rFonts w:ascii="宋体" w:hAnsi="宋体" w:eastAsia="宋体"/>
      <w:sz w:val="24"/>
    </w:rPr>
  </w:style>
  <w:style w:type="paragraph" w:customStyle="1" w:styleId="70">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1">
    <w:name w:val="屠彪标题"/>
    <w:basedOn w:val="1"/>
    <w:autoRedefine/>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2">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3">
    <w:name w:val="表格样式1"/>
    <w:basedOn w:val="23"/>
    <w:autoRedefine/>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4">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5">
    <w:name w:val="标题111"/>
    <w:basedOn w:val="22"/>
    <w:autoRedefine/>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6">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7">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table" w:customStyle="1" w:styleId="78">
    <w:name w:val="Table Normal"/>
    <w:semiHidden/>
    <w:unhideWhenUsed/>
    <w:qFormat/>
    <w:uiPriority w:val="0"/>
    <w:tblPr>
      <w:tblCellMar>
        <w:top w:w="0" w:type="dxa"/>
        <w:left w:w="0" w:type="dxa"/>
        <w:bottom w:w="0" w:type="dxa"/>
        <w:right w:w="0" w:type="dxa"/>
      </w:tblCellMar>
    </w:tblPr>
  </w:style>
  <w:style w:type="paragraph" w:customStyle="1" w:styleId="79">
    <w:name w:val="Table Paragraph"/>
    <w:basedOn w:val="1"/>
    <w:qFormat/>
    <w:uiPriority w:val="1"/>
    <w:pPr>
      <w:jc w:val="center"/>
    </w:pPr>
    <w:rPr>
      <w:rFonts w:ascii="宋体" w:hAnsi="宋体" w:cs="宋体"/>
      <w:lang w:val="zh-CN" w:bidi="zh-CN"/>
    </w:rPr>
  </w:style>
  <w:style w:type="paragraph" w:customStyle="1" w:styleId="80">
    <w:name w:val="表格的字"/>
    <w:basedOn w:val="81"/>
    <w:next w:val="1"/>
    <w:qFormat/>
    <w:uiPriority w:val="0"/>
    <w:pPr>
      <w:jc w:val="center"/>
    </w:pPr>
    <w:rPr>
      <w:szCs w:val="21"/>
      <w:lang w:val="en-US" w:eastAsia="zh-CN" w:bidi="ar-SA"/>
    </w:rPr>
  </w:style>
  <w:style w:type="paragraph" w:customStyle="1" w:styleId="81">
    <w:name w:val="项目基本情况的字"/>
    <w:basedOn w:val="1"/>
    <w:qFormat/>
    <w:uiPriority w:val="0"/>
    <w:pPr>
      <w:jc w:val="center"/>
    </w:pPr>
    <w:rPr>
      <w:rFonts w:cs="宋体"/>
    </w:rPr>
  </w:style>
  <w:style w:type="character" w:customStyle="1" w:styleId="82">
    <w:name w:val="标题 2 Char"/>
    <w:link w:val="3"/>
    <w:qFormat/>
    <w:uiPriority w:val="0"/>
    <w:rPr>
      <w:rFonts w:ascii="Times New Roman" w:hAnsi="Times New Roman" w:eastAsia="宋体"/>
      <w:b/>
      <w:bCs/>
      <w:sz w:val="24"/>
      <w:szCs w:val="32"/>
    </w:rPr>
  </w:style>
  <w:style w:type="paragraph" w:customStyle="1" w:styleId="83">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84">
    <w:name w:val="111正文的格式"/>
    <w:basedOn w:val="1"/>
    <w:qFormat/>
    <w:uiPriority w:val="0"/>
    <w:pPr>
      <w:adjustRightInd w:val="0"/>
      <w:snapToGrid w:val="0"/>
      <w:spacing w:line="360" w:lineRule="auto"/>
      <w:ind w:firstLine="480" w:firstLineChars="200"/>
    </w:pPr>
    <w:rPr>
      <w:color w:val="0000FF"/>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0" Type="http://schemas.openxmlformats.org/officeDocument/2006/relationships/fontTable" Target="fontTable.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file:///C:\Users\Admin\AppData\Local\Temp\ksohtml12936\wps12.png" TargetMode="External"/><Relationship Id="rId38" Type="http://schemas.openxmlformats.org/officeDocument/2006/relationships/image" Target="media/image20.png"/><Relationship Id="rId37" Type="http://schemas.openxmlformats.org/officeDocument/2006/relationships/image" Target="file:///C:\Users\Admin\AppData\Local\Temp\ksohtml12936\wps11.png" TargetMode="External"/><Relationship Id="rId36" Type="http://schemas.openxmlformats.org/officeDocument/2006/relationships/image" Target="media/image19.png"/><Relationship Id="rId35" Type="http://schemas.openxmlformats.org/officeDocument/2006/relationships/image" Target="file:///C:\Users\Admin\AppData\Local\Temp\ksohtml12936\wps10.png" TargetMode="External"/><Relationship Id="rId34" Type="http://schemas.openxmlformats.org/officeDocument/2006/relationships/image" Target="media/image18.png"/><Relationship Id="rId33" Type="http://schemas.openxmlformats.org/officeDocument/2006/relationships/image" Target="file:///C:\Users\Admin\AppData\Local\Temp\ksohtml12936\wps9.png" TargetMode="External"/><Relationship Id="rId32" Type="http://schemas.openxmlformats.org/officeDocument/2006/relationships/image" Target="media/image17.png"/><Relationship Id="rId31" Type="http://schemas.openxmlformats.org/officeDocument/2006/relationships/image" Target="file:///C:\Users\Admin\AppData\Local\Temp\ksohtml12936\wps8.png" TargetMode="External"/><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file:///C:\Users\Admin\AppData\Local\Temp\ksohtml12936\wps7.png" TargetMode="External"/><Relationship Id="rId28" Type="http://schemas.openxmlformats.org/officeDocument/2006/relationships/image" Target="media/image15.png"/><Relationship Id="rId27" Type="http://schemas.openxmlformats.org/officeDocument/2006/relationships/image" Target="file:///C:\Users\Admin\AppData\Local\Temp\ksohtml12936\wps6.png" TargetMode="External"/><Relationship Id="rId26" Type="http://schemas.openxmlformats.org/officeDocument/2006/relationships/image" Target="media/image14.png"/><Relationship Id="rId25" Type="http://schemas.openxmlformats.org/officeDocument/2006/relationships/image" Target="file:///C:\Users\Admin\AppData\Local\Temp\ksohtml12936\wps5.png" TargetMode="External"/><Relationship Id="rId24" Type="http://schemas.openxmlformats.org/officeDocument/2006/relationships/image" Target="media/image13.png"/><Relationship Id="rId23" Type="http://schemas.openxmlformats.org/officeDocument/2006/relationships/image" Target="file:///C:\Users\Admin\AppData\Local\Temp\ksohtml12936\wps4.png" TargetMode="External"/><Relationship Id="rId22" Type="http://schemas.openxmlformats.org/officeDocument/2006/relationships/image" Target="media/image12.png"/><Relationship Id="rId21" Type="http://schemas.openxmlformats.org/officeDocument/2006/relationships/image" Target="file:///C:\Users\Admin\AppData\Local\Temp\ksohtml12936\wps3.png" TargetMode="Externa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file:///C:\Users\Admin\AppData\Local\Temp\ksohtml12936\wps2.png" TargetMode="Externa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Y1NzAyNzY4NDA3IiwKCSJHcm91cElkIiA6ICIxMTIxNzI2MjI1IiwKCSJJbWFnZSIgOiAiaVZCT1J3MEtHZ29BQUFBTlNVaEVVZ0FBQTN3QUFBTW1DQVlBQUFDdUFZT3pBQUFBQVhOU1IwSUFyczRjNlFBQUlBQkpSRUZVZUp6czNYbDhWTlg5Ly9IM3VUTkpJSkN3THlKV3RGZ1dTY2lkNE5yYUZqZFFxd1UzRm5kY3Eyd0t1TFZTdm9odGJYSHJWeEVVVWFxQ1dIZVJud3Z1WHhXVjVDWVJJaWdWa0VVaHNpU0VKR1F5OS96K0lKa21JU0JneUNURDYvbDQ1RUhtbkh2ditkeDVuSkI4NWl4WEF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EzdjhEcVpoUzFUUzBQbDhBQUFBQVNVVk9SSzVDWUlJPSIsCgkiVGhlbWUiIDogIiIsCgkiVHlwZSIgOiAiZmxvdyIsCgkiVXNlcklkIiA6ICIxMDU0MTI4NzM3IiwKCSJWZXJzaW9uIiA6ICI1MSIKfQo="/>
    </extobj>
    <extobj name="ECB019B1-382A-4266-B25C-5B523AA43C14-2">
      <extobjdata type="ECB019B1-382A-4266-B25C-5B523AA43C14" data="ewoJIkZpbGVJZCIgOiAiNDY3Njk0NTI0MTIxIiwKCSJHcm91cElkIiA6ICIxMTIxNzI2MjI1IiwKCSJJbWFnZSIgOiAiaVZCT1J3MEtHZ29BQUFBTlNVaEVVZ0FBQlRnQUFBSTNDQVlBQUFDL0dEU2dBQUFBQVhOU1IwSUFyczRjNlFBQUlBQkpSRUZVZUp6czNYdDh6L1hqLy8vN2EzdnR4TVkyYXpZV2M0bzVSRDhSb2pjUmI4cWh2bFFrWitaUTZFMElHYVBRcUJ4eVNDbWRVL2tnbFZaSU9VWk9PVXU4bldrMHpNN2I2L2ZIZTN1K1g4KzlYbU5IczcxdjE4dWxpK2ZqOFh3OEg4L0g4N1ZYeWQzaitYaE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dQKzNCNGNFQUFBQUFJTCt2N2E1QWdBQUFBQUFBQUFBQUFBQUFBQUFBQUFBQUFBQUFBQUFBQUFBQUFBQUFBQUFBQUFBQUFBQUFBQUFBQUFBQUFBQUFBQUFBQUFBQUFBQUFBQUFBQUFBQUFBQUFBQUFBQUFBQUFBQUFBQmdBZUdVcmlpNzVIQ0JBQUFBQUVsRlRrU3VRbUNDIiwKCSJUaGVtZSIgOiAiIiwKCSJUeXBlIiA6ICJmbG93IiwKCSJVc2VySWQiIDogIjEwNTQxMjg3MzciLAoJIlZlcnNpb24iIDogIjE2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58476</Words>
  <Characters>66312</Characters>
  <Lines>0</Lines>
  <Paragraphs>0</Paragraphs>
  <TotalTime>10</TotalTime>
  <ScaleCrop>false</ScaleCrop>
  <LinksUpToDate>false</LinksUpToDate>
  <CharactersWithSpaces>66559</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2025-12-03T01:27:00Z</cp:lastPrinted>
  <dcterms:modified xsi:type="dcterms:W3CDTF">2026-01-30T08:21:39Z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eyJoZGlkIjoiODIxOTQwYmRmYmY3YWI0ZmJiMDI1ZTBkNDIyN2Q3YzgiLCJ1c2VySWQiOiIxMDU0MTI4NzM3In0=</vt:lpwstr>
  </property>
  <property fmtid="{D5CDD505-2E9C-101B-9397-08002B2CF9AE}" pid="4" name="ICV">
    <vt:lpwstr>EB6E4C86FE144F04A4C8A4AB6B09A502_13</vt:lpwstr>
  </property>
</Properties>
</file>