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E2C8B2">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r>
        <w:drawing>
          <wp:anchor distT="0" distB="0" distL="114300" distR="114300" simplePos="0" relativeHeight="251663360" behindDoc="0" locked="0" layoutInCell="1" allowOverlap="1">
            <wp:simplePos x="0" y="0"/>
            <wp:positionH relativeFrom="column">
              <wp:posOffset>-881380</wp:posOffset>
            </wp:positionH>
            <wp:positionV relativeFrom="paragraph">
              <wp:posOffset>-1007110</wp:posOffset>
            </wp:positionV>
            <wp:extent cx="7568565" cy="10708005"/>
            <wp:effectExtent l="0" t="0" r="13335" b="1714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7568565" cy="10708005"/>
                    </a:xfrm>
                    <a:prstGeom prst="rect">
                      <a:avLst/>
                    </a:prstGeom>
                    <a:noFill/>
                    <a:ln>
                      <a:noFill/>
                    </a:ln>
                  </pic:spPr>
                </pic:pic>
              </a:graphicData>
            </a:graphic>
          </wp:anchor>
        </w:drawing>
      </w:r>
    </w:p>
    <w:p w14:paraId="12CC5199">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p>
    <w:p w14:paraId="3977F86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19841"/>
      <w:bookmarkStart w:id="1" w:name="_Toc9163"/>
      <w:bookmarkStart w:id="2" w:name="_Toc14623"/>
      <w:bookmarkStart w:id="3" w:name="_Toc2526"/>
      <w:bookmarkStart w:id="4" w:name="_Toc13859"/>
      <w:bookmarkStart w:id="5" w:name="_Toc29571"/>
      <w:bookmarkStart w:id="6" w:name="_Toc17132"/>
      <w:bookmarkStart w:id="7" w:name="_Toc15153"/>
      <w:bookmarkStart w:id="8" w:name="_Toc23611"/>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37AF1B9D">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67832C7B">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BD2B34E">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DCEC3B6">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445A51BC">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7221931F">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9BC149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F081DC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35F54B0E">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cs="宋体"/>
          <w:color w:val="auto"/>
          <w:sz w:val="36"/>
          <w:szCs w:val="36"/>
          <w:u w:val="single"/>
          <w:lang w:val="en-US" w:eastAsia="zh-CN"/>
        </w:rPr>
        <w:t>福建恒润包装有限公司年产EPS包装泡沫7800吨、EPO包装泡沫900吨、EPP包装泡沫1200吨项目</w:t>
      </w:r>
    </w:p>
    <w:p w14:paraId="651EA4C7">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建设单位（盖章）：</w:t>
      </w:r>
      <w:r>
        <w:rPr>
          <w:rFonts w:hint="eastAsia" w:ascii="宋体" w:hAnsi="宋体" w:cs="宋体"/>
          <w:color w:val="auto"/>
          <w:sz w:val="36"/>
          <w:szCs w:val="36"/>
          <w:u w:val="single"/>
          <w:lang w:val="en-US" w:eastAsia="zh-CN"/>
        </w:rPr>
        <w:t>福建恒润包装有限公司</w:t>
      </w:r>
    </w:p>
    <w:p w14:paraId="6F1BC8E9">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eastAsia" w:ascii="Times New Roman" w:hAnsi="Times New Roman" w:eastAsia="宋体" w:cs="Times New Roman"/>
          <w:color w:val="auto"/>
          <w:sz w:val="36"/>
          <w:szCs w:val="36"/>
          <w:highlight w:val="none"/>
          <w:u w:val="single"/>
          <w:lang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202</w:t>
      </w:r>
      <w:r>
        <w:rPr>
          <w:rFonts w:hint="eastAsia" w:cs="Times New Roman"/>
          <w:color w:val="auto"/>
          <w:sz w:val="36"/>
          <w:szCs w:val="36"/>
          <w:highlight w:val="none"/>
          <w:u w:val="single"/>
          <w:lang w:val="en-US" w:eastAsia="zh-CN"/>
        </w:rPr>
        <w:t>6</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2</w:t>
      </w:r>
      <w:r>
        <w:rPr>
          <w:rFonts w:hint="default" w:ascii="Times New Roman" w:hAnsi="Times New Roman" w:eastAsia="宋体" w:cs="Times New Roman"/>
          <w:color w:val="auto"/>
          <w:sz w:val="36"/>
          <w:szCs w:val="36"/>
          <w:highlight w:val="none"/>
          <w:u w:val="single"/>
          <w:lang w:val="en-US" w:eastAsia="zh-CN"/>
        </w:rPr>
        <w:t>月</w:t>
      </w:r>
    </w:p>
    <w:p w14:paraId="251C2E41">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7749CB78">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4E7FAA79">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22065781">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79C9B9C3">
      <w:pPr>
        <w:pStyle w:val="14"/>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31D6C46F">
      <w:pPr>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br w:type="page"/>
      </w:r>
    </w:p>
    <w:p w14:paraId="7A1D677A">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781685</wp:posOffset>
                </wp:positionH>
                <wp:positionV relativeFrom="paragraph">
                  <wp:posOffset>5963285</wp:posOffset>
                </wp:positionV>
                <wp:extent cx="4509770" cy="1525270"/>
                <wp:effectExtent l="6350" t="6350" r="17780" b="11430"/>
                <wp:wrapNone/>
                <wp:docPr id="180" name="矩形 180"/>
                <wp:cNvGraphicFramePr/>
                <a:graphic xmlns:a="http://schemas.openxmlformats.org/drawingml/2006/main">
                  <a:graphicData uri="http://schemas.microsoft.com/office/word/2010/wordprocessingShape">
                    <wps:wsp>
                      <wps:cNvSpPr/>
                      <wps:spPr>
                        <a:xfrm>
                          <a:off x="0" y="0"/>
                          <a:ext cx="4509770" cy="152527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55pt;margin-top:469.55pt;height:120.1pt;width:355.1pt;z-index:251669504;v-text-anchor:middle;mso-width-relative:page;mso-height-relative:page;" fillcolor="#FFFFFF [3212]" filled="t" stroked="t" coordsize="21600,21600" o:gfxdata="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C2EufZAAAADAEAAA8AAAAAAAAAAQAgAAAAIgAAAGRycy9kb3ducmV2Lnht&#10;bFBLAQIUABQAAAAIAIdO4kASKEUaagIAAPkEAAAOAAAAAAAAAAEAIAAAACgBAABkcnMvZTJvRG9j&#10;LnhtbFBLBQYAAAAABgAGAFkBAAAE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2252345</wp:posOffset>
                </wp:positionH>
                <wp:positionV relativeFrom="paragraph">
                  <wp:posOffset>4790440</wp:posOffset>
                </wp:positionV>
                <wp:extent cx="1710690" cy="223520"/>
                <wp:effectExtent l="6350" t="6350" r="16510" b="17780"/>
                <wp:wrapNone/>
                <wp:docPr id="179" name="矩形 179"/>
                <wp:cNvGraphicFramePr/>
                <a:graphic xmlns:a="http://schemas.openxmlformats.org/drawingml/2006/main">
                  <a:graphicData uri="http://schemas.microsoft.com/office/word/2010/wordprocessingShape">
                    <wps:wsp>
                      <wps:cNvSpPr/>
                      <wps:spPr>
                        <a:xfrm>
                          <a:off x="3152140" y="5798185"/>
                          <a:ext cx="1710690" cy="22352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35pt;margin-top:377.2pt;height:17.6pt;width:134.7pt;z-index:251668480;v-text-anchor:middle;mso-width-relative:page;mso-height-relative:page;" fillcolor="#FFFFFF [3212]" filled="t" stroked="t" coordsize="21600,21600" o:gfxdata="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fjWtEdkAAAALAQAADwAAAAAAAAABACAAAAAi&#10;AAAAZHJzL2Rvd25yZXYueG1sUEsBAhQAFAAAAAgAh07iQHX3k2Z7AgAABAUAAA4AAAAAAAAAAQAg&#10;AAAAKAEAAGRycy9lMm9Eb2MueG1sUEsFBgAAAAAGAAYAWQEAABU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1652905</wp:posOffset>
                </wp:positionH>
                <wp:positionV relativeFrom="paragraph">
                  <wp:posOffset>5636895</wp:posOffset>
                </wp:positionV>
                <wp:extent cx="2274570" cy="223520"/>
                <wp:effectExtent l="6350" t="6350" r="24130" b="17780"/>
                <wp:wrapNone/>
                <wp:docPr id="185" name="矩形 185"/>
                <wp:cNvGraphicFramePr/>
                <a:graphic xmlns:a="http://schemas.openxmlformats.org/drawingml/2006/main">
                  <a:graphicData uri="http://schemas.microsoft.com/office/word/2010/wordprocessingShape">
                    <wps:wsp>
                      <wps:cNvSpPr/>
                      <wps:spPr>
                        <a:xfrm>
                          <a:off x="0" y="0"/>
                          <a:ext cx="2274570" cy="22352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15pt;margin-top:443.85pt;height:17.6pt;width:179.1pt;z-index:251674624;v-text-anchor:middle;mso-width-relative:page;mso-height-relative:page;" fillcolor="#FFFFFF [3212]" filled="t" stroked="t" coordsize="21600,21600" o:gfxdata="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taiGPaAAAACwEAAA8AAAAAAAAAAQAgAAAAIgAAAGRycy9kb3ducmV2&#10;LnhtbFBLAQIUABQAAAAIAIdO4kDJ2Qs6bAIAAPgEAAAOAAAAAAAAAAEAIAAAACk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278765</wp:posOffset>
                </wp:positionH>
                <wp:positionV relativeFrom="paragraph">
                  <wp:posOffset>5330825</wp:posOffset>
                </wp:positionV>
                <wp:extent cx="1225550" cy="479425"/>
                <wp:effectExtent l="6350" t="6350" r="6350" b="9525"/>
                <wp:wrapNone/>
                <wp:docPr id="187" name="矩形 187"/>
                <wp:cNvGraphicFramePr/>
                <a:graphic xmlns:a="http://schemas.openxmlformats.org/drawingml/2006/main">
                  <a:graphicData uri="http://schemas.microsoft.com/office/word/2010/wordprocessingShape">
                    <wps:wsp>
                      <wps:cNvSpPr/>
                      <wps:spPr>
                        <a:xfrm>
                          <a:off x="0" y="0"/>
                          <a:ext cx="1225550" cy="4794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5pt;margin-top:419.75pt;height:37.75pt;width:96.5pt;z-index:251676672;v-text-anchor:middle;mso-width-relative:page;mso-height-relative:page;" fillcolor="#FFFFFF [3212]" filled="t" stroked="t" coordsize="21600,21600" o:gfxdata="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PPeGtkAAAAKAQAADwAAAAAAAAABACAAAAAiAAAAZHJzL2Rvd25yZXYu&#10;eG1sUEsBAhQAFAAAAAgAh07iQMUKp9ZsAgAA+AQAAA4AAAAAAAAAAQAgAAAAKA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2357755</wp:posOffset>
                </wp:positionH>
                <wp:positionV relativeFrom="paragraph">
                  <wp:posOffset>5337175</wp:posOffset>
                </wp:positionV>
                <wp:extent cx="1710690" cy="223520"/>
                <wp:effectExtent l="6350" t="6350" r="16510" b="17780"/>
                <wp:wrapNone/>
                <wp:docPr id="186" name="矩形 186"/>
                <wp:cNvGraphicFramePr/>
                <a:graphic xmlns:a="http://schemas.openxmlformats.org/drawingml/2006/main">
                  <a:graphicData uri="http://schemas.microsoft.com/office/word/2010/wordprocessingShape">
                    <wps:wsp>
                      <wps:cNvSpPr/>
                      <wps:spPr>
                        <a:xfrm>
                          <a:off x="0" y="0"/>
                          <a:ext cx="1710690" cy="22352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65pt;margin-top:420.25pt;height:17.6pt;width:134.7pt;z-index:251675648;v-text-anchor:middle;mso-width-relative:page;mso-height-relative:page;" fillcolor="#FFFFFF [3212]" filled="t" stroked="t" coordsize="21600,21600" o:gfxdata="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cOzkD2gAAAAsBAAAPAAAAAAAAAAEAIAAAACIAAABkcnMvZG93bnJl&#10;di54bWxQSwECFAAUAAAACACHTuJALTXqoW0CAAD4BAAADgAAAAAAAAABACAAAAAp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1908175</wp:posOffset>
                </wp:positionH>
                <wp:positionV relativeFrom="paragraph">
                  <wp:posOffset>4526280</wp:posOffset>
                </wp:positionV>
                <wp:extent cx="775970" cy="328930"/>
                <wp:effectExtent l="6350" t="6350" r="17780" b="7620"/>
                <wp:wrapNone/>
                <wp:docPr id="184" name="矩形 184"/>
                <wp:cNvGraphicFramePr/>
                <a:graphic xmlns:a="http://schemas.openxmlformats.org/drawingml/2006/main">
                  <a:graphicData uri="http://schemas.microsoft.com/office/word/2010/wordprocessingShape">
                    <wps:wsp>
                      <wps:cNvSpPr/>
                      <wps:spPr>
                        <a:xfrm>
                          <a:off x="0" y="0"/>
                          <a:ext cx="775970" cy="32893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25pt;margin-top:356.4pt;height:25.9pt;width:61.1pt;z-index:251673600;v-text-anchor:middle;mso-width-relative:page;mso-height-relative:page;" fillcolor="#FFFFFF [3212]" filled="t" stroked="t" coordsize="21600,21600" o:gfxdata="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joCF/2QAAAAsBAAAPAAAAAAAAAAEAIAAAACIAAABkcnMvZG93bnJl&#10;di54bWxQSwECFAAUAAAACACHTuJASW2QwW4CAAD3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1630045</wp:posOffset>
                </wp:positionH>
                <wp:positionV relativeFrom="paragraph">
                  <wp:posOffset>4906645</wp:posOffset>
                </wp:positionV>
                <wp:extent cx="2459355" cy="223520"/>
                <wp:effectExtent l="6350" t="6350" r="10795" b="17780"/>
                <wp:wrapNone/>
                <wp:docPr id="183" name="矩形 183"/>
                <wp:cNvGraphicFramePr/>
                <a:graphic xmlns:a="http://schemas.openxmlformats.org/drawingml/2006/main">
                  <a:graphicData uri="http://schemas.microsoft.com/office/word/2010/wordprocessingShape">
                    <wps:wsp>
                      <wps:cNvSpPr/>
                      <wps:spPr>
                        <a:xfrm>
                          <a:off x="0" y="0"/>
                          <a:ext cx="2459355" cy="22352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35pt;margin-top:386.35pt;height:17.6pt;width:193.65pt;z-index:251672576;v-text-anchor:middle;mso-width-relative:page;mso-height-relative:page;" fillcolor="#FFFFFF [3212]" filled="t" stroked="t" coordsize="21600,21600" o:gfxdata="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lfXDvaAAAACwEAAA8AAAAAAAAAAQAgAAAAIgAAAGRycy9kb3du&#10;cmV2LnhtbFBLAQIUABQAAAAIAIdO4kDkvHG7bwIAAPg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1552575</wp:posOffset>
                </wp:positionH>
                <wp:positionV relativeFrom="paragraph">
                  <wp:posOffset>1602105</wp:posOffset>
                </wp:positionV>
                <wp:extent cx="2428875" cy="223520"/>
                <wp:effectExtent l="6350" t="6350" r="22225" b="17780"/>
                <wp:wrapNone/>
                <wp:docPr id="182" name="矩形 182"/>
                <wp:cNvGraphicFramePr/>
                <a:graphic xmlns:a="http://schemas.openxmlformats.org/drawingml/2006/main">
                  <a:graphicData uri="http://schemas.microsoft.com/office/word/2010/wordprocessingShape">
                    <wps:wsp>
                      <wps:cNvSpPr/>
                      <wps:spPr>
                        <a:xfrm>
                          <a:off x="0" y="0"/>
                          <a:ext cx="2428875" cy="22352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25pt;margin-top:126.15pt;height:17.6pt;width:191.25pt;z-index:251671552;v-text-anchor:middle;mso-width-relative:page;mso-height-relative:page;" fillcolor="#FFFFFF [3212]" filled="t" stroked="t" coordsize="21600,21600" o:gfxdata="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h1WrZ2QAAAAsBAAAPAAAAAAAAAAEAIAAAACIAAABkcnMvZG93bnJl&#10;di54bWxQSwECFAAUAAAACACHTuJAxmjEVm4CAAD4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1319530</wp:posOffset>
                </wp:positionH>
                <wp:positionV relativeFrom="paragraph">
                  <wp:posOffset>1962150</wp:posOffset>
                </wp:positionV>
                <wp:extent cx="1710690" cy="223520"/>
                <wp:effectExtent l="6350" t="6350" r="16510" b="17780"/>
                <wp:wrapNone/>
                <wp:docPr id="181" name="矩形 181"/>
                <wp:cNvGraphicFramePr/>
                <a:graphic xmlns:a="http://schemas.openxmlformats.org/drawingml/2006/main">
                  <a:graphicData uri="http://schemas.microsoft.com/office/word/2010/wordprocessingShape">
                    <wps:wsp>
                      <wps:cNvSpPr/>
                      <wps:spPr>
                        <a:xfrm>
                          <a:off x="0" y="0"/>
                          <a:ext cx="1710690" cy="22352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9pt;margin-top:154.5pt;height:17.6pt;width:134.7pt;z-index:251670528;v-text-anchor:middle;mso-width-relative:page;mso-height-relative:page;" fillcolor="#FFFFFF [3212]" filled="t" stroked="t" coordsize="21600,21600" o:gfxdata="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zHlTHZAAAACwEAAA8AAAAAAAAAAQAgAAAAIgAAAGRycy9kb3ducmV2&#10;LnhtbFBLAQIUABQAAAAIAIdO4kB3S5D+bQIAAPgEAAAOAAAAAAAAAAEAIAAAACg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3804285</wp:posOffset>
                </wp:positionH>
                <wp:positionV relativeFrom="paragraph">
                  <wp:posOffset>1280160</wp:posOffset>
                </wp:positionV>
                <wp:extent cx="1287145" cy="223520"/>
                <wp:effectExtent l="6350" t="6350" r="20955" b="17780"/>
                <wp:wrapNone/>
                <wp:docPr id="189" name="矩形 189"/>
                <wp:cNvGraphicFramePr/>
                <a:graphic xmlns:a="http://schemas.openxmlformats.org/drawingml/2006/main">
                  <a:graphicData uri="http://schemas.microsoft.com/office/word/2010/wordprocessingShape">
                    <wps:wsp>
                      <wps:cNvSpPr/>
                      <wps:spPr>
                        <a:xfrm>
                          <a:off x="0" y="0"/>
                          <a:ext cx="1287145" cy="22352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55pt;margin-top:100.8pt;height:17.6pt;width:101.35pt;z-index:251678720;v-text-anchor:middle;mso-width-relative:page;mso-height-relative:page;" fillcolor="#FFFFFF [3212]" filled="t" stroked="t" coordsize="21600,21600" o:gfxdata="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ovE5F2QAAAAsBAAAPAAAAAAAAAAEAIAAAACIAAABkcnMvZG93bnJl&#10;di54bWxQSwECFAAUAAAACACHTuJA9OeL7W4CAAD4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884555</wp:posOffset>
                </wp:positionH>
                <wp:positionV relativeFrom="paragraph">
                  <wp:posOffset>3379470</wp:posOffset>
                </wp:positionV>
                <wp:extent cx="1710690" cy="540385"/>
                <wp:effectExtent l="6350" t="6350" r="16510" b="24765"/>
                <wp:wrapNone/>
                <wp:docPr id="188" name="矩形 188"/>
                <wp:cNvGraphicFramePr/>
                <a:graphic xmlns:a="http://schemas.openxmlformats.org/drawingml/2006/main">
                  <a:graphicData uri="http://schemas.microsoft.com/office/word/2010/wordprocessingShape">
                    <wps:wsp>
                      <wps:cNvSpPr/>
                      <wps:spPr>
                        <a:xfrm>
                          <a:off x="0" y="0"/>
                          <a:ext cx="1710690" cy="54038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5pt;margin-top:266.1pt;height:42.55pt;width:134.7pt;z-index:251677696;v-text-anchor:middle;mso-width-relative:page;mso-height-relative:page;" fillcolor="#FFFFFF [3212]" filled="t" stroked="t" coordsize="21600,21600" o:gfxdata="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u2GUtkAAAALAQAADwAAAAAAAAABACAAAAAiAAAAZHJzL2Rvd25yZXYu&#10;eG1sUEsBAhQAFAAAAAgAh07iQEE8hlBsAgAA+AQAAA4AAAAAAAAAAQAgAAAAKA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3067685</wp:posOffset>
                </wp:positionH>
                <wp:positionV relativeFrom="paragraph">
                  <wp:posOffset>5811520</wp:posOffset>
                </wp:positionV>
                <wp:extent cx="546100" cy="850265"/>
                <wp:effectExtent l="6350" t="6350" r="19050" b="19685"/>
                <wp:wrapNone/>
                <wp:docPr id="191" name="矩形 191"/>
                <wp:cNvGraphicFramePr/>
                <a:graphic xmlns:a="http://schemas.openxmlformats.org/drawingml/2006/main">
                  <a:graphicData uri="http://schemas.microsoft.com/office/word/2010/wordprocessingShape">
                    <wps:wsp>
                      <wps:cNvSpPr/>
                      <wps:spPr>
                        <a:xfrm>
                          <a:off x="0" y="0"/>
                          <a:ext cx="546100" cy="85026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55pt;margin-top:457.6pt;height:66.95pt;width:43pt;z-index:251680768;v-text-anchor:middle;mso-width-relative:page;mso-height-relative:page;" fillcolor="#FFFFFF [3212]" filled="t" stroked="t" coordsize="21600,21600" o:gfxdata="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0DKgtkAAAAMAQAADwAAAAAAAAABACAAAAAiAAAAZHJzL2Rvd25yZXYueG1s&#10;UEsBAhQAFAAAAAgAh07iQEJRQl9pAgAA9wQAAA4AAAAAAAAAAQAgAAAAKAEAAGRycy9lMm9Eb2Mu&#10;eG1sUEsFBgAAAAAGAAYAWQEAAAM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1698625</wp:posOffset>
                </wp:positionH>
                <wp:positionV relativeFrom="paragraph">
                  <wp:posOffset>6293485</wp:posOffset>
                </wp:positionV>
                <wp:extent cx="546100" cy="1193165"/>
                <wp:effectExtent l="6350" t="6350" r="19050" b="19685"/>
                <wp:wrapNone/>
                <wp:docPr id="190" name="矩形 190"/>
                <wp:cNvGraphicFramePr/>
                <a:graphic xmlns:a="http://schemas.openxmlformats.org/drawingml/2006/main">
                  <a:graphicData uri="http://schemas.microsoft.com/office/word/2010/wordprocessingShape">
                    <wps:wsp>
                      <wps:cNvSpPr/>
                      <wps:spPr>
                        <a:xfrm>
                          <a:off x="0" y="0"/>
                          <a:ext cx="546100" cy="119316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75pt;margin-top:495.55pt;height:93.95pt;width:43pt;z-index:251679744;v-text-anchor:middle;mso-width-relative:page;mso-height-relative:page;" fillcolor="#FFFFFF [3212]" filled="t" stroked="t" coordsize="21600,21600" o:gfxdata="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5YrbDaAAAADAEAAA8AAAAAAAAAAQAgAAAAIgAAAGRycy9kb3ducmV2&#10;LnhtbFBLAQIUABQAAAAIAIdO4kDDwqdGbAIAAPgEAAAOAAAAAAAAAAEAIAAAACk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2851150</wp:posOffset>
                </wp:positionH>
                <wp:positionV relativeFrom="paragraph">
                  <wp:posOffset>6080760</wp:posOffset>
                </wp:positionV>
                <wp:extent cx="2088515" cy="610870"/>
                <wp:effectExtent l="6350" t="6350" r="19685" b="11430"/>
                <wp:wrapNone/>
                <wp:docPr id="194" name="矩形 194"/>
                <wp:cNvGraphicFramePr/>
                <a:graphic xmlns:a="http://schemas.openxmlformats.org/drawingml/2006/main">
                  <a:graphicData uri="http://schemas.microsoft.com/office/word/2010/wordprocessingShape">
                    <wps:wsp>
                      <wps:cNvSpPr/>
                      <wps:spPr>
                        <a:xfrm>
                          <a:off x="0" y="0"/>
                          <a:ext cx="2088515" cy="61087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5pt;margin-top:478.8pt;height:48.1pt;width:164.45pt;z-index:251682816;v-text-anchor:middle;mso-width-relative:page;mso-height-relative:page;" fillcolor="#FFFFFF [3212]" filled="t" stroked="t" coordsize="21600,21600" o:gfxdata="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iSl9+2wAAAAwBAAAPAAAAAAAAAAEAIAAAACIAAABkcnMvZG93&#10;bnJldi54bWxQSwECFAAUAAAACACHTuJAC55BFG8CAAD4BAAADgAAAAAAAAABACAAAAAqAQAAZHJz&#10;L2Uyb0RvYy54bWxQSwUGAAAAAAYABgBZAQAACw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1092835</wp:posOffset>
                </wp:positionH>
                <wp:positionV relativeFrom="paragraph">
                  <wp:posOffset>1174115</wp:posOffset>
                </wp:positionV>
                <wp:extent cx="2088515" cy="610870"/>
                <wp:effectExtent l="6350" t="6350" r="19685" b="11430"/>
                <wp:wrapNone/>
                <wp:docPr id="192" name="矩形 192"/>
                <wp:cNvGraphicFramePr/>
                <a:graphic xmlns:a="http://schemas.openxmlformats.org/drawingml/2006/main">
                  <a:graphicData uri="http://schemas.microsoft.com/office/word/2010/wordprocessingShape">
                    <wps:wsp>
                      <wps:cNvSpPr/>
                      <wps:spPr>
                        <a:xfrm>
                          <a:off x="0" y="0"/>
                          <a:ext cx="2088515" cy="61087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05pt;margin-top:92.45pt;height:48.1pt;width:164.45pt;z-index:251681792;v-text-anchor:middle;mso-width-relative:page;mso-height-relative:page;" fillcolor="#FFFFFF [3212]" filled="t" stroked="t" coordsize="21600,21600" o:gfxdata="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uPI7L2AAAAAsBAAAPAAAAAAAAAAEAIAAAACIAAABkcnMvZG93bnJl&#10;di54bWxQSwECFAAUAAAACACHTuJAYpzDm28CAAD4BAAADgAAAAAAAAABACAAAAAn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3385820</wp:posOffset>
                </wp:positionH>
                <wp:positionV relativeFrom="paragraph">
                  <wp:posOffset>6280785</wp:posOffset>
                </wp:positionV>
                <wp:extent cx="2088515" cy="610870"/>
                <wp:effectExtent l="6350" t="6350" r="19685" b="11430"/>
                <wp:wrapNone/>
                <wp:docPr id="198" name="矩形 198"/>
                <wp:cNvGraphicFramePr/>
                <a:graphic xmlns:a="http://schemas.openxmlformats.org/drawingml/2006/main">
                  <a:graphicData uri="http://schemas.microsoft.com/office/word/2010/wordprocessingShape">
                    <wps:wsp>
                      <wps:cNvSpPr/>
                      <wps:spPr>
                        <a:xfrm>
                          <a:off x="0" y="0"/>
                          <a:ext cx="2088515" cy="61087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6pt;margin-top:494.55pt;height:48.1pt;width:164.45pt;z-index:251686912;v-text-anchor:middle;mso-width-relative:page;mso-height-relative:page;" fillcolor="#FFFFFF [3212]" filled="t" stroked="t" coordsize="21600,21600" o:gfxdata="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wURbnaAAAADAEAAA8AAAAAAAAAAQAgAAAAIgAAAGRycy9kb3du&#10;cmV2LnhtbFBLAQIUABQAAAAIAIdO4kCYnDTQbwIAAPg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2380615</wp:posOffset>
                </wp:positionH>
                <wp:positionV relativeFrom="paragraph">
                  <wp:posOffset>1773555</wp:posOffset>
                </wp:positionV>
                <wp:extent cx="1630045" cy="460375"/>
                <wp:effectExtent l="6350" t="6350" r="20955" b="9525"/>
                <wp:wrapNone/>
                <wp:docPr id="197" name="矩形 197"/>
                <wp:cNvGraphicFramePr/>
                <a:graphic xmlns:a="http://schemas.openxmlformats.org/drawingml/2006/main">
                  <a:graphicData uri="http://schemas.microsoft.com/office/word/2010/wordprocessingShape">
                    <wps:wsp>
                      <wps:cNvSpPr/>
                      <wps:spPr>
                        <a:xfrm>
                          <a:off x="0" y="0"/>
                          <a:ext cx="1630045" cy="4603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45pt;margin-top:139.65pt;height:36.25pt;width:128.35pt;z-index:251685888;v-text-anchor:middle;mso-width-relative:page;mso-height-relative:page;" fillcolor="#FFFFFF [3212]" filled="t" stroked="t" coordsize="21600,21600" o:gfxdata="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EDOv9oAAAALAQAADwAAAAAAAAABACAAAAAiAAAAZHJzL2Rvd25y&#10;ZXYueG1sUEsBAhQAFAAAAAgAh07iQIjSlGVuAgAA+AQAAA4AAAAAAAAAAQAgAAAAKQEAAGRycy9l&#10;Mm9Eb2MueG1sUEsFBgAAAAAGAAYAWQEAAAk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1313815</wp:posOffset>
                </wp:positionH>
                <wp:positionV relativeFrom="paragraph">
                  <wp:posOffset>1368425</wp:posOffset>
                </wp:positionV>
                <wp:extent cx="660400" cy="346075"/>
                <wp:effectExtent l="6350" t="6350" r="19050" b="9525"/>
                <wp:wrapNone/>
                <wp:docPr id="196" name="矩形 196"/>
                <wp:cNvGraphicFramePr/>
                <a:graphic xmlns:a="http://schemas.openxmlformats.org/drawingml/2006/main">
                  <a:graphicData uri="http://schemas.microsoft.com/office/word/2010/wordprocessingShape">
                    <wps:wsp>
                      <wps:cNvSpPr/>
                      <wps:spPr>
                        <a:xfrm>
                          <a:off x="0" y="0"/>
                          <a:ext cx="660400" cy="3460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45pt;margin-top:107.75pt;height:27.25pt;width:52pt;z-index:251684864;v-text-anchor:middle;mso-width-relative:page;mso-height-relative:page;" fillcolor="#FFFFFF [3212]" filled="t" stroked="t" coordsize="21600,21600" o:gfxdata="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HtRfO2AAAAAsBAAAPAAAAAAAAAAEAIAAAACIAAABkcnMvZG93bnJldi54&#10;bWxQSwECFAAUAAAACACHTuJAoTMsdGwCAAD3BAAADgAAAAAAAAABACAAAAAnAQAAZHJzL2Uyb0Rv&#10;Yy54bWxQSwUGAAAAAAYABgBZAQAABQ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3159125</wp:posOffset>
                </wp:positionH>
                <wp:positionV relativeFrom="paragraph">
                  <wp:posOffset>1381760</wp:posOffset>
                </wp:positionV>
                <wp:extent cx="2088515" cy="275590"/>
                <wp:effectExtent l="6350" t="6350" r="19685" b="22860"/>
                <wp:wrapNone/>
                <wp:docPr id="195" name="矩形 195"/>
                <wp:cNvGraphicFramePr/>
                <a:graphic xmlns:a="http://schemas.openxmlformats.org/drawingml/2006/main">
                  <a:graphicData uri="http://schemas.microsoft.com/office/word/2010/wordprocessingShape">
                    <wps:wsp>
                      <wps:cNvSpPr/>
                      <wps:spPr>
                        <a:xfrm>
                          <a:off x="0" y="0"/>
                          <a:ext cx="2088515" cy="27559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75pt;margin-top:108.8pt;height:21.7pt;width:164.45pt;z-index:251683840;v-text-anchor:middle;mso-width-relative:page;mso-height-relative:page;" fillcolor="#FFFFFF [3212]" filled="t" stroked="t" coordsize="21600,21600" o:gfxdata="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Z1TI7aAAAACwEAAA8AAAAAAAAAAQAgAAAAIgAAAGRycy9kb3du&#10;cmV2LnhtbFBLAQIUABQAAAAIAIdO4kApNCUVbwIAAPg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2804160</wp:posOffset>
                </wp:positionH>
                <wp:positionV relativeFrom="paragraph">
                  <wp:posOffset>6254750</wp:posOffset>
                </wp:positionV>
                <wp:extent cx="2088515" cy="610870"/>
                <wp:effectExtent l="6350" t="6350" r="19685" b="11430"/>
                <wp:wrapNone/>
                <wp:docPr id="202" name="矩形 202"/>
                <wp:cNvGraphicFramePr/>
                <a:graphic xmlns:a="http://schemas.openxmlformats.org/drawingml/2006/main">
                  <a:graphicData uri="http://schemas.microsoft.com/office/word/2010/wordprocessingShape">
                    <wps:wsp>
                      <wps:cNvSpPr/>
                      <wps:spPr>
                        <a:xfrm>
                          <a:off x="0" y="0"/>
                          <a:ext cx="2088515" cy="61087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8pt;margin-top:492.5pt;height:48.1pt;width:164.45pt;z-index:251691008;v-text-anchor:middle;mso-width-relative:page;mso-height-relative:page;" fillcolor="#FFFFFF [3212]" filled="t" stroked="t" coordsize="21600,21600" o:gfxdata="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e9KLTaAAAADAEAAA8AAAAAAAAAAQAgAAAAIgAAAGRycy9kb3du&#10;cmV2LnhtbFBLAQIUABQAAAAIAIdO4kC/QojxbwIAAPg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2504440</wp:posOffset>
                </wp:positionH>
                <wp:positionV relativeFrom="paragraph">
                  <wp:posOffset>1941830</wp:posOffset>
                </wp:positionV>
                <wp:extent cx="1454150" cy="259080"/>
                <wp:effectExtent l="6350" t="6350" r="6350" b="20320"/>
                <wp:wrapNone/>
                <wp:docPr id="201" name="矩形 201"/>
                <wp:cNvGraphicFramePr/>
                <a:graphic xmlns:a="http://schemas.openxmlformats.org/drawingml/2006/main">
                  <a:graphicData uri="http://schemas.microsoft.com/office/word/2010/wordprocessingShape">
                    <wps:wsp>
                      <wps:cNvSpPr/>
                      <wps:spPr>
                        <a:xfrm>
                          <a:off x="0" y="0"/>
                          <a:ext cx="1454150" cy="25908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2pt;margin-top:152.9pt;height:20.4pt;width:114.5pt;z-index:251689984;v-text-anchor:middle;mso-width-relative:page;mso-height-relative:page;" fillcolor="#FFFFFF [3212]" filled="t" stroked="t" coordsize="21600,21600" o:gfxdata="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sLf89kAAAALAQAADwAAAAAAAAABACAAAAAiAAAAZHJzL2Rvd25yZXYu&#10;eG1sUEsBAhQAFAAAAAgAh07iQBkzTyZsAgAA+AQAAA4AAAAAAAAAAQAgAAAAKA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2310130</wp:posOffset>
                </wp:positionH>
                <wp:positionV relativeFrom="paragraph">
                  <wp:posOffset>1624330</wp:posOffset>
                </wp:positionV>
                <wp:extent cx="2088515" cy="258445"/>
                <wp:effectExtent l="6350" t="6350" r="19685" b="20955"/>
                <wp:wrapNone/>
                <wp:docPr id="200" name="矩形 200"/>
                <wp:cNvGraphicFramePr/>
                <a:graphic xmlns:a="http://schemas.openxmlformats.org/drawingml/2006/main">
                  <a:graphicData uri="http://schemas.microsoft.com/office/word/2010/wordprocessingShape">
                    <wps:wsp>
                      <wps:cNvSpPr/>
                      <wps:spPr>
                        <a:xfrm>
                          <a:off x="0" y="0"/>
                          <a:ext cx="2088515" cy="25844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9pt;margin-top:127.9pt;height:20.35pt;width:164.45pt;z-index:251688960;v-text-anchor:middle;mso-width-relative:page;mso-height-relative:page;" fillcolor="#FFFFFF [3212]" filled="t" stroked="t" coordsize="21600,21600" o:gfxdata="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GS6t3aAAAACwEAAA8AAAAAAAAAAQAgAAAAIgAAAGRycy9kb3ducmV2&#10;LnhtbFBLAQIUABQAAAAIAIdO4kDhWGe7bAIAAPgEAAAOAAAAAAAAAAEAIAAAACk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1260475</wp:posOffset>
                </wp:positionH>
                <wp:positionV relativeFrom="paragraph">
                  <wp:posOffset>1297940</wp:posOffset>
                </wp:positionV>
                <wp:extent cx="3455670" cy="305435"/>
                <wp:effectExtent l="6350" t="6350" r="24130" b="12065"/>
                <wp:wrapNone/>
                <wp:docPr id="199" name="矩形 199"/>
                <wp:cNvGraphicFramePr/>
                <a:graphic xmlns:a="http://schemas.openxmlformats.org/drawingml/2006/main">
                  <a:graphicData uri="http://schemas.microsoft.com/office/word/2010/wordprocessingShape">
                    <wps:wsp>
                      <wps:cNvSpPr/>
                      <wps:spPr>
                        <a:xfrm>
                          <a:off x="0" y="0"/>
                          <a:ext cx="3455670" cy="30543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25pt;margin-top:102.2pt;height:24.05pt;width:272.1pt;z-index:251687936;v-text-anchor:middle;mso-width-relative:page;mso-height-relative:page;" fillcolor="#FFFFFF [3212]" filled="t" stroked="t" coordsize="21600,21600" o:gfxdata="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R9k2dgAAAALAQAADwAAAAAAAAABACAAAAAiAAAAZHJzL2Rvd25yZXYu&#10;eG1sUEsBAhQAFAAAAAgAh07iQBkM0O5tAgAA+AQAAA4AAAAAAAAAAQAgAAAAJwEAAGRycy9lMm9E&#10;b2MueG1sUEsFBgAAAAAGAAYAWQEAAAYGAAAAAA==&#10;">
                <v:fill on="t" focussize="0,0"/>
                <v:stroke weight="1pt" color="#FFFFFF [3212]" miterlimit="8" joinstyle="miter"/>
                <v:imagedata o:title=""/>
                <o:lock v:ext="edit" aspectratio="f"/>
              </v:rect>
            </w:pict>
          </mc:Fallback>
        </mc:AlternateContent>
      </w:r>
      <w:r>
        <w:rPr>
          <w:rFonts w:hint="default" w:ascii="Times New Roman" w:hAnsi="Times New Roman" w:eastAsia="黑体" w:cs="Times New Roman"/>
          <w:snapToGrid w:val="0"/>
          <w:color w:val="auto"/>
          <w:sz w:val="30"/>
          <w:szCs w:val="30"/>
          <w:u w:val="none"/>
          <w:lang w:val="en-US" w:eastAsia="zh-CN"/>
        </w:rPr>
        <w:br w:type="page"/>
      </w:r>
    </w:p>
    <w:sdt>
      <w:sdtPr>
        <w:rPr>
          <w:rFonts w:ascii="宋体" w:hAnsi="宋体" w:eastAsia="宋体" w:cs="Times New Roman"/>
          <w:kern w:val="2"/>
          <w:sz w:val="21"/>
          <w:szCs w:val="24"/>
          <w:lang w:val="en-US" w:eastAsia="zh-CN" w:bidi="ar-SA"/>
        </w:rPr>
        <w:id w:val="147462207"/>
        <w15:color w:val="DBDBDB"/>
      </w:sdtPr>
      <w:sdtEndPr>
        <w:rPr>
          <w:rFonts w:ascii="宋体" w:hAnsi="宋体" w:eastAsia="宋体" w:cs="Times New Roman"/>
          <w:kern w:val="2"/>
          <w:sz w:val="21"/>
          <w:szCs w:val="24"/>
          <w:lang w:val="en-US" w:eastAsia="zh-CN" w:bidi="ar-SA"/>
        </w:rPr>
      </w:sdtEndPr>
      <w:sdtContent>
        <w:p w14:paraId="5C694BF9">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r>
            <w:rPr>
              <w:rFonts w:hint="eastAsia" w:ascii="黑体" w:hAnsi="黑体" w:eastAsia="黑体" w:cs="黑体"/>
              <w:b/>
              <w:bCs/>
              <w:sz w:val="36"/>
              <w:szCs w:val="36"/>
            </w:rPr>
            <w:t>目录</w:t>
          </w:r>
        </w:p>
        <w:p w14:paraId="741EC791">
          <w:pPr>
            <w:pStyle w:val="17"/>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fldChar w:fldCharType="begin"/>
          </w:r>
          <w:r>
            <w:instrText xml:space="preserve">TOC \o "1-3" \h \u </w:instrText>
          </w:r>
          <w: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_Toc26902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D6068D5">
          <w:pPr>
            <w:pStyle w:val="17"/>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_Toc12592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highlight w:val="none"/>
              <w:lang w:val="en-US" w:eastAsia="zh-CN"/>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_Toc12592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ADAB84D">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_Toc12184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2.1项目由来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_Toc12184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A074CD8">
          <w:pPr>
            <w:pStyle w:val="17"/>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_Toc13485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rPr>
            <w:t>表2</w:t>
          </w:r>
          <w:r>
            <w:rPr>
              <w:rFonts w:hint="default"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rPr>
            <w:t>-1建设项目环境影响评价分类管理名录</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摘录</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_Toc13485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23D9FC0">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2.2扩建项目概况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9025B8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2.2.1企业基本情况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93AFF8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_Toc6433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2.2.2项目基本情况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_Toc6433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509C70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_Toc27237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2.2.3项目工程组成及建设内容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_Toc27237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EF3571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_Toc25412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2.2.4项目产品方案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_Toc25412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7F3E163">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2.2.6项目主要原辅材料及能源消耗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89484C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_Toc7444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2.2.5主要生产设备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_Toc7444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B7298F2">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_Toc24377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2.2.7项目水平衡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_Toc24377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38A7DB4">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_Toc13052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2.2.8项目平面布置合理性分析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_Toc13052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A041634">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_Toc32596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2.3扩建项目生产工艺流程及产污环节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_Toc32596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766F9FC">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_Toc16602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2.3.1项目工艺流程及工艺介绍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E8029D3">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_Toc20557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2.3.2产污环节分析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_Toc20557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86DDC16">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_Toc3794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2.4现有项目概况和污染源分析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2F53A5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_Toc4566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2.4.1现有项目环保手续基本情况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_Toc4566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61549F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_Toc32133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2.4.2现有项目基本概况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_Toc32133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8A6DA4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2.4.3现有项目组成及建设内容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3C595B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_Toc9506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2.4.4现有产品方案和主要原辅材料、能源消耗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_Toc9506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84C7A3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_Toc13141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2.4.5现有项目工艺流程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EAAE272">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_Toc17907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2.4.6现有项目污染物产排情况和验收情况说明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_Toc17907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7B6EFD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_Toc7208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2.4.7原有工程的环保投诉情况、事故和处罚情况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_Toc7208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F3318BF">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_Toc24139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2.4.8现有项目和环评批复落实情况存在的问题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_Toc24139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3BFE41B">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_Toc15561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2.4.9现有项目存在问题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FCB4F3F">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_Toc6411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2.5项目“三本账”分析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_Toc6411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CBA8CF1">
          <w:pPr>
            <w:pStyle w:val="17"/>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_Toc10692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41310F1">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_Toc8463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3.1大气环境质量现状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_Toc8463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3DC8D6F">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_Toc12539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3.1.1环境空气质量功能区划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_Toc12539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E13C07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3.1.2环境空气质量现状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0DD0903">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_Toc27636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3.2水环境质量现状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_Toc27636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838561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_Toc13880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3.2.1地表水功能区划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_Toc13880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278D34B">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_Toc8599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3.2.2地表水环境质量现状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C6BE114">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_Toc23909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3.3声环境质量现状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_Toc23909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C68FAC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_Toc23273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3.3.1声环境质量标准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_Toc23273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9BF637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_Toc3969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3.3.2声环境质量现状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_Toc3969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568CCF5">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_Toc27266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3.4生态环境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_Toc27266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6BF58C2">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_Toc11924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3.5土壤、地下水环境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9E22A9E">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_Toc25809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主要环境保护目标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_Toc25809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66AC1C0">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_Toc30131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3.7污染物排放标准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3700E54">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_Toc14189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3.7.1废水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_Toc14189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3F875F3">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_Toc10122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3.7.2废气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_Toc10122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294D97F">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3.7.3噪声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4C1157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_Toc25103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3.7.4固废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_Toc25103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8B5E610">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3.8总量控制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BB6FF3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_Toc18723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3.8.1废水总量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C19469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_Toc11653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3.8.2废气总量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_Toc11653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1563F78">
          <w:pPr>
            <w:pStyle w:val="17"/>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napToGrid w:val="0"/>
              <w:sz w:val="24"/>
              <w:szCs w:val="24"/>
              <w:lang w:val="en-US" w:eastAsia="zh-CN"/>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1577915">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_Toc9279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.1大气环境影响分析和污染防治措施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B9EB8AE">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_Toc22559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rPr>
            <w:t>4.1.1运营期废气源强核算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09845D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_Toc16291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4.1.2废气产排情况一览表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684419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_Toc19361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4.1.3运营期大气污染防治措施合理性分析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57F4BE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_Toc15418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4.1.4非正常工况排放量核算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_Toc15418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93E00E6">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_Toc22563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4.2水环境影响分析和污染防治措施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974BF8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_Toc30971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4.2.1运营期废水源强分析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E2A078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_Toc16293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4.2.2运营期水环境影响及污染防治措施可行性分析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0A0545B">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_Toc6980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4.3噪声环境影响分析和污染防治措施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_Toc6980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32152A9">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_Toc14338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4.3.1噪声源强分析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376771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_Toc22443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4.3.2声环境影响分析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_Toc22443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FE905F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_Toc18677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4.3.3</w:t>
          </w:r>
          <w:r>
            <w:rPr>
              <w:rFonts w:hint="default" w:ascii="Times New Roman" w:hAnsi="Times New Roman" w:eastAsia="宋体" w:cs="Times New Roman"/>
              <w:kern w:val="0"/>
              <w:sz w:val="24"/>
              <w:szCs w:val="24"/>
              <w:lang w:val="zh-CN" w:eastAsia="zh-CN"/>
            </w:rPr>
            <w:t>噪声污染控制措施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CE0A426">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_Toc11896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4.4固体废物环境影响分析和污染防治措施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_Toc11896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1EDD6B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_Toc4923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4.4.1固体废物</w:t>
          </w:r>
          <w:r>
            <w:rPr>
              <w:rFonts w:hint="default" w:ascii="Times New Roman" w:hAnsi="Times New Roman" w:eastAsia="宋体" w:cs="Times New Roman"/>
              <w:kern w:val="0"/>
              <w:sz w:val="24"/>
              <w:szCs w:val="24"/>
              <w:lang w:val="en-US" w:eastAsia="zh-CN"/>
            </w:rPr>
            <w:t>污染源</w:t>
          </w:r>
          <w:r>
            <w:rPr>
              <w:rFonts w:hint="default" w:ascii="Times New Roman" w:hAnsi="Times New Roman" w:eastAsia="宋体" w:cs="Times New Roman"/>
              <w:kern w:val="0"/>
              <w:sz w:val="24"/>
              <w:szCs w:val="24"/>
              <w:lang w:val="zh-CN" w:eastAsia="zh-CN"/>
            </w:rPr>
            <w:t>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_Toc4923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64FE834">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_Toc8384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highlight w:val="none"/>
              <w:lang w:val="zh-CN" w:eastAsia="zh-CN"/>
            </w:rPr>
            <w:t>4.4.2固废管理要求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541163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_Toc4534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4.4.3危险废物管理要求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_Toc4534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F8A6B24">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_Toc19317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4.5地下水、土壤环境影响和保护措施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A5229F3">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_Toc11459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4.5.1地下水、土壤环境影响分析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_Toc11459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F2FB2F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_Toc32750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4.5.2地下水、土壤环境防控措施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_Toc32750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82D32F7">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_Toc31004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kern w:val="0"/>
              <w:sz w:val="24"/>
              <w:szCs w:val="24"/>
            </w:rPr>
            <w:t>4.6环境风险分析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_Toc31004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86974B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_Toc28081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4.6.1项目危险物质调查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_Toc28081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683936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4.6.2环境风险识别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77893C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4.6.3环境风险防范措施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_Toc20357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899E037">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4.7自行监测计划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3CF208C">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_Toc24081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4.8环保投资估算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24E252D">
          <w:pPr>
            <w:pStyle w:val="17"/>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_Toc15653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GB" w:eastAsia="zh-CN"/>
            </w:rPr>
            <w:t>五、</w:t>
          </w:r>
          <w:r>
            <w:rPr>
              <w:rFonts w:hint="default" w:ascii="Times New Roman" w:hAnsi="Times New Roman" w:eastAsia="宋体" w:cs="Times New Roman"/>
              <w:sz w:val="24"/>
              <w:szCs w:val="24"/>
              <w:highlight w:val="none"/>
            </w:rPr>
            <w:t>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4A117CA">
          <w:pPr>
            <w:pStyle w:val="17"/>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_Toc7328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_Toc7328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609027B">
          <w:pPr>
            <w:pStyle w:val="17"/>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_Toc17915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附表</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_Toc30903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2D48353">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附图一：项目地理位置图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A73BAD5">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_Toc15263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附图二：城乡产业空间布局规划图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_Toc15263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57DE840">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_Toc10400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附图三：城乡土地使用规划图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_Toc10400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1DC2D13">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附图四：《福清市国土空间总体规划（2021—2035年）》“三条控制线”划定图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45387E7">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_Toc26017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附图五：《福建省近岸海域环境功能区划（修编）（2011—2020年）》近海域环境功能区划图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88E0112">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附图六：项目周边环境现状示意图及环境保护目标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B19088B">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_Toc23754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附图七：项目周边环境现状照片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87AFE04">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_Toc21598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附图八：项目平面布置图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E32EBE5">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_Toc20181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附图九：福建省生态环境分区管控数据应用平台查询结果截图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_Toc20181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CD58E80">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_Toc29066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附件一：项目委托书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_Toc29066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60B4224">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_Toc29195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附件二：营业执照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_Toc29195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8E79D4E">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_Toc6619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附件三：法人身份信息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_Toc6619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0E16E4C">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_Toc15588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附件四：授权委托书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C677D26">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附件五：受委托人身份证复印件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51E1ECB">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_Toc12798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附件六：项目发改备案表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_Toc12798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7986BF1">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_Toc17750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附件七：不动产权证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9246BD9">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_Toc11874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附件八：厂房租赁合同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_Toc11874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CBF7FF6">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_Toc28402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附件九：现有项目环评批复（融环评表〔2017〕26号）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_Toc28402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EFCD875">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_Toc19289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附件十：现有项目验收报告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_Toc19289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961275E">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_Toc26700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附件十一：固定污染源排污登记回执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_Toc26700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05A1B8D">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_Toc5550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附件十二：供气合同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308A11A">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_Toc28870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附件十三：原材料SMDS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862CF5F">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_Toc9716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附件十四：现有项目2025年企业自行检测报告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_Toc9716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0A62578">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_Toc8825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附件十五：公开说明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_Toc8825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EC9E1D4">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_Toc19048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附件十六：关于环评文件公开文本删除的涉及国家秘密、商业秘密等内容的删除依据和理由说明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_Toc19048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EDB0ED1">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_Toc25873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附件十七：环评审批申请报告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_Toc25873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03EB453">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_Toc23781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附件十八：申请环评批复报告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A69469A">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pPr>
          <w:r>
            <w:fldChar w:fldCharType="end"/>
          </w:r>
        </w:p>
      </w:sdtContent>
    </w:sdt>
    <w:p w14:paraId="4D53034D"/>
    <w:p w14:paraId="22C894FB">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3" w:type="default"/>
          <w:pgSz w:w="11906" w:h="16838"/>
          <w:pgMar w:top="1587" w:right="1417" w:bottom="1587"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18" w:charSpace="0"/>
        </w:sectPr>
      </w:pPr>
    </w:p>
    <w:p w14:paraId="380D2664">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9" w:name="_Toc26902"/>
      <w:r>
        <w:rPr>
          <w:rFonts w:hint="default" w:ascii="Times New Roman" w:hAnsi="Times New Roman" w:eastAsia="黑体" w:cs="Times New Roman"/>
          <w:snapToGrid w:val="0"/>
          <w:color w:val="auto"/>
          <w:sz w:val="30"/>
          <w:szCs w:val="30"/>
          <w:u w:val="none"/>
          <w:lang w:val="en-US" w:eastAsia="zh-CN"/>
        </w:rPr>
        <w:t>一、建设项目基本情况</w:t>
      </w:r>
      <w:bookmarkEnd w:id="9"/>
    </w:p>
    <w:tbl>
      <w:tblPr>
        <w:tblStyle w:val="23"/>
        <w:tblW w:w="89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98"/>
        <w:gridCol w:w="1037"/>
        <w:gridCol w:w="2254"/>
        <w:gridCol w:w="1565"/>
        <w:gridCol w:w="323"/>
        <w:gridCol w:w="3095"/>
      </w:tblGrid>
      <w:tr w14:paraId="5FB55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5" w:type="dxa"/>
            <w:gridSpan w:val="2"/>
            <w:tcMar>
              <w:top w:w="16" w:type="dxa"/>
              <w:left w:w="16" w:type="dxa"/>
              <w:right w:w="16" w:type="dxa"/>
            </w:tcMar>
            <w:vAlign w:val="center"/>
          </w:tcPr>
          <w:p w14:paraId="641B86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7237" w:type="dxa"/>
            <w:gridSpan w:val="4"/>
            <w:vAlign w:val="center"/>
          </w:tcPr>
          <w:p w14:paraId="6C2F07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福建恒润包装有限公司年产EPS包装泡沫7800吨、EPO包装泡沫900吨、EPP包装泡沫1200吨项目</w:t>
            </w:r>
          </w:p>
        </w:tc>
      </w:tr>
      <w:tr w14:paraId="49DF9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735" w:type="dxa"/>
            <w:gridSpan w:val="2"/>
            <w:tcMar>
              <w:top w:w="16" w:type="dxa"/>
              <w:left w:w="16" w:type="dxa"/>
              <w:right w:w="16" w:type="dxa"/>
            </w:tcMar>
            <w:vAlign w:val="center"/>
          </w:tcPr>
          <w:p w14:paraId="575384E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项目代码</w:t>
            </w:r>
          </w:p>
        </w:tc>
        <w:tc>
          <w:tcPr>
            <w:tcW w:w="7237" w:type="dxa"/>
            <w:gridSpan w:val="4"/>
            <w:vAlign w:val="center"/>
          </w:tcPr>
          <w:p w14:paraId="6E5AE75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2602-350181-04-01-846561</w:t>
            </w:r>
          </w:p>
        </w:tc>
      </w:tr>
      <w:tr w14:paraId="7C849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1735" w:type="dxa"/>
            <w:gridSpan w:val="2"/>
            <w:tcMar>
              <w:top w:w="16" w:type="dxa"/>
              <w:left w:w="16" w:type="dxa"/>
              <w:right w:w="16" w:type="dxa"/>
            </w:tcMar>
            <w:vAlign w:val="center"/>
          </w:tcPr>
          <w:p w14:paraId="5EC17CE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建设单位联系人</w:t>
            </w:r>
          </w:p>
        </w:tc>
        <w:tc>
          <w:tcPr>
            <w:tcW w:w="2254" w:type="dxa"/>
            <w:vAlign w:val="center"/>
          </w:tcPr>
          <w:p w14:paraId="1614420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c>
          <w:tcPr>
            <w:tcW w:w="1888" w:type="dxa"/>
            <w:gridSpan w:val="2"/>
            <w:vAlign w:val="center"/>
          </w:tcPr>
          <w:p w14:paraId="17911D5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联系方式</w:t>
            </w:r>
          </w:p>
        </w:tc>
        <w:tc>
          <w:tcPr>
            <w:tcW w:w="3095" w:type="dxa"/>
            <w:vAlign w:val="center"/>
          </w:tcPr>
          <w:p w14:paraId="0E7000E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137</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08</w:t>
            </w:r>
          </w:p>
        </w:tc>
      </w:tr>
      <w:tr w14:paraId="191F6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1735" w:type="dxa"/>
            <w:gridSpan w:val="2"/>
            <w:tcMar>
              <w:top w:w="16" w:type="dxa"/>
              <w:left w:w="16" w:type="dxa"/>
              <w:right w:w="16" w:type="dxa"/>
            </w:tcMar>
            <w:vAlign w:val="center"/>
          </w:tcPr>
          <w:p w14:paraId="4C8859B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7237" w:type="dxa"/>
            <w:gridSpan w:val="4"/>
            <w:vAlign w:val="center"/>
          </w:tcPr>
          <w:p w14:paraId="738E755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福建省福州市福清市新厝镇双屿500-22号（江阴港城经济区新厝区块）</w:t>
            </w:r>
          </w:p>
        </w:tc>
      </w:tr>
      <w:tr w14:paraId="09910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1735" w:type="dxa"/>
            <w:gridSpan w:val="2"/>
            <w:tcMar>
              <w:top w:w="16" w:type="dxa"/>
              <w:left w:w="16" w:type="dxa"/>
              <w:right w:w="16" w:type="dxa"/>
            </w:tcMar>
            <w:vAlign w:val="center"/>
          </w:tcPr>
          <w:p w14:paraId="1B3B65E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7237" w:type="dxa"/>
            <w:gridSpan w:val="4"/>
            <w:vAlign w:val="center"/>
          </w:tcPr>
          <w:p w14:paraId="0F960F7E">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u w:val="single"/>
                <w:lang w:val="en-US" w:eastAsia="zh-CN"/>
                <w14:textFill>
                  <w14:solidFill>
                    <w14:schemeClr w14:val="tx1"/>
                  </w14:solidFill>
                </w14:textFill>
              </w:rPr>
              <w:t>119</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16</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19.6169</w:t>
            </w:r>
            <w:r>
              <w:rPr>
                <w:color w:val="000000" w:themeColor="text1"/>
                <w:sz w:val="24"/>
                <w:highlight w:val="none"/>
                <w14:textFill>
                  <w14:solidFill>
                    <w14:schemeClr w14:val="tx1"/>
                  </w14:solidFill>
                </w14:textFill>
              </w:rPr>
              <w:t>秒，</w:t>
            </w:r>
            <w:r>
              <w:rPr>
                <w:color w:val="000000" w:themeColor="text1"/>
                <w:sz w:val="24"/>
                <w:highlight w:val="none"/>
                <w:u w:val="single"/>
                <w14:textFill>
                  <w14:solidFill>
                    <w14:schemeClr w14:val="tx1"/>
                  </w14:solidFill>
                </w14:textFill>
              </w:rPr>
              <w:t>2</w:t>
            </w:r>
            <w:r>
              <w:rPr>
                <w:rFonts w:hint="eastAsia"/>
                <w:color w:val="000000" w:themeColor="text1"/>
                <w:sz w:val="24"/>
                <w:highlight w:val="none"/>
                <w:u w:val="single"/>
                <w14:textFill>
                  <w14:solidFill>
                    <w14:schemeClr w14:val="tx1"/>
                  </w14:solidFill>
                </w14:textFill>
              </w:rPr>
              <w:t>5</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29</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37.4946</w:t>
            </w:r>
            <w:r>
              <w:rPr>
                <w:color w:val="000000" w:themeColor="text1"/>
                <w:sz w:val="24"/>
                <w:highlight w:val="none"/>
                <w14:textFill>
                  <w14:solidFill>
                    <w14:schemeClr w14:val="tx1"/>
                  </w14:solidFill>
                </w14:textFill>
              </w:rPr>
              <w:t>秒）</w:t>
            </w:r>
          </w:p>
          <w:p w14:paraId="6B24FFED">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地理位置图详见</w:t>
            </w:r>
            <w:r>
              <w:rPr>
                <w:rFonts w:hint="default" w:ascii="Times New Roman" w:hAnsi="Times New Roman" w:eastAsia="宋体" w:cs="Times New Roman"/>
                <w:b/>
                <w:bCs/>
                <w:color w:val="auto"/>
                <w:sz w:val="24"/>
                <w:szCs w:val="24"/>
                <w:highlight w:val="none"/>
                <w:u w:val="none"/>
                <w:lang w:eastAsia="zh-CN"/>
              </w:rPr>
              <w:t>附图</w:t>
            </w:r>
            <w:r>
              <w:rPr>
                <w:rFonts w:hint="eastAsia" w:cs="Times New Roman"/>
                <w:b/>
                <w:bCs/>
                <w:color w:val="auto"/>
                <w:sz w:val="24"/>
                <w:szCs w:val="24"/>
                <w:highlight w:val="none"/>
                <w:u w:val="none"/>
                <w:lang w:val="en-US" w:eastAsia="zh-CN"/>
              </w:rPr>
              <w:t>一</w:t>
            </w:r>
          </w:p>
        </w:tc>
      </w:tr>
      <w:tr w14:paraId="4D696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5" w:type="dxa"/>
            <w:gridSpan w:val="2"/>
            <w:tcMar>
              <w:top w:w="16" w:type="dxa"/>
              <w:left w:w="16" w:type="dxa"/>
              <w:right w:w="16" w:type="dxa"/>
            </w:tcMar>
            <w:vAlign w:val="center"/>
          </w:tcPr>
          <w:p w14:paraId="382C255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26E18AB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2254" w:type="dxa"/>
            <w:vAlign w:val="center"/>
          </w:tcPr>
          <w:p w14:paraId="1CB1EA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C2924泡沫塑料制造</w:t>
            </w:r>
          </w:p>
        </w:tc>
        <w:tc>
          <w:tcPr>
            <w:tcW w:w="1565" w:type="dxa"/>
            <w:vAlign w:val="center"/>
          </w:tcPr>
          <w:p w14:paraId="773228B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建设项目</w:t>
            </w:r>
          </w:p>
          <w:p w14:paraId="3AE5E54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auto"/>
                <w:sz w:val="24"/>
                <w:szCs w:val="24"/>
                <w:highlight w:val="none"/>
                <w:u w:val="none"/>
              </w:rPr>
              <w:t>行业类别</w:t>
            </w:r>
          </w:p>
        </w:tc>
        <w:tc>
          <w:tcPr>
            <w:tcW w:w="3418" w:type="dxa"/>
            <w:gridSpan w:val="2"/>
            <w:vAlign w:val="center"/>
          </w:tcPr>
          <w:p w14:paraId="0C3295C6">
            <w:pPr>
              <w:keepNext w:val="0"/>
              <w:keepLines w:val="0"/>
              <w:widowControl/>
              <w:suppressLineNumbers w:val="0"/>
              <w:jc w:val="left"/>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二十六、橡胶和塑料制品业29-53塑料制品业292</w:t>
            </w:r>
          </w:p>
        </w:tc>
      </w:tr>
      <w:tr w14:paraId="033C2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735" w:type="dxa"/>
            <w:gridSpan w:val="2"/>
            <w:tcMar>
              <w:top w:w="16" w:type="dxa"/>
              <w:left w:w="16" w:type="dxa"/>
              <w:right w:w="16" w:type="dxa"/>
            </w:tcMar>
            <w:vAlign w:val="center"/>
          </w:tcPr>
          <w:p w14:paraId="102ADF4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2254" w:type="dxa"/>
            <w:vAlign w:val="center"/>
          </w:tcPr>
          <w:p w14:paraId="433F47EF">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eastAsia"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新建（迁建）</w:t>
            </w:r>
          </w:p>
          <w:p w14:paraId="42C8B42A">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改建</w:t>
            </w:r>
          </w:p>
          <w:p w14:paraId="593D15ED">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eastAsia"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扩建</w:t>
            </w:r>
          </w:p>
          <w:p w14:paraId="042E478F">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技术改造</w:t>
            </w:r>
          </w:p>
        </w:tc>
        <w:tc>
          <w:tcPr>
            <w:tcW w:w="1565" w:type="dxa"/>
            <w:vAlign w:val="center"/>
          </w:tcPr>
          <w:p w14:paraId="5F72DBC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建设项目</w:t>
            </w:r>
          </w:p>
          <w:p w14:paraId="13DD028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申报情形</w:t>
            </w:r>
          </w:p>
        </w:tc>
        <w:tc>
          <w:tcPr>
            <w:tcW w:w="3418" w:type="dxa"/>
            <w:gridSpan w:val="2"/>
            <w:vAlign w:val="center"/>
          </w:tcPr>
          <w:p w14:paraId="4A2F2F25">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首次申报项目</w:t>
            </w:r>
          </w:p>
          <w:p w14:paraId="7CAEFA4A">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不予批准后再次申报项目</w:t>
            </w:r>
          </w:p>
          <w:p w14:paraId="10650B69">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超五年重新审核项目</w:t>
            </w:r>
          </w:p>
          <w:p w14:paraId="078246A5">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重大变动重新报批项目</w:t>
            </w:r>
          </w:p>
        </w:tc>
      </w:tr>
      <w:tr w14:paraId="3999F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2" w:hRule="atLeast"/>
          <w:jc w:val="center"/>
        </w:trPr>
        <w:tc>
          <w:tcPr>
            <w:tcW w:w="1735" w:type="dxa"/>
            <w:gridSpan w:val="2"/>
            <w:tcMar>
              <w:top w:w="16" w:type="dxa"/>
              <w:left w:w="16" w:type="dxa"/>
              <w:right w:w="16" w:type="dxa"/>
            </w:tcMar>
            <w:vAlign w:val="center"/>
          </w:tcPr>
          <w:p w14:paraId="55FF0A4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2FA3972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2254" w:type="dxa"/>
            <w:vAlign w:val="center"/>
          </w:tcPr>
          <w:p w14:paraId="35D7692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福清</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市</w:t>
            </w:r>
            <w:r>
              <w:rPr>
                <w:rFonts w:hint="eastAsia" w:cs="Times New Roman"/>
                <w:color w:val="000000" w:themeColor="text1"/>
                <w:sz w:val="24"/>
                <w:szCs w:val="24"/>
                <w:highlight w:val="none"/>
                <w:u w:val="none"/>
                <w:lang w:val="en-US" w:eastAsia="zh-CN"/>
                <w14:textFill>
                  <w14:solidFill>
                    <w14:schemeClr w14:val="tx1"/>
                  </w14:solidFill>
                </w14:textFill>
              </w:rPr>
              <w:t>工业和信息化</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局</w:t>
            </w:r>
          </w:p>
        </w:tc>
        <w:tc>
          <w:tcPr>
            <w:tcW w:w="1888" w:type="dxa"/>
            <w:gridSpan w:val="2"/>
            <w:vAlign w:val="center"/>
          </w:tcPr>
          <w:p w14:paraId="37062F1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项目审批（核准/</w:t>
            </w:r>
          </w:p>
          <w:p w14:paraId="22F4AE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备案）文号（选填）</w:t>
            </w:r>
          </w:p>
        </w:tc>
        <w:tc>
          <w:tcPr>
            <w:tcW w:w="3095" w:type="dxa"/>
            <w:vAlign w:val="center"/>
          </w:tcPr>
          <w:p w14:paraId="496CB38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闽</w:t>
            </w:r>
            <w:r>
              <w:rPr>
                <w:rFonts w:hint="eastAsia" w:cs="Times New Roman"/>
                <w:color w:val="000000" w:themeColor="text1"/>
                <w:sz w:val="24"/>
                <w:szCs w:val="24"/>
                <w:highlight w:val="none"/>
                <w:u w:val="none"/>
                <w:lang w:val="en-US" w:eastAsia="zh-CN"/>
                <w14:textFill>
                  <w14:solidFill>
                    <w14:schemeClr w14:val="tx1"/>
                  </w14:solidFill>
                </w14:textFill>
              </w:rPr>
              <w:t>工信</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备</w:t>
            </w:r>
            <w:r>
              <w:rPr>
                <w:rFonts w:hint="eastAsia" w:cs="Times New Roman"/>
                <w:color w:val="000000" w:themeColor="text1"/>
                <w:sz w:val="24"/>
                <w:szCs w:val="24"/>
                <w:highlight w:val="none"/>
                <w:u w:val="none"/>
                <w:lang w:eastAsia="zh-CN"/>
                <w14:textFill>
                  <w14:solidFill>
                    <w14:schemeClr w14:val="tx1"/>
                  </w14:solidFill>
                </w14:textFill>
              </w:rPr>
              <w:t>〔202</w:t>
            </w:r>
            <w:r>
              <w:rPr>
                <w:rFonts w:hint="eastAsia" w:cs="Times New Roman"/>
                <w:color w:val="000000" w:themeColor="text1"/>
                <w:sz w:val="24"/>
                <w:szCs w:val="24"/>
                <w:highlight w:val="none"/>
                <w:u w:val="none"/>
                <w:lang w:val="en-US" w:eastAsia="zh-CN"/>
                <w14:textFill>
                  <w14:solidFill>
                    <w14:schemeClr w14:val="tx1"/>
                  </w14:solidFill>
                </w14:textFill>
              </w:rPr>
              <w:t>6</w:t>
            </w:r>
            <w:r>
              <w:rPr>
                <w:rFonts w:hint="eastAsia"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A0</w:t>
            </w:r>
            <w:r>
              <w:rPr>
                <w:rFonts w:hint="eastAsia" w:cs="Times New Roman"/>
                <w:color w:val="000000" w:themeColor="text1"/>
                <w:sz w:val="24"/>
                <w:szCs w:val="24"/>
                <w:highlight w:val="none"/>
                <w:u w:val="none"/>
                <w:lang w:val="en-US" w:eastAsia="zh-CN"/>
                <w14:textFill>
                  <w14:solidFill>
                    <w14:schemeClr w14:val="tx1"/>
                  </w14:solidFill>
                </w14:textFill>
              </w:rPr>
              <w:t>60011</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号</w:t>
            </w:r>
          </w:p>
        </w:tc>
      </w:tr>
      <w:tr w14:paraId="60213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735" w:type="dxa"/>
            <w:gridSpan w:val="2"/>
            <w:tcMar>
              <w:top w:w="16" w:type="dxa"/>
              <w:left w:w="16" w:type="dxa"/>
              <w:right w:w="16" w:type="dxa"/>
            </w:tcMar>
            <w:vAlign w:val="center"/>
          </w:tcPr>
          <w:p w14:paraId="7D2457E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2254" w:type="dxa"/>
            <w:vAlign w:val="center"/>
          </w:tcPr>
          <w:p w14:paraId="61EAF47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1146.31</w:t>
            </w:r>
          </w:p>
        </w:tc>
        <w:tc>
          <w:tcPr>
            <w:tcW w:w="1888" w:type="dxa"/>
            <w:gridSpan w:val="2"/>
            <w:tcMar>
              <w:top w:w="16" w:type="dxa"/>
              <w:left w:w="16" w:type="dxa"/>
              <w:right w:w="16" w:type="dxa"/>
            </w:tcMar>
            <w:vAlign w:val="center"/>
          </w:tcPr>
          <w:p w14:paraId="2536088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环保投资（万元）</w:t>
            </w:r>
          </w:p>
        </w:tc>
        <w:tc>
          <w:tcPr>
            <w:tcW w:w="3095" w:type="dxa"/>
            <w:vAlign w:val="center"/>
          </w:tcPr>
          <w:p w14:paraId="60F91B9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30</w:t>
            </w:r>
          </w:p>
        </w:tc>
      </w:tr>
      <w:tr w14:paraId="113F4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735" w:type="dxa"/>
            <w:gridSpan w:val="2"/>
            <w:tcMar>
              <w:top w:w="16" w:type="dxa"/>
              <w:left w:w="16" w:type="dxa"/>
              <w:right w:w="16" w:type="dxa"/>
            </w:tcMar>
            <w:vAlign w:val="center"/>
          </w:tcPr>
          <w:p w14:paraId="7000855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环保投资占比（%）</w:t>
            </w:r>
          </w:p>
        </w:tc>
        <w:tc>
          <w:tcPr>
            <w:tcW w:w="2254" w:type="dxa"/>
            <w:vAlign w:val="center"/>
          </w:tcPr>
          <w:p w14:paraId="50A9BEB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2.617%</w:t>
            </w:r>
          </w:p>
        </w:tc>
        <w:tc>
          <w:tcPr>
            <w:tcW w:w="1888" w:type="dxa"/>
            <w:gridSpan w:val="2"/>
            <w:tcMar>
              <w:top w:w="16" w:type="dxa"/>
              <w:left w:w="16" w:type="dxa"/>
              <w:right w:w="16" w:type="dxa"/>
            </w:tcMar>
            <w:vAlign w:val="center"/>
          </w:tcPr>
          <w:p w14:paraId="457D80A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施工工期</w:t>
            </w:r>
          </w:p>
        </w:tc>
        <w:tc>
          <w:tcPr>
            <w:tcW w:w="3095" w:type="dxa"/>
            <w:vAlign w:val="center"/>
          </w:tcPr>
          <w:p w14:paraId="4F474DF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w:t>
            </w:r>
            <w:r>
              <w:rPr>
                <w:rFonts w:hint="eastAsia"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w:t>
            </w:r>
          </w:p>
        </w:tc>
      </w:tr>
      <w:tr w14:paraId="408B3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8" w:hRule="atLeast"/>
          <w:jc w:val="center"/>
        </w:trPr>
        <w:tc>
          <w:tcPr>
            <w:tcW w:w="1735" w:type="dxa"/>
            <w:gridSpan w:val="2"/>
            <w:tcMar>
              <w:top w:w="16" w:type="dxa"/>
              <w:left w:w="16" w:type="dxa"/>
              <w:right w:w="16" w:type="dxa"/>
            </w:tcMar>
            <w:vAlign w:val="center"/>
          </w:tcPr>
          <w:p w14:paraId="6041D18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2254" w:type="dxa"/>
            <w:vAlign w:val="center"/>
          </w:tcPr>
          <w:p w14:paraId="300F52D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050F850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888" w:type="dxa"/>
            <w:gridSpan w:val="2"/>
            <w:tcMar>
              <w:top w:w="16" w:type="dxa"/>
              <w:left w:w="16" w:type="dxa"/>
              <w:right w:w="16" w:type="dxa"/>
            </w:tcMar>
            <w:vAlign w:val="center"/>
          </w:tcPr>
          <w:p w14:paraId="3EBBE1D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7970A49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3095" w:type="dxa"/>
            <w:vAlign w:val="center"/>
          </w:tcPr>
          <w:p w14:paraId="0F5E84F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eastAsia="zh-CN"/>
              </w:rPr>
              <w:t>面积</w:t>
            </w:r>
            <w:r>
              <w:rPr>
                <w:rFonts w:hint="eastAsia" w:cs="Times New Roman"/>
                <w:color w:val="auto"/>
                <w:sz w:val="24"/>
                <w:szCs w:val="24"/>
                <w:highlight w:val="none"/>
                <w:u w:val="none"/>
                <w:lang w:val="en-US" w:eastAsia="zh-CN"/>
              </w:rPr>
              <w:t>9131</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tc>
      </w:tr>
      <w:tr w14:paraId="6DC0A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8" w:type="dxa"/>
            <w:vAlign w:val="center"/>
          </w:tcPr>
          <w:p w14:paraId="74B1D17F">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8274" w:type="dxa"/>
            <w:gridSpan w:val="5"/>
            <w:vAlign w:val="center"/>
          </w:tcPr>
          <w:p w14:paraId="61C0F4BC">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项目工程专项设置情况参照表1专项评价设置原则表，具体详见下表：</w:t>
            </w:r>
          </w:p>
          <w:p w14:paraId="441F0A01">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auto"/>
                <w:kern w:val="0"/>
                <w:sz w:val="24"/>
                <w:szCs w:val="24"/>
                <w:u w:val="none"/>
                <w:lang w:eastAsia="zh-CN" w:bidi="ar"/>
              </w:rPr>
              <w:t>表1.1项目专项评价设置表</w:t>
            </w:r>
          </w:p>
          <w:tbl>
            <w:tblPr>
              <w:tblStyle w:val="24"/>
              <w:tblW w:w="8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708"/>
              <w:gridCol w:w="3242"/>
              <w:gridCol w:w="1018"/>
            </w:tblGrid>
            <w:tr w14:paraId="5124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186" w:type="dxa"/>
                  <w:tcBorders>
                    <w:top w:val="single" w:color="auto" w:sz="12" w:space="0"/>
                    <w:left w:val="nil"/>
                  </w:tcBorders>
                  <w:vAlign w:val="center"/>
                </w:tcPr>
                <w:p w14:paraId="18FE914B">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kern w:val="0"/>
                      <w:sz w:val="24"/>
                      <w:szCs w:val="24"/>
                      <w:u w:val="none"/>
                      <w:lang w:val="en-US" w:eastAsia="zh-CN" w:bidi="ar"/>
                    </w:rPr>
                    <w:t>专项评价的类别</w:t>
                  </w:r>
                </w:p>
              </w:tc>
              <w:tc>
                <w:tcPr>
                  <w:tcW w:w="2708" w:type="dxa"/>
                  <w:tcBorders>
                    <w:top w:val="single" w:color="auto" w:sz="12" w:space="0"/>
                  </w:tcBorders>
                  <w:vAlign w:val="center"/>
                </w:tcPr>
                <w:p w14:paraId="029ED7F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kern w:val="0"/>
                      <w:sz w:val="24"/>
                      <w:szCs w:val="24"/>
                      <w:u w:val="none"/>
                      <w:lang w:val="en-US" w:eastAsia="zh-CN" w:bidi="ar"/>
                    </w:rPr>
                    <w:t>设置原则</w:t>
                  </w:r>
                </w:p>
              </w:tc>
              <w:tc>
                <w:tcPr>
                  <w:tcW w:w="3242" w:type="dxa"/>
                  <w:tcBorders>
                    <w:top w:val="single" w:color="auto" w:sz="12" w:space="0"/>
                  </w:tcBorders>
                  <w:vAlign w:val="center"/>
                </w:tcPr>
                <w:p w14:paraId="24DA1959">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sz w:val="24"/>
                      <w:szCs w:val="24"/>
                      <w:u w:val="none"/>
                      <w:vertAlign w:val="baseline"/>
                      <w:lang w:eastAsia="zh-CN"/>
                    </w:rPr>
                    <w:t>本项目情况</w:t>
                  </w:r>
                </w:p>
              </w:tc>
              <w:tc>
                <w:tcPr>
                  <w:tcW w:w="1018" w:type="dxa"/>
                  <w:tcBorders>
                    <w:top w:val="single" w:color="auto" w:sz="12" w:space="0"/>
                    <w:right w:val="nil"/>
                  </w:tcBorders>
                  <w:vAlign w:val="center"/>
                </w:tcPr>
                <w:p w14:paraId="1BDF616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sz w:val="24"/>
                      <w:szCs w:val="24"/>
                      <w:u w:val="none"/>
                      <w:vertAlign w:val="baseline"/>
                      <w:lang w:eastAsia="zh-CN"/>
                    </w:rPr>
                    <w:t>是否设置专项</w:t>
                  </w:r>
                </w:p>
              </w:tc>
            </w:tr>
            <w:tr w14:paraId="3BBA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6" w:type="dxa"/>
                  <w:tcBorders>
                    <w:left w:val="nil"/>
                  </w:tcBorders>
                  <w:vAlign w:val="center"/>
                </w:tcPr>
                <w:p w14:paraId="0C00FCA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大气</w:t>
                  </w:r>
                </w:p>
              </w:tc>
              <w:tc>
                <w:tcPr>
                  <w:tcW w:w="2708" w:type="dxa"/>
                  <w:vAlign w:val="center"/>
                </w:tcPr>
                <w:p w14:paraId="71920B2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lang w:val="en-US" w:eastAsia="zh-CN"/>
                    </w:rPr>
                    <w:t>排放废气含有毒有害污染物、二噁英、苯并[a]芘、氰化物、氯气且厂界外500米范围内有环境空气保护目标的建设项目。</w:t>
                  </w:r>
                </w:p>
              </w:tc>
              <w:tc>
                <w:tcPr>
                  <w:tcW w:w="3242" w:type="dxa"/>
                  <w:vAlign w:val="center"/>
                </w:tcPr>
                <w:p w14:paraId="06D536EC">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color w:val="auto"/>
                      <w:sz w:val="24"/>
                      <w:szCs w:val="24"/>
                      <w:u w:val="none"/>
                      <w:vertAlign w:val="baseline"/>
                      <w:lang w:val="en-US" w:eastAsia="zh-CN"/>
                    </w:rPr>
                  </w:pPr>
                  <w:r>
                    <w:rPr>
                      <w:rFonts w:hint="eastAsia" w:ascii="宋体" w:hAnsi="宋体" w:eastAsia="宋体" w:cs="宋体"/>
                      <w:color w:val="auto"/>
                      <w:sz w:val="24"/>
                      <w:szCs w:val="24"/>
                      <w:lang w:val="en-US" w:eastAsia="zh-CN"/>
                    </w:rPr>
                    <w:t>本项目</w:t>
                  </w:r>
                  <w:r>
                    <w:rPr>
                      <w:rFonts w:hint="eastAsia" w:ascii="宋体" w:hAnsi="宋体" w:cs="宋体"/>
                      <w:color w:val="auto"/>
                      <w:sz w:val="24"/>
                      <w:szCs w:val="24"/>
                      <w:lang w:val="en-US" w:eastAsia="zh-CN"/>
                    </w:rPr>
                    <w:t>所生产EPS包装泡沫、EPO包装泡沫、EPP包装泡沫，其原辅材料分别为EPS（可发性聚苯乙烯）、EPO（聚苯乙烯）、EPP（</w:t>
                  </w:r>
                  <w:r>
                    <w:rPr>
                      <w:rFonts w:hint="eastAsia" w:ascii="Times New Roman" w:hAnsi="Times New Roman" w:eastAsia="宋体" w:cs="Times New Roman"/>
                      <w:b w:val="0"/>
                      <w:bCs w:val="0"/>
                      <w:color w:val="auto"/>
                      <w:kern w:val="2"/>
                      <w:sz w:val="24"/>
                      <w:szCs w:val="24"/>
                      <w:highlight w:val="none"/>
                      <w:lang w:val="en-US" w:eastAsia="zh-CN" w:bidi="ar-SA"/>
                    </w:rPr>
                    <w:t>发泡聚丙烯</w:t>
                  </w:r>
                  <w:r>
                    <w:rPr>
                      <w:rFonts w:hint="eastAsia" w:ascii="宋体" w:hAnsi="宋体" w:cs="宋体"/>
                      <w:color w:val="auto"/>
                      <w:sz w:val="24"/>
                      <w:szCs w:val="24"/>
                      <w:lang w:val="en-US" w:eastAsia="zh-CN"/>
                    </w:rPr>
                    <w:t>），原辅材料及生产过程均不涉及《有毒有害大气污染物名录》（</w:t>
                  </w:r>
                  <w:r>
                    <w:rPr>
                      <w:rFonts w:hint="eastAsia" w:ascii="宋体" w:hAnsi="宋体" w:eastAsia="宋体" w:cs="宋体"/>
                      <w:color w:val="auto"/>
                      <w:sz w:val="24"/>
                      <w:szCs w:val="24"/>
                      <w:lang w:val="en-US" w:eastAsia="zh-CN"/>
                    </w:rPr>
                    <w:t>二噁英、苯并[a]芘、氰化物、氯气</w:t>
                  </w:r>
                  <w:r>
                    <w:rPr>
                      <w:rFonts w:hint="eastAsia" w:ascii="宋体" w:hAnsi="宋体" w:cs="宋体"/>
                      <w:color w:val="auto"/>
                      <w:sz w:val="24"/>
                      <w:szCs w:val="24"/>
                      <w:lang w:val="en-US" w:eastAsia="zh-CN"/>
                    </w:rPr>
                    <w:t>）且</w:t>
                  </w:r>
                  <w:r>
                    <w:rPr>
                      <w:rFonts w:hint="eastAsia" w:ascii="宋体" w:hAnsi="宋体" w:eastAsia="宋体" w:cs="宋体"/>
                      <w:color w:val="auto"/>
                      <w:sz w:val="24"/>
                      <w:szCs w:val="24"/>
                      <w:lang w:val="en-US" w:eastAsia="zh-CN"/>
                    </w:rPr>
                    <w:t>厂界外500米范围内</w:t>
                  </w:r>
                  <w:r>
                    <w:rPr>
                      <w:rFonts w:hint="eastAsia" w:ascii="宋体" w:hAnsi="宋体" w:cs="宋体"/>
                      <w:color w:val="auto"/>
                      <w:sz w:val="24"/>
                      <w:szCs w:val="24"/>
                      <w:lang w:val="en-US" w:eastAsia="zh-CN"/>
                    </w:rPr>
                    <w:t>无</w:t>
                  </w:r>
                  <w:r>
                    <w:rPr>
                      <w:rFonts w:hint="eastAsia" w:ascii="宋体" w:hAnsi="宋体" w:eastAsia="宋体" w:cs="宋体"/>
                      <w:color w:val="auto"/>
                      <w:sz w:val="24"/>
                      <w:szCs w:val="24"/>
                      <w:lang w:val="en-US" w:eastAsia="zh-CN"/>
                    </w:rPr>
                    <w:t>环境空气保护目标的建设项目</w:t>
                  </w:r>
                </w:p>
              </w:tc>
              <w:tc>
                <w:tcPr>
                  <w:tcW w:w="1018" w:type="dxa"/>
                  <w:tcBorders>
                    <w:right w:val="nil"/>
                  </w:tcBorders>
                  <w:vAlign w:val="center"/>
                </w:tcPr>
                <w:p w14:paraId="0A4E3D2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sz w:val="24"/>
                      <w:szCs w:val="24"/>
                      <w:u w:val="none"/>
                      <w:vertAlign w:val="baseline"/>
                      <w:lang w:eastAsia="zh-CN"/>
                    </w:rPr>
                    <w:t>否</w:t>
                  </w:r>
                </w:p>
              </w:tc>
            </w:tr>
            <w:tr w14:paraId="382D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6" w:hRule="atLeast"/>
              </w:trPr>
              <w:tc>
                <w:tcPr>
                  <w:tcW w:w="1186" w:type="dxa"/>
                  <w:tcBorders>
                    <w:left w:val="nil"/>
                  </w:tcBorders>
                  <w:vAlign w:val="center"/>
                </w:tcPr>
                <w:p w14:paraId="6AD6CD19">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地表水</w:t>
                  </w:r>
                </w:p>
              </w:tc>
              <w:tc>
                <w:tcPr>
                  <w:tcW w:w="2708" w:type="dxa"/>
                  <w:vAlign w:val="center"/>
                </w:tcPr>
                <w:p w14:paraId="6C5DA2E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新增工业废水直排建设项目（槽罐车外送</w:t>
                  </w:r>
                  <w:r>
                    <w:rPr>
                      <w:rFonts w:hint="eastAsia" w:ascii="宋体" w:hAnsi="宋体" w:cs="宋体"/>
                      <w:color w:val="auto"/>
                      <w:kern w:val="0"/>
                      <w:sz w:val="24"/>
                      <w:szCs w:val="24"/>
                      <w:u w:val="none"/>
                      <w:lang w:val="en-US" w:eastAsia="zh-CN" w:bidi="ar"/>
                    </w:rPr>
                    <w:t>污水厂</w:t>
                  </w:r>
                  <w:r>
                    <w:rPr>
                      <w:rFonts w:hint="eastAsia" w:ascii="宋体" w:hAnsi="宋体" w:eastAsia="宋体" w:cs="宋体"/>
                      <w:color w:val="auto"/>
                      <w:kern w:val="0"/>
                      <w:sz w:val="24"/>
                      <w:szCs w:val="24"/>
                      <w:u w:val="none"/>
                      <w:lang w:val="en-US" w:eastAsia="zh-CN" w:bidi="ar"/>
                    </w:rPr>
                    <w:t>的除外）；新增废水直排的污水集中处理厂</w:t>
                  </w:r>
                </w:p>
              </w:tc>
              <w:tc>
                <w:tcPr>
                  <w:tcW w:w="3242" w:type="dxa"/>
                  <w:vAlign w:val="center"/>
                </w:tcPr>
                <w:p w14:paraId="39B580DD">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val="en-US" w:eastAsia="zh-CN"/>
                    </w:rPr>
                  </w:pPr>
                  <w:r>
                    <w:rPr>
                      <w:rFonts w:hint="eastAsia" w:ascii="宋体" w:hAnsi="宋体" w:eastAsia="宋体" w:cs="宋体"/>
                      <w:color w:val="auto"/>
                      <w:sz w:val="24"/>
                      <w:szCs w:val="24"/>
                      <w:u w:val="none"/>
                      <w:vertAlign w:val="baseline"/>
                      <w:lang w:eastAsia="zh-CN"/>
                    </w:rPr>
                    <w:t>运营期</w:t>
                  </w:r>
                  <w:r>
                    <w:rPr>
                      <w:rFonts w:hint="eastAsia" w:ascii="宋体" w:hAnsi="宋体" w:eastAsia="宋体" w:cs="宋体"/>
                      <w:color w:val="auto"/>
                      <w:sz w:val="24"/>
                      <w:szCs w:val="24"/>
                      <w:u w:val="none"/>
                      <w:vertAlign w:val="baseline"/>
                      <w:lang w:val="en-US" w:eastAsia="zh-CN"/>
                    </w:rPr>
                    <w:t>生产废水主要是蒸汽冷凝水及模具冷却水，经</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宋体" w:hAnsi="宋体" w:eastAsia="宋体" w:cs="宋体"/>
                      <w:color w:val="auto"/>
                      <w:sz w:val="24"/>
                      <w:szCs w:val="24"/>
                      <w:u w:val="none"/>
                      <w:vertAlign w:val="baseline"/>
                      <w:lang w:val="en-US" w:eastAsia="zh-CN"/>
                    </w:rPr>
                    <w:t>处理后循环使用，不外排。因此，本项目无生产废水排放。</w:t>
                  </w:r>
                  <w:r>
                    <w:rPr>
                      <w:rFonts w:hint="eastAsia" w:ascii="宋体" w:hAnsi="宋体" w:eastAsia="宋体" w:cs="宋体"/>
                      <w:color w:val="auto"/>
                      <w:sz w:val="24"/>
                      <w:szCs w:val="24"/>
                      <w:u w:val="none"/>
                      <w:vertAlign w:val="baseline"/>
                      <w:lang w:eastAsia="zh-CN"/>
                    </w:rPr>
                    <w:t>生活污水经化粪池预处理后</w:t>
                  </w:r>
                  <w:r>
                    <w:rPr>
                      <w:rFonts w:hint="eastAsia" w:ascii="宋体" w:hAnsi="宋体" w:eastAsia="宋体" w:cs="宋体"/>
                      <w:color w:val="auto"/>
                      <w:sz w:val="24"/>
                      <w:szCs w:val="24"/>
                      <w:u w:val="none"/>
                      <w:vertAlign w:val="baseline"/>
                      <w:lang w:val="en-US" w:eastAsia="zh-CN"/>
                    </w:rPr>
                    <w:t>通过园区污水管网纳入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宋体" w:hAnsi="宋体" w:eastAsia="宋体" w:cs="宋体"/>
                      <w:color w:val="auto"/>
                      <w:sz w:val="24"/>
                      <w:szCs w:val="24"/>
                      <w:u w:val="none"/>
                      <w:vertAlign w:val="baseline"/>
                      <w:lang w:val="en-US" w:eastAsia="zh-CN"/>
                    </w:rPr>
                    <w:t>处理后达标排放</w:t>
                  </w:r>
                </w:p>
              </w:tc>
              <w:tc>
                <w:tcPr>
                  <w:tcW w:w="1018" w:type="dxa"/>
                  <w:tcBorders>
                    <w:right w:val="nil"/>
                  </w:tcBorders>
                  <w:vAlign w:val="center"/>
                </w:tcPr>
                <w:p w14:paraId="26C8572D">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4C19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186" w:type="dxa"/>
                  <w:tcBorders>
                    <w:left w:val="nil"/>
                  </w:tcBorders>
                  <w:vAlign w:val="center"/>
                </w:tcPr>
                <w:p w14:paraId="1E396CC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环境风险</w:t>
                  </w:r>
                </w:p>
              </w:tc>
              <w:tc>
                <w:tcPr>
                  <w:tcW w:w="2708" w:type="dxa"/>
                  <w:vAlign w:val="center"/>
                </w:tcPr>
                <w:p w14:paraId="05F09F5A">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有毒有害和易燃易爆危险物质存储量超过临界量的建设项目</w:t>
                  </w:r>
                </w:p>
              </w:tc>
              <w:tc>
                <w:tcPr>
                  <w:tcW w:w="3242" w:type="dxa"/>
                  <w:vAlign w:val="center"/>
                </w:tcPr>
                <w:p w14:paraId="412718E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sz w:val="24"/>
                      <w:szCs w:val="24"/>
                      <w:u w:val="none"/>
                      <w:vertAlign w:val="baseline"/>
                      <w:lang w:eastAsia="zh-CN"/>
                    </w:rPr>
                    <w:t>本项目涉及危险物质为</w:t>
                  </w:r>
                  <w:r>
                    <w:rPr>
                      <w:rFonts w:hint="eastAsia" w:ascii="宋体" w:hAnsi="宋体" w:eastAsia="宋体" w:cs="宋体"/>
                      <w:color w:val="auto"/>
                      <w:sz w:val="24"/>
                      <w:szCs w:val="24"/>
                      <w:u w:val="none"/>
                      <w:vertAlign w:val="baseline"/>
                      <w:lang w:val="en-US" w:eastAsia="zh-CN"/>
                    </w:rPr>
                    <w:t>液压油</w:t>
                  </w:r>
                  <w:r>
                    <w:rPr>
                      <w:rFonts w:hint="eastAsia" w:ascii="宋体" w:hAnsi="宋体" w:eastAsia="宋体" w:cs="宋体"/>
                      <w:color w:val="auto"/>
                      <w:sz w:val="24"/>
                      <w:szCs w:val="24"/>
                      <w:u w:val="none"/>
                      <w:vertAlign w:val="baseline"/>
                      <w:lang w:eastAsia="zh-CN"/>
                    </w:rPr>
                    <w:t>，</w:t>
                  </w:r>
                  <w:r>
                    <w:rPr>
                      <w:rFonts w:hint="eastAsia" w:ascii="宋体" w:hAnsi="宋体" w:eastAsia="宋体" w:cs="宋体"/>
                      <w:color w:val="auto"/>
                      <w:sz w:val="24"/>
                      <w:szCs w:val="24"/>
                      <w:u w:val="none"/>
                      <w:vertAlign w:val="baseline"/>
                      <w:lang w:val="en-US" w:eastAsia="zh-CN"/>
                    </w:rPr>
                    <w:t>但</w:t>
                  </w:r>
                  <w:r>
                    <w:rPr>
                      <w:rFonts w:hint="eastAsia" w:ascii="宋体" w:hAnsi="宋体" w:eastAsia="宋体" w:cs="宋体"/>
                      <w:color w:val="auto"/>
                      <w:sz w:val="24"/>
                      <w:szCs w:val="24"/>
                      <w:u w:val="none"/>
                      <w:vertAlign w:val="baseline"/>
                      <w:lang w:eastAsia="zh-CN"/>
                    </w:rPr>
                    <w:t>储量未超过临界量</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Q＜1。</w:t>
                  </w:r>
                </w:p>
              </w:tc>
              <w:tc>
                <w:tcPr>
                  <w:tcW w:w="1018" w:type="dxa"/>
                  <w:tcBorders>
                    <w:right w:val="nil"/>
                  </w:tcBorders>
                  <w:vAlign w:val="center"/>
                </w:tcPr>
                <w:p w14:paraId="2C5F3A41">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5756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186" w:type="dxa"/>
                  <w:tcBorders>
                    <w:left w:val="nil"/>
                  </w:tcBorders>
                  <w:vAlign w:val="center"/>
                </w:tcPr>
                <w:p w14:paraId="5C82D28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生态</w:t>
                  </w:r>
                </w:p>
              </w:tc>
              <w:tc>
                <w:tcPr>
                  <w:tcW w:w="2708" w:type="dxa"/>
                  <w:vAlign w:val="center"/>
                </w:tcPr>
                <w:p w14:paraId="11AF3B54">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取水口下游500米范围内有重要水生生物的自然产卵场、索饵场、越冬场和洄游通道的新增河道取水的污染类建设项目</w:t>
                  </w:r>
                </w:p>
              </w:tc>
              <w:tc>
                <w:tcPr>
                  <w:tcW w:w="3242" w:type="dxa"/>
                  <w:vAlign w:val="center"/>
                </w:tcPr>
                <w:p w14:paraId="36A8408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val="en-US" w:eastAsia="zh-CN"/>
                    </w:rPr>
                  </w:pPr>
                  <w:r>
                    <w:rPr>
                      <w:rFonts w:hint="eastAsia" w:ascii="宋体" w:hAnsi="宋体" w:eastAsia="宋体" w:cs="宋体"/>
                      <w:color w:val="auto"/>
                      <w:sz w:val="24"/>
                      <w:szCs w:val="24"/>
                      <w:u w:val="none"/>
                      <w:vertAlign w:val="baseline"/>
                      <w:lang w:eastAsia="zh-CN"/>
                    </w:rPr>
                    <w:t>本项目不涉及</w:t>
                  </w:r>
                  <w:r>
                    <w:rPr>
                      <w:rFonts w:hint="eastAsia" w:ascii="宋体" w:hAnsi="宋体" w:eastAsia="宋体" w:cs="宋体"/>
                      <w:color w:val="auto"/>
                      <w:sz w:val="24"/>
                      <w:szCs w:val="24"/>
                      <w:u w:val="none"/>
                      <w:vertAlign w:val="baseline"/>
                      <w:lang w:val="en-US" w:eastAsia="zh-CN"/>
                    </w:rPr>
                    <w:t>取水口</w:t>
                  </w:r>
                </w:p>
              </w:tc>
              <w:tc>
                <w:tcPr>
                  <w:tcW w:w="1018" w:type="dxa"/>
                  <w:tcBorders>
                    <w:right w:val="nil"/>
                  </w:tcBorders>
                  <w:vAlign w:val="center"/>
                </w:tcPr>
                <w:p w14:paraId="43AC9949">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5C80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86" w:type="dxa"/>
                  <w:tcBorders>
                    <w:left w:val="nil"/>
                  </w:tcBorders>
                  <w:vAlign w:val="center"/>
                </w:tcPr>
                <w:p w14:paraId="440A085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海洋</w:t>
                  </w:r>
                </w:p>
              </w:tc>
              <w:tc>
                <w:tcPr>
                  <w:tcW w:w="2708" w:type="dxa"/>
                  <w:vAlign w:val="center"/>
                </w:tcPr>
                <w:p w14:paraId="6F8BD65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直接向海排放污染物的海洋工程建设项目</w:t>
                  </w:r>
                </w:p>
              </w:tc>
              <w:tc>
                <w:tcPr>
                  <w:tcW w:w="3242" w:type="dxa"/>
                  <w:vAlign w:val="center"/>
                </w:tcPr>
                <w:p w14:paraId="1006409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kern w:val="0"/>
                      <w:sz w:val="24"/>
                      <w:szCs w:val="24"/>
                    </w:rPr>
                    <w:t>本项目不属于海洋工程建设项目</w:t>
                  </w:r>
                </w:p>
              </w:tc>
              <w:tc>
                <w:tcPr>
                  <w:tcW w:w="1018" w:type="dxa"/>
                  <w:tcBorders>
                    <w:right w:val="nil"/>
                  </w:tcBorders>
                  <w:vAlign w:val="center"/>
                </w:tcPr>
                <w:p w14:paraId="73A08FF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2434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86" w:type="dxa"/>
                  <w:tcBorders>
                    <w:left w:val="nil"/>
                  </w:tcBorders>
                  <w:shd w:val="clear" w:color="auto" w:fill="auto"/>
                  <w:vAlign w:val="center"/>
                </w:tcPr>
                <w:p w14:paraId="086093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地下水</w:t>
                  </w:r>
                </w:p>
              </w:tc>
              <w:tc>
                <w:tcPr>
                  <w:tcW w:w="2708" w:type="dxa"/>
                  <w:shd w:val="clear" w:color="auto" w:fill="auto"/>
                  <w:vAlign w:val="center"/>
                </w:tcPr>
                <w:p w14:paraId="6B58DC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地下水原则上不开展专项评价，涉及集中式饮用水水源和热水、矿泉水、温泉等特殊地下水资源保护区的开展地下水专项评价工作。</w:t>
                  </w:r>
                </w:p>
              </w:tc>
              <w:tc>
                <w:tcPr>
                  <w:tcW w:w="3242" w:type="dxa"/>
                  <w:shd w:val="clear" w:color="auto" w:fill="auto"/>
                  <w:vAlign w:val="center"/>
                </w:tcPr>
                <w:p w14:paraId="63D832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本项目区域地下水不涉及集中式饮用水水源和热水、矿泉水、温泉等特殊地下水资源保护区。</w:t>
                  </w:r>
                </w:p>
              </w:tc>
              <w:tc>
                <w:tcPr>
                  <w:tcW w:w="1018" w:type="dxa"/>
                  <w:tcBorders>
                    <w:right w:val="nil"/>
                  </w:tcBorders>
                  <w:shd w:val="clear" w:color="auto" w:fill="auto"/>
                  <w:vAlign w:val="center"/>
                </w:tcPr>
                <w:p w14:paraId="25B5B93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D9E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trPr>
              <w:tc>
                <w:tcPr>
                  <w:tcW w:w="8154" w:type="dxa"/>
                  <w:gridSpan w:val="4"/>
                  <w:tcBorders>
                    <w:left w:val="nil"/>
                    <w:bottom w:val="single" w:color="auto" w:sz="12" w:space="0"/>
                    <w:right w:val="nil"/>
                  </w:tcBorders>
                  <w:vAlign w:val="center"/>
                </w:tcPr>
                <w:p w14:paraId="644F260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注：</w:t>
                  </w:r>
                </w:p>
                <w:p w14:paraId="2158C0A1">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1.废气中有毒有害污染物指纳入《有毒有害大气污染物名录》的污染物（不包括无排放标准的污染物）。</w:t>
                  </w:r>
                </w:p>
                <w:p w14:paraId="0E60258D">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2.环境空气保护目标指自然保护区、风景名胜区、居住区、文化区和农村地区中人群较集中的区域。</w:t>
                  </w:r>
                </w:p>
                <w:p w14:paraId="1849855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kern w:val="0"/>
                      <w:sz w:val="24"/>
                      <w:szCs w:val="24"/>
                      <w:u w:val="none"/>
                      <w:lang w:val="en-US" w:eastAsia="zh-CN" w:bidi="ar"/>
                    </w:rPr>
                    <w:t>3.临界量及其计算方法参考《建设项目环境风险评价技术导则》（HJ169）附录B、附录C。</w:t>
                  </w:r>
                </w:p>
              </w:tc>
            </w:tr>
          </w:tbl>
          <w:p w14:paraId="577A9CE4">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left="0" w:right="0" w:firstLine="480" w:firstLineChars="200"/>
              <w:jc w:val="left"/>
              <w:textAlignment w:val="auto"/>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经判定，本项目</w:t>
            </w:r>
            <w:r>
              <w:rPr>
                <w:rFonts w:hint="eastAsia" w:cs="Times New Roman"/>
                <w:color w:val="auto"/>
                <w:sz w:val="24"/>
                <w:szCs w:val="24"/>
                <w:lang w:eastAsia="zh-CN"/>
              </w:rPr>
              <w:t>无须设置</w:t>
            </w:r>
            <w:r>
              <w:rPr>
                <w:rFonts w:hint="default" w:ascii="Times New Roman" w:hAnsi="Times New Roman" w:eastAsia="宋体" w:cs="Times New Roman"/>
                <w:color w:val="auto"/>
                <w:sz w:val="24"/>
                <w:szCs w:val="24"/>
              </w:rPr>
              <w:t>专项评价。</w:t>
            </w:r>
          </w:p>
        </w:tc>
      </w:tr>
      <w:tr w14:paraId="12126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2" w:hRule="atLeast"/>
          <w:jc w:val="center"/>
        </w:trPr>
        <w:tc>
          <w:tcPr>
            <w:tcW w:w="698" w:type="dxa"/>
            <w:vAlign w:val="center"/>
          </w:tcPr>
          <w:p w14:paraId="117680E0">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规划情况</w:t>
            </w:r>
          </w:p>
        </w:tc>
        <w:tc>
          <w:tcPr>
            <w:tcW w:w="8274" w:type="dxa"/>
            <w:gridSpan w:val="5"/>
            <w:vAlign w:val="center"/>
          </w:tcPr>
          <w:p w14:paraId="53F5000F">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val="en-US" w:eastAsia="zh-CN" w:bidi="ar"/>
              </w:rPr>
            </w:pPr>
            <w:r>
              <w:rPr>
                <w:rFonts w:hint="eastAsia" w:cs="Times New Roman"/>
                <w:b/>
                <w:bCs/>
                <w:color w:val="auto"/>
                <w:kern w:val="0"/>
                <w:sz w:val="24"/>
                <w:szCs w:val="24"/>
                <w:u w:val="none"/>
                <w:lang w:eastAsia="zh-CN"/>
              </w:rPr>
              <w:t>一、</w:t>
            </w:r>
            <w:r>
              <w:rPr>
                <w:rFonts w:hint="default" w:ascii="Times New Roman" w:hAnsi="Times New Roman" w:eastAsia="宋体" w:cs="Times New Roman"/>
                <w:b/>
                <w:bCs/>
                <w:color w:val="auto"/>
                <w:kern w:val="0"/>
                <w:sz w:val="24"/>
                <w:szCs w:val="24"/>
                <w:u w:val="none"/>
                <w:lang w:val="en-US" w:eastAsia="zh-CN" w:bidi="ar"/>
              </w:rPr>
              <w:t>《</w:t>
            </w:r>
            <w:r>
              <w:rPr>
                <w:rFonts w:hint="eastAsia" w:ascii="Times New Roman" w:hAnsi="Times New Roman" w:eastAsia="宋体" w:cs="Times New Roman"/>
                <w:b/>
                <w:bCs/>
                <w:color w:val="auto"/>
                <w:kern w:val="0"/>
                <w:sz w:val="24"/>
                <w:szCs w:val="24"/>
                <w:u w:val="none"/>
                <w:lang w:val="en-US" w:eastAsia="zh-CN" w:bidi="ar"/>
              </w:rPr>
              <w:t>福州江阴港城总体规划（2018-2035）</w:t>
            </w:r>
            <w:r>
              <w:rPr>
                <w:rFonts w:hint="default" w:ascii="Times New Roman" w:hAnsi="Times New Roman" w:eastAsia="宋体" w:cs="Times New Roman"/>
                <w:b/>
                <w:bCs/>
                <w:color w:val="auto"/>
                <w:kern w:val="0"/>
                <w:sz w:val="24"/>
                <w:szCs w:val="24"/>
                <w:u w:val="none"/>
                <w:lang w:val="en-US" w:eastAsia="zh-CN" w:bidi="ar"/>
              </w:rPr>
              <w:t>》</w:t>
            </w:r>
          </w:p>
          <w:p w14:paraId="0551045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w:t>
            </w:r>
            <w:r>
              <w:rPr>
                <w:rFonts w:hint="eastAsia" w:ascii="Times New Roman" w:hAnsi="Times New Roman" w:eastAsia="宋体" w:cs="Times New Roman"/>
                <w:b w:val="0"/>
                <w:color w:val="auto"/>
                <w:kern w:val="0"/>
                <w:sz w:val="24"/>
                <w:szCs w:val="24"/>
                <w:u w:val="none"/>
                <w:lang w:val="en-US" w:eastAsia="zh-CN" w:bidi="ar"/>
              </w:rPr>
              <w:t>福州江阴港城总体规划（2018-2035）</w:t>
            </w:r>
            <w:r>
              <w:rPr>
                <w:rFonts w:hint="default" w:ascii="Times New Roman" w:hAnsi="Times New Roman" w:eastAsia="宋体" w:cs="Times New Roman"/>
                <w:b w:val="0"/>
                <w:color w:val="auto"/>
                <w:kern w:val="0"/>
                <w:sz w:val="24"/>
                <w:szCs w:val="24"/>
                <w:u w:val="none"/>
                <w:lang w:val="en-US" w:eastAsia="zh-CN" w:bidi="ar"/>
              </w:rPr>
              <w:t>》</w:t>
            </w:r>
          </w:p>
          <w:p w14:paraId="193704F2">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w:t>
            </w:r>
            <w:r>
              <w:rPr>
                <w:rFonts w:hint="eastAsia" w:cs="Times New Roman"/>
                <w:b w:val="0"/>
                <w:color w:val="auto"/>
                <w:kern w:val="0"/>
                <w:sz w:val="24"/>
                <w:szCs w:val="24"/>
                <w:u w:val="none"/>
                <w:lang w:val="en-US" w:eastAsia="zh-CN" w:bidi="ar"/>
              </w:rPr>
              <w:t>福州市人民政府</w:t>
            </w:r>
          </w:p>
          <w:p w14:paraId="5BACCEA8">
            <w:pPr>
              <w:keepLines w:val="0"/>
              <w:pageBreakBefore w:val="0"/>
              <w:widowControl/>
              <w:wordWrap/>
              <w:topLinePunct w:val="0"/>
              <w:autoSpaceDE/>
              <w:autoSpaceDN/>
              <w:bidi w:val="0"/>
              <w:adjustRightInd/>
              <w:snapToGrid/>
              <w:spacing w:line="360" w:lineRule="auto"/>
              <w:ind w:left="0" w:right="0" w:firstLine="0" w:firstLineChars="0"/>
              <w:jc w:val="left"/>
              <w:rPr>
                <w:rFonts w:hint="eastAsia"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w:t>
            </w:r>
            <w:r>
              <w:rPr>
                <w:rFonts w:hint="eastAsia" w:cs="Times New Roman"/>
                <w:b w:val="0"/>
                <w:color w:val="auto"/>
                <w:kern w:val="0"/>
                <w:sz w:val="24"/>
                <w:szCs w:val="24"/>
                <w:u w:val="none"/>
                <w:lang w:val="en-US" w:eastAsia="zh-CN" w:bidi="ar"/>
              </w:rPr>
              <w:t>/</w:t>
            </w:r>
          </w:p>
          <w:p w14:paraId="4DFD1232">
            <w:pPr>
              <w:keepLines w:val="0"/>
              <w:pageBreakBefore w:val="0"/>
              <w:widowControl/>
              <w:numPr>
                <w:ilvl w:val="0"/>
                <w:numId w:val="2"/>
              </w:numPr>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val="en-US" w:eastAsia="zh-CN" w:bidi="ar"/>
              </w:rPr>
            </w:pPr>
            <w:r>
              <w:rPr>
                <w:rFonts w:hint="eastAsia" w:ascii="Times New Roman" w:hAnsi="Times New Roman" w:eastAsia="宋体" w:cs="Times New Roman"/>
                <w:b/>
                <w:bCs/>
                <w:color w:val="auto"/>
                <w:kern w:val="0"/>
                <w:sz w:val="24"/>
                <w:szCs w:val="24"/>
                <w:u w:val="none"/>
                <w:lang w:val="en-US" w:eastAsia="zh-CN" w:bidi="ar"/>
              </w:rPr>
              <w:t>《福州江阴港城经济区产业发展规划》</w:t>
            </w:r>
            <w:r>
              <w:rPr>
                <w:rFonts w:hint="eastAsia" w:cs="Times New Roman"/>
                <w:b/>
                <w:bCs/>
                <w:color w:val="auto"/>
                <w:kern w:val="0"/>
                <w:sz w:val="24"/>
                <w:szCs w:val="24"/>
                <w:u w:val="none"/>
                <w:lang w:val="en-US" w:eastAsia="zh-CN" w:bidi="ar"/>
              </w:rPr>
              <w:t>（修编）</w:t>
            </w:r>
          </w:p>
          <w:p w14:paraId="333CE993">
            <w:pPr>
              <w:keepLines w:val="0"/>
              <w:pageBreakBefore w:val="0"/>
              <w:widowControl/>
              <w:numPr>
                <w:ilvl w:val="0"/>
                <w:numId w:val="0"/>
              </w:numPr>
              <w:wordWrap/>
              <w:topLinePunct w:val="0"/>
              <w:autoSpaceDE/>
              <w:autoSpaceDN/>
              <w:bidi w:val="0"/>
              <w:adjustRightInd/>
              <w:snapToGrid/>
              <w:spacing w:line="360" w:lineRule="auto"/>
              <w:ind w:leftChars="0" w:right="0" w:right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w:t>
            </w:r>
            <w:r>
              <w:rPr>
                <w:rFonts w:hint="eastAsia" w:ascii="Times New Roman" w:hAnsi="Times New Roman" w:eastAsia="宋体" w:cs="Times New Roman"/>
                <w:b w:val="0"/>
                <w:color w:val="auto"/>
                <w:kern w:val="0"/>
                <w:sz w:val="24"/>
                <w:szCs w:val="24"/>
                <w:u w:val="none"/>
                <w:lang w:val="en-US" w:eastAsia="zh-CN" w:bidi="ar"/>
              </w:rPr>
              <w:t>《福州江阴港城经济区产业发展规划》</w:t>
            </w:r>
            <w:r>
              <w:rPr>
                <w:rFonts w:hint="eastAsia" w:cs="Times New Roman"/>
                <w:b w:val="0"/>
                <w:color w:val="auto"/>
                <w:kern w:val="0"/>
                <w:sz w:val="24"/>
                <w:szCs w:val="24"/>
                <w:u w:val="none"/>
                <w:lang w:val="en-US" w:eastAsia="zh-CN" w:bidi="ar"/>
              </w:rPr>
              <w:t>（修编）</w:t>
            </w:r>
          </w:p>
          <w:p w14:paraId="58EEA83E">
            <w:pPr>
              <w:keepLines w:val="0"/>
              <w:pageBreakBefore w:val="0"/>
              <w:widowControl/>
              <w:wordWrap/>
              <w:topLinePunct w:val="0"/>
              <w:autoSpaceDE/>
              <w:autoSpaceDN/>
              <w:bidi w:val="0"/>
              <w:adjustRightInd/>
              <w:snapToGrid/>
              <w:spacing w:line="360" w:lineRule="auto"/>
              <w:ind w:right="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w:t>
            </w:r>
            <w:r>
              <w:rPr>
                <w:rFonts w:ascii="宋体" w:hAnsi="宋体" w:eastAsia="宋体" w:cs="宋体"/>
                <w:sz w:val="24"/>
                <w:szCs w:val="24"/>
              </w:rPr>
              <w:t>福清市工业和信息化局</w:t>
            </w:r>
          </w:p>
          <w:p w14:paraId="4702B88C">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w:t>
            </w:r>
            <w:r>
              <w:rPr>
                <w:rFonts w:ascii="宋体" w:hAnsi="宋体" w:eastAsia="宋体" w:cs="宋体"/>
                <w:sz w:val="24"/>
                <w:szCs w:val="24"/>
              </w:rPr>
              <w:t>关于《福州江阴港城经济区化工产业发展规划》（修编）和《福州江阴港城经济区产业发展规划》的批复（融工信工〔2025〕6号）</w:t>
            </w:r>
          </w:p>
          <w:p w14:paraId="2F9B9EDF">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cs="Times New Roman"/>
                <w:b/>
                <w:bCs/>
                <w:color w:val="auto"/>
                <w:kern w:val="0"/>
                <w:sz w:val="24"/>
                <w:szCs w:val="24"/>
                <w:u w:val="none"/>
                <w:lang w:val="en-US" w:eastAsia="zh-CN" w:bidi="ar"/>
              </w:rPr>
              <w:t>三</w:t>
            </w:r>
            <w:r>
              <w:rPr>
                <w:rFonts w:hint="eastAsia" w:ascii="Times New Roman" w:hAnsi="Times New Roman" w:eastAsia="宋体"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22ED11F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27167992">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205A1010">
            <w:pPr>
              <w:keepLines w:val="0"/>
              <w:pageBreakBefore w:val="0"/>
              <w:widowControl/>
              <w:wordWrap/>
              <w:topLinePunct w:val="0"/>
              <w:autoSpaceDE/>
              <w:autoSpaceDN/>
              <w:bidi w:val="0"/>
              <w:adjustRightInd/>
              <w:snapToGrid/>
              <w:spacing w:line="360" w:lineRule="auto"/>
              <w:ind w:left="0" w:right="0" w:firstLine="0" w:firstLineChars="0"/>
              <w:jc w:val="left"/>
              <w:rPr>
                <w:rFonts w:hint="default"/>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16732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3" w:hRule="atLeast"/>
          <w:jc w:val="center"/>
        </w:trPr>
        <w:tc>
          <w:tcPr>
            <w:tcW w:w="698" w:type="dxa"/>
            <w:vAlign w:val="center"/>
          </w:tcPr>
          <w:p w14:paraId="3E58F945">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27C5FA76">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8274" w:type="dxa"/>
            <w:gridSpan w:val="5"/>
            <w:vAlign w:val="center"/>
          </w:tcPr>
          <w:p w14:paraId="0E20FF81">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val="0"/>
                <w:bCs w:val="0"/>
                <w:color w:val="auto"/>
                <w:kern w:val="0"/>
                <w:sz w:val="24"/>
                <w:szCs w:val="24"/>
                <w:u w:val="none"/>
                <w:lang w:eastAsia="zh-CN"/>
              </w:rPr>
            </w:pPr>
            <w:r>
              <w:rPr>
                <w:rFonts w:hint="eastAsia" w:ascii="Times New Roman" w:hAnsi="Times New Roman" w:eastAsia="宋体" w:cs="Times New Roman"/>
                <w:b/>
                <w:bCs/>
                <w:color w:val="auto"/>
                <w:kern w:val="0"/>
                <w:sz w:val="24"/>
                <w:szCs w:val="24"/>
                <w:u w:val="none"/>
                <w:lang w:val="en-US" w:eastAsia="zh-CN" w:bidi="ar"/>
              </w:rPr>
              <w:t>（1）</w:t>
            </w:r>
            <w:r>
              <w:rPr>
                <w:rFonts w:hint="eastAsia" w:cs="Times New Roman"/>
                <w:b/>
                <w:bCs/>
                <w:color w:val="auto"/>
                <w:kern w:val="0"/>
                <w:sz w:val="24"/>
                <w:szCs w:val="24"/>
                <w:u w:val="none"/>
                <w:lang w:val="en-US" w:eastAsia="zh-CN" w:bidi="ar"/>
              </w:rPr>
              <w:t>《</w:t>
            </w:r>
            <w:r>
              <w:rPr>
                <w:rFonts w:hint="eastAsia" w:ascii="Times New Roman" w:hAnsi="Times New Roman" w:eastAsia="宋体" w:cs="Times New Roman"/>
                <w:b/>
                <w:bCs/>
                <w:color w:val="auto"/>
                <w:kern w:val="0"/>
                <w:sz w:val="24"/>
                <w:szCs w:val="24"/>
                <w:u w:val="none"/>
                <w:lang w:val="en-US" w:eastAsia="zh-CN" w:bidi="ar"/>
              </w:rPr>
              <w:t>福州江阴港城总体规划（2018-2035）</w:t>
            </w:r>
            <w:r>
              <w:rPr>
                <w:rFonts w:hint="default" w:ascii="Times New Roman" w:hAnsi="Times New Roman" w:eastAsia="宋体" w:cs="Times New Roman"/>
                <w:b/>
                <w:bCs/>
                <w:color w:val="auto"/>
                <w:kern w:val="0"/>
                <w:sz w:val="24"/>
                <w:szCs w:val="24"/>
                <w:u w:val="none"/>
                <w:lang w:val="en-US" w:eastAsia="zh-CN" w:bidi="ar"/>
              </w:rPr>
              <w:t>环境影响报告书</w:t>
            </w:r>
            <w:r>
              <w:rPr>
                <w:rFonts w:hint="eastAsia" w:cs="Times New Roman"/>
                <w:b/>
                <w:bCs/>
                <w:color w:val="auto"/>
                <w:kern w:val="0"/>
                <w:sz w:val="24"/>
                <w:szCs w:val="24"/>
                <w:u w:val="none"/>
                <w:lang w:val="en-US" w:eastAsia="zh-CN" w:bidi="ar"/>
              </w:rPr>
              <w:t>》</w:t>
            </w:r>
          </w:p>
          <w:p w14:paraId="212B08F9">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文件名称：</w:t>
            </w:r>
            <w:r>
              <w:rPr>
                <w:rFonts w:hint="eastAsia" w:cs="Times New Roman"/>
                <w:b w:val="0"/>
                <w:color w:val="auto"/>
                <w:kern w:val="0"/>
                <w:sz w:val="24"/>
                <w:szCs w:val="24"/>
                <w:u w:val="none"/>
                <w:lang w:val="en-US" w:eastAsia="zh-CN" w:bidi="ar"/>
              </w:rPr>
              <w:t>《</w:t>
            </w:r>
            <w:r>
              <w:rPr>
                <w:rFonts w:hint="eastAsia" w:ascii="Times New Roman" w:hAnsi="Times New Roman" w:eastAsia="宋体" w:cs="Times New Roman"/>
                <w:b w:val="0"/>
                <w:color w:val="auto"/>
                <w:kern w:val="0"/>
                <w:sz w:val="24"/>
                <w:szCs w:val="24"/>
                <w:u w:val="none"/>
                <w:lang w:val="en-US" w:eastAsia="zh-CN" w:bidi="ar"/>
              </w:rPr>
              <w:t>福州江阴港城总体规划（2018-2035）</w:t>
            </w:r>
            <w:r>
              <w:rPr>
                <w:rFonts w:hint="default" w:ascii="Times New Roman" w:hAnsi="Times New Roman" w:eastAsia="宋体" w:cs="Times New Roman"/>
                <w:b w:val="0"/>
                <w:color w:val="auto"/>
                <w:kern w:val="0"/>
                <w:sz w:val="24"/>
                <w:szCs w:val="24"/>
                <w:u w:val="none"/>
                <w:lang w:val="en-US" w:eastAsia="zh-CN" w:bidi="ar"/>
              </w:rPr>
              <w:t>环境影响报告书</w:t>
            </w:r>
            <w:r>
              <w:rPr>
                <w:rFonts w:hint="eastAsia" w:cs="Times New Roman"/>
                <w:b w:val="0"/>
                <w:color w:val="auto"/>
                <w:kern w:val="0"/>
                <w:sz w:val="24"/>
                <w:szCs w:val="24"/>
                <w:u w:val="none"/>
                <w:lang w:val="en-US" w:eastAsia="zh-CN" w:bidi="ar"/>
              </w:rPr>
              <w:t>》</w:t>
            </w:r>
          </w:p>
          <w:p w14:paraId="3826A396">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②审查机关：</w:t>
            </w:r>
            <w:r>
              <w:rPr>
                <w:rFonts w:ascii="宋体" w:hAnsi="宋体" w:eastAsia="宋体" w:cs="宋体"/>
                <w:sz w:val="24"/>
                <w:szCs w:val="24"/>
              </w:rPr>
              <w:t>福州市</w:t>
            </w:r>
            <w:r>
              <w:rPr>
                <w:rFonts w:hint="eastAsia" w:ascii="宋体" w:hAnsi="宋体" w:cs="宋体"/>
                <w:sz w:val="24"/>
                <w:szCs w:val="24"/>
                <w:lang w:eastAsia="zh-CN"/>
              </w:rPr>
              <w:t>生态环境局</w:t>
            </w:r>
          </w:p>
          <w:p w14:paraId="215AB93D">
            <w:pPr>
              <w:keepLines w:val="0"/>
              <w:pageBreakBefore w:val="0"/>
              <w:widowControl/>
              <w:wordWrap/>
              <w:topLinePunct w:val="0"/>
              <w:autoSpaceDE/>
              <w:autoSpaceDN/>
              <w:bidi w:val="0"/>
              <w:adjustRightInd/>
              <w:snapToGrid/>
              <w:spacing w:line="360" w:lineRule="auto"/>
              <w:ind w:left="0" w:right="0" w:firstLine="0" w:firstLineChars="0"/>
              <w:jc w:val="left"/>
              <w:rPr>
                <w:rFonts w:ascii="宋体" w:hAnsi="宋体" w:eastAsia="宋体" w:cs="宋体"/>
                <w:sz w:val="24"/>
                <w:szCs w:val="24"/>
              </w:rPr>
            </w:pPr>
            <w:r>
              <w:rPr>
                <w:rFonts w:hint="default"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color w:val="auto"/>
                <w:kern w:val="0"/>
                <w:sz w:val="24"/>
                <w:szCs w:val="24"/>
                <w:u w:val="none"/>
                <w:lang w:val="en-US" w:eastAsia="zh-CN" w:bidi="ar"/>
              </w:rPr>
              <w:t>审批文件名称及文号：</w:t>
            </w:r>
            <w:r>
              <w:rPr>
                <w:rFonts w:ascii="宋体" w:hAnsi="宋体" w:eastAsia="宋体" w:cs="宋体"/>
                <w:sz w:val="24"/>
                <w:szCs w:val="24"/>
              </w:rPr>
              <w:t>福州市</w:t>
            </w:r>
            <w:r>
              <w:rPr>
                <w:rFonts w:hint="eastAsia" w:ascii="宋体" w:hAnsi="宋体" w:cs="宋体"/>
                <w:sz w:val="24"/>
                <w:szCs w:val="24"/>
                <w:lang w:eastAsia="zh-CN"/>
              </w:rPr>
              <w:t>生态环境局</w:t>
            </w:r>
            <w:r>
              <w:rPr>
                <w:rFonts w:ascii="宋体" w:hAnsi="宋体" w:eastAsia="宋体" w:cs="宋体"/>
                <w:sz w:val="24"/>
                <w:szCs w:val="24"/>
              </w:rPr>
              <w:t>关于印发福州江阴港城总体规划（2018-2035）环境影响报告书审查小组意见的通知（榕环保评</w:t>
            </w:r>
            <w:r>
              <w:rPr>
                <w:rFonts w:hint="eastAsia" w:ascii="宋体" w:hAnsi="宋体" w:cs="宋体"/>
                <w:sz w:val="24"/>
                <w:szCs w:val="24"/>
                <w:lang w:eastAsia="zh-CN"/>
              </w:rPr>
              <w:t>〔2018〕55号</w:t>
            </w:r>
            <w:r>
              <w:rPr>
                <w:rFonts w:ascii="宋体" w:hAnsi="宋体" w:eastAsia="宋体" w:cs="宋体"/>
                <w:sz w:val="24"/>
                <w:szCs w:val="24"/>
              </w:rPr>
              <w:t>）</w:t>
            </w:r>
          </w:p>
          <w:p w14:paraId="41A65AC6">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宋体" w:hAnsi="宋体" w:eastAsia="宋体" w:cs="宋体"/>
                <w:sz w:val="24"/>
                <w:szCs w:val="24"/>
                <w:lang w:eastAsia="zh-CN"/>
              </w:rPr>
            </w:pPr>
            <w:r>
              <w:rPr>
                <w:rFonts w:hint="eastAsia" w:ascii="Times New Roman" w:hAnsi="Times New Roman" w:eastAsia="宋体" w:cs="Times New Roman"/>
                <w:b/>
                <w:bCs/>
                <w:color w:val="auto"/>
                <w:kern w:val="0"/>
                <w:sz w:val="24"/>
                <w:szCs w:val="24"/>
                <w:u w:val="none"/>
                <w:lang w:val="en-US" w:eastAsia="zh-CN" w:bidi="ar"/>
              </w:rPr>
              <w:t>（2）《</w:t>
            </w:r>
            <w:r>
              <w:rPr>
                <w:rFonts w:hint="eastAsia" w:cs="Times New Roman"/>
                <w:b/>
                <w:bCs/>
                <w:color w:val="auto"/>
                <w:kern w:val="0"/>
                <w:sz w:val="24"/>
                <w:szCs w:val="24"/>
                <w:u w:val="none"/>
                <w:lang w:val="en-US" w:eastAsia="zh-CN" w:bidi="ar"/>
              </w:rPr>
              <w:t>福州</w:t>
            </w:r>
            <w:r>
              <w:rPr>
                <w:rFonts w:hint="eastAsia" w:ascii="Times New Roman" w:hAnsi="Times New Roman" w:eastAsia="宋体" w:cs="Times New Roman"/>
                <w:b/>
                <w:bCs/>
                <w:color w:val="auto"/>
                <w:kern w:val="0"/>
                <w:sz w:val="24"/>
                <w:szCs w:val="24"/>
                <w:u w:val="none"/>
                <w:lang w:val="en-US" w:eastAsia="zh-CN" w:bidi="ar"/>
              </w:rPr>
              <w:t>江阴港城经济区产业发展规划环境影响报告书》</w:t>
            </w:r>
          </w:p>
          <w:p w14:paraId="4E6DA05B">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①规划名称：</w:t>
            </w:r>
            <w:r>
              <w:rPr>
                <w:rFonts w:hint="eastAsia" w:ascii="Times New Roman" w:hAnsi="Times New Roman" w:eastAsia="宋体" w:cs="Times New Roman"/>
                <w:b w:val="0"/>
                <w:color w:val="auto"/>
                <w:kern w:val="0"/>
                <w:sz w:val="24"/>
                <w:szCs w:val="24"/>
                <w:u w:val="none"/>
                <w:lang w:val="en-US" w:eastAsia="zh-CN" w:bidi="ar"/>
              </w:rPr>
              <w:t>《</w:t>
            </w:r>
            <w:r>
              <w:rPr>
                <w:rFonts w:hint="eastAsia" w:cs="Times New Roman"/>
                <w:b w:val="0"/>
                <w:color w:val="auto"/>
                <w:kern w:val="0"/>
                <w:sz w:val="24"/>
                <w:szCs w:val="24"/>
                <w:u w:val="none"/>
                <w:lang w:val="en-US" w:eastAsia="zh-CN" w:bidi="ar"/>
              </w:rPr>
              <w:t>福州</w:t>
            </w:r>
            <w:r>
              <w:rPr>
                <w:rFonts w:hint="eastAsia" w:ascii="Times New Roman" w:hAnsi="Times New Roman" w:eastAsia="宋体" w:cs="Times New Roman"/>
                <w:b w:val="0"/>
                <w:color w:val="auto"/>
                <w:kern w:val="0"/>
                <w:sz w:val="24"/>
                <w:szCs w:val="24"/>
                <w:u w:val="none"/>
                <w:lang w:val="en-US" w:eastAsia="zh-CN" w:bidi="ar"/>
              </w:rPr>
              <w:t>江阴港城经济区产业发展规划环境影响报告书》</w:t>
            </w:r>
          </w:p>
          <w:p w14:paraId="40EA61F4">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w:t>
            </w:r>
            <w:r>
              <w:rPr>
                <w:rFonts w:hint="eastAsia" w:ascii="Times New Roman" w:hAnsi="Times New Roman" w:eastAsia="宋体" w:cs="Times New Roman"/>
                <w:b w:val="0"/>
                <w:color w:val="auto"/>
                <w:kern w:val="0"/>
                <w:sz w:val="24"/>
                <w:szCs w:val="24"/>
                <w:u w:val="none"/>
                <w:lang w:val="en-US" w:eastAsia="zh-CN" w:bidi="ar"/>
              </w:rPr>
              <w:t>福州市生态环境局</w:t>
            </w:r>
          </w:p>
          <w:p w14:paraId="397026C2">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宋体" w:hAnsi="宋体" w:eastAsia="宋体" w:cs="宋体"/>
                <w:sz w:val="24"/>
                <w:szCs w:val="24"/>
                <w:lang w:eastAsia="zh-CN"/>
              </w:rPr>
            </w:pPr>
            <w:r>
              <w:rPr>
                <w:rFonts w:hint="default" w:ascii="Times New Roman" w:hAnsi="Times New Roman" w:eastAsia="宋体" w:cs="Times New Roman"/>
                <w:b w:val="0"/>
                <w:color w:val="auto"/>
                <w:kern w:val="0"/>
                <w:sz w:val="24"/>
                <w:szCs w:val="24"/>
                <w:u w:val="none"/>
                <w:lang w:val="en-US" w:eastAsia="zh-CN" w:bidi="ar"/>
              </w:rPr>
              <w:t>③审批文件名称及文号：</w:t>
            </w:r>
            <w:r>
              <w:rPr>
                <w:rFonts w:hint="eastAsia" w:ascii="Times New Roman" w:hAnsi="Times New Roman" w:eastAsia="宋体" w:cs="Times New Roman"/>
                <w:b w:val="0"/>
                <w:color w:val="auto"/>
                <w:kern w:val="0"/>
                <w:sz w:val="24"/>
                <w:szCs w:val="24"/>
                <w:u w:val="none"/>
                <w:lang w:val="en-US" w:eastAsia="zh-CN" w:bidi="ar"/>
              </w:rPr>
              <w:t>《福州市生态环境局关于印发《</w:t>
            </w:r>
            <w:r>
              <w:rPr>
                <w:rFonts w:hint="eastAsia" w:cs="Times New Roman"/>
                <w:b w:val="0"/>
                <w:color w:val="auto"/>
                <w:kern w:val="0"/>
                <w:sz w:val="24"/>
                <w:szCs w:val="24"/>
                <w:u w:val="none"/>
                <w:lang w:val="en-US" w:eastAsia="zh-CN" w:bidi="ar"/>
              </w:rPr>
              <w:t>福州</w:t>
            </w:r>
            <w:r>
              <w:rPr>
                <w:rFonts w:hint="eastAsia" w:ascii="Times New Roman" w:hAnsi="Times New Roman" w:eastAsia="宋体" w:cs="Times New Roman"/>
                <w:b w:val="0"/>
                <w:color w:val="auto"/>
                <w:kern w:val="0"/>
                <w:sz w:val="24"/>
                <w:szCs w:val="24"/>
                <w:u w:val="none"/>
                <w:lang w:val="en-US" w:eastAsia="zh-CN" w:bidi="ar"/>
              </w:rPr>
              <w:t>江阴港城经济区产业发展规划环境影响报告书》审查小组意见的通知》，榕环评〔2024〕33号。</w:t>
            </w:r>
          </w:p>
        </w:tc>
      </w:tr>
      <w:tr w14:paraId="74968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4" w:hRule="atLeast"/>
          <w:jc w:val="center"/>
        </w:trPr>
        <w:tc>
          <w:tcPr>
            <w:tcW w:w="698" w:type="dxa"/>
            <w:vAlign w:val="center"/>
          </w:tcPr>
          <w:p w14:paraId="24D558C7">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8274" w:type="dxa"/>
            <w:gridSpan w:val="5"/>
            <w:vAlign w:val="center"/>
          </w:tcPr>
          <w:p w14:paraId="28B00022">
            <w:pPr>
              <w:pStyle w:val="3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一</w:t>
            </w:r>
            <w:r>
              <w:rPr>
                <w:rFonts w:hint="default"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与规划符合性分析</w:t>
            </w:r>
          </w:p>
          <w:p w14:paraId="00ED582C">
            <w:pPr>
              <w:pStyle w:val="3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lang w:val="en-US" w:eastAsia="zh-CN"/>
              </w:rPr>
              <w:t>与《</w:t>
            </w:r>
            <w:r>
              <w:rPr>
                <w:rFonts w:hint="eastAsia" w:ascii="Times New Roman" w:hAnsi="Times New Roman" w:eastAsia="宋体" w:cs="Times New Roman"/>
                <w:b/>
                <w:bCs/>
                <w:color w:val="auto"/>
                <w:kern w:val="0"/>
                <w:sz w:val="24"/>
                <w:szCs w:val="24"/>
                <w:u w:val="none"/>
                <w:lang w:val="en-US" w:eastAsia="zh-CN" w:bidi="ar"/>
              </w:rPr>
              <w:t>福州江阴港城总体规划（2018-2035）</w:t>
            </w:r>
            <w:r>
              <w:rPr>
                <w:rFonts w:hint="default" w:ascii="Times New Roman" w:hAnsi="Times New Roman" w:eastAsia="宋体" w:cs="Times New Roman"/>
                <w:b/>
                <w:bCs/>
                <w:color w:val="auto"/>
                <w:sz w:val="24"/>
                <w:szCs w:val="24"/>
                <w:u w:val="none"/>
                <w:lang w:val="en-US" w:eastAsia="zh-CN"/>
              </w:rPr>
              <w:t>》符合性分析</w:t>
            </w:r>
          </w:p>
          <w:p w14:paraId="01DB17F1">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ascii="宋体" w:hAnsi="宋体" w:eastAsia="宋体" w:cs="宋体"/>
                <w:sz w:val="24"/>
                <w:szCs w:val="24"/>
              </w:rPr>
            </w:pPr>
            <w:r>
              <w:rPr>
                <w:rFonts w:ascii="宋体" w:hAnsi="宋体" w:eastAsia="宋体" w:cs="宋体"/>
                <w:sz w:val="24"/>
                <w:szCs w:val="24"/>
              </w:rPr>
              <w:t>根据《福州江阴港城总体规划（2018</w:t>
            </w:r>
            <w:r>
              <w:rPr>
                <w:rFonts w:hint="eastAsia" w:ascii="宋体" w:hAnsi="宋体" w:cs="宋体"/>
                <w:sz w:val="24"/>
                <w:szCs w:val="24"/>
                <w:lang w:eastAsia="zh-CN"/>
              </w:rPr>
              <w:t>—</w:t>
            </w:r>
            <w:r>
              <w:rPr>
                <w:rFonts w:ascii="宋体" w:hAnsi="宋体" w:eastAsia="宋体" w:cs="宋体"/>
                <w:sz w:val="24"/>
                <w:szCs w:val="24"/>
              </w:rPr>
              <w:t>2035年）》，规划江阴港城重点形成8个产业片区，分别为滨海商务休闲区、现代服务业集聚区、商贸物流区、</w:t>
            </w:r>
            <w:r>
              <w:rPr>
                <w:rFonts w:ascii="宋体" w:hAnsi="宋体" w:eastAsia="宋体" w:cs="宋体"/>
                <w:b/>
                <w:bCs/>
                <w:sz w:val="24"/>
                <w:szCs w:val="24"/>
              </w:rPr>
              <w:t>新厝先进制造业基地</w:t>
            </w:r>
            <w:r>
              <w:rPr>
                <w:rFonts w:ascii="宋体" w:hAnsi="宋体" w:eastAsia="宋体" w:cs="宋体"/>
                <w:sz w:val="24"/>
                <w:szCs w:val="24"/>
              </w:rPr>
              <w:t>、月亮湾先进制造业基地、东部临港产业区、西部临港产业区和港口运输物流仓储区，分别承担城市的先进制造业、临港化工产业、现代商贸物流业和现代服务业</w:t>
            </w:r>
            <w:r>
              <w:rPr>
                <w:rFonts w:hint="eastAsia" w:ascii="宋体" w:hAnsi="宋体" w:cs="宋体"/>
                <w:sz w:val="24"/>
                <w:szCs w:val="24"/>
                <w:lang w:eastAsia="zh-CN"/>
              </w:rPr>
              <w:t>的职能。</w:t>
            </w:r>
            <w:r>
              <w:rPr>
                <w:rFonts w:hint="eastAsia" w:ascii="Times New Roman" w:hAnsi="Times New Roman"/>
                <w:color w:val="auto"/>
                <w:sz w:val="24"/>
                <w:szCs w:val="24"/>
              </w:rPr>
              <w:t>新厝先进制造业基地位于新厝片区，用地规模为920.39公顷。利用江阴港城优越的地理区位和运输条件，形成相对集中</w:t>
            </w:r>
            <w:r>
              <w:rPr>
                <w:rFonts w:hint="eastAsia"/>
                <w:color w:val="auto"/>
                <w:sz w:val="24"/>
                <w:szCs w:val="24"/>
                <w:lang w:eastAsia="zh-CN"/>
              </w:rPr>
              <w:t>、具</w:t>
            </w:r>
            <w:r>
              <w:rPr>
                <w:rFonts w:hint="eastAsia" w:ascii="Times New Roman" w:hAnsi="Times New Roman"/>
                <w:color w:val="auto"/>
                <w:sz w:val="24"/>
                <w:szCs w:val="24"/>
              </w:rPr>
              <w:t>有一定规模的</w:t>
            </w:r>
            <w:r>
              <w:rPr>
                <w:rFonts w:hint="eastAsia"/>
                <w:color w:val="auto"/>
                <w:sz w:val="24"/>
                <w:szCs w:val="24"/>
                <w:lang w:eastAsia="zh-CN"/>
              </w:rPr>
              <w:t>高新技术产业开发区</w:t>
            </w:r>
            <w:r>
              <w:rPr>
                <w:rFonts w:hint="eastAsia" w:ascii="Times New Roman" w:hAnsi="Times New Roman"/>
                <w:color w:val="auto"/>
                <w:sz w:val="24"/>
                <w:szCs w:val="24"/>
              </w:rPr>
              <w:t>，分别发展新材料、新能源、生物医药、装备制造、飞机零配件制造等先进制造业。</w:t>
            </w:r>
            <w:r>
              <w:rPr>
                <w:rFonts w:ascii="宋体" w:hAnsi="宋体" w:eastAsia="宋体" w:cs="宋体"/>
                <w:sz w:val="24"/>
                <w:szCs w:val="24"/>
              </w:rPr>
              <w:t>本项目为</w:t>
            </w:r>
            <w:r>
              <w:rPr>
                <w:rFonts w:hint="eastAsia" w:ascii="宋体" w:hAnsi="宋体" w:eastAsia="宋体" w:cs="宋体"/>
                <w:sz w:val="24"/>
                <w:szCs w:val="24"/>
              </w:rPr>
              <w:t>年产EPS包装泡沫7800吨、EPO包装泡沫</w:t>
            </w:r>
            <w:r>
              <w:rPr>
                <w:rFonts w:hint="eastAsia" w:ascii="宋体" w:hAnsi="宋体" w:cs="宋体"/>
                <w:sz w:val="24"/>
                <w:szCs w:val="24"/>
                <w:lang w:eastAsia="zh-CN"/>
              </w:rPr>
              <w:t>900吨</w:t>
            </w:r>
            <w:r>
              <w:rPr>
                <w:rFonts w:hint="eastAsia" w:ascii="宋体" w:hAnsi="宋体" w:eastAsia="宋体" w:cs="宋体"/>
                <w:sz w:val="24"/>
                <w:szCs w:val="24"/>
              </w:rPr>
              <w:t>、EPP包装泡沫</w:t>
            </w:r>
            <w:r>
              <w:rPr>
                <w:rFonts w:hint="eastAsia" w:ascii="宋体" w:hAnsi="宋体" w:cs="宋体"/>
                <w:sz w:val="24"/>
                <w:szCs w:val="24"/>
                <w:lang w:eastAsia="zh-CN"/>
              </w:rPr>
              <w:t>1200吨</w:t>
            </w:r>
            <w:r>
              <w:rPr>
                <w:rFonts w:hint="eastAsia" w:ascii="宋体" w:hAnsi="宋体" w:eastAsia="宋体" w:cs="宋体"/>
                <w:sz w:val="24"/>
                <w:szCs w:val="24"/>
              </w:rPr>
              <w:t>项目</w:t>
            </w:r>
            <w:r>
              <w:rPr>
                <w:rFonts w:ascii="宋体" w:hAnsi="宋体" w:eastAsia="宋体" w:cs="宋体"/>
                <w:color w:val="auto"/>
                <w:sz w:val="24"/>
                <w:szCs w:val="24"/>
              </w:rPr>
              <w:t>，</w:t>
            </w:r>
            <w:r>
              <w:rPr>
                <w:rFonts w:hint="eastAsia" w:hAnsi="宋体" w:cs="宋体"/>
                <w:color w:val="auto"/>
                <w:sz w:val="24"/>
                <w:szCs w:val="24"/>
                <w:lang w:val="en-US" w:eastAsia="zh-CN"/>
              </w:rPr>
              <w:t>属于</w:t>
            </w:r>
            <w:r>
              <w:rPr>
                <w:rFonts w:hint="eastAsia" w:cs="Times New Roman"/>
                <w:color w:val="auto"/>
                <w:sz w:val="24"/>
                <w:szCs w:val="24"/>
                <w:highlight w:val="none"/>
                <w:u w:val="none"/>
                <w:lang w:val="en-US" w:eastAsia="zh-CN"/>
              </w:rPr>
              <w:t>C2924泡沫塑料制造业，</w:t>
            </w:r>
            <w:r>
              <w:rPr>
                <w:rFonts w:ascii="宋体" w:hAnsi="宋体" w:eastAsia="宋体" w:cs="宋体"/>
                <w:color w:val="auto"/>
                <w:sz w:val="24"/>
                <w:szCs w:val="24"/>
              </w:rPr>
              <w:t>主要</w:t>
            </w:r>
            <w:r>
              <w:rPr>
                <w:rFonts w:hint="eastAsia" w:hAnsi="宋体" w:cs="宋体"/>
                <w:color w:val="auto"/>
                <w:sz w:val="24"/>
                <w:szCs w:val="24"/>
                <w:lang w:val="en-US" w:eastAsia="zh-CN"/>
              </w:rPr>
              <w:t>生产工艺为预发、熟化、成型、烘干</w:t>
            </w:r>
            <w:r>
              <w:rPr>
                <w:rFonts w:ascii="宋体" w:hAnsi="宋体" w:eastAsia="宋体" w:cs="宋体"/>
                <w:color w:val="auto"/>
                <w:sz w:val="24"/>
                <w:szCs w:val="24"/>
              </w:rPr>
              <w:t>。</w:t>
            </w:r>
            <w:r>
              <w:rPr>
                <w:rFonts w:hint="eastAsia" w:hAnsi="宋体" w:cs="宋体"/>
                <w:color w:val="auto"/>
                <w:sz w:val="24"/>
                <w:szCs w:val="24"/>
                <w:lang w:val="en-US" w:eastAsia="zh-CN"/>
              </w:rPr>
              <w:t>项目</w:t>
            </w:r>
            <w:r>
              <w:rPr>
                <w:rFonts w:ascii="宋体" w:hAnsi="宋体" w:eastAsia="宋体" w:cs="宋体"/>
                <w:color w:val="auto"/>
                <w:sz w:val="24"/>
                <w:szCs w:val="24"/>
              </w:rPr>
              <w:t>位于</w:t>
            </w:r>
            <w:r>
              <w:rPr>
                <w:rFonts w:hint="eastAsia" w:cs="Times New Roman"/>
                <w:color w:val="auto"/>
                <w:sz w:val="24"/>
                <w:szCs w:val="24"/>
                <w:highlight w:val="none"/>
                <w:u w:val="none"/>
                <w:lang w:val="en-US" w:eastAsia="zh-CN"/>
              </w:rPr>
              <w:t>福建省福州市福清市新厝镇双屿500-22号（江阴港城经济区新厝区块）</w:t>
            </w:r>
            <w:r>
              <w:rPr>
                <w:rFonts w:hint="eastAsia"/>
                <w:color w:val="auto"/>
                <w:sz w:val="24"/>
                <w:szCs w:val="24"/>
                <w:lang w:val="en-US" w:eastAsia="zh-CN"/>
              </w:rPr>
              <w:t>属于</w:t>
            </w:r>
            <w:r>
              <w:rPr>
                <w:rFonts w:ascii="宋体" w:hAnsi="宋体" w:eastAsia="宋体" w:cs="宋体"/>
                <w:b/>
                <w:bCs/>
                <w:sz w:val="24"/>
                <w:szCs w:val="24"/>
              </w:rPr>
              <w:t>新厝先进制造业基地</w:t>
            </w:r>
            <w:r>
              <w:rPr>
                <w:rFonts w:ascii="宋体" w:hAnsi="宋体" w:eastAsia="宋体" w:cs="宋体"/>
                <w:sz w:val="24"/>
                <w:szCs w:val="24"/>
              </w:rPr>
              <w:t>，项目用地性质为工业用地，与江阴港总体规划中城乡土地使用规划的用途相符（</w:t>
            </w:r>
            <w:r>
              <w:rPr>
                <w:rFonts w:hint="eastAsia" w:hAnsi="宋体" w:cs="宋体"/>
                <w:b/>
                <w:bCs/>
                <w:sz w:val="24"/>
                <w:szCs w:val="24"/>
                <w:highlight w:val="none"/>
                <w:lang w:val="en-US" w:eastAsia="zh-CN"/>
              </w:rPr>
              <w:t>详见附图二、附图三</w:t>
            </w:r>
            <w:r>
              <w:rPr>
                <w:rFonts w:ascii="宋体" w:hAnsi="宋体" w:eastAsia="宋体" w:cs="宋体"/>
                <w:sz w:val="24"/>
                <w:szCs w:val="24"/>
                <w:highlight w:val="none"/>
              </w:rPr>
              <w:t>）</w:t>
            </w:r>
            <w:r>
              <w:rPr>
                <w:rFonts w:ascii="宋体" w:hAnsi="宋体" w:eastAsia="宋体" w:cs="宋体"/>
                <w:sz w:val="24"/>
                <w:szCs w:val="24"/>
              </w:rPr>
              <w:t>。因此本项目建设符合</w:t>
            </w:r>
            <w:r>
              <w:rPr>
                <w:rFonts w:ascii="宋体" w:hAnsi="宋体" w:eastAsia="宋体" w:cs="宋体"/>
                <w:b/>
                <w:bCs/>
                <w:sz w:val="24"/>
                <w:szCs w:val="24"/>
              </w:rPr>
              <w:t>新厝先进制造业基地</w:t>
            </w:r>
            <w:r>
              <w:rPr>
                <w:rFonts w:ascii="宋体" w:hAnsi="宋体" w:eastAsia="宋体" w:cs="宋体"/>
                <w:sz w:val="24"/>
                <w:szCs w:val="24"/>
              </w:rPr>
              <w:t>的布局要求，符合《福州江阴港城总体规划（2018</w:t>
            </w:r>
            <w:r>
              <w:rPr>
                <w:rFonts w:hint="eastAsia" w:ascii="宋体" w:hAnsi="宋体" w:cs="宋体"/>
                <w:sz w:val="24"/>
                <w:szCs w:val="24"/>
                <w:lang w:eastAsia="zh-CN"/>
              </w:rPr>
              <w:t>—</w:t>
            </w:r>
            <w:r>
              <w:rPr>
                <w:rFonts w:ascii="宋体" w:hAnsi="宋体" w:eastAsia="宋体" w:cs="宋体"/>
                <w:sz w:val="24"/>
                <w:szCs w:val="24"/>
              </w:rPr>
              <w:t>2035年）》</w:t>
            </w:r>
          </w:p>
          <w:p w14:paraId="2A3215C5">
            <w:pPr>
              <w:pStyle w:val="31"/>
              <w:keepNext w:val="0"/>
              <w:keepLines w:val="0"/>
              <w:pageBreakBefore w:val="0"/>
              <w:numPr>
                <w:ilvl w:val="0"/>
                <w:numId w:val="0"/>
              </w:numPr>
              <w:kinsoku/>
              <w:wordWrap/>
              <w:overflowPunct/>
              <w:topLinePunct w:val="0"/>
              <w:autoSpaceDE/>
              <w:autoSpaceDN/>
              <w:bidi w:val="0"/>
              <w:spacing w:line="360" w:lineRule="auto"/>
              <w:ind w:right="0" w:rightChars="0" w:firstLine="482" w:firstLineChars="200"/>
              <w:jc w:val="left"/>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2、与《福州江阴港城经济区产业发展规划》</w:t>
            </w:r>
            <w:r>
              <w:rPr>
                <w:rFonts w:hint="eastAsia" w:cs="Times New Roman"/>
                <w:b/>
                <w:bCs/>
                <w:color w:val="auto"/>
                <w:sz w:val="24"/>
                <w:szCs w:val="24"/>
                <w:highlight w:val="none"/>
                <w:u w:val="none"/>
                <w:lang w:val="en-US" w:eastAsia="zh-CN"/>
              </w:rPr>
              <w:t>符合性分析</w:t>
            </w:r>
          </w:p>
          <w:p w14:paraId="0B684E1A">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依据《福州江阴港城经济区产业发展规划》，福州江阴港城经济区重点打造三大主导产业，即新材料、生物医药和装备制造。其中新材料产业包括化工新材料及其延伸发展的高端制品材料，化工新材料重点发展高端聚氨酯、尼龙新材料、氯循环发展、轻烃深加工、锂电新材料五大化工板块，高端制品材料则是化工新材料产业延伸发展的重要部分。生物医药产业利用现有产业基础发展医药制剂和生物制剂等方向。装备制造则重点聚焦化工、新能源等领域的专用装备、成套装备、工业机器人等领域。此外，构建与园区主导产业进行衔接和支撑的配套产业，发展与区域经济相结合的产业，实现与区域产业发展的协同包括发展节能环保产业、生产性服务业、现代港口物流等产业，构建全方位一体化发展的现代产业体系。</w:t>
            </w:r>
          </w:p>
          <w:p w14:paraId="0DC2014C">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本项目以</w:t>
            </w:r>
            <w:r>
              <w:rPr>
                <w:rFonts w:hint="eastAsia" w:ascii="宋体" w:hAnsi="宋体" w:cs="宋体"/>
                <w:sz w:val="24"/>
                <w:szCs w:val="24"/>
                <w:lang w:val="en-US" w:eastAsia="zh-CN"/>
              </w:rPr>
              <w:t>EPS、EPO、EPP</w:t>
            </w:r>
            <w:r>
              <w:rPr>
                <w:rFonts w:hint="default" w:ascii="宋体" w:hAnsi="宋体" w:eastAsia="宋体" w:cs="宋体"/>
                <w:sz w:val="24"/>
                <w:szCs w:val="24"/>
                <w:lang w:val="en-US" w:eastAsia="zh-CN"/>
              </w:rPr>
              <w:t>颗粒为原料，通过</w:t>
            </w:r>
            <w:r>
              <w:rPr>
                <w:rFonts w:hint="eastAsia" w:ascii="宋体" w:hAnsi="宋体" w:cs="宋体"/>
                <w:sz w:val="24"/>
                <w:szCs w:val="24"/>
                <w:lang w:val="en-US" w:eastAsia="zh-CN"/>
              </w:rPr>
              <w:t>预发、熟化</w:t>
            </w:r>
            <w:r>
              <w:rPr>
                <w:rFonts w:hint="default" w:ascii="宋体" w:hAnsi="宋体" w:eastAsia="宋体" w:cs="宋体"/>
                <w:sz w:val="24"/>
                <w:szCs w:val="24"/>
                <w:lang w:val="en-US" w:eastAsia="zh-CN"/>
              </w:rPr>
              <w:t>、成型、</w:t>
            </w:r>
            <w:r>
              <w:rPr>
                <w:rFonts w:hint="eastAsia" w:ascii="宋体" w:hAnsi="宋体" w:cs="宋体"/>
                <w:sz w:val="24"/>
                <w:szCs w:val="24"/>
                <w:lang w:val="en-US" w:eastAsia="zh-CN"/>
              </w:rPr>
              <w:t>冷却、</w:t>
            </w:r>
            <w:r>
              <w:rPr>
                <w:rFonts w:hint="default" w:ascii="宋体" w:hAnsi="宋体" w:eastAsia="宋体" w:cs="宋体"/>
                <w:sz w:val="24"/>
                <w:szCs w:val="24"/>
                <w:lang w:val="en-US" w:eastAsia="zh-CN"/>
              </w:rPr>
              <w:t>烘干等工艺生产泡沫包装制品，属于化工新材料（</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聚苯乙烯</w:t>
            </w:r>
            <w:r>
              <w:rPr>
                <w:rFonts w:hint="eastAsia" w:ascii="宋体" w:hAnsi="宋体" w:cs="宋体"/>
                <w:sz w:val="24"/>
                <w:szCs w:val="24"/>
                <w:lang w:val="en-US" w:eastAsia="zh-CN"/>
              </w:rPr>
              <w:t>、</w:t>
            </w:r>
            <w:r>
              <w:rPr>
                <w:rFonts w:hint="default" w:ascii="宋体" w:hAnsi="宋体" w:eastAsia="宋体" w:cs="宋体"/>
                <w:sz w:val="24"/>
                <w:szCs w:val="24"/>
                <w:lang w:val="en-US" w:eastAsia="zh-CN"/>
              </w:rPr>
              <w:t>聚丙烯）的深加工和高端应用，与园区“轻烃深加工”板块形成上下游产业衔接，可为园区生物医药、装备制造等主导产业提供配套支撑，项目建设符合园区产业发展规划和生态环境准入要求。</w:t>
            </w:r>
          </w:p>
          <w:p w14:paraId="67E7F087">
            <w:pPr>
              <w:pStyle w:val="31"/>
              <w:keepNext w:val="0"/>
              <w:keepLines w:val="0"/>
              <w:pageBreakBefore w:val="0"/>
              <w:numPr>
                <w:ilvl w:val="0"/>
                <w:numId w:val="0"/>
              </w:numPr>
              <w:kinsoku/>
              <w:wordWrap/>
              <w:overflowPunct/>
              <w:topLinePunct w:val="0"/>
              <w:autoSpaceDE/>
              <w:autoSpaceDN/>
              <w:bidi w:val="0"/>
              <w:spacing w:line="360" w:lineRule="auto"/>
              <w:ind w:right="0" w:rightChars="0" w:firstLine="482" w:firstLineChars="200"/>
              <w:jc w:val="left"/>
              <w:textAlignment w:val="auto"/>
              <w:rPr>
                <w:rFonts w:hint="eastAsia" w:ascii="Times New Roman" w:hAnsi="Times New Roman" w:eastAsia="宋体" w:cs="Times New Roman"/>
                <w:color w:val="auto"/>
                <w:sz w:val="24"/>
                <w:szCs w:val="24"/>
                <w:highlight w:val="none"/>
                <w:u w:val="none"/>
                <w:lang w:val="en-US" w:eastAsia="zh-CN"/>
              </w:rPr>
            </w:pPr>
            <w:r>
              <w:rPr>
                <w:rFonts w:hint="eastAsia" w:cs="Times New Roman"/>
                <w:b/>
                <w:bCs/>
                <w:color w:val="auto"/>
                <w:sz w:val="24"/>
                <w:szCs w:val="24"/>
                <w:highlight w:val="none"/>
                <w:u w:val="none"/>
                <w:lang w:val="en-US" w:eastAsia="zh-CN"/>
              </w:rPr>
              <w:t>3、</w:t>
            </w:r>
            <w:r>
              <w:rPr>
                <w:rFonts w:hint="eastAsia" w:ascii="Times New Roman" w:hAnsi="Times New Roman" w:eastAsia="宋体"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ascii="Times New Roman" w:hAnsi="Times New Roman" w:eastAsia="宋体" w:cs="Times New Roman"/>
                <w:b/>
                <w:bCs/>
                <w:color w:val="auto"/>
                <w:sz w:val="24"/>
                <w:szCs w:val="24"/>
                <w:highlight w:val="none"/>
                <w:u w:val="none"/>
                <w:lang w:val="en-US" w:eastAsia="zh-CN"/>
              </w:rPr>
              <w:t>符合性分析</w:t>
            </w:r>
          </w:p>
          <w:p w14:paraId="1DC6C449">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w:t>
            </w:r>
            <w:r>
              <w:rPr>
                <w:rFonts w:hint="eastAsia" w:cs="Times New Roman"/>
                <w:b/>
                <w:bCs/>
                <w:color w:val="auto"/>
                <w:sz w:val="24"/>
                <w:szCs w:val="24"/>
                <w:highlight w:val="none"/>
                <w:u w:val="none"/>
                <w:lang w:val="en-US" w:eastAsia="zh-CN"/>
              </w:rPr>
              <w:t>江阴港城组团</w:t>
            </w:r>
            <w:r>
              <w:rPr>
                <w:rFonts w:hint="eastAsia" w:cs="Times New Roman"/>
                <w:color w:val="auto"/>
                <w:sz w:val="24"/>
                <w:szCs w:val="24"/>
                <w:highlight w:val="none"/>
                <w:u w:val="none"/>
                <w:lang w:val="en-US" w:eastAsia="zh-CN"/>
              </w:rPr>
              <w:t>、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和完善城镇功能、提升空间品质的区域边界”。构建现代产业体系“一带两湾四区”的产业发展格局，形成“四个重点园区、多个工业集中区”的产业园区空间布局，加快推进重点产业园区标准化建设，统筹划定工业用地控制线。“一带”：福厦产业发展带；“两湾”：临港产业湾和生态休闲湾；“四区”：融城现代产业综合区、</w:t>
            </w:r>
            <w:r>
              <w:rPr>
                <w:rFonts w:hint="eastAsia" w:cs="Times New Roman"/>
                <w:b/>
                <w:bCs/>
                <w:color w:val="auto"/>
                <w:sz w:val="24"/>
                <w:szCs w:val="24"/>
                <w:highlight w:val="none"/>
                <w:u w:val="none"/>
                <w:lang w:val="en-US" w:eastAsia="zh-CN"/>
              </w:rPr>
              <w:t>江阴临港产业区</w:t>
            </w:r>
            <w:r>
              <w:rPr>
                <w:rFonts w:hint="eastAsia" w:cs="Times New Roman"/>
                <w:b w:val="0"/>
                <w:bCs w:val="0"/>
                <w:color w:val="auto"/>
                <w:sz w:val="24"/>
                <w:szCs w:val="24"/>
                <w:highlight w:val="none"/>
                <w:u w:val="none"/>
                <w:lang w:val="en-US" w:eastAsia="zh-CN"/>
              </w:rPr>
              <w:t>、</w:t>
            </w:r>
            <w:r>
              <w:rPr>
                <w:rFonts w:hint="eastAsia" w:cs="Times New Roman"/>
                <w:color w:val="auto"/>
                <w:sz w:val="24"/>
                <w:szCs w:val="24"/>
                <w:highlight w:val="none"/>
                <w:u w:val="none"/>
                <w:lang w:val="en-US" w:eastAsia="zh-CN"/>
              </w:rPr>
              <w:t>龙高特色产业区、西部生态产业区。江阴</w:t>
            </w:r>
            <w:r>
              <w:rPr>
                <w:rFonts w:hint="eastAsia" w:ascii="Times New Roman" w:hAnsi="Times New Roman" w:eastAsia="宋体" w:cs="Times New Roman"/>
                <w:color w:val="auto"/>
                <w:sz w:val="24"/>
                <w:szCs w:val="24"/>
                <w:highlight w:val="none"/>
                <w:u w:val="none"/>
                <w:lang w:val="en-US" w:eastAsia="zh-CN"/>
              </w:rPr>
              <w:t>临港产业区主要发展化工新材料、现代物流、智能制造、海洋经济。</w:t>
            </w:r>
          </w:p>
          <w:p w14:paraId="0873BE2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根据对《福清市国土空气总体规划（2021</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2035年）》的分析，项目用地在城镇开发边界内，项目不涉及占用生态保护红线，永久基本农田，无违法用地，不属于地质灾害易发区。</w:t>
            </w:r>
          </w:p>
          <w:p w14:paraId="36322334">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本项目</w:t>
            </w:r>
            <w:r>
              <w:rPr>
                <w:rFonts w:hint="eastAsia" w:cs="Times New Roman"/>
                <w:color w:val="auto"/>
                <w:sz w:val="24"/>
                <w:szCs w:val="24"/>
                <w:highlight w:val="none"/>
                <w:u w:val="none"/>
                <w:lang w:val="en-US" w:eastAsia="zh-CN"/>
              </w:rPr>
              <w:t>位于福建省福州市福清市新厝镇双屿500-22号（江阴港城经济区新厝区块）</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位于江阴港城组团。所属用地为工业用地，主要生产</w:t>
            </w:r>
            <w:r>
              <w:rPr>
                <w:rFonts w:hint="eastAsia" w:cs="Times New Roman"/>
                <w:color w:val="auto"/>
                <w:sz w:val="24"/>
                <w:szCs w:val="24"/>
                <w:highlight w:val="none"/>
                <w:u w:val="none"/>
                <w:lang w:eastAsia="zh-CN"/>
              </w:rPr>
              <w:t>EPS包装泡沫、</w:t>
            </w:r>
            <w:r>
              <w:rPr>
                <w:rFonts w:hint="eastAsia" w:cs="Times New Roman"/>
                <w:color w:val="auto"/>
                <w:sz w:val="24"/>
                <w:szCs w:val="24"/>
                <w:highlight w:val="none"/>
                <w:u w:val="none"/>
                <w:lang w:val="en-US" w:eastAsia="zh-CN"/>
              </w:rPr>
              <w:t>EPO包装泡沫、EPP包装泡沫</w:t>
            </w:r>
            <w:r>
              <w:rPr>
                <w:rFonts w:hint="eastAsia" w:cs="Times New Roman"/>
                <w:color w:val="000000" w:themeColor="text1"/>
                <w:sz w:val="24"/>
                <w:szCs w:val="24"/>
                <w:highlight w:val="none"/>
                <w:u w:val="none"/>
                <w:lang w:val="en-US" w:eastAsia="zh-CN"/>
                <w14:textFill>
                  <w14:solidFill>
                    <w14:schemeClr w14:val="tx1"/>
                  </w14:solidFill>
                </w14:textFill>
              </w:rPr>
              <w:t>，属于泡沫塑料制造业，符合规划中壮大四大优势产业规划。因此本项目符合</w:t>
            </w:r>
            <w:r>
              <w:rPr>
                <w:rFonts w:hint="default" w:cs="Times New Roman"/>
                <w:color w:val="000000" w:themeColor="text1"/>
                <w:sz w:val="24"/>
                <w:szCs w:val="24"/>
                <w:highlight w:val="none"/>
                <w:u w:val="none"/>
                <w:lang w:val="en-US" w:eastAsia="zh-CN"/>
                <w14:textFill>
                  <w14:solidFill>
                    <w14:schemeClr w14:val="tx1"/>
                  </w14:solidFill>
                </w14:textFill>
              </w:rPr>
              <w:t>《福清市国土空间总体规划（2021—2035年）》</w:t>
            </w:r>
            <w:r>
              <w:rPr>
                <w:rFonts w:hint="eastAsia" w:cs="Times New Roman"/>
                <w:color w:val="000000" w:themeColor="text1"/>
                <w:sz w:val="24"/>
                <w:szCs w:val="24"/>
                <w:highlight w:val="none"/>
                <w:u w:val="none"/>
                <w:lang w:val="en-US" w:eastAsia="zh-CN"/>
                <w14:textFill>
                  <w14:solidFill>
                    <w14:schemeClr w14:val="tx1"/>
                  </w14:solidFill>
                </w14:textFill>
              </w:rPr>
              <w:t>有关要求。（详见</w:t>
            </w:r>
            <w:r>
              <w:rPr>
                <w:rFonts w:hint="eastAsia" w:cs="Times New Roman"/>
                <w:b/>
                <w:bCs/>
                <w:color w:val="000000" w:themeColor="text1"/>
                <w:sz w:val="24"/>
                <w:szCs w:val="24"/>
                <w:highlight w:val="none"/>
                <w:u w:val="none"/>
                <w:lang w:val="en-US" w:eastAsia="zh-CN"/>
                <w14:textFill>
                  <w14:solidFill>
                    <w14:schemeClr w14:val="tx1"/>
                  </w14:solidFill>
                </w14:textFill>
              </w:rPr>
              <w:t>附图四</w:t>
            </w:r>
            <w:r>
              <w:rPr>
                <w:rFonts w:hint="eastAsia" w:cs="Times New Roman"/>
                <w:color w:val="000000" w:themeColor="text1"/>
                <w:sz w:val="24"/>
                <w:szCs w:val="24"/>
                <w:highlight w:val="none"/>
                <w:u w:val="none"/>
                <w:lang w:val="en-US" w:eastAsia="zh-CN"/>
                <w14:textFill>
                  <w14:solidFill>
                    <w14:schemeClr w14:val="tx1"/>
                  </w14:solidFill>
                </w14:textFill>
              </w:rPr>
              <w:t>）</w:t>
            </w:r>
          </w:p>
          <w:p w14:paraId="1270FAC8">
            <w:pPr>
              <w:pStyle w:val="31"/>
              <w:keepNext w:val="0"/>
              <w:keepLines w:val="0"/>
              <w:pageBreakBefore w:val="0"/>
              <w:numPr>
                <w:ilvl w:val="0"/>
                <w:numId w:val="0"/>
              </w:numPr>
              <w:kinsoku/>
              <w:wordWrap/>
              <w:overflowPunct/>
              <w:topLinePunct w:val="0"/>
              <w:autoSpaceDE/>
              <w:autoSpaceDN/>
              <w:bidi w:val="0"/>
              <w:spacing w:line="360" w:lineRule="auto"/>
              <w:ind w:leftChars="0" w:right="0" w:rightChars="0"/>
              <w:jc w:val="left"/>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二、</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福州江阴港城总体规划（2018-2035）</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环境影响报告书》</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及其审查意见的</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符合性分析</w:t>
            </w:r>
          </w:p>
          <w:p w14:paraId="4201ACD8">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本项目与《福州江阴港城总体规划（2018</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2035年）环境影响报告书》及其审查意见的符合性分析详见表1.1-2，根据分析结果，本项目建设符合《福州江阴港城总体规划（2018</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2035年）环境影响报告书》及其审查意见的要求。</w:t>
            </w:r>
          </w:p>
          <w:p w14:paraId="6F7F4C01">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表1.1-2与《福州江阴港城总体规划（2018</w:t>
            </w:r>
            <w:r>
              <w:rPr>
                <w:rFonts w:hint="eastAsia" w:cs="Times New Roman"/>
                <w:b/>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2035年）环境影响报告书》</w:t>
            </w:r>
          </w:p>
          <w:p w14:paraId="53B5E287">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及其审查意见的符合性分析</w:t>
            </w:r>
          </w:p>
          <w:tbl>
            <w:tblPr>
              <w:tblStyle w:val="23"/>
              <w:tblW w:w="80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1"/>
              <w:gridCol w:w="4072"/>
              <w:gridCol w:w="2760"/>
              <w:gridCol w:w="679"/>
            </w:tblGrid>
            <w:tr w14:paraId="68414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1" w:type="dxa"/>
                  <w:vAlign w:val="center"/>
                </w:tcPr>
                <w:p w14:paraId="288E7CF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序号</w:t>
                  </w:r>
                </w:p>
              </w:tc>
              <w:tc>
                <w:tcPr>
                  <w:tcW w:w="4072" w:type="dxa"/>
                  <w:vAlign w:val="center"/>
                </w:tcPr>
                <w:p w14:paraId="5F543E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规划环评审查意见要求</w:t>
                  </w:r>
                </w:p>
              </w:tc>
              <w:tc>
                <w:tcPr>
                  <w:tcW w:w="2760" w:type="dxa"/>
                  <w:vAlign w:val="center"/>
                </w:tcPr>
                <w:p w14:paraId="0AA081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本项目内容</w:t>
                  </w:r>
                </w:p>
              </w:tc>
              <w:tc>
                <w:tcPr>
                  <w:tcW w:w="679" w:type="dxa"/>
                  <w:vAlign w:val="center"/>
                </w:tcPr>
                <w:p w14:paraId="0074B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符合性</w:t>
                  </w:r>
                </w:p>
              </w:tc>
            </w:tr>
            <w:tr w14:paraId="760DD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14:paraId="0F4859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p>
              </w:tc>
              <w:tc>
                <w:tcPr>
                  <w:tcW w:w="4072" w:type="dxa"/>
                  <w:vAlign w:val="center"/>
                </w:tcPr>
                <w:p w14:paraId="750251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进一步优化区域内空间布局，处理好与城镇发展的布局性矛盾。严格控制东部临港产业区、西部临港产业区和港口运输物流仓储区周边用地规划，污染重、环境风险大的生产装置、储罐应远离居民区。</w:t>
                  </w:r>
                </w:p>
              </w:tc>
              <w:tc>
                <w:tcPr>
                  <w:tcW w:w="2760" w:type="dxa"/>
                  <w:vAlign w:val="center"/>
                </w:tcPr>
                <w:p w14:paraId="6AD35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本项目位于新厝先进制造业基地，主要从事</w:t>
                  </w:r>
                  <w:r>
                    <w:rPr>
                      <w:rFonts w:hint="default" w:ascii="Times New Roman" w:hAnsi="Times New Roman" w:eastAsia="宋体" w:cs="Times New Roman"/>
                      <w:color w:val="auto"/>
                      <w:sz w:val="24"/>
                      <w:szCs w:val="24"/>
                      <w:highlight w:val="none"/>
                      <w:u w:val="none"/>
                      <w:lang w:eastAsia="zh-CN"/>
                    </w:rPr>
                    <w:t>EPS包装泡沫、</w:t>
                  </w:r>
                  <w:r>
                    <w:rPr>
                      <w:rFonts w:hint="default" w:ascii="Times New Roman" w:hAnsi="Times New Roman" w:eastAsia="宋体" w:cs="Times New Roman"/>
                      <w:color w:val="auto"/>
                      <w:sz w:val="24"/>
                      <w:szCs w:val="24"/>
                      <w:highlight w:val="none"/>
                      <w:u w:val="none"/>
                      <w:lang w:val="en-US" w:eastAsia="zh-CN"/>
                    </w:rPr>
                    <w:t>EPO包装泡沫、EPP包装泡沫的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生产，属于泡沫塑料制造业，开发区主导行业，项目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符合园区产业发展定位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符合国土空间规划和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三线一单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c>
                <w:tcPr>
                  <w:tcW w:w="679" w:type="dxa"/>
                  <w:vAlign w:val="center"/>
                </w:tcPr>
                <w:p w14:paraId="13E05E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符合</w:t>
                  </w:r>
                </w:p>
              </w:tc>
            </w:tr>
            <w:tr w14:paraId="093DE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14:paraId="5FE289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p>
              </w:tc>
              <w:tc>
                <w:tcPr>
                  <w:tcW w:w="4072" w:type="dxa"/>
                  <w:vAlign w:val="center"/>
                </w:tcPr>
                <w:p w14:paraId="5E10B8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优化产业发展功能定位和产业布局、严格控制发展规模。临港产业化工区应重点发展以非炼化一体化的化工新材料为主导的产业链，适度布局异氰酸酯、聚碳酸酯（PC）、己内酰胺（CPL）、丙烷脱氢等项目。不得在新厝先进制造业基地和月亮湾先进制造业基地的工业用地引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以空</w:t>
                  </w:r>
                  <w:r>
                    <w:rPr>
                      <w:rFonts w:hint="default" w:ascii="Times New Roman" w:hAnsi="Times New Roman" w:eastAsia="宋体" w:cs="Times New Roman"/>
                      <w:color w:val="000000" w:themeColor="text1"/>
                      <w:sz w:val="24"/>
                      <w:szCs w:val="24"/>
                      <w:highlight w:val="none"/>
                      <w14:textFill>
                        <w14:solidFill>
                          <w14:schemeClr w14:val="tx1"/>
                        </w14:solidFill>
                      </w14:textFill>
                    </w:rPr>
                    <w:t>气污染为主的产业。江阴港城人口规模应根据工业发展执行严格控制，避免工业与居住区用地混杂的矛盾。</w:t>
                  </w:r>
                </w:p>
              </w:tc>
              <w:tc>
                <w:tcPr>
                  <w:tcW w:w="2760" w:type="dxa"/>
                  <w:vAlign w:val="center"/>
                </w:tcPr>
                <w:p w14:paraId="1D83C8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本项目位于新厝先进制造业基地，主要从事</w:t>
                  </w:r>
                  <w:r>
                    <w:rPr>
                      <w:rFonts w:hint="default" w:ascii="Times New Roman" w:hAnsi="Times New Roman" w:eastAsia="宋体" w:cs="Times New Roman"/>
                      <w:color w:val="auto"/>
                      <w:sz w:val="24"/>
                      <w:szCs w:val="24"/>
                      <w:highlight w:val="none"/>
                      <w:u w:val="none"/>
                      <w:lang w:eastAsia="zh-CN"/>
                    </w:rPr>
                    <w:t>EPS包装泡沫、</w:t>
                  </w:r>
                  <w:r>
                    <w:rPr>
                      <w:rFonts w:hint="default" w:ascii="Times New Roman" w:hAnsi="Times New Roman" w:eastAsia="宋体" w:cs="Times New Roman"/>
                      <w:color w:val="auto"/>
                      <w:sz w:val="24"/>
                      <w:szCs w:val="24"/>
                      <w:highlight w:val="none"/>
                      <w:u w:val="none"/>
                      <w:lang w:val="en-US" w:eastAsia="zh-CN"/>
                    </w:rPr>
                    <w:t>EPO包装泡沫、EPP包装泡沫的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w:t>
                  </w:r>
                  <w:r>
                    <w:rPr>
                      <w:rFonts w:hint="default" w:ascii="Times New Roman" w:hAnsi="Times New Roman" w:eastAsia="宋体" w:cs="Times New Roman"/>
                      <w:color w:val="auto"/>
                      <w:sz w:val="24"/>
                      <w:szCs w:val="24"/>
                      <w:highlight w:val="none"/>
                      <w:lang w:val="en-US" w:eastAsia="zh-CN"/>
                    </w:rPr>
                    <w:t>，属于泡沫塑料制造业。不属于以空气污染为主的产业。</w:t>
                  </w:r>
                </w:p>
              </w:tc>
              <w:tc>
                <w:tcPr>
                  <w:tcW w:w="679" w:type="dxa"/>
                  <w:vAlign w:val="center"/>
                </w:tcPr>
                <w:p w14:paraId="63F41C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符合</w:t>
                  </w:r>
                </w:p>
              </w:tc>
            </w:tr>
            <w:tr w14:paraId="23F22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14:paraId="4C3C8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p>
              </w:tc>
              <w:tc>
                <w:tcPr>
                  <w:tcW w:w="4072" w:type="dxa"/>
                  <w:vAlign w:val="center"/>
                </w:tcPr>
                <w:p w14:paraId="22588F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化工项目必须落户在已经划定的东、西部产业区范围内，不得引入排放重金属和持久性有机污染物的企业。现有与园区产业规划不符合的企业，综合利用法律法规、环保、财政、税收、土地等政策、执法等手段引导上述企业逐步调整产品结构，加快淘汰落后生产技术和产品，实现规划区产业结构优化调整。</w:t>
                  </w:r>
                </w:p>
              </w:tc>
              <w:tc>
                <w:tcPr>
                  <w:tcW w:w="2760" w:type="dxa"/>
                  <w:vAlign w:val="center"/>
                </w:tcPr>
                <w:p w14:paraId="4623A3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新厝先进制造业基地</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项目主要从事</w:t>
                  </w:r>
                  <w:r>
                    <w:rPr>
                      <w:rFonts w:hint="default" w:ascii="Times New Roman" w:hAnsi="Times New Roman" w:eastAsia="宋体" w:cs="Times New Roman"/>
                      <w:color w:val="auto"/>
                      <w:sz w:val="24"/>
                      <w:szCs w:val="24"/>
                      <w:highlight w:val="none"/>
                      <w:u w:val="none"/>
                      <w:lang w:eastAsia="zh-CN"/>
                    </w:rPr>
                    <w:t>EPS包装泡沫、</w:t>
                  </w:r>
                  <w:r>
                    <w:rPr>
                      <w:rFonts w:hint="default" w:ascii="Times New Roman" w:hAnsi="Times New Roman" w:eastAsia="宋体" w:cs="Times New Roman"/>
                      <w:color w:val="auto"/>
                      <w:sz w:val="24"/>
                      <w:szCs w:val="24"/>
                      <w:highlight w:val="none"/>
                      <w:u w:val="none"/>
                      <w:lang w:val="en-US" w:eastAsia="zh-CN"/>
                    </w:rPr>
                    <w:t>EPO包装泡沫、EPP包装泡沫的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生产，不属于化工项目。</w:t>
                  </w:r>
                  <w:r>
                    <w:rPr>
                      <w:rFonts w:hint="default" w:ascii="Times New Roman" w:hAnsi="Times New Roman" w:eastAsia="宋体" w:cs="Times New Roman"/>
                      <w:color w:val="000000" w:themeColor="text1"/>
                      <w:sz w:val="24"/>
                      <w:szCs w:val="24"/>
                      <w:highlight w:val="none"/>
                      <w14:textFill>
                        <w14:solidFill>
                          <w14:schemeClr w14:val="tx1"/>
                        </w14:solidFill>
                      </w14:textFill>
                    </w:rPr>
                    <w:t>不排放重金属和持久性有机污染物。</w:t>
                  </w:r>
                </w:p>
              </w:tc>
              <w:tc>
                <w:tcPr>
                  <w:tcW w:w="679" w:type="dxa"/>
                  <w:vAlign w:val="center"/>
                </w:tcPr>
                <w:p w14:paraId="5EEE49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符合</w:t>
                  </w:r>
                </w:p>
              </w:tc>
            </w:tr>
            <w:tr w14:paraId="4A3FC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531" w:type="dxa"/>
                  <w:vAlign w:val="center"/>
                </w:tcPr>
                <w:p w14:paraId="695E22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p>
              </w:tc>
              <w:tc>
                <w:tcPr>
                  <w:tcW w:w="4072" w:type="dxa"/>
                  <w:vAlign w:val="center"/>
                </w:tcPr>
                <w:p w14:paraId="1C205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入区项目必须满足以下条件：“①不属于《国家产业结构调整指导目录（2011）》及2013年修改决定中的淘汰类；②满足《市场准入负面清单》（2019版）；③满足各行业准入条件；④不属于《福建省人民政府关于加强重点流域水环境综合整治的意见》中禁止的产业；⑤满足《福建省工业建设项目投资强度控制指标》相关要求。”</w:t>
                  </w:r>
                </w:p>
              </w:tc>
              <w:tc>
                <w:tcPr>
                  <w:tcW w:w="2760" w:type="dxa"/>
                  <w:vAlign w:val="center"/>
                </w:tcPr>
                <w:p w14:paraId="256418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z w:val="24"/>
                      <w:szCs w:val="24"/>
                    </w:rPr>
                    <w:t>本项目符合国家和地方产业导向；符合相关准入条件的限值要求。</w:t>
                  </w:r>
                </w:p>
              </w:tc>
              <w:tc>
                <w:tcPr>
                  <w:tcW w:w="679" w:type="dxa"/>
                  <w:vAlign w:val="center"/>
                </w:tcPr>
                <w:p w14:paraId="6C8BA9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符合</w:t>
                  </w:r>
                </w:p>
              </w:tc>
            </w:tr>
          </w:tbl>
          <w:p w14:paraId="3F5E0DD9">
            <w:pPr>
              <w:pStyle w:val="31"/>
              <w:keepNext w:val="0"/>
              <w:keepLines w:val="0"/>
              <w:pageBreakBefore w:val="0"/>
              <w:numPr>
                <w:ilvl w:val="0"/>
                <w:numId w:val="0"/>
              </w:numPr>
              <w:kinsoku/>
              <w:wordWrap/>
              <w:overflowPunct/>
              <w:topLinePunct w:val="0"/>
              <w:autoSpaceDE/>
              <w:autoSpaceDN/>
              <w:bidi w:val="0"/>
              <w:spacing w:line="360" w:lineRule="auto"/>
              <w:ind w:leftChars="0" w:right="0" w:rightChars="0"/>
              <w:jc w:val="left"/>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三、</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与《福州江阴港城经济区产业发展规划环境影响报告书》及其审查意见符合性分析</w:t>
            </w:r>
          </w:p>
          <w:p w14:paraId="4590151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根据《福州江阴港城经济区产业发展规划环境影响报告书》及其审查小组意见：</w:t>
            </w:r>
          </w:p>
          <w:p w14:paraId="007037A3">
            <w:pPr>
              <w:keepNext w:val="0"/>
              <w:keepLines w:val="0"/>
              <w:pageBreakBefore w:val="0"/>
              <w:widowControl/>
              <w:numPr>
                <w:ilvl w:val="0"/>
                <w:numId w:val="3"/>
              </w:numPr>
              <w:suppressLineNumbers w:val="0"/>
              <w:kinsoku/>
              <w:wordWrap/>
              <w:overflowPunct/>
              <w:topLinePunct w:val="0"/>
              <w:autoSpaceDE/>
              <w:autoSpaceDN/>
              <w:bidi w:val="0"/>
              <w:spacing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福州江阴港城经济区重点打造三大主导产业，即</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新材料</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生物医药和装备制造。其中新材料产业包括化工新材料及其延伸发展的高端制品材料，其中化工新材料重点发展高端聚氨酯、尼龙新材料、氯循环发展、轻烃深加工、锂电新材料五大化工板块，高端制品材料则是化工新材料产业延伸发展的重要部分。生物医药产业利用现有产业基础发展医药制剂和生物制剂等方向。装备制造则重点聚焦化工、新能源等领域的专用装备、成套装备、工业机器人等领域。此外，构建与园区主导产业进行衔接和支撑的配套产业，发展与区域经济相结合的产业，实现与区域产业发展的协同包括发展节能环保产业、生产性服务业、现代港口物流等产业，构建全方位一体化发展的现代产业体系。规划实施后具体项目引入时将严格落实《产业结构调整指导目录（2024年本）》有关要求，属于限制类和淘汰类的落后工艺、技术和装备将禁止引入，福州江阴港城经济区的发展将满足《产业结构调整指导目录（2024年本）》的要求。</w:t>
            </w:r>
          </w:p>
          <w:p w14:paraId="253E1CB9">
            <w:pPr>
              <w:keepNext w:val="0"/>
              <w:keepLines w:val="0"/>
              <w:pageBreakBefore w:val="0"/>
              <w:widowControl/>
              <w:numPr>
                <w:ilvl w:val="0"/>
                <w:numId w:val="3"/>
              </w:numPr>
              <w:suppressLineNumbers w:val="0"/>
              <w:kinsoku/>
              <w:wordWrap/>
              <w:overflowPunct/>
              <w:topLinePunct w:val="0"/>
              <w:autoSpaceDE/>
              <w:autoSpaceDN/>
              <w:bidi w:val="0"/>
              <w:spacing w:line="360" w:lineRule="auto"/>
              <w:ind w:left="0" w:leftChars="0" w:right="0" w:rightChars="0"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加强水资源利用管理，实行分级分类、梯级循环利用，推行节水和清洁利用技术，持续提高水资源利用率。实施热电联产集中供热。鼓励使用清洁能源，加热炉及导热油炉等禁止使用燃煤重油及渣油等高污染燃料。</w:t>
            </w:r>
          </w:p>
          <w:p w14:paraId="497133D7">
            <w:pPr>
              <w:keepNext w:val="0"/>
              <w:keepLines w:val="0"/>
              <w:pageBreakBefore w:val="0"/>
              <w:widowControl/>
              <w:numPr>
                <w:ilvl w:val="0"/>
                <w:numId w:val="0"/>
              </w:numPr>
              <w:suppressLineNumbers w:val="0"/>
              <w:kinsoku/>
              <w:wordWrap/>
              <w:overflowPunct/>
              <w:topLinePunct w:val="0"/>
              <w:autoSpaceDE/>
              <w:autoSpaceDN/>
              <w:bidi w:val="0"/>
              <w:spacing w:line="360" w:lineRule="auto"/>
              <w:ind w:right="0" w:rightChars="0" w:firstLine="480" w:firstLineChars="200"/>
              <w:jc w:val="both"/>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新厝拓展区以轻污染或无污染的产业为主，应严格环境准入，新厝拓展区原保税港区A区不引入大气污染为主的产业。江阴产业区化工新材料专区周边设置有500米隔离带，规划实施后入驻项目结合防护距离设置要求，设置隔离带，并确保隔离带内不得有居民区、学校、医院等敏感目标。已设置环保控制带，环保控制带应控制人口规模，不新增居民区、学校、医院等敏感目标。本项目为输电线路工程，属于《产业结构调整指导目录（2024年本）》的鼓励类：“电力基础设施建设电网改造与建设”，符合国家和地方产业导向；本项目为基础设施建设项目，不排放废水、废气，不属于高耗水、高排放、高污染行业，与规划环评中的行业定位不冲突，项目的建设符合福州江阴港城经济区产业引进的环保准入条件中的相关要求。</w:t>
            </w:r>
          </w:p>
        </w:tc>
      </w:tr>
      <w:tr w14:paraId="62093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698" w:type="dxa"/>
            <w:vAlign w:val="center"/>
          </w:tcPr>
          <w:p w14:paraId="6BD59298">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8274" w:type="dxa"/>
            <w:gridSpan w:val="5"/>
            <w:vAlign w:val="center"/>
          </w:tcPr>
          <w:p w14:paraId="7898A8C8">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0"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0"/>
          </w:p>
          <w:p w14:paraId="632AD8D0">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sz w:val="24"/>
                <w:szCs w:val="24"/>
                <w:highlight w:val="none"/>
                <w:u w:val="none"/>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w:t>
            </w:r>
            <w:r>
              <w:rPr>
                <w:rFonts w:hint="eastAsia" w:cs="Times New Roman"/>
                <w:color w:val="auto"/>
                <w:sz w:val="24"/>
                <w:szCs w:val="24"/>
                <w:highlight w:val="none"/>
                <w:u w:val="none"/>
                <w:lang w:eastAsia="zh-CN"/>
              </w:rPr>
              <w:t>EPS包装泡沫、</w:t>
            </w:r>
            <w:r>
              <w:rPr>
                <w:rFonts w:hint="eastAsia" w:cs="Times New Roman"/>
                <w:color w:val="auto"/>
                <w:sz w:val="24"/>
                <w:szCs w:val="24"/>
                <w:highlight w:val="none"/>
                <w:u w:val="none"/>
                <w:lang w:val="en-US" w:eastAsia="zh-CN"/>
              </w:rPr>
              <w:t>EPO包装泡沫、EPP包装泡沫的</w:t>
            </w:r>
            <w:r>
              <w:rPr>
                <w:rFonts w:hint="default" w:ascii="Times New Roman" w:hAnsi="Times New Roman" w:eastAsia="宋体" w:cs="Times New Roman"/>
                <w:color w:val="auto"/>
                <w:spacing w:val="0"/>
                <w:sz w:val="24"/>
                <w:szCs w:val="24"/>
                <w:highlight w:val="none"/>
                <w:u w:val="none"/>
                <w:lang w:val="en-US" w:eastAsia="zh-CN"/>
              </w:rPr>
              <w:t>生产，</w:t>
            </w:r>
            <w:r>
              <w:rPr>
                <w:rFonts w:hint="eastAsia" w:ascii="Times New Roman" w:hAnsi="Times New Roman" w:eastAsia="宋体" w:cs="Times New Roman"/>
                <w:color w:val="auto"/>
                <w:spacing w:val="0"/>
                <w:sz w:val="24"/>
                <w:szCs w:val="24"/>
                <w:highlight w:val="none"/>
                <w:u w:val="none"/>
                <w:lang w:val="en-US" w:eastAsia="zh-CN"/>
              </w:rPr>
              <w:t>项目所采用的生产工艺、所</w:t>
            </w:r>
            <w:r>
              <w:rPr>
                <w:rFonts w:hint="eastAsia" w:cs="Times New Roman"/>
                <w:color w:val="auto"/>
                <w:spacing w:val="0"/>
                <w:sz w:val="24"/>
                <w:szCs w:val="24"/>
                <w:highlight w:val="none"/>
                <w:u w:val="none"/>
                <w:lang w:val="en-US" w:eastAsia="zh-CN"/>
              </w:rPr>
              <w:t>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w:t>
            </w:r>
            <w:r>
              <w:rPr>
                <w:rFonts w:hint="eastAsia" w:cs="Times New Roman"/>
                <w:color w:val="auto"/>
                <w:spacing w:val="0"/>
                <w:sz w:val="24"/>
                <w:szCs w:val="24"/>
                <w:highlight w:val="none"/>
                <w:u w:val="none"/>
                <w:lang w:val="en-US" w:eastAsia="zh-CN"/>
              </w:rPr>
              <w:t>类</w:t>
            </w:r>
            <w:r>
              <w:rPr>
                <w:rFonts w:hint="default" w:ascii="Times New Roman" w:hAnsi="Times New Roman" w:eastAsia="宋体" w:cs="Times New Roman"/>
                <w:color w:val="auto"/>
                <w:spacing w:val="0"/>
                <w:sz w:val="24"/>
                <w:szCs w:val="24"/>
                <w:highlight w:val="none"/>
                <w:u w:val="none"/>
              </w:rPr>
              <w:t>和淘汰类的项目，</w:t>
            </w:r>
            <w:r>
              <w:rPr>
                <w:rFonts w:hint="default" w:ascii="Times New Roman" w:hAnsi="Times New Roman" w:eastAsia="宋体" w:cs="Times New Roman"/>
                <w:color w:val="auto"/>
                <w:spacing w:val="0"/>
                <w:sz w:val="24"/>
                <w:szCs w:val="24"/>
                <w:highlight w:val="none"/>
                <w:u w:val="none"/>
                <w:lang w:eastAsia="zh-CN"/>
              </w:rPr>
              <w:t>属于允许类</w:t>
            </w:r>
            <w:r>
              <w:rPr>
                <w:rFonts w:hint="eastAsia" w:cs="Times New Roman"/>
                <w:color w:val="auto"/>
                <w:spacing w:val="0"/>
                <w:sz w:val="24"/>
                <w:szCs w:val="24"/>
                <w:highlight w:val="none"/>
                <w:u w:val="none"/>
                <w:lang w:eastAsia="zh-CN"/>
              </w:rPr>
              <w:t>且</w:t>
            </w:r>
            <w:r>
              <w:rPr>
                <w:rFonts w:hint="default" w:ascii="Times New Roman" w:hAnsi="Times New Roman" w:eastAsia="宋体" w:cs="Times New Roman"/>
                <w:color w:val="auto"/>
                <w:spacing w:val="0"/>
                <w:sz w:val="24"/>
                <w:szCs w:val="24"/>
                <w:highlight w:val="none"/>
                <w:u w:val="none"/>
              </w:rPr>
              <w:t>该项目于</w:t>
            </w:r>
            <w:r>
              <w:rPr>
                <w:rFonts w:hint="default" w:ascii="Times New Roman" w:hAnsi="Times New Roman" w:eastAsia="宋体" w:cs="Times New Roman"/>
                <w:color w:val="auto"/>
                <w:spacing w:val="0"/>
                <w:sz w:val="24"/>
                <w:szCs w:val="24"/>
                <w:highlight w:val="none"/>
                <w:u w:val="none"/>
                <w:lang w:val="en-US" w:eastAsia="zh-CN"/>
              </w:rPr>
              <w:t>202</w:t>
            </w:r>
            <w:r>
              <w:rPr>
                <w:rFonts w:hint="eastAsia" w:cs="Times New Roman"/>
                <w:color w:val="auto"/>
                <w:spacing w:val="0"/>
                <w:sz w:val="24"/>
                <w:szCs w:val="24"/>
                <w:highlight w:val="none"/>
                <w:u w:val="none"/>
                <w:lang w:val="en-US" w:eastAsia="zh-CN"/>
              </w:rPr>
              <w:t>6</w:t>
            </w:r>
            <w:r>
              <w:rPr>
                <w:rFonts w:hint="default" w:ascii="Times New Roman" w:hAnsi="Times New Roman" w:eastAsia="宋体" w:cs="Times New Roman"/>
                <w:color w:val="auto"/>
                <w:spacing w:val="0"/>
                <w:sz w:val="24"/>
                <w:szCs w:val="24"/>
                <w:highlight w:val="none"/>
                <w:u w:val="none"/>
                <w:lang w:val="en-US" w:eastAsia="zh-CN"/>
              </w:rPr>
              <w:t>年</w:t>
            </w:r>
            <w:r>
              <w:rPr>
                <w:rFonts w:hint="eastAsia" w:cs="Times New Roman"/>
                <w:color w:val="auto"/>
                <w:spacing w:val="0"/>
                <w:sz w:val="24"/>
                <w:szCs w:val="24"/>
                <w:highlight w:val="none"/>
                <w:u w:val="none"/>
                <w:lang w:val="en-US" w:eastAsia="zh-CN"/>
              </w:rPr>
              <w:t>02</w:t>
            </w:r>
            <w:r>
              <w:rPr>
                <w:rFonts w:hint="default" w:ascii="Times New Roman" w:hAnsi="Times New Roman" w:eastAsia="宋体" w:cs="Times New Roman"/>
                <w:color w:val="auto"/>
                <w:spacing w:val="0"/>
                <w:sz w:val="24"/>
                <w:szCs w:val="24"/>
                <w:highlight w:val="none"/>
                <w:u w:val="none"/>
                <w:lang w:val="en-US" w:eastAsia="zh-CN"/>
              </w:rPr>
              <w:t>月</w:t>
            </w:r>
            <w:r>
              <w:rPr>
                <w:rFonts w:hint="eastAsia" w:cs="Times New Roman"/>
                <w:color w:val="auto"/>
                <w:spacing w:val="0"/>
                <w:sz w:val="24"/>
                <w:szCs w:val="24"/>
                <w:highlight w:val="none"/>
                <w:u w:val="none"/>
                <w:lang w:val="en-US" w:eastAsia="zh-CN"/>
              </w:rPr>
              <w:t>04</w:t>
            </w:r>
            <w:r>
              <w:rPr>
                <w:rFonts w:hint="default" w:ascii="Times New Roman" w:hAnsi="Times New Roman" w:eastAsia="宋体" w:cs="Times New Roman"/>
                <w:color w:val="auto"/>
                <w:spacing w:val="0"/>
                <w:sz w:val="24"/>
                <w:szCs w:val="24"/>
                <w:highlight w:val="none"/>
                <w:u w:val="none"/>
                <w:lang w:val="en-US" w:eastAsia="zh-CN"/>
              </w:rPr>
              <w:t>日</w:t>
            </w:r>
            <w:r>
              <w:rPr>
                <w:rFonts w:hint="default" w:ascii="Times New Roman" w:hAnsi="Times New Roman" w:eastAsia="宋体" w:cs="Times New Roman"/>
                <w:color w:val="auto"/>
                <w:spacing w:val="0"/>
                <w:sz w:val="24"/>
                <w:szCs w:val="24"/>
                <w:highlight w:val="none"/>
                <w:u w:val="none"/>
              </w:rPr>
              <w:t>通过了</w:t>
            </w:r>
            <w:r>
              <w:rPr>
                <w:rFonts w:hint="default" w:ascii="Times New Roman" w:hAnsi="Times New Roman" w:eastAsia="宋体" w:cs="Times New Roman"/>
                <w:color w:val="auto"/>
                <w:spacing w:val="0"/>
                <w:sz w:val="24"/>
                <w:szCs w:val="24"/>
                <w:highlight w:val="none"/>
                <w:u w:val="none"/>
                <w:lang w:eastAsia="zh-CN"/>
              </w:rPr>
              <w:t>福清市</w:t>
            </w:r>
            <w:r>
              <w:rPr>
                <w:rFonts w:hint="eastAsia" w:cs="Times New Roman"/>
                <w:color w:val="auto"/>
                <w:spacing w:val="0"/>
                <w:sz w:val="24"/>
                <w:szCs w:val="24"/>
                <w:highlight w:val="none"/>
                <w:u w:val="none"/>
                <w:lang w:val="en-US" w:eastAsia="zh-CN"/>
              </w:rPr>
              <w:t>工业和信息化</w:t>
            </w:r>
            <w:r>
              <w:rPr>
                <w:rFonts w:hint="default" w:ascii="Times New Roman" w:hAnsi="Times New Roman" w:eastAsia="宋体" w:cs="Times New Roman"/>
                <w:color w:val="auto"/>
                <w:spacing w:val="0"/>
                <w:sz w:val="24"/>
                <w:szCs w:val="24"/>
                <w:highlight w:val="none"/>
                <w:u w:val="none"/>
                <w:lang w:eastAsia="zh-CN"/>
              </w:rPr>
              <w:t>局</w:t>
            </w:r>
            <w:r>
              <w:rPr>
                <w:rFonts w:hint="default" w:ascii="Times New Roman" w:hAnsi="Times New Roman" w:eastAsia="宋体" w:cs="Times New Roman"/>
                <w:color w:val="auto"/>
                <w:spacing w:val="0"/>
                <w:sz w:val="24"/>
                <w:szCs w:val="24"/>
                <w:highlight w:val="none"/>
                <w:u w:val="none"/>
              </w:rPr>
              <w:t>的备案(</w:t>
            </w:r>
            <w:r>
              <w:rPr>
                <w:rFonts w:hint="default" w:ascii="Times New Roman" w:hAnsi="Times New Roman" w:eastAsia="宋体" w:cs="Times New Roman"/>
                <w:color w:val="auto"/>
                <w:sz w:val="24"/>
                <w:szCs w:val="24"/>
                <w:highlight w:val="none"/>
                <w:u w:val="none"/>
                <w:lang w:eastAsia="zh-CN"/>
              </w:rPr>
              <w:t>闽</w:t>
            </w:r>
            <w:r>
              <w:rPr>
                <w:rFonts w:hint="eastAsia" w:cs="Times New Roman"/>
                <w:color w:val="auto"/>
                <w:sz w:val="24"/>
                <w:szCs w:val="24"/>
                <w:highlight w:val="none"/>
                <w:u w:val="none"/>
                <w:lang w:val="en-US" w:eastAsia="zh-CN"/>
              </w:rPr>
              <w:t>工信</w:t>
            </w:r>
            <w:r>
              <w:rPr>
                <w:rFonts w:hint="default" w:ascii="Times New Roman" w:hAnsi="Times New Roman" w:eastAsia="宋体" w:cs="Times New Roman"/>
                <w:color w:val="auto"/>
                <w:sz w:val="24"/>
                <w:szCs w:val="24"/>
                <w:highlight w:val="none"/>
                <w:u w:val="none"/>
                <w:lang w:eastAsia="zh-CN"/>
              </w:rPr>
              <w:t>备</w:t>
            </w:r>
            <w:r>
              <w:rPr>
                <w:rFonts w:hint="eastAsia" w:cs="Times New Roman"/>
                <w:color w:val="auto"/>
                <w:sz w:val="24"/>
                <w:szCs w:val="24"/>
                <w:highlight w:val="none"/>
                <w:u w:val="none"/>
                <w:lang w:eastAsia="zh-CN"/>
              </w:rPr>
              <w:t>〔202</w:t>
            </w:r>
            <w:r>
              <w:rPr>
                <w:rFonts w:hint="eastAsia" w:cs="Times New Roman"/>
                <w:color w:val="auto"/>
                <w:sz w:val="24"/>
                <w:szCs w:val="24"/>
                <w:highlight w:val="none"/>
                <w:u w:val="none"/>
                <w:lang w:val="en-US" w:eastAsia="zh-CN"/>
              </w:rPr>
              <w:t>6</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A06</w:t>
            </w:r>
            <w:r>
              <w:rPr>
                <w:rFonts w:hint="eastAsia" w:cs="Times New Roman"/>
                <w:color w:val="auto"/>
                <w:sz w:val="24"/>
                <w:szCs w:val="24"/>
                <w:highlight w:val="none"/>
                <w:u w:val="none"/>
                <w:lang w:val="en-US" w:eastAsia="zh-CN"/>
              </w:rPr>
              <w:t>00111</w:t>
            </w:r>
            <w:r>
              <w:rPr>
                <w:rFonts w:hint="default" w:ascii="Times New Roman" w:hAnsi="Times New Roman" w:eastAsia="宋体" w:cs="Times New Roman"/>
                <w:color w:val="auto"/>
                <w:sz w:val="24"/>
                <w:szCs w:val="24"/>
                <w:highlight w:val="none"/>
                <w:u w:val="none"/>
                <w:lang w:eastAsia="zh-CN"/>
              </w:rPr>
              <w:t>号，</w:t>
            </w:r>
            <w:r>
              <w:rPr>
                <w:rFonts w:hint="eastAsia" w:cs="Times New Roman"/>
                <w:color w:val="auto"/>
                <w:sz w:val="24"/>
                <w:szCs w:val="24"/>
                <w:highlight w:val="none"/>
                <w:u w:val="none"/>
                <w:lang w:val="en-US" w:eastAsia="zh-CN"/>
              </w:rPr>
              <w:t>（备案表</w:t>
            </w:r>
            <w:r>
              <w:rPr>
                <w:rFonts w:hint="default" w:ascii="Times New Roman" w:hAnsi="Times New Roman" w:eastAsia="宋体" w:cs="Times New Roman"/>
                <w:color w:val="auto"/>
                <w:spacing w:val="0"/>
                <w:sz w:val="24"/>
                <w:szCs w:val="24"/>
                <w:highlight w:val="none"/>
                <w:u w:val="none"/>
              </w:rPr>
              <w:t>详见</w:t>
            </w:r>
            <w:r>
              <w:rPr>
                <w:rFonts w:hint="default" w:ascii="Times New Roman" w:hAnsi="Times New Roman" w:eastAsia="宋体" w:cs="Times New Roman"/>
                <w:b/>
                <w:bCs/>
                <w:color w:val="auto"/>
                <w:spacing w:val="0"/>
                <w:sz w:val="24"/>
                <w:szCs w:val="24"/>
                <w:highlight w:val="none"/>
                <w:u w:val="none"/>
              </w:rPr>
              <w:t>附件</w:t>
            </w:r>
            <w:r>
              <w:rPr>
                <w:rFonts w:hint="eastAsia" w:cs="Times New Roman"/>
                <w:b/>
                <w:bCs/>
                <w:color w:val="auto"/>
                <w:spacing w:val="0"/>
                <w:sz w:val="24"/>
                <w:szCs w:val="24"/>
                <w:highlight w:val="none"/>
                <w:u w:val="none"/>
                <w:lang w:val="en-US" w:eastAsia="zh-CN"/>
              </w:rPr>
              <w:t>六</w:t>
            </w:r>
            <w:r>
              <w:rPr>
                <w:rFonts w:hint="eastAsia" w:cs="Times New Roman"/>
                <w:b w:val="0"/>
                <w:bCs w:val="0"/>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rPr>
              <w:t>，因此项目的建设内容符合当前国家</w:t>
            </w:r>
            <w:r>
              <w:rPr>
                <w:rFonts w:hint="default" w:ascii="Times New Roman" w:hAnsi="Times New Roman" w:eastAsia="宋体" w:cs="Times New Roman"/>
                <w:color w:val="auto"/>
                <w:spacing w:val="0"/>
                <w:sz w:val="24"/>
                <w:szCs w:val="24"/>
                <w:highlight w:val="none"/>
                <w:u w:val="none"/>
                <w:lang w:eastAsia="zh-CN"/>
              </w:rPr>
              <w:t>和地方</w:t>
            </w:r>
            <w:r>
              <w:rPr>
                <w:rFonts w:hint="default" w:ascii="Times New Roman" w:hAnsi="Times New Roman" w:eastAsia="宋体" w:cs="Times New Roman"/>
                <w:color w:val="auto"/>
                <w:spacing w:val="0"/>
                <w:sz w:val="24"/>
                <w:szCs w:val="24"/>
                <w:highlight w:val="none"/>
                <w:u w:val="none"/>
              </w:rPr>
              <w:t>的产业政策。</w:t>
            </w:r>
          </w:p>
          <w:p w14:paraId="13E0B7C3">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1" w:name="_Toc12021"/>
            <w:r>
              <w:rPr>
                <w:rFonts w:hint="eastAsia" w:ascii="Times New Roman" w:cs="Times New Roman"/>
                <w:b/>
                <w:color w:val="auto"/>
                <w:sz w:val="24"/>
                <w:szCs w:val="24"/>
                <w:highlight w:val="none"/>
                <w:u w:val="none"/>
                <w:lang w:val="en-US" w:eastAsia="zh-CN"/>
              </w:rPr>
              <w:t>3.生态环境分区管控</w:t>
            </w:r>
            <w:r>
              <w:rPr>
                <w:rFonts w:hint="default" w:ascii="Times New Roman" w:hAnsi="Times New Roman" w:eastAsia="宋体" w:cs="Times New Roman"/>
                <w:b/>
                <w:color w:val="auto"/>
                <w:sz w:val="24"/>
                <w:szCs w:val="24"/>
                <w:highlight w:val="none"/>
                <w:u w:val="none"/>
                <w:lang w:val="en-US" w:eastAsia="zh-CN"/>
              </w:rPr>
              <w:t>控制要求的符合性分析</w:t>
            </w:r>
            <w:bookmarkEnd w:id="11"/>
          </w:p>
          <w:p w14:paraId="551863C3">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根据《关于以改善环境质量为核心加强环境影响评价管理的通知》</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环评〔2016〕150号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即：</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生态保护红线、环境质量底线、资源利用上线和生态环境准入清单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，项目建设应强化</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约束作用。</w:t>
            </w:r>
          </w:p>
          <w:p w14:paraId="3CA10CBA">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1</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w:t>
            </w:r>
          </w:p>
          <w:p w14:paraId="3ED87D87">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保护红线划定方案》及其调整方案</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GB"/>
                <w14:textFill>
                  <w14:solidFill>
                    <w14:schemeClr w14:val="tx1"/>
                  </w14:solidFill>
                </w14:textFill>
              </w:rPr>
              <w:t>《福清市生态功能区划》</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GB"/>
                <w14:textFill>
                  <w14:solidFill>
                    <w14:schemeClr w14:val="tx1"/>
                  </w14:solidFill>
                </w14:textFill>
              </w:rPr>
              <w:t>2003年</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，本项目</w:t>
            </w:r>
            <w:r>
              <w:rPr>
                <w:rFonts w:hint="default" w:ascii="Times New Roman" w:hAnsi="Times New Roman" w:eastAsia="宋体" w:cs="Times New Roman"/>
                <w:color w:val="auto"/>
                <w:spacing w:val="0"/>
                <w:w w:val="100"/>
                <w:position w:val="0"/>
                <w:sz w:val="24"/>
                <w:szCs w:val="24"/>
                <w:highlight w:val="none"/>
                <w:u w:val="none"/>
              </w:rPr>
              <w:t>位于</w:t>
            </w:r>
            <w:r>
              <w:rPr>
                <w:rFonts w:hint="eastAsia" w:cs="Times New Roman"/>
                <w:color w:val="auto"/>
                <w:sz w:val="24"/>
                <w:szCs w:val="24"/>
                <w:highlight w:val="none"/>
                <w:u w:val="none"/>
                <w:lang w:val="en-US" w:eastAsia="zh-CN"/>
              </w:rPr>
              <w:t>福建省福州市福清市新厝镇双屿500-22号（江阴港城经济区新厝区块）</w:t>
            </w:r>
            <w:r>
              <w:rPr>
                <w:rFonts w:hint="default" w:ascii="Times New Roman" w:hAnsi="Times New Roman" w:eastAsia="宋体" w:cs="Times New Roman"/>
                <w:color w:val="auto"/>
                <w:spacing w:val="0"/>
                <w:w w:val="100"/>
                <w:position w:val="0"/>
                <w:sz w:val="24"/>
                <w:szCs w:val="24"/>
                <w:highlight w:val="none"/>
                <w:u w:val="none"/>
              </w:rPr>
              <w:t>。项目周边无国家公园</w:t>
            </w:r>
            <w:r>
              <w:rPr>
                <w:rFonts w:hint="default" w:ascii="Times New Roman" w:hAnsi="Times New Roman" w:eastAsia="宋体" w:cs="Times New Roman"/>
                <w:color w:val="auto"/>
                <w:spacing w:val="0"/>
                <w:w w:val="100"/>
                <w:position w:val="0"/>
                <w:sz w:val="24"/>
                <w:szCs w:val="24"/>
                <w:u w:val="none"/>
              </w:rPr>
              <w:t>、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508C4265">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2</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环境质量底线</w:t>
            </w:r>
          </w:p>
          <w:p w14:paraId="2B8A4A5E">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eastAsia"/>
                <w:lang w:eastAsia="zh-CN"/>
              </w:rPr>
            </w:pPr>
            <w:r>
              <w:rPr>
                <w:rFonts w:hint="default" w:ascii="Times New Roman" w:hAnsi="Times New Roman" w:eastAsia="宋体" w:cs="Times New Roman"/>
                <w:color w:val="auto"/>
                <w:spacing w:val="0"/>
                <w:w w:val="100"/>
                <w:position w:val="0"/>
                <w:sz w:val="24"/>
                <w:szCs w:val="24"/>
                <w:u w:val="none"/>
                <w:lang w:eastAsia="zh-CN"/>
              </w:rPr>
              <w:t>项目所在区域环境质量底线：环境空气质量目标为《环境空气质量标准》（GB3095-2012）及修改单中的二级</w:t>
            </w:r>
            <w:r>
              <w:rPr>
                <w:rFonts w:hint="eastAsia" w:ascii="Times New Roman" w:hAnsi="Times New Roman" w:eastAsia="宋体" w:cs="Times New Roman"/>
                <w:color w:val="auto"/>
                <w:spacing w:val="0"/>
                <w:w w:val="100"/>
                <w:position w:val="0"/>
                <w:sz w:val="24"/>
                <w:szCs w:val="24"/>
                <w:u w:val="none"/>
                <w:lang w:eastAsia="zh-CN"/>
              </w:rPr>
              <w:t>标准</w:t>
            </w:r>
            <w:r>
              <w:rPr>
                <w:rFonts w:hint="default" w:ascii="Times New Roman" w:hAnsi="Times New Roman" w:eastAsia="宋体" w:cs="Times New Roman"/>
                <w:color w:val="auto"/>
                <w:spacing w:val="0"/>
                <w:w w:val="100"/>
                <w:position w:val="0"/>
                <w:sz w:val="24"/>
                <w:szCs w:val="24"/>
                <w:u w:val="none"/>
                <w:lang w:eastAsia="zh-CN"/>
              </w:rPr>
              <w:t>；</w:t>
            </w:r>
            <w:r>
              <w:rPr>
                <w:rFonts w:hint="eastAsia" w:ascii="Times New Roman" w:hAnsi="Times New Roman" w:eastAsia="宋体" w:cs="Times New Roman"/>
                <w:color w:val="auto"/>
                <w:spacing w:val="0"/>
                <w:w w:val="100"/>
                <w:position w:val="0"/>
                <w:sz w:val="24"/>
                <w:szCs w:val="24"/>
                <w:u w:val="none"/>
                <w:lang w:eastAsia="zh-CN"/>
              </w:rPr>
              <w:t>周边</w:t>
            </w:r>
            <w:r>
              <w:rPr>
                <w:rFonts w:hint="eastAsia" w:ascii="Times New Roman" w:hAnsi="Times New Roman" w:eastAsia="宋体" w:cs="Times New Roman"/>
                <w:color w:val="auto"/>
                <w:spacing w:val="0"/>
                <w:w w:val="100"/>
                <w:position w:val="0"/>
                <w:sz w:val="24"/>
                <w:szCs w:val="24"/>
                <w:u w:val="none"/>
                <w:lang w:val="en-US" w:eastAsia="zh-CN"/>
              </w:rPr>
              <w:t>兴化湾江阴半岛西部海域，根据《</w:t>
            </w:r>
            <w:r>
              <w:rPr>
                <w:rFonts w:hint="default" w:ascii="Times New Roman" w:hAnsi="Times New Roman" w:eastAsia="宋体" w:cs="Times New Roman"/>
                <w:color w:val="auto"/>
                <w:spacing w:val="0"/>
                <w:w w:val="100"/>
                <w:position w:val="0"/>
                <w:sz w:val="24"/>
                <w:szCs w:val="24"/>
                <w:u w:val="none"/>
                <w:lang w:val="en-US" w:eastAsia="zh-CN"/>
              </w:rPr>
              <w:t>福建省近岸海域环境功能区划（修编）》（闽政</w:t>
            </w:r>
            <w:r>
              <w:rPr>
                <w:rFonts w:hint="eastAsia" w:ascii="Times New Roman" w:hAnsi="Times New Roman" w:cs="Times New Roman"/>
                <w:color w:val="auto"/>
                <w:spacing w:val="0"/>
                <w:w w:val="100"/>
                <w:position w:val="0"/>
                <w:sz w:val="24"/>
                <w:szCs w:val="24"/>
                <w:u w:val="none"/>
                <w:lang w:val="en-US" w:eastAsia="zh-CN"/>
              </w:rPr>
              <w:t>〔2011〕45号</w:t>
            </w:r>
            <w:r>
              <w:rPr>
                <w:rFonts w:hint="default" w:ascii="Times New Roman" w:hAnsi="Times New Roman" w:eastAsia="宋体" w:cs="Times New Roman"/>
                <w:color w:val="auto"/>
                <w:spacing w:val="0"/>
                <w:w w:val="100"/>
                <w:position w:val="0"/>
                <w:sz w:val="24"/>
                <w:szCs w:val="24"/>
                <w:u w:val="none"/>
                <w:lang w:val="en-US" w:eastAsia="zh-CN"/>
              </w:rPr>
              <w:t>），兴化湾江阴西部海域为二类环境功能区，海水水质执行《海水水质标准》（GB3097-1997）第二类标准，适用于水产养殖区，海水浴场，人体直接接触海水的海上运动或娱乐区，以及与人类食用直接有关的工业用水区</w:t>
            </w:r>
            <w:r>
              <w:rPr>
                <w:rFonts w:hint="eastAsia" w:ascii="Times New Roman" w:hAnsi="Times New Roman" w:eastAsia="宋体" w:cs="Times New Roman"/>
                <w:color w:val="auto"/>
                <w:spacing w:val="0"/>
                <w:w w:val="100"/>
                <w:position w:val="0"/>
                <w:sz w:val="24"/>
                <w:szCs w:val="24"/>
                <w:highlight w:val="none"/>
                <w:u w:val="none"/>
                <w:lang w:val="en-US" w:eastAsia="zh-CN"/>
              </w:rPr>
              <w:t>（详见</w:t>
            </w:r>
            <w:r>
              <w:rPr>
                <w:rFonts w:hint="eastAsia" w:ascii="Times New Roman" w:hAnsi="Times New Roman" w:eastAsia="宋体" w:cs="Times New Roman"/>
                <w:b/>
                <w:bCs/>
                <w:color w:val="auto"/>
                <w:spacing w:val="0"/>
                <w:w w:val="100"/>
                <w:position w:val="0"/>
                <w:sz w:val="24"/>
                <w:szCs w:val="24"/>
                <w:highlight w:val="none"/>
                <w:u w:val="none"/>
                <w:lang w:val="en-US" w:eastAsia="zh-CN"/>
              </w:rPr>
              <w:t>附图五</w:t>
            </w:r>
            <w:r>
              <w:rPr>
                <w:rFonts w:hint="eastAsia" w:ascii="Times New Roman" w:hAnsi="Times New Roman" w:eastAsia="宋体" w:cs="Times New Roman"/>
                <w:color w:val="auto"/>
                <w:spacing w:val="0"/>
                <w:w w:val="100"/>
                <w:position w:val="0"/>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7D740EE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w:t>
            </w:r>
            <w:r>
              <w:rPr>
                <w:rFonts w:hint="default" w:ascii="Times New Roman" w:hAnsi="Times New Roman" w:eastAsia="宋体" w:cs="Times New Roman"/>
                <w:color w:val="auto"/>
                <w:sz w:val="24"/>
                <w:szCs w:val="24"/>
                <w:u w:val="none"/>
                <w:vertAlign w:val="baseline"/>
                <w:lang w:eastAsia="zh-CN"/>
              </w:rPr>
              <w:t>运营期</w:t>
            </w:r>
            <w:r>
              <w:rPr>
                <w:rFonts w:hint="eastAsia" w:cs="Times New Roman"/>
                <w:color w:val="auto"/>
                <w:sz w:val="24"/>
                <w:szCs w:val="24"/>
                <w:u w:val="none"/>
                <w:vertAlign w:val="baseline"/>
                <w:lang w:val="en-US" w:eastAsia="zh-CN"/>
              </w:rPr>
              <w:t>生产废水为模具冷却水及蒸汽冷凝水经“</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s="Times New Roman"/>
                <w:color w:val="auto"/>
                <w:sz w:val="24"/>
                <w:szCs w:val="24"/>
                <w:u w:val="none"/>
                <w:vertAlign w:val="baseline"/>
                <w:lang w:val="en-US" w:eastAsia="zh-CN"/>
              </w:rPr>
              <w:t>处理后循环使用不外排。因此本项目无生产废水排放。</w:t>
            </w:r>
            <w:r>
              <w:rPr>
                <w:rFonts w:hint="eastAsia" w:cs="Times New Roman"/>
                <w:color w:val="auto"/>
                <w:spacing w:val="0"/>
                <w:sz w:val="24"/>
                <w:szCs w:val="24"/>
                <w:highlight w:val="none"/>
                <w:u w:val="none"/>
                <w:lang w:val="en-US" w:eastAsia="zh-CN"/>
              </w:rPr>
              <w:t>生活污水依托出租方（福建力峰机械实业有限公司）现有化粪池</w:t>
            </w:r>
            <w:r>
              <w:rPr>
                <w:rFonts w:hint="eastAsia" w:ascii="Times New Roman" w:hAnsi="Times New Roman" w:eastAsia="宋体" w:cs="Times New Roman"/>
                <w:color w:val="auto"/>
                <w:spacing w:val="0"/>
                <w:sz w:val="24"/>
                <w:szCs w:val="24"/>
                <w:highlight w:val="none"/>
                <w:u w:val="none"/>
                <w:lang w:eastAsia="zh-CN"/>
              </w:rPr>
              <w:t>处理达标</w:t>
            </w:r>
            <w:r>
              <w:rPr>
                <w:rFonts w:hint="default" w:ascii="Times New Roman" w:hAnsi="Times New Roman" w:eastAsia="宋体" w:cs="Times New Roman"/>
                <w:color w:val="auto"/>
                <w:spacing w:val="0"/>
                <w:sz w:val="24"/>
                <w:szCs w:val="24"/>
                <w:highlight w:val="none"/>
                <w:u w:val="none"/>
                <w:lang w:eastAsia="zh-CN"/>
              </w:rPr>
              <w:t>后，</w:t>
            </w:r>
            <w:r>
              <w:rPr>
                <w:rFonts w:hint="eastAsia" w:ascii="Times New Roman" w:hAnsi="Times New Roman" w:eastAsia="宋体" w:cs="Times New Roman"/>
                <w:color w:val="auto"/>
                <w:spacing w:val="0"/>
                <w:sz w:val="24"/>
                <w:szCs w:val="24"/>
                <w:highlight w:val="none"/>
                <w:u w:val="none"/>
                <w:lang w:eastAsia="zh-CN"/>
              </w:rPr>
              <w:t>接入市政污水管网，纳入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pacing w:val="0"/>
                <w:sz w:val="24"/>
                <w:szCs w:val="24"/>
                <w:highlight w:val="none"/>
                <w:u w:val="none"/>
                <w:lang w:eastAsia="zh-CN"/>
              </w:rPr>
              <w:t>进行</w:t>
            </w:r>
            <w:r>
              <w:rPr>
                <w:rFonts w:hint="default" w:ascii="Times New Roman" w:hAnsi="Times New Roman" w:eastAsia="宋体" w:cs="Times New Roman"/>
                <w:color w:val="auto"/>
                <w:spacing w:val="0"/>
                <w:sz w:val="24"/>
                <w:szCs w:val="24"/>
                <w:highlight w:val="none"/>
                <w:u w:val="none"/>
                <w:lang w:eastAsia="zh-CN"/>
              </w:rPr>
              <w:t>处理</w:t>
            </w:r>
            <w:r>
              <w:rPr>
                <w:rFonts w:hint="eastAsia" w:cs="Times New Roman"/>
                <w:color w:val="auto"/>
                <w:spacing w:val="0"/>
                <w:sz w:val="24"/>
                <w:szCs w:val="24"/>
                <w:highlight w:val="none"/>
                <w:u w:val="none"/>
                <w:lang w:val="en-US" w:eastAsia="zh-CN"/>
              </w:rPr>
              <w:t>后达标排放</w:t>
            </w:r>
            <w:r>
              <w:rPr>
                <w:rFonts w:hint="eastAsia" w:ascii="Times New Roman" w:hAnsi="Times New Roman" w:eastAsia="宋体" w:cs="Times New Roman"/>
                <w:color w:val="auto"/>
                <w:spacing w:val="0"/>
                <w:sz w:val="24"/>
                <w:szCs w:val="24"/>
                <w:highlight w:val="none"/>
                <w:u w:val="none"/>
                <w:lang w:eastAsia="zh-CN"/>
              </w:rPr>
              <w:t>。</w:t>
            </w:r>
            <w:r>
              <w:rPr>
                <w:rFonts w:hint="eastAsia" w:cs="Times New Roman"/>
                <w:color w:val="auto"/>
                <w:spacing w:val="0"/>
                <w:sz w:val="24"/>
                <w:szCs w:val="24"/>
                <w:highlight w:val="none"/>
                <w:u w:val="none"/>
                <w:lang w:val="en-US" w:eastAsia="zh-CN"/>
              </w:rPr>
              <w:t>所</w:t>
            </w:r>
            <w:r>
              <w:rPr>
                <w:rFonts w:hint="eastAsia" w:ascii="Times New Roman" w:hAnsi="Times New Roman" w:eastAsia="宋体" w:cs="Times New Roman"/>
                <w:color w:val="auto"/>
                <w:spacing w:val="0"/>
                <w:sz w:val="24"/>
                <w:szCs w:val="24"/>
                <w:highlight w:val="none"/>
                <w:u w:val="none"/>
                <w:lang w:eastAsia="zh-CN"/>
              </w:rPr>
              <w:t>产生废水均不直接进入水体，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791A8D8E">
            <w:pPr>
              <w:pStyle w:val="33"/>
              <w:keepNext w:val="0"/>
              <w:keepLines w:val="0"/>
              <w:pageBreakBefore w:val="0"/>
              <w:numPr>
                <w:ilvl w:val="0"/>
                <w:numId w:val="4"/>
              </w:numPr>
              <w:wordWrap/>
              <w:overflowPunct/>
              <w:topLinePunct w:val="0"/>
              <w:bidi w:val="0"/>
              <w:adjustRightInd/>
              <w:snapToGrid/>
              <w:spacing w:line="360" w:lineRule="auto"/>
              <w:ind w:left="0" w:right="0" w:firstLine="480" w:firstLineChars="200"/>
              <w:jc w:val="left"/>
              <w:rPr>
                <w:rFonts w:hint="eastAsia" w:ascii="Times New Roman" w:hAnsi="Times New Roman" w:cs="Times New Roman"/>
                <w:color w:val="auto"/>
                <w:spacing w:val="0"/>
                <w:w w:val="100"/>
                <w:position w:val="0"/>
                <w:sz w:val="24"/>
                <w:szCs w:val="24"/>
                <w:u w:val="none"/>
                <w:lang w:val="en-US" w:eastAsia="zh-CN"/>
              </w:rPr>
            </w:pPr>
            <w:r>
              <w:rPr>
                <w:rFonts w:hint="default" w:ascii="Times New Roman" w:hAnsi="Times New Roman" w:eastAsia="宋体" w:cs="Times New Roman"/>
                <w:color w:val="auto"/>
                <w:spacing w:val="0"/>
                <w:w w:val="100"/>
                <w:position w:val="0"/>
                <w:sz w:val="24"/>
                <w:szCs w:val="24"/>
                <w:u w:val="none"/>
              </w:rPr>
              <w:t>资源利用上</w:t>
            </w:r>
            <w:r>
              <w:rPr>
                <w:rFonts w:hint="eastAsia" w:ascii="Times New Roman" w:hAnsi="Times New Roman" w:cs="Times New Roman"/>
                <w:color w:val="auto"/>
                <w:spacing w:val="0"/>
                <w:w w:val="100"/>
                <w:position w:val="0"/>
                <w:sz w:val="24"/>
                <w:szCs w:val="24"/>
                <w:u w:val="none"/>
                <w:lang w:val="en-US" w:eastAsia="zh-CN"/>
              </w:rPr>
              <w:t>线</w:t>
            </w:r>
          </w:p>
          <w:p w14:paraId="7116E8E4">
            <w:pPr>
              <w:pStyle w:val="33"/>
              <w:keepNext w:val="0"/>
              <w:keepLines w:val="0"/>
              <w:pageBreakBefore w:val="0"/>
              <w:numPr>
                <w:ilvl w:val="0"/>
                <w:numId w:val="0"/>
              </w:numPr>
              <w:wordWrap/>
              <w:overflowPunct/>
              <w:topLinePunct w:val="0"/>
              <w:bidi w:val="0"/>
              <w:adjustRightInd/>
              <w:snapToGrid/>
              <w:spacing w:line="360" w:lineRule="auto"/>
              <w:ind w:right="0" w:rightChars="0" w:firstLine="480" w:firstLineChars="200"/>
              <w:jc w:val="left"/>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项目用电为区域集中供应，项目的水、气等资源利用不会突破区域的资源利用</w:t>
            </w:r>
            <w:r>
              <w:rPr>
                <w:rFonts w:hint="eastAsia" w:ascii="Times New Roman" w:hAnsi="Times New Roman" w:cs="Times New Roman"/>
                <w:color w:val="auto"/>
                <w:spacing w:val="0"/>
                <w:w w:val="100"/>
                <w:position w:val="0"/>
                <w:sz w:val="24"/>
                <w:szCs w:val="24"/>
                <w:u w:val="none"/>
                <w:lang w:eastAsia="zh-CN"/>
              </w:rPr>
              <w:t>上限</w:t>
            </w:r>
            <w:r>
              <w:rPr>
                <w:rFonts w:hint="default" w:ascii="Times New Roman" w:hAnsi="Times New Roman" w:eastAsia="宋体" w:cs="Times New Roman"/>
                <w:color w:val="auto"/>
                <w:spacing w:val="0"/>
                <w:w w:val="100"/>
                <w:position w:val="0"/>
                <w:sz w:val="24"/>
                <w:szCs w:val="24"/>
                <w:u w:val="none"/>
              </w:rPr>
              <w:t>。本项目使用电能作为主要消耗能源，电能属于清洁能源。</w:t>
            </w:r>
            <w:r>
              <w:rPr>
                <w:rFonts w:hint="eastAsia"/>
                <w:color w:val="000000"/>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w:t>
            </w:r>
            <w:r>
              <w:rPr>
                <w:rFonts w:hint="eastAsia"/>
                <w:color w:val="auto"/>
                <w:szCs w:val="21"/>
              </w:rPr>
              <w:t>会突破区域资源利用</w:t>
            </w:r>
            <w:r>
              <w:rPr>
                <w:rFonts w:hint="eastAsia"/>
                <w:color w:val="auto"/>
                <w:szCs w:val="21"/>
                <w:lang w:eastAsia="zh-CN"/>
              </w:rPr>
              <w:t>上限</w:t>
            </w:r>
          </w:p>
          <w:p w14:paraId="5604563D">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4</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环境准入负面清单</w:t>
            </w:r>
          </w:p>
          <w:p w14:paraId="084E4F8B">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w:t>
            </w:r>
            <w:r>
              <w:rPr>
                <w:rFonts w:hint="eastAsia" w:ascii="Times New Roman" w:hAnsi="Times New Roman" w:cs="Times New Roman"/>
                <w:color w:val="auto"/>
                <w:spacing w:val="0"/>
                <w:w w:val="100"/>
                <w:position w:val="0"/>
                <w:sz w:val="24"/>
                <w:szCs w:val="24"/>
                <w:u w:val="none"/>
                <w:lang w:val="en-US" w:eastAsia="zh-CN"/>
              </w:rPr>
              <w:t>类</w:t>
            </w:r>
            <w:r>
              <w:rPr>
                <w:rFonts w:hint="default" w:ascii="Times New Roman" w:hAnsi="Times New Roman" w:eastAsia="宋体" w:cs="Times New Roman"/>
                <w:color w:val="auto"/>
                <w:spacing w:val="0"/>
                <w:w w:val="100"/>
                <w:position w:val="0"/>
                <w:sz w:val="24"/>
                <w:szCs w:val="24"/>
                <w:u w:val="none"/>
              </w:rPr>
              <w:t>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w:t>
            </w:r>
            <w:r>
              <w:rPr>
                <w:rFonts w:hint="default" w:ascii="Times New Roman" w:hAnsi="Times New Roman" w:eastAsia="宋体" w:cs="Times New Roman"/>
                <w:color w:val="auto"/>
                <w:sz w:val="24"/>
                <w:szCs w:val="24"/>
                <w:highlight w:val="none"/>
              </w:rPr>
              <w:t>《福州市人民政府办公厅关于印发〈福州市生态环境分区管控方案（2023年更新）〉的通知》（榕政办规〔2024〕20号）及《福州市生态环境局关于发布福州市2024年生态环境分区管控动态更新成果的通知》（榕环保综〔2025〕1号）中相关</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2020年版</w:t>
            </w:r>
            <w:r>
              <w:rPr>
                <w:rFonts w:hint="eastAsia" w:ascii="Times New Roman" w:hAnsi="Times New Roman"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中禁止准入类的项目。</w:t>
            </w:r>
          </w:p>
          <w:p w14:paraId="6728B68D">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2" w:name="_Toc24656"/>
            <w:r>
              <w:rPr>
                <w:rFonts w:hint="eastAsia" w:ascii="Times New Roman" w:cs="Times New Roman"/>
                <w:b/>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与</w:t>
            </w:r>
            <w:r>
              <w:rPr>
                <w:rFonts w:hint="eastAsia" w:ascii="Times New Roman" w:cs="Times New Roman"/>
                <w:b/>
                <w:color w:val="000000" w:themeColor="text1"/>
                <w:sz w:val="24"/>
                <w:szCs w:val="24"/>
                <w:highlight w:val="none"/>
                <w:u w:val="none"/>
                <w:lang w:val="en-US" w:eastAsia="zh-CN"/>
                <w14:textFill>
                  <w14:solidFill>
                    <w14:schemeClr w14:val="tx1"/>
                  </w14:solidFill>
                </w14:textFill>
              </w:rPr>
              <w:t>省、市生态环境分区管控要求的</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符合性分析</w:t>
            </w:r>
            <w:bookmarkEnd w:id="12"/>
          </w:p>
          <w:p w14:paraId="6E857BB6">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rPr>
              <w:t>根据《福州市人民政府办公厅关于印发〈福州市生态环境分区管控方案（2023年更新）〉的通知》（榕政办规〔2024〕20号）及《福州市生态环境局关于发布福州市2024年生态环境分区管控动态更新成果的通知》（榕环保综〔2025〕1号）中相关要求</w:t>
            </w:r>
            <w:r>
              <w:rPr>
                <w:rFonts w:hint="eastAsia" w:ascii="Times New Roman" w:hAnsi="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《福建省生态环境分区管控综合查询报告》报告编号：</w:t>
            </w:r>
            <w:r>
              <w:rPr>
                <w:rFonts w:hint="eastAsia" w:ascii="Times New Roman" w:hAnsi="Times New Roman" w:cs="Times New Roman"/>
                <w:color w:val="auto"/>
                <w:sz w:val="24"/>
                <w:szCs w:val="24"/>
                <w:highlight w:val="none"/>
                <w:shd w:val="clear" w:color="auto" w:fill="auto"/>
                <w:lang w:val="en-US" w:eastAsia="zh-CN"/>
              </w:rPr>
              <w:t>FQGK1769396542967</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color w:val="auto"/>
                <w:kern w:val="2"/>
                <w:sz w:val="24"/>
                <w:szCs w:val="24"/>
                <w:highlight w:val="none"/>
                <w:lang w:val="en-US" w:eastAsia="zh-CN" w:bidi="ar-SA"/>
              </w:rPr>
              <w:t>位于</w:t>
            </w:r>
            <w:r>
              <w:rPr>
                <w:rFonts w:hint="eastAsia" w:cs="Times New Roman"/>
                <w:color w:val="auto"/>
                <w:sz w:val="24"/>
                <w:szCs w:val="24"/>
                <w:highlight w:val="none"/>
                <w:u w:val="none"/>
                <w:lang w:val="en-US" w:eastAsia="zh-CN"/>
              </w:rPr>
              <w:t>福建省福州市福清市新厝镇双屿500-22号（江阴港城经济区新厝区块）</w:t>
            </w:r>
            <w:r>
              <w:rPr>
                <w:rFonts w:hint="default" w:ascii="Times New Roman" w:hAnsi="Times New Roman" w:eastAsia="宋体" w:cs="Times New Roman"/>
                <w:color w:val="auto"/>
                <w:sz w:val="24"/>
                <w:szCs w:val="24"/>
                <w:highlight w:val="none"/>
                <w:lang w:val="en-US" w:eastAsia="zh-CN"/>
              </w:rPr>
              <w:t>，在</w:t>
            </w:r>
            <w:r>
              <w:rPr>
                <w:rFonts w:hint="eastAsia" w:cs="Times New Roman"/>
                <w:b w:val="0"/>
                <w:bCs w:val="0"/>
                <w:color w:val="auto"/>
                <w:sz w:val="24"/>
                <w:szCs w:val="24"/>
                <w:highlight w:val="none"/>
                <w:u w:val="none"/>
                <w:lang w:val="en-US" w:eastAsia="zh-CN"/>
              </w:rPr>
              <w:t>江阴临港产业区</w:t>
            </w:r>
            <w:r>
              <w:rPr>
                <w:rFonts w:hint="eastAsia" w:ascii="Times New Roman" w:hAnsi="Times New Roman" w:cs="Times New Roman"/>
                <w:b w:val="0"/>
                <w:bCs w:val="0"/>
                <w:color w:val="auto"/>
                <w:sz w:val="24"/>
                <w:szCs w:val="24"/>
                <w:highlight w:val="none"/>
                <w:lang w:val="en-US" w:eastAsia="zh-CN"/>
              </w:rPr>
              <w:t>（</w:t>
            </w:r>
            <w:r>
              <w:rPr>
                <w:rFonts w:ascii="宋体" w:hAnsi="宋体" w:eastAsia="宋体" w:cs="宋体"/>
                <w:b w:val="0"/>
                <w:bCs w:val="0"/>
                <w:color w:val="auto"/>
                <w:sz w:val="24"/>
                <w:szCs w:val="24"/>
                <w:highlight w:val="none"/>
              </w:rPr>
              <w:t>新厝先进制造业基地</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内且</w:t>
            </w:r>
            <w:r>
              <w:rPr>
                <w:rFonts w:hint="default" w:ascii="Times New Roman" w:hAnsi="Times New Roman" w:eastAsia="宋体" w:cs="Times New Roman"/>
                <w:color w:val="auto"/>
                <w:sz w:val="24"/>
                <w:szCs w:val="24"/>
                <w:highlight w:val="none"/>
                <w:lang w:val="en-US" w:eastAsia="zh-CN"/>
              </w:rPr>
              <w:t>项目属于</w:t>
            </w:r>
            <w:r>
              <w:rPr>
                <w:rFonts w:hint="eastAsia" w:ascii="Times New Roman" w:hAnsi="Times New Roman" w:cs="Times New Roman"/>
                <w:color w:val="auto"/>
                <w:sz w:val="24"/>
                <w:szCs w:val="24"/>
                <w:highlight w:val="none"/>
                <w:lang w:val="en-US" w:eastAsia="zh-CN"/>
              </w:rPr>
              <w:t>泡沫塑料制造业</w:t>
            </w:r>
            <w:r>
              <w:rPr>
                <w:rFonts w:hint="default" w:ascii="Times New Roman" w:hAnsi="Times New Roman" w:eastAsia="宋体"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福州市生态环境总体准入要求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与</w:t>
            </w:r>
            <w:r>
              <w:rPr>
                <w:rFonts w:hint="eastAsia" w:ascii="Times New Roman" w:hAnsi="Times New Roman" w:cs="Times New Roman"/>
                <w:color w:val="auto"/>
                <w:sz w:val="24"/>
                <w:szCs w:val="24"/>
                <w:lang w:val="en-US" w:eastAsia="zh-CN"/>
              </w:rPr>
              <w:t>福清市</w:t>
            </w:r>
            <w:r>
              <w:rPr>
                <w:rFonts w:hint="default" w:ascii="Times New Roman" w:hAnsi="Times New Roman" w:eastAsia="宋体" w:cs="Times New Roman"/>
                <w:color w:val="auto"/>
                <w:sz w:val="24"/>
                <w:szCs w:val="24"/>
              </w:rPr>
              <w:t>重点管控单元</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（环</w:t>
            </w:r>
            <w:r>
              <w:rPr>
                <w:rFonts w:hint="default" w:ascii="Times New Roman" w:hAnsi="Times New Roman" w:eastAsia="宋体" w:cs="Times New Roman"/>
                <w:sz w:val="24"/>
                <w:szCs w:val="24"/>
              </w:rPr>
              <w:t>境管控单元编码</w:t>
            </w:r>
            <w:r>
              <w:rPr>
                <w:rFonts w:hint="eastAsia" w:ascii="Times New Roman" w:hAnsi="Times New Roman" w:cs="Times New Roman"/>
                <w:sz w:val="24"/>
                <w:szCs w:val="24"/>
                <w:lang w:eastAsia="zh-CN"/>
              </w:rPr>
              <w:t>：</w:t>
            </w:r>
            <w:r>
              <w:rPr>
                <w:rFonts w:hint="eastAsia"/>
                <w:vertAlign w:val="baseline"/>
                <w:lang w:val="en-US" w:eastAsia="zh-CN"/>
              </w:rPr>
              <w:t>ZH35018120010</w:t>
            </w:r>
            <w:r>
              <w:rPr>
                <w:rFonts w:hint="default" w:ascii="Times New Roman" w:hAnsi="Times New Roman" w:eastAsia="宋体" w:cs="Times New Roman"/>
                <w:sz w:val="24"/>
                <w:szCs w:val="24"/>
                <w:highlight w:val="none"/>
              </w:rPr>
              <w:t>）准入要求符合性分析见表1</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4。福建省生态环境分区管控数据应用平台查询结果截图详见</w:t>
            </w:r>
            <w:r>
              <w:rPr>
                <w:rFonts w:hint="default" w:ascii="Times New Roman" w:hAnsi="Times New Roman" w:eastAsia="宋体" w:cs="Times New Roman"/>
                <w:b/>
                <w:bCs/>
                <w:sz w:val="24"/>
                <w:szCs w:val="24"/>
                <w:highlight w:val="none"/>
              </w:rPr>
              <w:t>附图</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sz w:val="24"/>
                <w:szCs w:val="24"/>
                <w:highlight w:val="none"/>
              </w:rPr>
              <w:t>，福建省生态环境分区管控综</w:t>
            </w:r>
            <w:r>
              <w:rPr>
                <w:rFonts w:hint="default" w:ascii="Times New Roman" w:hAnsi="Times New Roman" w:eastAsia="宋体" w:cs="Times New Roman"/>
                <w:b w:val="0"/>
                <w:bCs w:val="0"/>
                <w:sz w:val="24"/>
                <w:szCs w:val="24"/>
                <w:highlight w:val="none"/>
              </w:rPr>
              <w:t>合查询报告详见</w:t>
            </w:r>
            <w:r>
              <w:rPr>
                <w:rFonts w:hint="default" w:ascii="Times New Roman" w:hAnsi="Times New Roman" w:eastAsia="宋体" w:cs="Times New Roman"/>
                <w:b/>
                <w:bCs/>
                <w:sz w:val="24"/>
                <w:szCs w:val="24"/>
                <w:highlight w:val="none"/>
                <w:lang w:val="en-US" w:eastAsia="zh-CN"/>
              </w:rPr>
              <w:t>附件十</w:t>
            </w:r>
            <w:r>
              <w:rPr>
                <w:rFonts w:hint="eastAsia" w:ascii="Times New Roman" w:hAnsi="Times New Roman" w:cs="Times New Roman"/>
                <w:b/>
                <w:bCs/>
                <w:sz w:val="24"/>
                <w:szCs w:val="24"/>
                <w:highlight w:val="none"/>
                <w:lang w:val="en-US" w:eastAsia="zh-CN"/>
              </w:rPr>
              <w:t>九</w:t>
            </w:r>
            <w:r>
              <w:rPr>
                <w:rFonts w:hint="default" w:ascii="Times New Roman" w:hAnsi="Times New Roman" w:eastAsia="宋体" w:cs="Times New Roman"/>
                <w:color w:val="auto"/>
                <w:spacing w:val="0"/>
                <w:w w:val="100"/>
                <w:position w:val="0"/>
                <w:sz w:val="24"/>
                <w:szCs w:val="24"/>
                <w:highlight w:val="none"/>
                <w:u w:val="none"/>
              </w:rPr>
              <w:t>。</w:t>
            </w:r>
          </w:p>
        </w:tc>
      </w:tr>
    </w:tbl>
    <w:p w14:paraId="73279F20">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59ABC1B2">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4"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8" w:charSpace="0"/>
        </w:sectPr>
      </w:pPr>
    </w:p>
    <w:tbl>
      <w:tblPr>
        <w:tblStyle w:val="23"/>
        <w:tblW w:w="135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839"/>
      </w:tblGrid>
      <w:tr w14:paraId="56D67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6" w:hRule="atLeast"/>
          <w:jc w:val="center"/>
        </w:trPr>
        <w:tc>
          <w:tcPr>
            <w:tcW w:w="738" w:type="dxa"/>
            <w:vAlign w:val="center"/>
          </w:tcPr>
          <w:p w14:paraId="10A034A8">
            <w:pPr>
              <w:rPr>
                <w:rFonts w:hint="default"/>
              </w:rPr>
            </w:pPr>
          </w:p>
        </w:tc>
        <w:tc>
          <w:tcPr>
            <w:tcW w:w="12839" w:type="dxa"/>
            <w:vAlign w:val="center"/>
          </w:tcPr>
          <w:p w14:paraId="09686EC9">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cs="Times New Roman"/>
                <w:b/>
                <w:bCs/>
                <w:color w:val="auto"/>
                <w:kern w:val="0"/>
                <w:sz w:val="24"/>
                <w:szCs w:val="24"/>
                <w:u w:val="none"/>
                <w:lang w:val="en-US" w:eastAsia="zh-CN"/>
              </w:rPr>
              <w:t>2</w:t>
            </w:r>
            <w:r>
              <w:rPr>
                <w:rFonts w:hint="default" w:ascii="Times New Roman" w:hAnsi="Times New Roman" w:eastAsia="宋体" w:cs="Times New Roman"/>
                <w:b/>
                <w:bCs/>
                <w:color w:val="auto"/>
                <w:kern w:val="0"/>
                <w:sz w:val="24"/>
                <w:szCs w:val="24"/>
                <w:u w:val="none"/>
              </w:rPr>
              <w:t>与</w:t>
            </w:r>
            <w:r>
              <w:rPr>
                <w:rFonts w:hint="eastAsia" w:cs="Times New Roman"/>
                <w:b/>
                <w:bCs/>
                <w:color w:val="auto"/>
                <w:kern w:val="0"/>
                <w:sz w:val="24"/>
                <w:szCs w:val="24"/>
                <w:u w:val="none"/>
                <w:lang w:val="en-US" w:eastAsia="zh-CN"/>
              </w:rPr>
              <w:t>全省生态环境总体准入要求的符合性分析</w:t>
            </w:r>
          </w:p>
          <w:tbl>
            <w:tblPr>
              <w:tblStyle w:val="24"/>
              <w:tblW w:w="126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621"/>
              <w:gridCol w:w="7097"/>
              <w:gridCol w:w="2984"/>
              <w:gridCol w:w="732"/>
            </w:tblGrid>
            <w:tr w14:paraId="1C1C1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4" w:type="dxa"/>
                  <w:tcBorders>
                    <w:tl2br w:val="nil"/>
                    <w:tr2bl w:val="nil"/>
                  </w:tcBorders>
                  <w:vAlign w:val="center"/>
                </w:tcPr>
                <w:p w14:paraId="1689193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7718" w:type="dxa"/>
                  <w:gridSpan w:val="2"/>
                  <w:tcBorders>
                    <w:tl2br w:val="nil"/>
                    <w:tr2bl w:val="nil"/>
                  </w:tcBorders>
                  <w:vAlign w:val="center"/>
                </w:tcPr>
                <w:p w14:paraId="0AA92853">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2984" w:type="dxa"/>
                  <w:tcBorders>
                    <w:tl2br w:val="nil"/>
                    <w:tr2bl w:val="nil"/>
                  </w:tcBorders>
                  <w:vAlign w:val="center"/>
                </w:tcPr>
                <w:p w14:paraId="2C1EE17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732" w:type="dxa"/>
                  <w:tcBorders>
                    <w:tl2br w:val="nil"/>
                    <w:tr2bl w:val="nil"/>
                  </w:tcBorders>
                  <w:vAlign w:val="center"/>
                </w:tcPr>
                <w:p w14:paraId="4F9AF0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1009D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184" w:type="dxa"/>
                  <w:vMerge w:val="restart"/>
                  <w:tcBorders>
                    <w:tl2br w:val="nil"/>
                    <w:tr2bl w:val="nil"/>
                  </w:tcBorders>
                  <w:vAlign w:val="center"/>
                </w:tcPr>
                <w:p w14:paraId="7307ED2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621" w:type="dxa"/>
                  <w:vMerge w:val="restart"/>
                  <w:tcBorders>
                    <w:tl2br w:val="nil"/>
                    <w:tr2bl w:val="nil"/>
                  </w:tcBorders>
                  <w:vAlign w:val="center"/>
                </w:tcPr>
                <w:p w14:paraId="4BCF345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7097" w:type="dxa"/>
                  <w:tcBorders>
                    <w:tl2br w:val="nil"/>
                    <w:tr2bl w:val="nil"/>
                  </w:tcBorders>
                  <w:vAlign w:val="center"/>
                </w:tcPr>
                <w:p w14:paraId="48C171C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1.石化、汽车、船舶、冶金、水泥、制浆造纸、印染等重点产业，要符合全省规划布局要求。</w:t>
                  </w:r>
                </w:p>
              </w:tc>
              <w:tc>
                <w:tcPr>
                  <w:tcW w:w="2984" w:type="dxa"/>
                  <w:vMerge w:val="restart"/>
                  <w:tcBorders>
                    <w:tl2br w:val="nil"/>
                    <w:tr2bl w:val="nil"/>
                  </w:tcBorders>
                  <w:vAlign w:val="center"/>
                </w:tcPr>
                <w:p w14:paraId="5B5D25C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1-2、本项目</w:t>
                  </w:r>
                  <w:r>
                    <w:rPr>
                      <w:rFonts w:hint="default" w:ascii="Times New Roman" w:hAnsi="Times New Roman" w:eastAsia="宋体" w:cs="Times New Roman"/>
                      <w:color w:val="auto"/>
                      <w:spacing w:val="0"/>
                      <w:sz w:val="21"/>
                      <w:szCs w:val="21"/>
                      <w:highlight w:val="none"/>
                      <w:u w:val="none"/>
                    </w:rPr>
                    <w:t>主要</w:t>
                  </w:r>
                  <w:r>
                    <w:rPr>
                      <w:rFonts w:hint="default" w:ascii="Times New Roman" w:hAnsi="Times New Roman" w:eastAsia="宋体" w:cs="Times New Roman"/>
                      <w:color w:val="auto"/>
                      <w:spacing w:val="0"/>
                      <w:sz w:val="21"/>
                      <w:szCs w:val="21"/>
                      <w:highlight w:val="none"/>
                      <w:u w:val="none"/>
                      <w:lang w:eastAsia="zh-CN"/>
                    </w:rPr>
                    <w:t>从事</w:t>
                  </w:r>
                  <w:r>
                    <w:rPr>
                      <w:rFonts w:hint="eastAsia" w:cs="Times New Roman"/>
                      <w:color w:val="auto"/>
                      <w:sz w:val="21"/>
                      <w:szCs w:val="21"/>
                      <w:highlight w:val="none"/>
                      <w:u w:val="none"/>
                      <w:lang w:eastAsia="zh-CN"/>
                    </w:rPr>
                    <w:t>EPS包装泡沫、</w:t>
                  </w:r>
                  <w:r>
                    <w:rPr>
                      <w:rFonts w:hint="eastAsia" w:cs="Times New Roman"/>
                      <w:color w:val="auto"/>
                      <w:sz w:val="21"/>
                      <w:szCs w:val="21"/>
                      <w:highlight w:val="none"/>
                      <w:u w:val="none"/>
                      <w:lang w:val="en-US" w:eastAsia="zh-CN"/>
                    </w:rPr>
                    <w:t>EPO包装泡沫、EPP包装泡沫的</w:t>
                  </w:r>
                  <w:r>
                    <w:rPr>
                      <w:rFonts w:hint="default" w:ascii="Times New Roman" w:hAnsi="Times New Roman" w:eastAsia="宋体" w:cs="Times New Roman"/>
                      <w:color w:val="auto"/>
                      <w:spacing w:val="0"/>
                      <w:sz w:val="21"/>
                      <w:szCs w:val="21"/>
                      <w:highlight w:val="none"/>
                      <w:u w:val="none"/>
                      <w:lang w:val="en-US" w:eastAsia="zh-CN"/>
                    </w:rPr>
                    <w:t>生产</w:t>
                  </w:r>
                  <w:r>
                    <w:rPr>
                      <w:rFonts w:hint="eastAsia" w:cs="Times New Roman"/>
                      <w:color w:val="000000" w:themeColor="text1"/>
                      <w:sz w:val="21"/>
                      <w:szCs w:val="21"/>
                      <w:highlight w:val="none"/>
                      <w:u w:val="none"/>
                      <w:lang w:val="en-US" w:eastAsia="zh-CN"/>
                      <w14:textFill>
                        <w14:solidFill>
                          <w14:schemeClr w14:val="tx1"/>
                        </w14:solidFill>
                      </w14:textFill>
                    </w:rPr>
                    <w:t>属于</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泡沫塑料制造业，不</w:t>
                  </w:r>
                  <w:r>
                    <w:rPr>
                      <w:rFonts w:hint="eastAsia" w:cs="Times New Roman"/>
                      <w:color w:val="000000" w:themeColor="text1"/>
                      <w:sz w:val="21"/>
                      <w:szCs w:val="21"/>
                      <w:highlight w:val="none"/>
                      <w:u w:val="none"/>
                      <w:lang w:val="en-US" w:eastAsia="zh-CN"/>
                      <w14:textFill>
                        <w14:solidFill>
                          <w14:schemeClr w14:val="tx1"/>
                        </w14:solidFill>
                      </w14:textFill>
                    </w:rPr>
                    <w:t>涉及石化</w:t>
                  </w:r>
                  <w:r>
                    <w:rPr>
                      <w:rFonts w:hint="eastAsia" w:cs="Times New Roman"/>
                      <w:color w:val="000000" w:themeColor="text1"/>
                      <w:sz w:val="21"/>
                      <w:szCs w:val="21"/>
                      <w:u w:val="none"/>
                      <w:lang w:val="en-US" w:eastAsia="zh-CN"/>
                      <w14:textFill>
                        <w14:solidFill>
                          <w14:schemeClr w14:val="tx1"/>
                        </w14:solidFill>
                      </w14:textFill>
                    </w:rPr>
                    <w:t>、汽车、冶金、钢铁、水泥等重点行业。</w:t>
                  </w:r>
                </w:p>
                <w:p w14:paraId="56F8B9E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3-4本项目不属于煤电、氟化工项目。</w:t>
                  </w:r>
                </w:p>
                <w:p w14:paraId="3A40A610">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5-6、</w:t>
                  </w:r>
                  <w:r>
                    <w:rPr>
                      <w:rFonts w:hint="default" w:ascii="Times New Roman" w:hAnsi="Times New Roman" w:eastAsia="宋体" w:cs="Times New Roman"/>
                      <w:color w:val="000000" w:themeColor="text1"/>
                      <w:sz w:val="21"/>
                      <w:szCs w:val="21"/>
                      <w:u w:val="none"/>
                      <w14:textFill>
                        <w14:solidFill>
                          <w14:schemeClr w14:val="tx1"/>
                        </w14:solidFill>
                      </w14:textFill>
                    </w:rPr>
                    <w:t>项目周边水环境质量达标。生活污水经化粪池处理后接入市政管网汇入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cs="Times New Roman"/>
                      <w:color w:val="000000" w:themeColor="text1"/>
                      <w:sz w:val="21"/>
                      <w:szCs w:val="21"/>
                      <w:u w:val="none"/>
                      <w:lang w:val="en-US" w:eastAsia="zh-CN"/>
                      <w14:textFill>
                        <w14:solidFill>
                          <w14:schemeClr w14:val="tx1"/>
                        </w14:solidFill>
                      </w14:textFill>
                    </w:rPr>
                    <w:t>与空间布局约束不冲突。</w:t>
                  </w:r>
                </w:p>
                <w:p w14:paraId="6AD4BF60">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7、本项目不属于</w:t>
                  </w:r>
                  <w:r>
                    <w:rPr>
                      <w:rFonts w:hint="eastAsia"/>
                      <w:color w:val="000000" w:themeColor="text1"/>
                      <w:vertAlign w:val="baseline"/>
                      <w:lang w:val="en-US" w:eastAsia="zh-CN"/>
                      <w14:textFill>
                        <w14:solidFill>
                          <w14:schemeClr w14:val="tx1"/>
                        </w14:solidFill>
                      </w14:textFill>
                    </w:rPr>
                    <w:t>新建用汞的电石法（聚）氯乙烯生产工艺</w:t>
                  </w:r>
                </w:p>
              </w:tc>
              <w:tc>
                <w:tcPr>
                  <w:tcW w:w="732" w:type="dxa"/>
                  <w:vMerge w:val="restart"/>
                  <w:tcBorders>
                    <w:tl2br w:val="nil"/>
                    <w:tr2bl w:val="nil"/>
                  </w:tcBorders>
                  <w:vAlign w:val="center"/>
                </w:tcPr>
                <w:p w14:paraId="27459B5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03D7C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184" w:type="dxa"/>
                  <w:vMerge w:val="continue"/>
                  <w:tcBorders>
                    <w:tl2br w:val="nil"/>
                    <w:tr2bl w:val="nil"/>
                  </w:tcBorders>
                  <w:vAlign w:val="center"/>
                </w:tcPr>
                <w:p w14:paraId="048E182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3985C51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49195E1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2.严控钢铁、水泥、平板玻璃等产能过剩行业新增产能，新增产能应实施产能等量或减量置换。</w:t>
                  </w:r>
                </w:p>
              </w:tc>
              <w:tc>
                <w:tcPr>
                  <w:tcW w:w="2984" w:type="dxa"/>
                  <w:vMerge w:val="continue"/>
                  <w:tcBorders>
                    <w:tl2br w:val="nil"/>
                    <w:tr2bl w:val="nil"/>
                  </w:tcBorders>
                  <w:vAlign w:val="center"/>
                </w:tcPr>
                <w:p w14:paraId="3230966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p>
              </w:tc>
              <w:tc>
                <w:tcPr>
                  <w:tcW w:w="732" w:type="dxa"/>
                  <w:vMerge w:val="continue"/>
                  <w:tcBorders>
                    <w:tl2br w:val="nil"/>
                    <w:tr2bl w:val="nil"/>
                  </w:tcBorders>
                  <w:vAlign w:val="center"/>
                </w:tcPr>
                <w:p w14:paraId="5D309C5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2A43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184" w:type="dxa"/>
                  <w:vMerge w:val="continue"/>
                  <w:tcBorders>
                    <w:tl2br w:val="nil"/>
                    <w:tr2bl w:val="nil"/>
                  </w:tcBorders>
                  <w:vAlign w:val="center"/>
                </w:tcPr>
                <w:p w14:paraId="58090FE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09E437E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099080F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3.除列入国家规划的大型煤电和符合相关要求的等容量替代项目，以及以供热为主的热电联产项目外，原则上不再建设新的煤电项目。</w:t>
                  </w:r>
                </w:p>
              </w:tc>
              <w:tc>
                <w:tcPr>
                  <w:tcW w:w="2984" w:type="dxa"/>
                  <w:vMerge w:val="continue"/>
                  <w:tcBorders>
                    <w:tl2br w:val="nil"/>
                    <w:tr2bl w:val="nil"/>
                  </w:tcBorders>
                  <w:vAlign w:val="center"/>
                </w:tcPr>
                <w:p w14:paraId="6AB22A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32" w:type="dxa"/>
                  <w:vMerge w:val="continue"/>
                  <w:tcBorders>
                    <w:tl2br w:val="nil"/>
                    <w:tr2bl w:val="nil"/>
                  </w:tcBorders>
                  <w:vAlign w:val="center"/>
                </w:tcPr>
                <w:p w14:paraId="25D9915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358F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184" w:type="dxa"/>
                  <w:vMerge w:val="continue"/>
                  <w:tcBorders>
                    <w:tl2br w:val="nil"/>
                    <w:tr2bl w:val="nil"/>
                  </w:tcBorders>
                  <w:vAlign w:val="center"/>
                </w:tcPr>
                <w:p w14:paraId="525C334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264278A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1C2AC91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2984" w:type="dxa"/>
                  <w:vMerge w:val="continue"/>
                  <w:tcBorders>
                    <w:tl2br w:val="nil"/>
                    <w:tr2bl w:val="nil"/>
                  </w:tcBorders>
                  <w:vAlign w:val="center"/>
                </w:tcPr>
                <w:p w14:paraId="72CDD6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32" w:type="dxa"/>
                  <w:vMerge w:val="continue"/>
                  <w:tcBorders>
                    <w:tl2br w:val="nil"/>
                    <w:tr2bl w:val="nil"/>
                  </w:tcBorders>
                  <w:vAlign w:val="center"/>
                </w:tcPr>
                <w:p w14:paraId="4791F3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CE66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84" w:type="dxa"/>
                  <w:vMerge w:val="continue"/>
                  <w:tcBorders>
                    <w:tl2br w:val="nil"/>
                    <w:tr2bl w:val="nil"/>
                  </w:tcBorders>
                  <w:vAlign w:val="center"/>
                </w:tcPr>
                <w:p w14:paraId="302E474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6E5BCE9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1BA7D01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5.禁止在水环境质量不能稳定达标的区域内，建设新增相应不达标污染物指标排放量的工业项目。</w:t>
                  </w:r>
                </w:p>
              </w:tc>
              <w:tc>
                <w:tcPr>
                  <w:tcW w:w="2984" w:type="dxa"/>
                  <w:vMerge w:val="continue"/>
                  <w:tcBorders>
                    <w:tl2br w:val="nil"/>
                    <w:tr2bl w:val="nil"/>
                  </w:tcBorders>
                  <w:vAlign w:val="center"/>
                </w:tcPr>
                <w:p w14:paraId="6DA2F2CE">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32" w:type="dxa"/>
                  <w:vMerge w:val="continue"/>
                  <w:tcBorders>
                    <w:tl2br w:val="nil"/>
                    <w:tr2bl w:val="nil"/>
                  </w:tcBorders>
                  <w:vAlign w:val="center"/>
                </w:tcPr>
                <w:p w14:paraId="6E2ABE9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33F6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84" w:type="dxa"/>
                  <w:vMerge w:val="continue"/>
                  <w:tcBorders>
                    <w:tl2br w:val="nil"/>
                    <w:tr2bl w:val="nil"/>
                  </w:tcBorders>
                  <w:vAlign w:val="center"/>
                </w:tcPr>
                <w:p w14:paraId="2EC1E9F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53D1FE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77B9628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tc>
              <w:tc>
                <w:tcPr>
                  <w:tcW w:w="2984" w:type="dxa"/>
                  <w:vMerge w:val="continue"/>
                  <w:tcBorders>
                    <w:tl2br w:val="nil"/>
                    <w:tr2bl w:val="nil"/>
                  </w:tcBorders>
                  <w:vAlign w:val="center"/>
                </w:tcPr>
                <w:p w14:paraId="6B09F13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732" w:type="dxa"/>
                  <w:vMerge w:val="continue"/>
                  <w:tcBorders>
                    <w:tl2br w:val="nil"/>
                    <w:tr2bl w:val="nil"/>
                  </w:tcBorders>
                  <w:vAlign w:val="center"/>
                </w:tcPr>
                <w:p w14:paraId="5264889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A33F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1184" w:type="dxa"/>
                  <w:vMerge w:val="continue"/>
                  <w:tcBorders>
                    <w:tl2br w:val="nil"/>
                    <w:tr2bl w:val="nil"/>
                  </w:tcBorders>
                  <w:vAlign w:val="center"/>
                </w:tcPr>
                <w:p w14:paraId="72D8F42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5D454C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5B77E0B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2984" w:type="dxa"/>
                  <w:vMerge w:val="continue"/>
                  <w:tcBorders>
                    <w:tl2br w:val="nil"/>
                    <w:tr2bl w:val="nil"/>
                  </w:tcBorders>
                  <w:vAlign w:val="center"/>
                </w:tcPr>
                <w:p w14:paraId="292C012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732" w:type="dxa"/>
                  <w:vMerge w:val="continue"/>
                  <w:tcBorders>
                    <w:tl2br w:val="nil"/>
                    <w:tr2bl w:val="nil"/>
                  </w:tcBorders>
                  <w:vAlign w:val="center"/>
                </w:tcPr>
                <w:p w14:paraId="3DD45D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7F3C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84" w:type="dxa"/>
                  <w:vMerge w:val="continue"/>
                  <w:tcBorders>
                    <w:tl2br w:val="nil"/>
                    <w:tr2bl w:val="nil"/>
                  </w:tcBorders>
                  <w:vAlign w:val="center"/>
                </w:tcPr>
                <w:p w14:paraId="398088C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restart"/>
                  <w:tcBorders>
                    <w:tl2br w:val="nil"/>
                    <w:tr2bl w:val="nil"/>
                  </w:tcBorders>
                  <w:vAlign w:val="center"/>
                </w:tcPr>
                <w:p w14:paraId="6C0A9C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7097" w:type="dxa"/>
                  <w:tcBorders>
                    <w:tl2br w:val="nil"/>
                    <w:tr2bl w:val="nil"/>
                  </w:tcBorders>
                  <w:vAlign w:val="center"/>
                </w:tcPr>
                <w:p w14:paraId="0F3CD5E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vertAlign w:val="baseline"/>
                      <w:lang w:val="en-US" w:eastAsia="zh-CN"/>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tc>
              <w:tc>
                <w:tcPr>
                  <w:tcW w:w="2984" w:type="dxa"/>
                  <w:tcBorders>
                    <w:tl2br w:val="nil"/>
                    <w:tr2bl w:val="nil"/>
                  </w:tcBorders>
                  <w:vAlign w:val="center"/>
                </w:tcPr>
                <w:p w14:paraId="459A792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项目投产前，按生态环境主管部门相关规定落实挥发性有机物的倍量替代</w:t>
                  </w:r>
                </w:p>
              </w:tc>
              <w:tc>
                <w:tcPr>
                  <w:tcW w:w="732" w:type="dxa"/>
                  <w:vMerge w:val="restart"/>
                  <w:tcBorders>
                    <w:tl2br w:val="nil"/>
                    <w:tr2bl w:val="nil"/>
                  </w:tcBorders>
                  <w:vAlign w:val="center"/>
                </w:tcPr>
                <w:p w14:paraId="05E549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37BAD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1184" w:type="dxa"/>
                  <w:vMerge w:val="continue"/>
                  <w:tcBorders>
                    <w:tl2br w:val="nil"/>
                    <w:tr2bl w:val="nil"/>
                  </w:tcBorders>
                  <w:vAlign w:val="center"/>
                </w:tcPr>
                <w:p w14:paraId="337D122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7397309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3BA1D5B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tc>
              <w:tc>
                <w:tcPr>
                  <w:tcW w:w="2984" w:type="dxa"/>
                  <w:tcBorders>
                    <w:tl2br w:val="nil"/>
                    <w:tr2bl w:val="nil"/>
                  </w:tcBorders>
                  <w:vAlign w:val="center"/>
                </w:tcPr>
                <w:p w14:paraId="759B120B">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732" w:type="dxa"/>
                  <w:vMerge w:val="continue"/>
                  <w:tcBorders>
                    <w:tl2br w:val="nil"/>
                    <w:tr2bl w:val="nil"/>
                  </w:tcBorders>
                  <w:vAlign w:val="center"/>
                </w:tcPr>
                <w:p w14:paraId="09B2979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B86D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84" w:type="dxa"/>
                  <w:vMerge w:val="continue"/>
                  <w:tcBorders>
                    <w:tl2br w:val="nil"/>
                    <w:tr2bl w:val="nil"/>
                  </w:tcBorders>
                  <w:vAlign w:val="center"/>
                </w:tcPr>
                <w:p w14:paraId="0580E47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7FCD638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21EA082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w:t>
                  </w:r>
                  <w:r>
                    <w:rPr>
                      <w:rFonts w:hint="default" w:ascii="Times New Roman" w:hAnsi="Times New Roman" w:eastAsia="宋体" w:cs="Times New Roman"/>
                      <w:vertAlign w:val="baseline"/>
                      <w:lang w:val="en-US" w:eastAsia="zh-CN"/>
                    </w:rPr>
                    <w:t>.近岸海域汇水区域、“六江两溪”流域以及排入湖泊、水库等封闭、半封闭水域的城镇污水处理设施执行不低于一级A排放标准。到2025年，省级及以上各类开发区、工业园区完成“污水零直排区”建设，混合处理工业污水和生活污水的</w:t>
                  </w:r>
                  <w:r>
                    <w:rPr>
                      <w:rFonts w:hint="eastAsia" w:cs="Times New Roman"/>
                      <w:vertAlign w:val="baseline"/>
                      <w:lang w:val="en-US" w:eastAsia="zh-CN"/>
                    </w:rPr>
                    <w:t>污水厂</w:t>
                  </w:r>
                  <w:r>
                    <w:rPr>
                      <w:rFonts w:hint="default" w:ascii="Times New Roman" w:hAnsi="Times New Roman" w:eastAsia="宋体" w:cs="Times New Roman"/>
                      <w:vertAlign w:val="baseline"/>
                      <w:lang w:val="en-US" w:eastAsia="zh-CN"/>
                    </w:rPr>
                    <w:t>达到一级A排放标准。</w:t>
                  </w:r>
                </w:p>
              </w:tc>
              <w:tc>
                <w:tcPr>
                  <w:tcW w:w="2984" w:type="dxa"/>
                  <w:tcBorders>
                    <w:tl2br w:val="nil"/>
                    <w:tr2bl w:val="nil"/>
                  </w:tcBorders>
                  <w:vAlign w:val="center"/>
                </w:tcPr>
                <w:p w14:paraId="1BD934A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pacing w:val="-5"/>
                      <w:sz w:val="21"/>
                      <w:szCs w:val="21"/>
                      <w:u w:val="none"/>
                      <w:lang w:val="en-US" w:eastAsia="zh-CN"/>
                    </w:rPr>
                    <w:t>本项目</w:t>
                  </w:r>
                  <w:r>
                    <w:rPr>
                      <w:rFonts w:hint="default" w:ascii="Times New Roman" w:hAnsi="Times New Roman" w:eastAsia="宋体" w:cs="Times New Roman"/>
                      <w:color w:val="auto"/>
                      <w:spacing w:val="-5"/>
                      <w:sz w:val="21"/>
                      <w:szCs w:val="21"/>
                      <w:u w:val="none"/>
                      <w:lang w:eastAsia="zh-CN"/>
                    </w:rPr>
                    <w:t>运营期</w:t>
                  </w:r>
                  <w:r>
                    <w:rPr>
                      <w:rFonts w:hint="eastAsia" w:ascii="Times New Roman" w:hAnsi="Times New Roman" w:eastAsia="宋体" w:cs="Times New Roman"/>
                      <w:color w:val="auto"/>
                      <w:spacing w:val="-5"/>
                      <w:sz w:val="21"/>
                      <w:szCs w:val="21"/>
                      <w:u w:val="none"/>
                      <w:lang w:val="en-US" w:eastAsia="zh-CN"/>
                    </w:rPr>
                    <w:t>生产废水为模具冷却水及蒸汽冷凝水</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auto"/>
                      <w:spacing w:val="-5"/>
                      <w:sz w:val="21"/>
                      <w:szCs w:val="21"/>
                      <w:u w:val="none"/>
                      <w:lang w:val="en-US" w:eastAsia="zh-CN"/>
                    </w:rPr>
                    <w:t>处理后循环使用不外排。因此本项目无生产废水排放。生活污水依托出租方（福建力峰机械实业有限公司）现有化粪池</w:t>
                  </w:r>
                  <w:r>
                    <w:rPr>
                      <w:rFonts w:hint="eastAsia" w:ascii="Times New Roman" w:hAnsi="Times New Roman" w:eastAsia="宋体" w:cs="Times New Roman"/>
                      <w:color w:val="auto"/>
                      <w:spacing w:val="-5"/>
                      <w:sz w:val="21"/>
                      <w:szCs w:val="21"/>
                      <w:u w:val="none"/>
                      <w:lang w:eastAsia="zh-CN"/>
                    </w:rPr>
                    <w:t>处理达标</w:t>
                  </w:r>
                  <w:r>
                    <w:rPr>
                      <w:rFonts w:hint="default" w:ascii="Times New Roman" w:hAnsi="Times New Roman" w:eastAsia="宋体" w:cs="Times New Roman"/>
                      <w:color w:val="auto"/>
                      <w:spacing w:val="-5"/>
                      <w:sz w:val="21"/>
                      <w:szCs w:val="21"/>
                      <w:u w:val="none"/>
                      <w:lang w:eastAsia="zh-CN"/>
                    </w:rPr>
                    <w:t>后，</w:t>
                  </w:r>
                  <w:r>
                    <w:rPr>
                      <w:rFonts w:hint="eastAsia" w:ascii="Times New Roman" w:hAnsi="Times New Roman" w:eastAsia="宋体" w:cs="Times New Roman"/>
                      <w:color w:val="auto"/>
                      <w:spacing w:val="-5"/>
                      <w:sz w:val="21"/>
                      <w:szCs w:val="21"/>
                      <w:u w:val="none"/>
                      <w:lang w:eastAsia="zh-CN"/>
                    </w:rPr>
                    <w:t>接入市政污水管网，纳入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pacing w:val="-5"/>
                      <w:sz w:val="21"/>
                      <w:szCs w:val="21"/>
                      <w:u w:val="none"/>
                      <w:lang w:eastAsia="zh-CN"/>
                    </w:rPr>
                    <w:t>进行</w:t>
                  </w:r>
                  <w:r>
                    <w:rPr>
                      <w:rFonts w:hint="default" w:ascii="Times New Roman" w:hAnsi="Times New Roman" w:eastAsia="宋体" w:cs="Times New Roman"/>
                      <w:color w:val="auto"/>
                      <w:spacing w:val="-5"/>
                      <w:sz w:val="21"/>
                      <w:szCs w:val="21"/>
                      <w:u w:val="none"/>
                      <w:lang w:eastAsia="zh-CN"/>
                    </w:rPr>
                    <w:t>处理</w:t>
                  </w:r>
                  <w:r>
                    <w:rPr>
                      <w:rFonts w:hint="eastAsia" w:ascii="Times New Roman" w:hAnsi="Times New Roman" w:eastAsia="宋体" w:cs="Times New Roman"/>
                      <w:color w:val="auto"/>
                      <w:spacing w:val="-5"/>
                      <w:sz w:val="21"/>
                      <w:szCs w:val="21"/>
                      <w:u w:val="none"/>
                      <w:lang w:val="en-US" w:eastAsia="zh-CN"/>
                    </w:rPr>
                    <w:t>后达标排放</w:t>
                  </w:r>
                  <w:r>
                    <w:rPr>
                      <w:rFonts w:hint="eastAsia" w:ascii="Times New Roman" w:hAnsi="Times New Roman" w:eastAsia="宋体" w:cs="Times New Roman"/>
                      <w:color w:val="auto"/>
                      <w:spacing w:val="-5"/>
                      <w:sz w:val="21"/>
                      <w:szCs w:val="21"/>
                      <w:u w:val="none"/>
                      <w:lang w:eastAsia="zh-CN"/>
                    </w:rPr>
                    <w:t>。</w:t>
                  </w:r>
                </w:p>
              </w:tc>
              <w:tc>
                <w:tcPr>
                  <w:tcW w:w="732" w:type="dxa"/>
                  <w:vMerge w:val="continue"/>
                  <w:tcBorders>
                    <w:tl2br w:val="nil"/>
                    <w:tr2bl w:val="nil"/>
                  </w:tcBorders>
                  <w:vAlign w:val="center"/>
                </w:tcPr>
                <w:p w14:paraId="6C7044E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8792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184" w:type="dxa"/>
                  <w:vMerge w:val="continue"/>
                  <w:tcBorders>
                    <w:tl2br w:val="nil"/>
                    <w:tr2bl w:val="nil"/>
                  </w:tcBorders>
                  <w:vAlign w:val="center"/>
                </w:tcPr>
                <w:p w14:paraId="3A73823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07467B6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5C45FD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default" w:ascii="Times New Roman" w:hAnsi="Times New Roman" w:eastAsia="宋体" w:cs="Times New Roman"/>
                      <w:vertAlign w:val="baseline"/>
                      <w:lang w:val="en-US" w:eastAsia="zh-CN"/>
                    </w:rPr>
                    <w:t>4.优化调整货物运输方式，提升铁路货运比例，推进钢铁、电力、电解铝、焦化等重点工业企业和工业园区货物由公路运输转向铁路运输。</w:t>
                  </w:r>
                </w:p>
              </w:tc>
              <w:tc>
                <w:tcPr>
                  <w:tcW w:w="2984" w:type="dxa"/>
                  <w:vMerge w:val="restart"/>
                  <w:tcBorders>
                    <w:tl2br w:val="nil"/>
                    <w:tr2bl w:val="nil"/>
                  </w:tcBorders>
                  <w:vAlign w:val="center"/>
                </w:tcPr>
                <w:p w14:paraId="7DAB1E8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vertAlign w:val="baseline"/>
                      <w:lang w:val="en-US" w:eastAsia="zh-CN"/>
                    </w:rPr>
                    <w:t>钢铁、电力、电解铝、焦化、石化、涂料、纺织印染、橡胶、医药等重点工业企业</w:t>
                  </w:r>
                </w:p>
              </w:tc>
              <w:tc>
                <w:tcPr>
                  <w:tcW w:w="732" w:type="dxa"/>
                  <w:vMerge w:val="continue"/>
                  <w:tcBorders>
                    <w:tl2br w:val="nil"/>
                    <w:tr2bl w:val="nil"/>
                  </w:tcBorders>
                  <w:vAlign w:val="center"/>
                </w:tcPr>
                <w:p w14:paraId="3FDF0CE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42ED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4" w:type="dxa"/>
                  <w:vMerge w:val="continue"/>
                  <w:tcBorders>
                    <w:tl2br w:val="nil"/>
                    <w:tr2bl w:val="nil"/>
                  </w:tcBorders>
                  <w:vAlign w:val="center"/>
                </w:tcPr>
                <w:p w14:paraId="722C2B9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064C540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7097" w:type="dxa"/>
                  <w:tcBorders>
                    <w:tl2br w:val="nil"/>
                    <w:tr2bl w:val="nil"/>
                  </w:tcBorders>
                  <w:vAlign w:val="center"/>
                </w:tcPr>
                <w:p w14:paraId="5658F43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5.加强石化、涂料、纺织印染、橡胶、医药等行业新污染物环境风险管控。</w:t>
                  </w:r>
                </w:p>
              </w:tc>
              <w:tc>
                <w:tcPr>
                  <w:tcW w:w="2984" w:type="dxa"/>
                  <w:vMerge w:val="continue"/>
                  <w:tcBorders>
                    <w:tl2br w:val="nil"/>
                    <w:tr2bl w:val="nil"/>
                  </w:tcBorders>
                  <w:vAlign w:val="center"/>
                </w:tcPr>
                <w:p w14:paraId="1E0CD08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732" w:type="dxa"/>
                  <w:vMerge w:val="continue"/>
                  <w:tcBorders>
                    <w:tl2br w:val="nil"/>
                    <w:tr2bl w:val="nil"/>
                  </w:tcBorders>
                  <w:vAlign w:val="center"/>
                </w:tcPr>
                <w:p w14:paraId="70462B3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D92F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4" w:type="dxa"/>
                  <w:vMerge w:val="continue"/>
                  <w:tcBorders>
                    <w:tl2br w:val="nil"/>
                    <w:tr2bl w:val="nil"/>
                  </w:tcBorders>
                  <w:vAlign w:val="center"/>
                </w:tcPr>
                <w:p w14:paraId="26D7284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restart"/>
                  <w:tcBorders>
                    <w:tl2br w:val="nil"/>
                    <w:tr2bl w:val="nil"/>
                  </w:tcBorders>
                  <w:vAlign w:val="center"/>
                </w:tcPr>
                <w:p w14:paraId="19ACF89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795F293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7097" w:type="dxa"/>
                  <w:tcBorders>
                    <w:tl2br w:val="nil"/>
                    <w:tr2bl w:val="nil"/>
                  </w:tcBorders>
                  <w:vAlign w:val="center"/>
                </w:tcPr>
                <w:p w14:paraId="0BDF88C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1.实施能源消耗总量和强度双控。</w:t>
                  </w:r>
                </w:p>
              </w:tc>
              <w:tc>
                <w:tcPr>
                  <w:tcW w:w="2984" w:type="dxa"/>
                  <w:vMerge w:val="restart"/>
                  <w:tcBorders>
                    <w:tl2br w:val="nil"/>
                    <w:tr2bl w:val="nil"/>
                  </w:tcBorders>
                  <w:vAlign w:val="center"/>
                </w:tcPr>
                <w:p w14:paraId="3602B9D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eastAsia" w:cs="Times New Roman"/>
                      <w:color w:val="auto"/>
                      <w:kern w:val="0"/>
                      <w:sz w:val="21"/>
                      <w:szCs w:val="21"/>
                      <w:highlight w:val="none"/>
                      <w:vertAlign w:val="baseline"/>
                      <w:lang w:val="en-US" w:eastAsia="zh-CN"/>
                    </w:rPr>
                    <w:t>、蒸汽</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项目所采用的生产工艺、装备技术可达国内先进水平；水耗、能耗指标可达国内先进水平</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蒸汽由</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国电福州发电有限公司供应</w:t>
                  </w:r>
                </w:p>
              </w:tc>
              <w:tc>
                <w:tcPr>
                  <w:tcW w:w="732" w:type="dxa"/>
                  <w:vMerge w:val="restart"/>
                  <w:tcBorders>
                    <w:tl2br w:val="nil"/>
                    <w:tr2bl w:val="nil"/>
                  </w:tcBorders>
                  <w:vAlign w:val="center"/>
                </w:tcPr>
                <w:p w14:paraId="5BABC26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6BF51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84" w:type="dxa"/>
                  <w:vMerge w:val="continue"/>
                  <w:tcBorders>
                    <w:tl2br w:val="nil"/>
                    <w:tr2bl w:val="nil"/>
                  </w:tcBorders>
                  <w:vAlign w:val="center"/>
                </w:tcPr>
                <w:p w14:paraId="54052CF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74F2557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7097" w:type="dxa"/>
                  <w:tcBorders>
                    <w:tl2br w:val="nil"/>
                    <w:tr2bl w:val="nil"/>
                  </w:tcBorders>
                  <w:vAlign w:val="center"/>
                </w:tcPr>
                <w:p w14:paraId="0255CEF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2.强化产业园区单位土地面积投资强度和效用指标的刚性约束，提高土地利用效率。</w:t>
                  </w:r>
                </w:p>
              </w:tc>
              <w:tc>
                <w:tcPr>
                  <w:tcW w:w="2984" w:type="dxa"/>
                  <w:vMerge w:val="continue"/>
                  <w:tcBorders>
                    <w:tl2br w:val="nil"/>
                    <w:tr2bl w:val="nil"/>
                  </w:tcBorders>
                  <w:vAlign w:val="center"/>
                </w:tcPr>
                <w:p w14:paraId="3D9154B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732" w:type="dxa"/>
                  <w:vMerge w:val="continue"/>
                  <w:tcBorders>
                    <w:tl2br w:val="nil"/>
                    <w:tr2bl w:val="nil"/>
                  </w:tcBorders>
                  <w:vAlign w:val="center"/>
                </w:tcPr>
                <w:p w14:paraId="2C13466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02FE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184" w:type="dxa"/>
                  <w:vMerge w:val="continue"/>
                  <w:tcBorders>
                    <w:tl2br w:val="nil"/>
                    <w:tr2bl w:val="nil"/>
                  </w:tcBorders>
                  <w:vAlign w:val="center"/>
                </w:tcPr>
                <w:p w14:paraId="48BCBB9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41CD7DB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7097" w:type="dxa"/>
                  <w:tcBorders>
                    <w:tl2br w:val="nil"/>
                    <w:tr2bl w:val="nil"/>
                  </w:tcBorders>
                  <w:vAlign w:val="center"/>
                </w:tcPr>
                <w:p w14:paraId="5A8CA8D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2984" w:type="dxa"/>
                  <w:vMerge w:val="continue"/>
                  <w:tcBorders>
                    <w:tl2br w:val="nil"/>
                    <w:tr2bl w:val="nil"/>
                  </w:tcBorders>
                  <w:vAlign w:val="center"/>
                </w:tcPr>
                <w:p w14:paraId="144AE68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732" w:type="dxa"/>
                  <w:vMerge w:val="continue"/>
                  <w:tcBorders>
                    <w:tl2br w:val="nil"/>
                    <w:tr2bl w:val="nil"/>
                  </w:tcBorders>
                  <w:vAlign w:val="center"/>
                </w:tcPr>
                <w:p w14:paraId="17EED23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56AA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84" w:type="dxa"/>
                  <w:vMerge w:val="continue"/>
                  <w:tcBorders>
                    <w:tl2br w:val="nil"/>
                    <w:tr2bl w:val="nil"/>
                  </w:tcBorders>
                  <w:vAlign w:val="center"/>
                </w:tcPr>
                <w:p w14:paraId="4C75250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74CE59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7097" w:type="dxa"/>
                  <w:tcBorders>
                    <w:tl2br w:val="nil"/>
                    <w:tr2bl w:val="nil"/>
                  </w:tcBorders>
                  <w:vAlign w:val="center"/>
                </w:tcPr>
                <w:p w14:paraId="64AFC22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2984" w:type="dxa"/>
                  <w:vMerge w:val="continue"/>
                  <w:tcBorders>
                    <w:tl2br w:val="nil"/>
                    <w:tr2bl w:val="nil"/>
                  </w:tcBorders>
                  <w:vAlign w:val="center"/>
                </w:tcPr>
                <w:p w14:paraId="55D27CC4">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732" w:type="dxa"/>
                  <w:vMerge w:val="continue"/>
                  <w:tcBorders>
                    <w:tl2br w:val="nil"/>
                    <w:tr2bl w:val="nil"/>
                  </w:tcBorders>
                  <w:vAlign w:val="center"/>
                </w:tcPr>
                <w:p w14:paraId="7023F79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1541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84" w:type="dxa"/>
                  <w:vMerge w:val="continue"/>
                  <w:tcBorders>
                    <w:tl2br w:val="nil"/>
                    <w:tr2bl w:val="nil"/>
                  </w:tcBorders>
                  <w:vAlign w:val="center"/>
                </w:tcPr>
                <w:p w14:paraId="2A1C9D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621" w:type="dxa"/>
                  <w:vMerge w:val="continue"/>
                  <w:tcBorders>
                    <w:tl2br w:val="nil"/>
                    <w:tr2bl w:val="nil"/>
                  </w:tcBorders>
                  <w:vAlign w:val="center"/>
                </w:tcPr>
                <w:p w14:paraId="0B80F20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7097" w:type="dxa"/>
                  <w:tcBorders>
                    <w:tl2br w:val="nil"/>
                    <w:tr2bl w:val="nil"/>
                  </w:tcBorders>
                  <w:vAlign w:val="center"/>
                </w:tcPr>
                <w:p w14:paraId="504DC7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5.落实“闽环保大气〔2023〕5号”文件要求，按照“提气、转电、控煤”的发展思路，推动陶瓷行业进一步优化用能结构，实现能源消费清洁低碳化。</w:t>
                  </w:r>
                </w:p>
              </w:tc>
              <w:tc>
                <w:tcPr>
                  <w:tcW w:w="2984" w:type="dxa"/>
                  <w:vMerge w:val="continue"/>
                  <w:tcBorders>
                    <w:tl2br w:val="nil"/>
                    <w:tr2bl w:val="nil"/>
                  </w:tcBorders>
                  <w:vAlign w:val="center"/>
                </w:tcPr>
                <w:p w14:paraId="4DFADB65">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732" w:type="dxa"/>
                  <w:vMerge w:val="continue"/>
                  <w:tcBorders>
                    <w:tl2br w:val="nil"/>
                    <w:tr2bl w:val="nil"/>
                  </w:tcBorders>
                  <w:vAlign w:val="center"/>
                </w:tcPr>
                <w:p w14:paraId="25FF085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2A197474">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ascii="Times New Roman" w:hAnsi="Times New Roman" w:eastAsia="宋体" w:cs="Times New Roman"/>
                <w:b/>
                <w:bCs/>
                <w:color w:val="auto"/>
                <w:kern w:val="0"/>
                <w:sz w:val="24"/>
                <w:szCs w:val="24"/>
                <w:u w:val="none"/>
                <w:lang w:val="en-US" w:eastAsia="zh-CN"/>
              </w:rPr>
              <w:t>3</w:t>
            </w:r>
            <w:r>
              <w:rPr>
                <w:rFonts w:hint="eastAsia" w:ascii="Times New Roman" w:hAnsi="Times New Roman" w:eastAsia="宋体" w:cs="Times New Roman"/>
                <w:b/>
                <w:bCs/>
                <w:color w:val="auto"/>
                <w:sz w:val="24"/>
                <w:szCs w:val="24"/>
                <w:highlight w:val="none"/>
                <w:lang w:val="en-US" w:eastAsia="zh-CN"/>
              </w:rPr>
              <w:t>福州市</w:t>
            </w:r>
            <w:r>
              <w:rPr>
                <w:rFonts w:hint="default" w:ascii="Times New Roman" w:hAnsi="Times New Roman" w:eastAsia="宋体" w:cs="Times New Roman"/>
                <w:b/>
                <w:bCs/>
                <w:color w:val="auto"/>
                <w:sz w:val="24"/>
                <w:szCs w:val="24"/>
                <w:highlight w:val="none"/>
              </w:rPr>
              <w:t>生态环境总体准入要求的符合性分析</w:t>
            </w:r>
          </w:p>
          <w:tbl>
            <w:tblPr>
              <w:tblStyle w:val="24"/>
              <w:tblW w:w="126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901"/>
              <w:gridCol w:w="7545"/>
              <w:gridCol w:w="2747"/>
              <w:gridCol w:w="718"/>
            </w:tblGrid>
            <w:tr w14:paraId="2E7C1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07" w:type="dxa"/>
                  <w:tcBorders>
                    <w:tl2br w:val="nil"/>
                    <w:tr2bl w:val="nil"/>
                  </w:tcBorders>
                  <w:vAlign w:val="center"/>
                </w:tcPr>
                <w:p w14:paraId="653649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8446" w:type="dxa"/>
                  <w:gridSpan w:val="2"/>
                  <w:tcBorders>
                    <w:tl2br w:val="nil"/>
                    <w:tr2bl w:val="nil"/>
                  </w:tcBorders>
                  <w:vAlign w:val="center"/>
                </w:tcPr>
                <w:p w14:paraId="562FC2D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2747" w:type="dxa"/>
                  <w:tcBorders>
                    <w:tl2br w:val="nil"/>
                    <w:tr2bl w:val="nil"/>
                  </w:tcBorders>
                  <w:vAlign w:val="center"/>
                </w:tcPr>
                <w:p w14:paraId="4955B57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718" w:type="dxa"/>
                  <w:tcBorders>
                    <w:tl2br w:val="nil"/>
                    <w:tr2bl w:val="nil"/>
                  </w:tcBorders>
                  <w:vAlign w:val="center"/>
                </w:tcPr>
                <w:p w14:paraId="1744CB2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35F48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7" w:type="dxa"/>
                  <w:vMerge w:val="restart"/>
                  <w:tcBorders>
                    <w:tl2br w:val="nil"/>
                    <w:tr2bl w:val="nil"/>
                  </w:tcBorders>
                  <w:vAlign w:val="center"/>
                </w:tcPr>
                <w:p w14:paraId="42584A4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901" w:type="dxa"/>
                  <w:tcBorders>
                    <w:tl2br w:val="nil"/>
                    <w:tr2bl w:val="nil"/>
                  </w:tcBorders>
                  <w:vAlign w:val="center"/>
                </w:tcPr>
                <w:p w14:paraId="4F177E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7545" w:type="dxa"/>
                  <w:tcBorders>
                    <w:tl2br w:val="nil"/>
                    <w:tr2bl w:val="nil"/>
                  </w:tcBorders>
                  <w:vAlign w:val="center"/>
                </w:tcPr>
                <w:p w14:paraId="5B35D69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2747" w:type="dxa"/>
                  <w:tcBorders>
                    <w:tl2br w:val="nil"/>
                    <w:tr2bl w:val="nil"/>
                  </w:tcBorders>
                  <w:vAlign w:val="center"/>
                </w:tcPr>
                <w:p w14:paraId="13702393">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highlight w:val="none"/>
                      <w:u w:val="none"/>
                      <w:vertAlign w:val="baseline"/>
                    </w:rPr>
                  </w:pPr>
                  <w:r>
                    <w:rPr>
                      <w:rFonts w:hint="eastAsia"/>
                      <w:color w:val="auto"/>
                      <w:highlight w:val="none"/>
                      <w:u w:val="none"/>
                      <w:vertAlign w:val="baseline"/>
                      <w:lang w:val="en-US" w:eastAsia="zh-CN"/>
                    </w:rPr>
                    <w:t>本项目不属于危险化学品生产企业，不属于印染、原料药制造、化工等企业；本项目位</w:t>
                  </w:r>
                  <w:r>
                    <w:rPr>
                      <w:rFonts w:hint="eastAsia"/>
                      <w:color w:val="auto"/>
                      <w:sz w:val="21"/>
                      <w:szCs w:val="21"/>
                      <w:highlight w:val="none"/>
                      <w:u w:val="none"/>
                      <w:vertAlign w:val="baseline"/>
                      <w:lang w:val="en-US" w:eastAsia="zh-CN"/>
                    </w:rPr>
                    <w:t>于</w:t>
                  </w:r>
                  <w:r>
                    <w:rPr>
                      <w:rFonts w:hint="eastAsia" w:cs="Times New Roman"/>
                      <w:b w:val="0"/>
                      <w:bCs w:val="0"/>
                      <w:color w:val="auto"/>
                      <w:sz w:val="21"/>
                      <w:szCs w:val="21"/>
                      <w:highlight w:val="none"/>
                      <w:u w:val="none"/>
                      <w:lang w:val="en-US" w:eastAsia="zh-CN"/>
                    </w:rPr>
                    <w:t>江阴临港产业区</w:t>
                  </w:r>
                  <w:r>
                    <w:rPr>
                      <w:rFonts w:hint="eastAsia" w:ascii="Times New Roman" w:hAnsi="Times New Roman" w:cs="Times New Roman"/>
                      <w:b w:val="0"/>
                      <w:bCs w:val="0"/>
                      <w:color w:val="auto"/>
                      <w:sz w:val="21"/>
                      <w:szCs w:val="21"/>
                      <w:highlight w:val="none"/>
                      <w:lang w:val="en-US" w:eastAsia="zh-CN"/>
                    </w:rPr>
                    <w:t>（</w:t>
                  </w:r>
                  <w:r>
                    <w:rPr>
                      <w:rFonts w:ascii="宋体" w:hAnsi="宋体" w:eastAsia="宋体" w:cs="宋体"/>
                      <w:b w:val="0"/>
                      <w:bCs w:val="0"/>
                      <w:sz w:val="21"/>
                      <w:szCs w:val="21"/>
                      <w:highlight w:val="none"/>
                    </w:rPr>
                    <w:t>新厝先进制造业基地</w:t>
                  </w:r>
                  <w:r>
                    <w:rPr>
                      <w:rFonts w:hint="eastAsia"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内</w:t>
                  </w:r>
                  <w:r>
                    <w:rPr>
                      <w:rFonts w:hint="eastAsia"/>
                      <w:color w:val="auto"/>
                      <w:sz w:val="21"/>
                      <w:szCs w:val="21"/>
                      <w:highlight w:val="none"/>
                      <w:u w:val="none"/>
                      <w:lang w:eastAsia="zh-CN"/>
                    </w:rPr>
                    <w:t>。</w:t>
                  </w:r>
                </w:p>
              </w:tc>
              <w:tc>
                <w:tcPr>
                  <w:tcW w:w="718" w:type="dxa"/>
                  <w:tcBorders>
                    <w:tl2br w:val="nil"/>
                    <w:tr2bl w:val="nil"/>
                  </w:tcBorders>
                  <w:vAlign w:val="center"/>
                </w:tcPr>
                <w:p w14:paraId="5E75B9A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43718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7" w:type="dxa"/>
                  <w:vMerge w:val="continue"/>
                  <w:tcBorders>
                    <w:tl2br w:val="nil"/>
                    <w:tr2bl w:val="nil"/>
                  </w:tcBorders>
                  <w:vAlign w:val="center"/>
                </w:tcPr>
                <w:p w14:paraId="67CAAD2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901" w:type="dxa"/>
                  <w:tcBorders>
                    <w:tl2br w:val="nil"/>
                    <w:tr2bl w:val="nil"/>
                  </w:tcBorders>
                  <w:vAlign w:val="center"/>
                </w:tcPr>
                <w:p w14:paraId="6417E5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7545" w:type="dxa"/>
                  <w:tcBorders>
                    <w:tl2br w:val="nil"/>
                    <w:tr2bl w:val="nil"/>
                  </w:tcBorders>
                  <w:vAlign w:val="center"/>
                </w:tcPr>
                <w:p w14:paraId="0BA22FF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在城市建成区新建大气污染型项目，二氧化硫、氮氧化物排放量应实行倍量削减替代。</w:t>
                  </w:r>
                </w:p>
              </w:tc>
              <w:tc>
                <w:tcPr>
                  <w:tcW w:w="2747" w:type="dxa"/>
                  <w:tcBorders>
                    <w:tl2br w:val="nil"/>
                    <w:tr2bl w:val="nil"/>
                  </w:tcBorders>
                  <w:vAlign w:val="center"/>
                </w:tcPr>
                <w:p w14:paraId="2B156C5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highlight w:val="none"/>
                      <w:u w:val="none"/>
                      <w:vertAlign w:val="baseline"/>
                      <w:lang w:eastAsia="zh-CN"/>
                    </w:rPr>
                  </w:pPr>
                  <w:r>
                    <w:rPr>
                      <w:rFonts w:hint="eastAsia" w:ascii="Times New Roman" w:hAnsi="Times New Roman" w:eastAsia="宋体" w:cs="Times New Roman"/>
                      <w:color w:val="auto"/>
                      <w:kern w:val="0"/>
                      <w:sz w:val="21"/>
                      <w:szCs w:val="21"/>
                      <w:highlight w:val="none"/>
                      <w:u w:val="none"/>
                      <w:lang w:val="en-US" w:eastAsia="zh-CN" w:bidi="ar"/>
                    </w:rPr>
                    <w:t>本项目不涉及</w:t>
                  </w:r>
                  <w:r>
                    <w:rPr>
                      <w:rFonts w:hint="eastAsia"/>
                      <w:color w:val="auto"/>
                      <w:highlight w:val="none"/>
                      <w:u w:val="none"/>
                      <w:vertAlign w:val="baseline"/>
                      <w:lang w:val="en-US" w:eastAsia="zh-CN"/>
                    </w:rPr>
                    <w:t>新增二氧化硫、氮氧化物的排放，</w:t>
                  </w:r>
                  <w:r>
                    <w:rPr>
                      <w:rFonts w:hint="default" w:ascii="Times New Roman" w:hAnsi="Times New Roman" w:eastAsia="宋体" w:cs="Times New Roman"/>
                      <w:color w:val="auto"/>
                      <w:kern w:val="0"/>
                      <w:sz w:val="21"/>
                      <w:szCs w:val="21"/>
                      <w:highlight w:val="none"/>
                      <w:u w:val="none"/>
                      <w:lang w:val="en-US" w:eastAsia="zh-CN" w:bidi="ar"/>
                    </w:rPr>
                    <w:t>本项目</w:t>
                  </w:r>
                  <w:r>
                    <w:rPr>
                      <w:rFonts w:hint="eastAsia" w:ascii="Times New Roman" w:hAnsi="Times New Roman" w:eastAsia="宋体" w:cs="Times New Roman"/>
                      <w:color w:val="auto"/>
                      <w:kern w:val="0"/>
                      <w:sz w:val="21"/>
                      <w:szCs w:val="21"/>
                      <w:highlight w:val="none"/>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highlight w:val="none"/>
                      <w:u w:val="none"/>
                    </w:rPr>
                    <w:t>VOCs排放，VOCs排放实行区域内倍量替代</w:t>
                  </w:r>
                  <w:r>
                    <w:rPr>
                      <w:rFonts w:hint="eastAsia" w:ascii="Times New Roman" w:hAnsi="Times New Roman" w:cs="Times New Roman"/>
                      <w:color w:val="auto"/>
                      <w:sz w:val="21"/>
                      <w:szCs w:val="21"/>
                      <w:highlight w:val="none"/>
                      <w:u w:val="none"/>
                      <w:lang w:eastAsia="zh-CN"/>
                    </w:rPr>
                    <w:t>。</w:t>
                  </w:r>
                </w:p>
              </w:tc>
              <w:tc>
                <w:tcPr>
                  <w:tcW w:w="718" w:type="dxa"/>
                  <w:tcBorders>
                    <w:tl2br w:val="nil"/>
                    <w:tr2bl w:val="nil"/>
                  </w:tcBorders>
                  <w:vAlign w:val="center"/>
                </w:tcPr>
                <w:p w14:paraId="5F1DC9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3BE9C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7" w:type="dxa"/>
                  <w:vMerge w:val="restart"/>
                  <w:tcBorders>
                    <w:tl2br w:val="nil"/>
                    <w:tr2bl w:val="nil"/>
                  </w:tcBorders>
                  <w:vAlign w:val="center"/>
                </w:tcPr>
                <w:p w14:paraId="5060FE2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901" w:type="dxa"/>
                  <w:vMerge w:val="restart"/>
                  <w:tcBorders>
                    <w:tl2br w:val="nil"/>
                    <w:tr2bl w:val="nil"/>
                  </w:tcBorders>
                  <w:vAlign w:val="center"/>
                </w:tcPr>
                <w:p w14:paraId="38E4664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7545" w:type="dxa"/>
                  <w:tcBorders>
                    <w:tl2br w:val="nil"/>
                    <w:tr2bl w:val="nil"/>
                  </w:tcBorders>
                  <w:vAlign w:val="center"/>
                </w:tcPr>
                <w:p w14:paraId="46F7910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一、优先保护单元中的生态保护红线</w:t>
                  </w:r>
                </w:p>
                <w:p w14:paraId="410BA84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w:t>
                  </w:r>
                  <w:r>
                    <w:rPr>
                      <w:rFonts w:hint="eastAsia" w:cs="Times New Roman"/>
                      <w:vertAlign w:val="baseline"/>
                      <w:lang w:val="en-US" w:eastAsia="zh-CN"/>
                    </w:rPr>
                    <w:t>其他</w:t>
                  </w:r>
                  <w:r>
                    <w:rPr>
                      <w:rFonts w:hint="eastAsia" w:ascii="Times New Roman" w:hAnsi="Times New Roman" w:eastAsia="宋体" w:cs="Times New Roman"/>
                      <w:vertAlign w:val="baseline"/>
                      <w:lang w:val="en-US" w:eastAsia="zh-CN"/>
                    </w:rPr>
                    <w:t>区域禁止开发性、生产性建设活动，在符合法律法规的前提下，仅允许以下对生态功能不造成破坏的有限人为活动。生态保护红线内自然保护区、风景名胜区、饮用水水源保护区等区域，依照法律法规执行。</w:t>
                  </w:r>
                </w:p>
                <w:p w14:paraId="12CB4A1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宋体" w:hAnsi="宋体" w:eastAsia="宋体" w:cs="宋体"/>
                      <w:vertAlign w:val="baseline"/>
                      <w:lang w:val="en-US" w:eastAsia="zh-CN"/>
                    </w:rPr>
                    <w:t>（</w:t>
                  </w:r>
                  <w:r>
                    <w:rPr>
                      <w:rFonts w:hint="default" w:ascii="Times New Roman" w:hAnsi="Times New Roman" w:eastAsia="宋体" w:cs="Times New Roman"/>
                      <w:vertAlign w:val="baseline"/>
                      <w:lang w:val="en-US" w:eastAsia="zh-CN"/>
                    </w:rPr>
                    <w:t>1</w:t>
                  </w:r>
                  <w:r>
                    <w:rPr>
                      <w:rFonts w:hint="eastAsia" w:ascii="宋体" w:hAnsi="宋体" w:eastAsia="宋体" w:cs="宋体"/>
                      <w:vertAlign w:val="baseline"/>
                      <w:lang w:val="en-US" w:eastAsia="zh-CN"/>
                    </w:rPr>
                    <w:t>）</w:t>
                  </w:r>
                  <w:r>
                    <w:rPr>
                      <w:rFonts w:hint="eastAsia" w:ascii="Times New Roman" w:hAnsi="Times New Roman" w:eastAsia="宋体" w:cs="Times New Roman"/>
                      <w:vertAlign w:val="baseline"/>
                      <w:lang w:val="en-US" w:eastAsia="zh-CN"/>
                    </w:rPr>
                    <w:t>管护巡护、保护执法、科学研究、调查监测、测绘导航、防灾减灾救灾、军事国防、疫情防控等活动及相关的必要设施</w:t>
                  </w:r>
                  <w:r>
                    <w:rPr>
                      <w:rFonts w:hint="eastAsia" w:cs="Times New Roman"/>
                      <w:vertAlign w:val="baseline"/>
                      <w:lang w:val="en-US" w:eastAsia="zh-CN"/>
                    </w:rPr>
                    <w:t>修缮</w:t>
                  </w:r>
                  <w:r>
                    <w:rPr>
                      <w:rFonts w:hint="eastAsia" w:ascii="Times New Roman" w:hAnsi="Times New Roman" w:eastAsia="宋体" w:cs="Times New Roman"/>
                      <w:vertAlign w:val="baseline"/>
                      <w:lang w:val="en-US" w:eastAsia="zh-CN"/>
                    </w:rPr>
                    <w:t>。</w:t>
                  </w:r>
                </w:p>
                <w:p w14:paraId="177C7F9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r>
                    <w:rPr>
                      <w:rFonts w:hint="eastAsia" w:ascii="Times New Roman" w:hAnsi="Times New Roman" w:eastAsia="宋体" w:cs="Times New Roman"/>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6FD991F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r>
                    <w:rPr>
                      <w:rFonts w:hint="eastAsia" w:ascii="Times New Roman" w:hAnsi="Times New Roman" w:eastAsia="宋体" w:cs="Times New Roman"/>
                      <w:vertAlign w:val="baseline"/>
                      <w:lang w:val="en-US" w:eastAsia="zh-CN"/>
                    </w:rPr>
                    <w:t>经依法批准的考古调查发掘、古生物化石调查发掘、标本采集和文物保护活动。</w:t>
                  </w:r>
                </w:p>
                <w:p w14:paraId="0A45FBF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（4）按规定对人工商品林进行抚育采伐，或以提升森林质量、优化栖息地、建设生物防火隔离带等为目的的树种更新，依法开展的竹林采伐经营。</w:t>
                  </w:r>
                </w:p>
                <w:p w14:paraId="6F61510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（5）不破坏生态功能的适度参观旅游、科普宣教及符合相关规划的配套性服务设施和相关的必要公共设施建设及维护。</w:t>
                  </w:r>
                </w:p>
                <w:p w14:paraId="075A6C9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296DA84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4BF7085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（8）依据县级以上国土空间规划和生态保护修复专项规划开展的生态修复。</w:t>
                  </w:r>
                </w:p>
                <w:p w14:paraId="4993260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（9）法律法规规定允许的其他人为活动。</w:t>
                  </w:r>
                </w:p>
                <w:p w14:paraId="0EDA390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39FEE36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（1）党中央、国务院发布文件或批准规划中明确具体名称的项目和国务院批准的项目。</w:t>
                  </w:r>
                </w:p>
                <w:p w14:paraId="1103DA0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（2）中央军委及其有关部门批准的军事国防项目。</w:t>
                  </w:r>
                </w:p>
                <w:p w14:paraId="134435C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（3）国家级规划（指国务院及其有关部门正式颁布）明确的交通、水利项目。</w:t>
                  </w:r>
                </w:p>
                <w:p w14:paraId="5A94BB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（4）国家级规划明确的电网项目，国家级规划明确的且符合国家产业政策的能源矿产勘查开采、油气管线、水电、核电项目。</w:t>
                  </w:r>
                </w:p>
                <w:p w14:paraId="7A2E117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（5）为贯彻落实党中央、国务院重大决策部署</w:t>
                  </w:r>
                  <w:r>
                    <w:rPr>
                      <w:rFonts w:hint="eastAsia" w:cs="Times New Roman"/>
                      <w:vertAlign w:val="baseline"/>
                      <w:lang w:val="en-US" w:eastAsia="zh-CN"/>
                    </w:rPr>
                    <w:t>，由</w:t>
                  </w:r>
                  <w:r>
                    <w:rPr>
                      <w:rFonts w:hint="eastAsia" w:ascii="Times New Roman" w:hAnsi="Times New Roman" w:eastAsia="宋体" w:cs="Times New Roman"/>
                      <w:vertAlign w:val="baseline"/>
                      <w:lang w:val="en-US" w:eastAsia="zh-CN"/>
                    </w:rPr>
                    <w:t>国务院投资主管部门或国务院投资主管部门会同有关部门确认的交通、能源、水利等基础设施项目。</w:t>
                  </w:r>
                </w:p>
                <w:p w14:paraId="63369FE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（6）按照国家重大项目用地保障工作机制要求，国家发展改革委会同有关部门确认的需中央加大建设用地保障力度，确实难以避让的国家重大项目。</w:t>
                  </w:r>
                </w:p>
              </w:tc>
              <w:tc>
                <w:tcPr>
                  <w:tcW w:w="2747" w:type="dxa"/>
                  <w:tcBorders>
                    <w:tl2br w:val="nil"/>
                    <w:tr2bl w:val="nil"/>
                  </w:tcBorders>
                  <w:vAlign w:val="center"/>
                </w:tcPr>
                <w:p w14:paraId="3A94330B">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580BABCB">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03D81B7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718" w:type="dxa"/>
                  <w:tcBorders>
                    <w:tl2br w:val="nil"/>
                    <w:tr2bl w:val="nil"/>
                  </w:tcBorders>
                  <w:vAlign w:val="center"/>
                </w:tcPr>
                <w:p w14:paraId="0B407CA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3812B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7" w:type="dxa"/>
                  <w:vMerge w:val="continue"/>
                  <w:tcBorders>
                    <w:tl2br w:val="nil"/>
                    <w:tr2bl w:val="nil"/>
                  </w:tcBorders>
                  <w:vAlign w:val="center"/>
                </w:tcPr>
                <w:p w14:paraId="498607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901" w:type="dxa"/>
                  <w:vMerge w:val="continue"/>
                  <w:tcBorders>
                    <w:tl2br w:val="nil"/>
                    <w:tr2bl w:val="nil"/>
                  </w:tcBorders>
                  <w:vAlign w:val="center"/>
                </w:tcPr>
                <w:p w14:paraId="252C04E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7545" w:type="dxa"/>
                  <w:tcBorders>
                    <w:tl2br w:val="nil"/>
                    <w:tr2bl w:val="nil"/>
                  </w:tcBorders>
                  <w:vAlign w:val="center"/>
                </w:tcPr>
                <w:p w14:paraId="66CE7B3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二、优先保护单元中的一般生态空间</w:t>
                  </w:r>
                </w:p>
                <w:p w14:paraId="6C0A9A1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一般生态空间以保护和修复生态环境、提供生态产品和服务为首要任务，因地制宜地发展不影响主体功能定位的适宜产业。</w:t>
                  </w:r>
                </w:p>
                <w:p w14:paraId="2CBF76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一般生态空间内未纳入生态保护红线的饮用水水源保护区等各类法定保护地，其管控要求依照相关法律法规执行。</w:t>
                  </w:r>
                </w:p>
                <w:p w14:paraId="4D93B5A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2747" w:type="dxa"/>
                  <w:tcBorders>
                    <w:tl2br w:val="nil"/>
                    <w:tr2bl w:val="nil"/>
                  </w:tcBorders>
                  <w:vAlign w:val="center"/>
                </w:tcPr>
                <w:p w14:paraId="5A312C85">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w:t>
                  </w: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124D38FD">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425576D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水泥厂、矿山开发等生产性设施项目</w:t>
                  </w:r>
                </w:p>
              </w:tc>
              <w:tc>
                <w:tcPr>
                  <w:tcW w:w="718" w:type="dxa"/>
                  <w:tcBorders>
                    <w:tl2br w:val="nil"/>
                    <w:tr2bl w:val="nil"/>
                  </w:tcBorders>
                  <w:vAlign w:val="center"/>
                </w:tcPr>
                <w:p w14:paraId="5B82BC1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0B5C6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7" w:type="dxa"/>
                  <w:vMerge w:val="continue"/>
                  <w:tcBorders>
                    <w:tl2br w:val="nil"/>
                    <w:tr2bl w:val="nil"/>
                  </w:tcBorders>
                  <w:vAlign w:val="center"/>
                </w:tcPr>
                <w:p w14:paraId="7952AF4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901" w:type="dxa"/>
                  <w:vMerge w:val="continue"/>
                  <w:tcBorders>
                    <w:tl2br w:val="nil"/>
                    <w:tr2bl w:val="nil"/>
                  </w:tcBorders>
                  <w:vAlign w:val="center"/>
                </w:tcPr>
                <w:p w14:paraId="3BF150D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7545" w:type="dxa"/>
                  <w:tcBorders>
                    <w:tl2br w:val="nil"/>
                    <w:tr2bl w:val="nil"/>
                  </w:tcBorders>
                  <w:vAlign w:val="center"/>
                </w:tcPr>
                <w:p w14:paraId="28D51BE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b/>
                      <w:bCs/>
                      <w:vertAlign w:val="baseline"/>
                      <w:lang w:val="en-US" w:eastAsia="zh-CN"/>
                    </w:rPr>
                    <w:t>三、</w:t>
                  </w:r>
                  <w:r>
                    <w:rPr>
                      <w:rFonts w:hint="eastAsia" w:cs="Times New Roman"/>
                      <w:b/>
                      <w:bCs/>
                      <w:vertAlign w:val="baseline"/>
                      <w:lang w:val="en-US" w:eastAsia="zh-CN"/>
                    </w:rPr>
                    <w:t>其他</w:t>
                  </w:r>
                  <w:r>
                    <w:rPr>
                      <w:rFonts w:hint="eastAsia" w:ascii="Times New Roman" w:hAnsi="Times New Roman" w:eastAsia="宋体" w:cs="Times New Roman"/>
                      <w:b/>
                      <w:bCs/>
                      <w:vertAlign w:val="baseline"/>
                      <w:lang w:val="en-US" w:eastAsia="zh-CN"/>
                    </w:rPr>
                    <w:t>要求</w:t>
                  </w:r>
                </w:p>
                <w:p w14:paraId="159C72B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福州市石化中上游项目重点在福州江阴港城经济区、可门港经济区化工新材料产业园布局。</w:t>
                  </w:r>
                </w:p>
                <w:p w14:paraId="1D33C2E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禁止在闽江马尾罗星塔以上流域范围新、扩建制革项目，严控新（扩）建植物制浆、印染、合成革及人造革、电镀项目。</w:t>
                  </w:r>
                </w:p>
                <w:p w14:paraId="2DF0591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禁止在通风廊道和主导风向的上风向布局大气重污染企业，推进建成区大气重污染企业搬迁或升级改造、环境风险企业搬迁或关闭退出。</w:t>
                  </w:r>
                </w:p>
                <w:p w14:paraId="7BE029F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4.</w:t>
                  </w:r>
                  <w:r>
                    <w:rPr>
                      <w:rFonts w:hint="eastAsia" w:ascii="Times New Roman" w:hAnsi="Times New Roman" w:eastAsia="宋体" w:cs="Times New Roman"/>
                      <w:vertAlign w:val="baseline"/>
                      <w:lang w:val="en-US" w:eastAsia="zh-CN"/>
                    </w:rPr>
                    <w:t>禁止新、改、扩建生产高VOCs含量有机溶剂型涂料、油墨和胶黏剂的项目。</w:t>
                  </w:r>
                </w:p>
                <w:p w14:paraId="54C638F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5.</w:t>
                  </w:r>
                  <w:r>
                    <w:rPr>
                      <w:rFonts w:hint="eastAsia" w:ascii="Times New Roman" w:hAnsi="Times New Roman" w:eastAsia="宋体" w:cs="Times New Roman"/>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219CD54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6.</w:t>
                  </w:r>
                  <w:r>
                    <w:rPr>
                      <w:rFonts w:hint="eastAsia" w:ascii="Times New Roman" w:hAnsi="Times New Roman" w:eastAsia="宋体" w:cs="Times New Roman"/>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7DE115A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7.</w:t>
                  </w:r>
                  <w:r>
                    <w:rPr>
                      <w:rFonts w:hint="eastAsia" w:ascii="Times New Roman" w:hAnsi="Times New Roman" w:eastAsia="宋体" w:cs="Times New Roman"/>
                      <w:vertAlign w:val="baseline"/>
                      <w:lang w:val="en-US" w:eastAsia="zh-CN"/>
                    </w:rPr>
                    <w:t>禁止在流域上游新建、扩建重污染企业和项目。</w:t>
                  </w:r>
                </w:p>
                <w:p w14:paraId="0CB6436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8.</w:t>
                  </w:r>
                  <w:r>
                    <w:rPr>
                      <w:rFonts w:hint="eastAsia" w:ascii="Times New Roman" w:hAnsi="Times New Roman" w:eastAsia="宋体" w:cs="Times New Roman"/>
                      <w:vertAlign w:val="baseline"/>
                      <w:lang w:val="en-US" w:eastAsia="zh-CN"/>
                    </w:rPr>
                    <w:t>重要敏感水体及富营养化湖库生态缓冲带除相关政府部门批准的科学研究活动外，禁止</w:t>
                  </w:r>
                  <w:r>
                    <w:rPr>
                      <w:rFonts w:hint="eastAsia" w:cs="Times New Roman"/>
                      <w:vertAlign w:val="baseline"/>
                      <w:lang w:val="en-US" w:eastAsia="zh-CN"/>
                    </w:rPr>
                    <w:t>其他可能</w:t>
                  </w:r>
                  <w:r>
                    <w:rPr>
                      <w:rFonts w:hint="eastAsia" w:ascii="Times New Roman" w:hAnsi="Times New Roman" w:eastAsia="宋体" w:cs="Times New Roman"/>
                      <w:vertAlign w:val="baseline"/>
                      <w:lang w:val="en-US" w:eastAsia="zh-CN"/>
                    </w:rPr>
                    <w:t>对保护区构成危害或不良影响的大规模生产、建设活动。</w:t>
                  </w:r>
                </w:p>
                <w:p w14:paraId="34AB1E4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9.</w:t>
                  </w:r>
                  <w:r>
                    <w:rPr>
                      <w:rFonts w:hint="eastAsia" w:ascii="Times New Roman" w:hAnsi="Times New Roman" w:eastAsia="宋体" w:cs="Times New Roman"/>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581DF8C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10.</w:t>
                  </w:r>
                  <w:r>
                    <w:rPr>
                      <w:rFonts w:hint="eastAsia" w:ascii="Times New Roman" w:hAnsi="Times New Roman" w:eastAsia="宋体" w:cs="Times New Roman"/>
                      <w:vertAlign w:val="baseline"/>
                      <w:lang w:val="en-US" w:eastAsia="zh-CN"/>
                    </w:rPr>
                    <w:t>单元内涉及永久基本农田的，应按照《福建省基本农田保护条例》（2010年修正本）、《国土资源部关于全面实行永久共本农田特殊保护的通知》（国土资规〔2018〕1号）、《</w:t>
                  </w:r>
                  <w:r>
                    <w:rPr>
                      <w:rFonts w:hint="eastAsia" w:cs="Times New Roman"/>
                      <w:vertAlign w:val="baseline"/>
                      <w:lang w:val="en-US" w:eastAsia="zh-CN"/>
                    </w:rPr>
                    <w:t>中共中央、国务院</w:t>
                  </w:r>
                  <w:r>
                    <w:rPr>
                      <w:rFonts w:hint="eastAsia" w:ascii="Times New Roman" w:hAnsi="Times New Roman" w:eastAsia="宋体" w:cs="Times New Roman"/>
                      <w:vertAlign w:val="baseline"/>
                      <w:lang w:val="en-US" w:eastAsia="zh-CN"/>
                    </w:rPr>
                    <w:t>关于加强耕地保护和改进占补平衡的意见》（2017年1月9日）等相关文件要求进</w:t>
                  </w:r>
                  <w:r>
                    <w:rPr>
                      <w:rFonts w:hint="eastAsia" w:cs="Times New Roman"/>
                      <w:vertAlign w:val="baseline"/>
                      <w:lang w:val="en-US" w:eastAsia="zh-CN"/>
                    </w:rPr>
                    <w:t>行严</w:t>
                  </w:r>
                  <w:r>
                    <w:rPr>
                      <w:rFonts w:hint="eastAsia" w:ascii="Times New Roman" w:hAnsi="Times New Roman" w:eastAsia="宋体" w:cs="Times New Roman"/>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747" w:type="dxa"/>
                  <w:tcBorders>
                    <w:tl2br w:val="nil"/>
                    <w:tr2bl w:val="nil"/>
                  </w:tcBorders>
                  <w:vAlign w:val="center"/>
                </w:tcPr>
                <w:p w14:paraId="155009D3">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w:t>
                  </w:r>
                  <w:r>
                    <w:rPr>
                      <w:rFonts w:hint="eastAsia" w:cs="Times New Roman"/>
                      <w:color w:val="auto"/>
                      <w:sz w:val="21"/>
                      <w:szCs w:val="21"/>
                      <w:u w:val="none"/>
                      <w:lang w:val="en-US" w:eastAsia="zh-CN"/>
                    </w:rPr>
                    <w:t>胶黏剂</w:t>
                  </w:r>
                  <w:r>
                    <w:rPr>
                      <w:rFonts w:hint="eastAsia" w:ascii="Times New Roman" w:hAnsi="Times New Roman" w:eastAsia="宋体" w:cs="Times New Roman"/>
                      <w:color w:val="auto"/>
                      <w:sz w:val="21"/>
                      <w:szCs w:val="21"/>
                      <w:u w:val="none"/>
                      <w:lang w:val="en-US" w:eastAsia="zh-CN"/>
                    </w:rPr>
                    <w:t>的使用，不属于陶瓷企业。不属于煤电、钢铁、建材、石化、化工等“两高”项目；</w:t>
                  </w:r>
                </w:p>
                <w:p w14:paraId="45592DD8">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高VOCs含量有机溶剂型涂料、油墨和胶黏剂的项目；</w:t>
                  </w:r>
                </w:p>
                <w:p w14:paraId="3A0E04F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718" w:type="dxa"/>
                  <w:tcBorders>
                    <w:tl2br w:val="nil"/>
                    <w:tr2bl w:val="nil"/>
                  </w:tcBorders>
                  <w:vAlign w:val="center"/>
                </w:tcPr>
                <w:p w14:paraId="7C53AE2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8CAC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7" w:type="dxa"/>
                  <w:vMerge w:val="continue"/>
                  <w:tcBorders>
                    <w:tl2br w:val="nil"/>
                    <w:tr2bl w:val="nil"/>
                  </w:tcBorders>
                  <w:vAlign w:val="center"/>
                </w:tcPr>
                <w:p w14:paraId="5915C2E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901" w:type="dxa"/>
                  <w:tcBorders>
                    <w:tl2br w:val="nil"/>
                    <w:tr2bl w:val="nil"/>
                  </w:tcBorders>
                  <w:vAlign w:val="center"/>
                </w:tcPr>
                <w:p w14:paraId="0A23B6B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vertAlign w:val="baseline"/>
                      <w:lang w:val="en-US" w:eastAsia="zh-CN"/>
                    </w:rPr>
                    <w:t>污染物排放管控</w:t>
                  </w:r>
                </w:p>
              </w:tc>
              <w:tc>
                <w:tcPr>
                  <w:tcW w:w="7545" w:type="dxa"/>
                  <w:tcBorders>
                    <w:tl2br w:val="nil"/>
                    <w:tr2bl w:val="nil"/>
                  </w:tcBorders>
                  <w:vAlign w:val="center"/>
                </w:tcPr>
                <w:p w14:paraId="1B5299CD">
                  <w:pPr>
                    <w:keepNext w:val="0"/>
                    <w:keepLines w:val="0"/>
                    <w:pageBreakBefore w:val="0"/>
                    <w:widowControl w:val="0"/>
                    <w:numPr>
                      <w:ilvl w:val="0"/>
                      <w:numId w:val="5"/>
                    </w:numPr>
                    <w:kinsoku/>
                    <w:wordWrap/>
                    <w:overflowPunct/>
                    <w:topLinePunct w:val="0"/>
                    <w:autoSpaceDE/>
                    <w:autoSpaceDN/>
                    <w:bidi w:val="0"/>
                    <w:adjustRightInd/>
                    <w:snapToGrid/>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以新带老</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、削减存量，努力实现区域、企业自身总量平衡。总量指标来源、审核和监督管理按照“榕环保综〔2017〕90号</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等相关文件执行。</w:t>
                  </w:r>
                </w:p>
                <w:p w14:paraId="0C356302">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52CFE5D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严格控制新建、改建、扩建钢铁、水泥、平板玻璃、有色金属冶炼、化工等工业项目。新改扩建钢铁、火电项目</w:t>
                  </w:r>
                  <w:r>
                    <w:rPr>
                      <w:rFonts w:hint="eastAsia" w:cs="Times New Roman"/>
                      <w:b w:val="0"/>
                      <w:bCs w:val="0"/>
                      <w:vertAlign w:val="baseline"/>
                      <w:lang w:val="en-US" w:eastAsia="zh-CN"/>
                    </w:rPr>
                    <w:t>应当</w:t>
                  </w:r>
                  <w:r>
                    <w:rPr>
                      <w:rFonts w:hint="default" w:ascii="Times New Roman" w:hAnsi="Times New Roman" w:eastAsia="宋体" w:cs="Times New Roman"/>
                      <w:b w:val="0"/>
                      <w:bCs w:val="0"/>
                      <w:vertAlign w:val="baseline"/>
                      <w:lang w:val="en-US" w:eastAsia="zh-CN"/>
                    </w:rPr>
                    <w:t>执行超低排放限值，有色项目应当执行大气污染物特别排放限值。重点控制区新建化工、石化应当执行大气污染物特别排放限值。</w:t>
                  </w:r>
                </w:p>
                <w:p w14:paraId="0F3A51F4">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氟化工、印染、电镀等行业企业实行水污染物特别排放限值。</w:t>
                  </w:r>
                </w:p>
                <w:p w14:paraId="4FEA7150">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C7EBCCA">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每小时35（含）—65蒸吨燃煤锅炉和位于县级及以上城市建成区内保留的燃煤、燃油、燃生物质锅炉，原则上2024年底前必须全面实现超低排放。</w:t>
                  </w:r>
                </w:p>
                <w:p w14:paraId="31646AB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水泥行业新改扩建项目严格对照超低排放、能效标杆水平建设实施；现有项目超低排放改造应按文件（闽环规〔2023〕2号）的时限要求分步推进，2025年底前全面完成［3］［4］。</w:t>
                  </w:r>
                </w:p>
                <w:p w14:paraId="29A6E850">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747" w:type="dxa"/>
                  <w:tcBorders>
                    <w:tl2br w:val="nil"/>
                    <w:tr2bl w:val="nil"/>
                  </w:tcBorders>
                  <w:vAlign w:val="center"/>
                </w:tcPr>
                <w:p w14:paraId="65C3C0AE">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30875E75">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2.本项目新增VOCs排放，在区域内实行倍量替代；</w:t>
                  </w:r>
                </w:p>
                <w:p w14:paraId="7BAD908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2E9F589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2C0435D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18FC2DA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w:t>
                  </w:r>
                  <w:r>
                    <w:rPr>
                      <w:rFonts w:hint="eastAsia"/>
                      <w:color w:val="auto"/>
                      <w:highlight w:val="none"/>
                      <w:u w:val="none"/>
                      <w:vertAlign w:val="baseline"/>
                      <w:lang w:val="en-US" w:eastAsia="zh-CN"/>
                    </w:rPr>
                    <w:t>本项目采用蒸汽由国电福州发电有限公司供应，不使用燃煤、燃油、生物质和其他使用高污染燃料的锅炉；</w:t>
                  </w:r>
                </w:p>
                <w:p w14:paraId="3CA12A9D">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013C0A1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718" w:type="dxa"/>
                  <w:tcBorders>
                    <w:tl2br w:val="nil"/>
                    <w:tr2bl w:val="nil"/>
                  </w:tcBorders>
                  <w:vAlign w:val="center"/>
                </w:tcPr>
                <w:p w14:paraId="44A6D56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410B4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7" w:type="dxa"/>
                  <w:vMerge w:val="continue"/>
                  <w:tcBorders>
                    <w:tl2br w:val="nil"/>
                    <w:tr2bl w:val="nil"/>
                  </w:tcBorders>
                  <w:vAlign w:val="center"/>
                </w:tcPr>
                <w:p w14:paraId="4A7C898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901" w:type="dxa"/>
                  <w:tcBorders>
                    <w:tl2br w:val="nil"/>
                    <w:tr2bl w:val="nil"/>
                  </w:tcBorders>
                  <w:vAlign w:val="center"/>
                </w:tcPr>
                <w:p w14:paraId="7F37899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资源开发效率要求</w:t>
                  </w:r>
                </w:p>
              </w:tc>
              <w:tc>
                <w:tcPr>
                  <w:tcW w:w="7545" w:type="dxa"/>
                  <w:tcBorders>
                    <w:tl2br w:val="nil"/>
                    <w:tr2bl w:val="nil"/>
                  </w:tcBorders>
                  <w:vAlign w:val="center"/>
                </w:tcPr>
                <w:p w14:paraId="0DEDEC14">
                  <w:pPr>
                    <w:keepNext w:val="0"/>
                    <w:keepLines w:val="0"/>
                    <w:pageBreakBefore w:val="0"/>
                    <w:widowControl w:val="0"/>
                    <w:numPr>
                      <w:ilvl w:val="0"/>
                      <w:numId w:val="6"/>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2B2C5FE">
                  <w:pPr>
                    <w:keepNext w:val="0"/>
                    <w:keepLines w:val="0"/>
                    <w:pageBreakBefore w:val="0"/>
                    <w:widowControl w:val="0"/>
                    <w:numPr>
                      <w:ilvl w:val="0"/>
                      <w:numId w:val="6"/>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按照</w:t>
                  </w:r>
                  <w:r>
                    <w:rPr>
                      <w:rFonts w:hint="eastAsia" w:ascii="Times New Roman" w:hAnsi="Times New Roman" w:eastAsia="宋体"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提气、转电、控煤</w:t>
                  </w:r>
                  <w:r>
                    <w:rPr>
                      <w:rFonts w:hint="eastAsia" w:ascii="Times New Roman" w:hAnsi="Times New Roman" w:eastAsia="宋体"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的发展思路，推动陶瓷行业进一步优化用能结构，实现能源消费清洁低碳化。</w:t>
                  </w:r>
                </w:p>
              </w:tc>
              <w:tc>
                <w:tcPr>
                  <w:tcW w:w="2747" w:type="dxa"/>
                  <w:tcBorders>
                    <w:tl2br w:val="nil"/>
                    <w:tr2bl w:val="nil"/>
                  </w:tcBorders>
                  <w:vAlign w:val="center"/>
                </w:tcPr>
                <w:p w14:paraId="26009CC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w:t>
                  </w:r>
                  <w:r>
                    <w:rPr>
                      <w:rFonts w:hint="eastAsia"/>
                      <w:color w:val="auto"/>
                      <w:highlight w:val="none"/>
                      <w:u w:val="none"/>
                      <w:vertAlign w:val="baseline"/>
                      <w:lang w:val="en-US" w:eastAsia="zh-CN"/>
                    </w:rPr>
                    <w:t>目采用蒸汽由国电福州发电有限公司供应，不燃</w:t>
                  </w:r>
                  <w:r>
                    <w:rPr>
                      <w:rFonts w:hint="eastAsia"/>
                      <w:color w:val="auto"/>
                      <w:u w:val="none"/>
                      <w:vertAlign w:val="baseline"/>
                      <w:lang w:val="en-US" w:eastAsia="zh-CN"/>
                    </w:rPr>
                    <w:t>煤、燃油、生物质和其他使用高污染燃料的锅炉；</w:t>
                  </w:r>
                </w:p>
                <w:p w14:paraId="68B7995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718" w:type="dxa"/>
                  <w:tcBorders>
                    <w:tl2br w:val="nil"/>
                    <w:tr2bl w:val="nil"/>
                  </w:tcBorders>
                  <w:vAlign w:val="center"/>
                </w:tcPr>
                <w:p w14:paraId="059D170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0CCAD2A3">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表1.1-4本项目与</w:t>
            </w:r>
            <w:r>
              <w:rPr>
                <w:rFonts w:hint="eastAsia" w:ascii="Times New Roman" w:hAnsi="Times New Roman" w:eastAsia="宋体" w:cs="Times New Roman"/>
                <w:b/>
                <w:bCs/>
                <w:color w:val="auto"/>
                <w:sz w:val="24"/>
                <w:szCs w:val="24"/>
                <w:highlight w:val="none"/>
                <w:lang w:val="en-US" w:eastAsia="zh-CN"/>
              </w:rPr>
              <w:t>福清市</w:t>
            </w:r>
            <w:r>
              <w:rPr>
                <w:rFonts w:hint="default" w:ascii="Times New Roman" w:hAnsi="Times New Roman" w:eastAsia="宋体" w:cs="Times New Roman"/>
                <w:b/>
                <w:bCs/>
                <w:color w:val="auto"/>
                <w:sz w:val="24"/>
                <w:szCs w:val="24"/>
                <w:highlight w:val="none"/>
                <w:lang w:val="en-US" w:eastAsia="zh-CN"/>
              </w:rPr>
              <w:t>重点管控单元</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环境管控单元准入要求</w:t>
            </w:r>
          </w:p>
          <w:tbl>
            <w:tblPr>
              <w:tblStyle w:val="24"/>
              <w:tblW w:w="126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083"/>
              <w:gridCol w:w="755"/>
              <w:gridCol w:w="692"/>
              <w:gridCol w:w="5050"/>
              <w:gridCol w:w="2636"/>
              <w:gridCol w:w="725"/>
            </w:tblGrid>
            <w:tr w14:paraId="22893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dxa"/>
                  <w:tcBorders>
                    <w:tl2br w:val="nil"/>
                    <w:tr2bl w:val="nil"/>
                  </w:tcBorders>
                  <w:vAlign w:val="center"/>
                </w:tcPr>
                <w:p w14:paraId="59E0CDA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1083" w:type="dxa"/>
                  <w:tcBorders>
                    <w:tl2br w:val="nil"/>
                    <w:tr2bl w:val="nil"/>
                  </w:tcBorders>
                  <w:vAlign w:val="center"/>
                </w:tcPr>
                <w:p w14:paraId="510A652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755" w:type="dxa"/>
                  <w:tcBorders>
                    <w:tl2br w:val="nil"/>
                    <w:tr2bl w:val="nil"/>
                  </w:tcBorders>
                  <w:vAlign w:val="center"/>
                </w:tcPr>
                <w:p w14:paraId="08AAB16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5742" w:type="dxa"/>
                  <w:gridSpan w:val="2"/>
                  <w:tcBorders>
                    <w:tl2br w:val="nil"/>
                    <w:tr2bl w:val="nil"/>
                  </w:tcBorders>
                  <w:vAlign w:val="center"/>
                </w:tcPr>
                <w:p w14:paraId="4ED8A11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2636" w:type="dxa"/>
                  <w:tcBorders>
                    <w:tl2br w:val="nil"/>
                    <w:tr2bl w:val="nil"/>
                  </w:tcBorders>
                  <w:vAlign w:val="center"/>
                </w:tcPr>
                <w:p w14:paraId="638BF03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725" w:type="dxa"/>
                  <w:tcBorders>
                    <w:tl2br w:val="nil"/>
                    <w:tr2bl w:val="nil"/>
                  </w:tcBorders>
                  <w:vAlign w:val="center"/>
                </w:tcPr>
                <w:p w14:paraId="2A3A78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5BF84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dxa"/>
                  <w:vMerge w:val="restart"/>
                  <w:tcBorders>
                    <w:tl2br w:val="nil"/>
                    <w:tr2bl w:val="nil"/>
                  </w:tcBorders>
                  <w:vAlign w:val="center"/>
                </w:tcPr>
                <w:p w14:paraId="3FAB0BD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sz w:val="21"/>
                      <w:szCs w:val="21"/>
                      <w:vertAlign w:val="baseline"/>
                      <w:lang w:val="en-US" w:eastAsia="zh-CN"/>
                    </w:rPr>
                    <w:t>ZH350181200</w:t>
                  </w:r>
                  <w:r>
                    <w:rPr>
                      <w:rFonts w:hint="eastAsia" w:cs="Times New Roman"/>
                      <w:sz w:val="21"/>
                      <w:szCs w:val="21"/>
                      <w:vertAlign w:val="baseline"/>
                      <w:lang w:val="en-US" w:eastAsia="zh-CN"/>
                    </w:rPr>
                    <w:t>10</w:t>
                  </w:r>
                </w:p>
              </w:tc>
              <w:tc>
                <w:tcPr>
                  <w:tcW w:w="1083" w:type="dxa"/>
                  <w:vMerge w:val="restart"/>
                  <w:tcBorders>
                    <w:tl2br w:val="nil"/>
                    <w:tr2bl w:val="nil"/>
                  </w:tcBorders>
                  <w:vAlign w:val="center"/>
                </w:tcPr>
                <w:p w14:paraId="4616975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福清市重点管控单元</w:t>
                  </w:r>
                  <w:r>
                    <w:rPr>
                      <w:rFonts w:hint="eastAsia" w:cs="Times New Roman"/>
                      <w:color w:val="auto"/>
                      <w:kern w:val="0"/>
                      <w:sz w:val="21"/>
                      <w:szCs w:val="21"/>
                      <w:highlight w:val="none"/>
                      <w:u w:val="none"/>
                      <w:vertAlign w:val="baseline"/>
                      <w:lang w:val="en-US" w:eastAsia="zh-CN"/>
                    </w:rPr>
                    <w:t>3</w:t>
                  </w:r>
                </w:p>
              </w:tc>
              <w:tc>
                <w:tcPr>
                  <w:tcW w:w="755" w:type="dxa"/>
                  <w:vMerge w:val="restart"/>
                  <w:tcBorders>
                    <w:tl2br w:val="nil"/>
                    <w:tr2bl w:val="nil"/>
                  </w:tcBorders>
                  <w:vAlign w:val="center"/>
                </w:tcPr>
                <w:p w14:paraId="142ED3C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692" w:type="dxa"/>
                  <w:tcBorders>
                    <w:tl2br w:val="nil"/>
                    <w:tr2bl w:val="nil"/>
                  </w:tcBorders>
                  <w:vAlign w:val="center"/>
                </w:tcPr>
                <w:p w14:paraId="4A24ED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5050" w:type="dxa"/>
                  <w:tcBorders>
                    <w:tl2br w:val="nil"/>
                    <w:tr2bl w:val="nil"/>
                  </w:tcBorders>
                  <w:vAlign w:val="center"/>
                </w:tcPr>
                <w:p w14:paraId="54E7BB5C">
                  <w:pPr>
                    <w:keepNext w:val="0"/>
                    <w:keepLines w:val="0"/>
                    <w:pageBreakBefore w:val="0"/>
                    <w:widowControl w:val="0"/>
                    <w:numPr>
                      <w:ilvl w:val="0"/>
                      <w:numId w:val="7"/>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514AC5F2">
                  <w:pPr>
                    <w:keepNext w:val="0"/>
                    <w:keepLines w:val="0"/>
                    <w:pageBreakBefore w:val="0"/>
                    <w:widowControl w:val="0"/>
                    <w:numPr>
                      <w:ilvl w:val="0"/>
                      <w:numId w:val="7"/>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严格控制包装印刷、工业涂装、制鞋等高VOCs排放的项目建设，相关新建项目必须进入工业园区。</w:t>
                  </w:r>
                </w:p>
                <w:p w14:paraId="1F5DB470">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3.</w:t>
                  </w:r>
                  <w:r>
                    <w:rPr>
                      <w:rFonts w:hint="default" w:ascii="Times New Roman" w:hAnsi="Times New Roman" w:eastAsia="宋体" w:cs="Times New Roman"/>
                      <w:b w:val="0"/>
                      <w:bCs w:val="0"/>
                      <w:sz w:val="21"/>
                      <w:szCs w:val="21"/>
                      <w:vertAlign w:val="baseline"/>
                      <w:lang w:val="en-US" w:eastAsia="zh-CN"/>
                    </w:rPr>
                    <w:t>禁止开发利用未经评估和无害化处理的列入建设用地污染地块名录及开发利用负面清单的土地。</w:t>
                  </w:r>
                </w:p>
              </w:tc>
              <w:tc>
                <w:tcPr>
                  <w:tcW w:w="2636" w:type="dxa"/>
                  <w:tcBorders>
                    <w:tl2br w:val="nil"/>
                    <w:tr2bl w:val="nil"/>
                  </w:tcBorders>
                  <w:vAlign w:val="center"/>
                </w:tcPr>
                <w:p w14:paraId="0AA89E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w:t>
                  </w:r>
                  <w:r>
                    <w:rPr>
                      <w:rFonts w:hint="default" w:ascii="Times New Roman" w:hAnsi="Times New Roman" w:eastAsia="宋体" w:cs="Times New Roman"/>
                      <w:color w:val="auto"/>
                      <w:sz w:val="21"/>
                      <w:szCs w:val="21"/>
                      <w:u w:val="none"/>
                      <w:vertAlign w:val="baseline"/>
                      <w:lang w:val="en-US" w:eastAsia="zh-CN"/>
                    </w:rPr>
                    <w:t>本项目不属于危险化学品生产企业，不属于印染、原料药制造、化工等企业；</w:t>
                  </w:r>
                </w:p>
                <w:p w14:paraId="4D7F4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2、本项目不属于包装印刷、工业涂装、制鞋等高VOCs排放的项目；</w:t>
                  </w:r>
                </w:p>
                <w:p w14:paraId="3D9E6D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3、</w:t>
                  </w:r>
                  <w:r>
                    <w:rPr>
                      <w:rFonts w:hint="default" w:ascii="Times New Roman" w:hAnsi="Times New Roman" w:eastAsia="宋体" w:cs="Times New Roman"/>
                      <w:color w:val="auto"/>
                      <w:sz w:val="21"/>
                      <w:szCs w:val="21"/>
                      <w:u w:val="none"/>
                      <w:vertAlign w:val="baseline"/>
                      <w:lang w:val="en-US" w:eastAsia="zh-CN"/>
                    </w:rPr>
                    <w:t>本项目</w:t>
                  </w:r>
                  <w:r>
                    <w:rPr>
                      <w:rFonts w:hint="default" w:ascii="Times New Roman" w:hAnsi="Times New Roman" w:eastAsia="宋体" w:cs="Times New Roman"/>
                      <w:color w:val="auto"/>
                      <w:sz w:val="21"/>
                      <w:szCs w:val="21"/>
                      <w:highlight w:val="none"/>
                      <w:u w:val="none"/>
                      <w:vertAlign w:val="baseline"/>
                      <w:lang w:val="en-US" w:eastAsia="zh-CN"/>
                    </w:rPr>
                    <w:t>位于</w:t>
                  </w:r>
                  <w:r>
                    <w:rPr>
                      <w:rFonts w:hint="eastAsia" w:cs="Times New Roman"/>
                      <w:b w:val="0"/>
                      <w:bCs w:val="0"/>
                      <w:color w:val="auto"/>
                      <w:sz w:val="21"/>
                      <w:szCs w:val="21"/>
                      <w:highlight w:val="none"/>
                      <w:u w:val="none"/>
                      <w:lang w:val="en-US" w:eastAsia="zh-CN"/>
                    </w:rPr>
                    <w:t>江阴临港产业区</w:t>
                  </w:r>
                  <w:r>
                    <w:rPr>
                      <w:rFonts w:hint="eastAsia" w:ascii="Times New Roman" w:hAnsi="Times New Roman" w:cs="Times New Roman"/>
                      <w:b w:val="0"/>
                      <w:bCs w:val="0"/>
                      <w:color w:val="auto"/>
                      <w:sz w:val="21"/>
                      <w:szCs w:val="21"/>
                      <w:highlight w:val="none"/>
                      <w:lang w:val="en-US" w:eastAsia="zh-CN"/>
                    </w:rPr>
                    <w:t>（</w:t>
                  </w:r>
                  <w:r>
                    <w:rPr>
                      <w:rFonts w:ascii="宋体" w:hAnsi="宋体" w:eastAsia="宋体" w:cs="宋体"/>
                      <w:b w:val="0"/>
                      <w:bCs w:val="0"/>
                      <w:sz w:val="21"/>
                      <w:szCs w:val="21"/>
                      <w:highlight w:val="none"/>
                    </w:rPr>
                    <w:t>新厝先进制造业基地</w:t>
                  </w:r>
                  <w:r>
                    <w:rPr>
                      <w:rFonts w:hint="eastAsia"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内</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不涉及</w:t>
                  </w:r>
                  <w:r>
                    <w:rPr>
                      <w:rFonts w:hint="default" w:ascii="Times New Roman" w:hAnsi="Times New Roman" w:eastAsia="宋体" w:cs="Times New Roman"/>
                      <w:b w:val="0"/>
                      <w:bCs w:val="0"/>
                      <w:color w:val="auto"/>
                      <w:sz w:val="21"/>
                      <w:szCs w:val="21"/>
                      <w:highlight w:val="none"/>
                      <w:vertAlign w:val="baseline"/>
                      <w:lang w:val="en-US" w:eastAsia="zh-CN"/>
                    </w:rPr>
                    <w:t>开</w:t>
                  </w:r>
                  <w:r>
                    <w:rPr>
                      <w:rFonts w:hint="default" w:ascii="Times New Roman" w:hAnsi="Times New Roman" w:eastAsia="宋体" w:cs="Times New Roman"/>
                      <w:b w:val="0"/>
                      <w:bCs w:val="0"/>
                      <w:color w:val="auto"/>
                      <w:sz w:val="21"/>
                      <w:szCs w:val="21"/>
                      <w:vertAlign w:val="baseline"/>
                      <w:lang w:val="en-US" w:eastAsia="zh-CN"/>
                    </w:rPr>
                    <w:t>发利用未经评估和无害化处理的列入建设用地污染地块名录及开发利用负面清单的土地</w:t>
                  </w:r>
                  <w:r>
                    <w:rPr>
                      <w:rFonts w:hint="default" w:ascii="Times New Roman" w:hAnsi="Times New Roman" w:eastAsia="宋体" w:cs="Times New Roman"/>
                      <w:color w:val="auto"/>
                      <w:sz w:val="21"/>
                      <w:szCs w:val="21"/>
                      <w:u w:val="none"/>
                      <w:lang w:eastAsia="zh-CN"/>
                    </w:rPr>
                    <w:t>。</w:t>
                  </w:r>
                </w:p>
              </w:tc>
              <w:tc>
                <w:tcPr>
                  <w:tcW w:w="725" w:type="dxa"/>
                  <w:tcBorders>
                    <w:tl2br w:val="nil"/>
                    <w:tr2bl w:val="nil"/>
                  </w:tcBorders>
                  <w:vAlign w:val="center"/>
                </w:tcPr>
                <w:p w14:paraId="40F05BD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980B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dxa"/>
                  <w:vMerge w:val="continue"/>
                  <w:tcBorders>
                    <w:tl2br w:val="nil"/>
                    <w:tr2bl w:val="nil"/>
                  </w:tcBorders>
                  <w:vAlign w:val="center"/>
                </w:tcPr>
                <w:p w14:paraId="5B6E935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1083" w:type="dxa"/>
                  <w:vMerge w:val="continue"/>
                  <w:tcBorders>
                    <w:tl2br w:val="nil"/>
                    <w:tr2bl w:val="nil"/>
                  </w:tcBorders>
                  <w:vAlign w:val="center"/>
                </w:tcPr>
                <w:p w14:paraId="4CC7420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755" w:type="dxa"/>
                  <w:vMerge w:val="continue"/>
                  <w:tcBorders>
                    <w:tl2br w:val="nil"/>
                    <w:tr2bl w:val="nil"/>
                  </w:tcBorders>
                  <w:vAlign w:val="center"/>
                </w:tcPr>
                <w:p w14:paraId="0B39340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692" w:type="dxa"/>
                  <w:tcBorders>
                    <w:tl2br w:val="nil"/>
                    <w:tr2bl w:val="nil"/>
                  </w:tcBorders>
                  <w:vAlign w:val="center"/>
                </w:tcPr>
                <w:p w14:paraId="09F4ABC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5050" w:type="dxa"/>
                  <w:tcBorders>
                    <w:tl2br w:val="nil"/>
                    <w:tr2bl w:val="nil"/>
                  </w:tcBorders>
                  <w:vAlign w:val="center"/>
                </w:tcPr>
                <w:p w14:paraId="483D7DB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落实新增二氧化硫、氮氧化物和VOCs排放总量控制要求。</w:t>
                  </w:r>
                </w:p>
              </w:tc>
              <w:tc>
                <w:tcPr>
                  <w:tcW w:w="2636" w:type="dxa"/>
                  <w:tcBorders>
                    <w:tl2br w:val="nil"/>
                    <w:tr2bl w:val="nil"/>
                  </w:tcBorders>
                  <w:vAlign w:val="center"/>
                </w:tcPr>
                <w:p w14:paraId="3D937E1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725" w:type="dxa"/>
                  <w:tcBorders>
                    <w:tl2br w:val="nil"/>
                    <w:tr2bl w:val="nil"/>
                  </w:tcBorders>
                  <w:vAlign w:val="center"/>
                </w:tcPr>
                <w:p w14:paraId="6A67C50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7A82D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dxa"/>
                  <w:vMerge w:val="continue"/>
                  <w:tcBorders>
                    <w:tl2br w:val="nil"/>
                    <w:tr2bl w:val="nil"/>
                  </w:tcBorders>
                  <w:vAlign w:val="center"/>
                </w:tcPr>
                <w:p w14:paraId="4C8CB4D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1083" w:type="dxa"/>
                  <w:vMerge w:val="continue"/>
                  <w:tcBorders>
                    <w:tl2br w:val="nil"/>
                    <w:tr2bl w:val="nil"/>
                  </w:tcBorders>
                  <w:vAlign w:val="center"/>
                </w:tcPr>
                <w:p w14:paraId="09206C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755" w:type="dxa"/>
                  <w:vMerge w:val="continue"/>
                  <w:tcBorders>
                    <w:tl2br w:val="nil"/>
                    <w:tr2bl w:val="nil"/>
                  </w:tcBorders>
                  <w:vAlign w:val="center"/>
                </w:tcPr>
                <w:p w14:paraId="74AC044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692" w:type="dxa"/>
                  <w:tcBorders>
                    <w:tl2br w:val="nil"/>
                    <w:tr2bl w:val="nil"/>
                  </w:tcBorders>
                  <w:vAlign w:val="center"/>
                </w:tcPr>
                <w:p w14:paraId="3406A38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5050" w:type="dxa"/>
                  <w:tcBorders>
                    <w:tl2br w:val="nil"/>
                    <w:tr2bl w:val="nil"/>
                  </w:tcBorders>
                  <w:vAlign w:val="center"/>
                </w:tcPr>
                <w:p w14:paraId="35AFA641">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2636" w:type="dxa"/>
                  <w:tcBorders>
                    <w:tl2br w:val="nil"/>
                    <w:tr2bl w:val="nil"/>
                  </w:tcBorders>
                  <w:vAlign w:val="center"/>
                </w:tcPr>
                <w:p w14:paraId="2F6E7A4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rPr>
                    <w:t>不涉及</w:t>
                  </w:r>
                </w:p>
              </w:tc>
              <w:tc>
                <w:tcPr>
                  <w:tcW w:w="725" w:type="dxa"/>
                  <w:tcBorders>
                    <w:tl2br w:val="nil"/>
                    <w:tr2bl w:val="nil"/>
                  </w:tcBorders>
                  <w:vAlign w:val="center"/>
                </w:tcPr>
                <w:p w14:paraId="5EBC836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45350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7" w:type="dxa"/>
                  <w:vMerge w:val="continue"/>
                  <w:tcBorders>
                    <w:tl2br w:val="nil"/>
                    <w:tr2bl w:val="nil"/>
                  </w:tcBorders>
                  <w:vAlign w:val="center"/>
                </w:tcPr>
                <w:p w14:paraId="70A57D0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1083" w:type="dxa"/>
                  <w:vMerge w:val="continue"/>
                  <w:tcBorders>
                    <w:tl2br w:val="nil"/>
                    <w:tr2bl w:val="nil"/>
                  </w:tcBorders>
                  <w:vAlign w:val="center"/>
                </w:tcPr>
                <w:p w14:paraId="713BFA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755" w:type="dxa"/>
                  <w:vMerge w:val="continue"/>
                  <w:tcBorders>
                    <w:tl2br w:val="nil"/>
                    <w:tr2bl w:val="nil"/>
                  </w:tcBorders>
                  <w:vAlign w:val="center"/>
                </w:tcPr>
                <w:p w14:paraId="28BBF35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692" w:type="dxa"/>
                  <w:tcBorders>
                    <w:tl2br w:val="nil"/>
                    <w:tr2bl w:val="nil"/>
                  </w:tcBorders>
                  <w:vAlign w:val="center"/>
                </w:tcPr>
                <w:p w14:paraId="327C712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5050" w:type="dxa"/>
                  <w:tcBorders>
                    <w:tl2br w:val="nil"/>
                    <w:tr2bl w:val="nil"/>
                  </w:tcBorders>
                  <w:vAlign w:val="center"/>
                </w:tcPr>
                <w:p w14:paraId="3AEEB141">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2636" w:type="dxa"/>
                  <w:tcBorders>
                    <w:tl2br w:val="nil"/>
                    <w:tr2bl w:val="nil"/>
                  </w:tcBorders>
                  <w:vAlign w:val="center"/>
                </w:tcPr>
                <w:p w14:paraId="799C162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cs="Times New Roman"/>
                      <w:b w:val="0"/>
                      <w:bCs w:val="0"/>
                      <w:color w:val="000000" w:themeColor="text1"/>
                      <w:sz w:val="21"/>
                      <w:szCs w:val="21"/>
                      <w:highlight w:val="none"/>
                      <w:lang w:val="en-US" w:eastAsia="zh-CN"/>
                      <w14:textFill>
                        <w14:solidFill>
                          <w14:schemeClr w14:val="tx1"/>
                        </w14:solidFill>
                      </w14:textFill>
                    </w:rPr>
                    <w:t>项目使用蒸汽由</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国电福州发电有限公司供应</w:t>
                  </w:r>
                  <w:r>
                    <w:t>，未使用高污染燃料</w:t>
                  </w:r>
                </w:p>
              </w:tc>
              <w:tc>
                <w:tcPr>
                  <w:tcW w:w="725" w:type="dxa"/>
                  <w:tcBorders>
                    <w:tl2br w:val="nil"/>
                    <w:tr2bl w:val="nil"/>
                  </w:tcBorders>
                  <w:vAlign w:val="center"/>
                </w:tcPr>
                <w:p w14:paraId="3061E46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07F8AB44">
            <w:pPr>
              <w:keepNext w:val="0"/>
              <w:keepLines w:val="0"/>
              <w:pageBreakBefore w:val="0"/>
              <w:widowControl w:val="0"/>
              <w:kinsoku/>
              <w:wordWrap/>
              <w:overflowPunct/>
              <w:topLinePunct w:val="0"/>
              <w:autoSpaceDE/>
              <w:autoSpaceDN/>
              <w:bidi w:val="0"/>
              <w:adjustRightInd/>
              <w:snapToGrid/>
              <w:spacing w:line="360" w:lineRule="auto"/>
              <w:ind w:left="0" w:right="0" w:firstLine="720" w:firstLineChars="300"/>
              <w:jc w:val="left"/>
              <w:textAlignment w:val="auto"/>
              <w:rPr>
                <w:rFonts w:hint="default" w:ascii="Times New Roman" w:hAnsi="Times New Roman" w:eastAsia="宋体" w:cs="Times New Roman"/>
                <w:color w:val="FF0000"/>
                <w:sz w:val="24"/>
                <w:szCs w:val="24"/>
                <w:highlight w:val="none"/>
                <w:u w:val="none"/>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综</w:t>
            </w:r>
            <w:r>
              <w:rPr>
                <w:rFonts w:hint="default" w:ascii="Times New Roman" w:hAnsi="Times New Roman" w:eastAsia="宋体" w:cs="Times New Roman"/>
                <w:color w:val="auto"/>
                <w:sz w:val="24"/>
                <w:szCs w:val="24"/>
                <w:highlight w:val="none"/>
                <w:u w:val="none"/>
              </w:rPr>
              <w:t>上所述，项目建设符合《福州市人民政府办公厅关于印发〈福州市生态环境分区管控方案（2023年更新）〉的通知》（榕政办规〔2024〕20号）及《福州市生态环境局关于发布福州市2024年生态环境分区管控动态更新成果的通知》（榕环保综〔2025〕1号）中相关要求。</w:t>
            </w:r>
          </w:p>
          <w:p w14:paraId="1274F784">
            <w:pPr>
              <w:pStyle w:val="21"/>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336884D6">
      <w:pPr>
        <w:jc w:val="both"/>
        <w:rPr>
          <w:rFonts w:hint="eastAsia" w:eastAsia="楷体_GB2312" w:cs="Times New Roman"/>
          <w:color w:val="auto"/>
          <w:sz w:val="36"/>
          <w:szCs w:val="36"/>
          <w:u w:val="none"/>
          <w:lang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690"/>
      </w:tblGrid>
      <w:tr w14:paraId="33AF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Pr>
          <w:p w14:paraId="67471A49">
            <w:pPr>
              <w:pStyle w:val="11"/>
              <w:rPr>
                <w:rFonts w:hint="eastAsia"/>
                <w:color w:val="000000" w:themeColor="text1"/>
                <w:highlight w:val="none"/>
                <w:vertAlign w:val="baseline"/>
                <w:lang w:eastAsia="zh-CN"/>
                <w14:textFill>
                  <w14:solidFill>
                    <w14:schemeClr w14:val="tx1"/>
                  </w14:solidFill>
                </w14:textFill>
              </w:rPr>
            </w:pPr>
          </w:p>
        </w:tc>
        <w:tc>
          <w:tcPr>
            <w:tcW w:w="8690" w:type="dxa"/>
          </w:tcPr>
          <w:p w14:paraId="57B85B94">
            <w:pPr>
              <w:pStyle w:val="35"/>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平面布局合理性分析</w:t>
            </w:r>
          </w:p>
          <w:p w14:paraId="45CAF675">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租赁福建力峰机械实业有限公司的闲置厂房，福建力峰机械实业有限公司的征地面积为</w:t>
            </w:r>
            <w:r>
              <w:rPr>
                <w:rFonts w:hint="eastAsia" w:cs="Times New Roman"/>
                <w:color w:val="000000" w:themeColor="text1"/>
                <w:sz w:val="24"/>
                <w:szCs w:val="24"/>
                <w:highlight w:val="none"/>
                <w:lang w:val="en-US" w:eastAsia="zh-CN"/>
                <w14:textFill>
                  <w14:solidFill>
                    <w14:schemeClr w14:val="tx1"/>
                  </w14:solidFill>
                </w14:textFill>
              </w:rPr>
              <w:t>15359.17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房屋面积9131m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w:t>
            </w:r>
            <w:r>
              <w:rPr>
                <w:rFonts w:hint="eastAsia" w:cs="Times New Roman"/>
                <w:color w:val="000000" w:themeColor="text1"/>
                <w:sz w:val="24"/>
                <w:szCs w:val="24"/>
                <w:highlight w:val="none"/>
                <w:lang w:val="en-US" w:eastAsia="zh-CN"/>
                <w14:textFill>
                  <w14:solidFill>
                    <w14:schemeClr w14:val="tx1"/>
                  </w14:solidFill>
                </w14:textFill>
              </w:rPr>
              <w:t>两幢车间分别为1号组装车间面积3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086m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2#金属配件车间面积6065m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，均为钢结构（不动产权证详见</w:t>
            </w:r>
            <w:r>
              <w:rPr>
                <w:rFonts w:hint="eastAsia" w:cs="Times New Roman"/>
                <w:b/>
                <w:bCs/>
                <w:color w:val="000000" w:themeColor="text1"/>
                <w:sz w:val="24"/>
                <w:szCs w:val="24"/>
                <w:highlight w:val="none"/>
                <w:lang w:val="en-US" w:eastAsia="zh-CN"/>
                <w14:textFill>
                  <w14:solidFill>
                    <w14:schemeClr w14:val="tx1"/>
                  </w14:solidFill>
                </w14:textFill>
              </w:rPr>
              <w:t>附件七</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目前将该处厂房全租给福建恒润包装有限公司，其余</w:t>
            </w:r>
            <w:r>
              <w:rPr>
                <w:rFonts w:hint="eastAsia" w:cs="Times New Roman"/>
                <w:color w:val="000000" w:themeColor="text1"/>
                <w:sz w:val="24"/>
                <w:szCs w:val="24"/>
                <w:highlight w:val="none"/>
                <w:lang w:val="en-US" w:eastAsia="zh-CN"/>
                <w14:textFill>
                  <w14:solidFill>
                    <w14:schemeClr w14:val="tx1"/>
                  </w14:solidFill>
                </w14:textFill>
              </w:rPr>
              <w:t>6228.07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空地暂时闲置。项目租赁厂房</w:t>
            </w:r>
            <w:r>
              <w:rPr>
                <w:rFonts w:hint="eastAsia" w:cs="Times New Roman"/>
                <w:color w:val="000000" w:themeColor="text1"/>
                <w:sz w:val="24"/>
                <w:szCs w:val="24"/>
                <w:highlight w:val="none"/>
                <w:lang w:val="en-US" w:eastAsia="zh-CN"/>
                <w14:textFill>
                  <w14:solidFill>
                    <w14:schemeClr w14:val="tx1"/>
                  </w14:solidFill>
                </w14:textFill>
              </w:rPr>
              <w:t>建筑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面积</w:t>
            </w:r>
            <w:r>
              <w:rPr>
                <w:rFonts w:hint="eastAsia" w:cs="Times New Roman"/>
                <w:color w:val="000000" w:themeColor="text1"/>
                <w:sz w:val="24"/>
                <w:szCs w:val="24"/>
                <w:highlight w:val="none"/>
                <w:lang w:val="en-US" w:eastAsia="zh-CN"/>
                <w14:textFill>
                  <w14:solidFill>
                    <w14:schemeClr w14:val="tx1"/>
                  </w14:solidFill>
                </w14:textFill>
              </w:rPr>
              <w:t>9131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（厂房</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租赁</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合同详见</w:t>
            </w:r>
            <w:r>
              <w:rPr>
                <w:rFonts w:hint="default" w:ascii="Times New Roman" w:hAnsi="Times New Roman" w:eastAsia="宋体" w:cs="Times New Roman"/>
                <w:b/>
                <w:bCs/>
                <w:color w:val="auto"/>
                <w:sz w:val="24"/>
                <w:szCs w:val="24"/>
                <w:highlight w:val="none"/>
                <w:u w:val="none"/>
                <w:lang w:val="en-US" w:eastAsia="zh-CN"/>
              </w:rPr>
              <w:t>附件</w:t>
            </w:r>
            <w:r>
              <w:rPr>
                <w:rFonts w:hint="eastAsia" w:cs="Times New Roman"/>
                <w:b/>
                <w:bCs/>
                <w:color w:val="auto"/>
                <w:sz w:val="24"/>
                <w:szCs w:val="24"/>
                <w:highlight w:val="none"/>
                <w:u w:val="none"/>
                <w:lang w:val="en-US" w:eastAsia="zh-CN"/>
              </w:rPr>
              <w:t>八</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lang w:val="en-US" w:eastAsia="zh-CN"/>
              </w:rPr>
              <w:t>。本次扩建项目</w:t>
            </w:r>
            <w:r>
              <w:rPr>
                <w:rFonts w:hint="eastAsia" w:cs="Times New Roman"/>
                <w:color w:val="auto"/>
                <w:sz w:val="24"/>
                <w:szCs w:val="24"/>
                <w:highlight w:val="none"/>
                <w:lang w:val="en-US" w:eastAsia="zh-CN"/>
              </w:rPr>
              <w:t>拟建设</w:t>
            </w:r>
            <w:r>
              <w:rPr>
                <w:rFonts w:hint="eastAsia" w:ascii="Times New Roman" w:hAnsi="Times New Roman" w:eastAsia="宋体" w:cs="Times New Roman"/>
                <w:color w:val="auto"/>
                <w:sz w:val="24"/>
                <w:szCs w:val="24"/>
                <w:highlight w:val="none"/>
                <w:lang w:val="en-US" w:eastAsia="zh-CN"/>
              </w:rPr>
              <w:t>于</w:t>
            </w:r>
            <w:r>
              <w:rPr>
                <w:rFonts w:hint="eastAsia" w:cs="Times New Roman"/>
                <w:color w:val="auto"/>
                <w:sz w:val="24"/>
                <w:szCs w:val="24"/>
                <w:highlight w:val="none"/>
                <w:lang w:val="en-US" w:eastAsia="zh-CN"/>
              </w:rPr>
              <w:t>1#组装车间</w:t>
            </w:r>
            <w:r>
              <w:rPr>
                <w:rFonts w:hint="eastAsia" w:ascii="Times New Roman" w:hAnsi="Times New Roman" w:eastAsia="宋体" w:cs="Times New Roman"/>
                <w:color w:val="auto"/>
                <w:sz w:val="24"/>
                <w:szCs w:val="24"/>
                <w:highlight w:val="none"/>
                <w:lang w:val="en-US" w:eastAsia="zh-CN"/>
              </w:rPr>
              <w:t>内东侧闲置区域</w:t>
            </w:r>
            <w:r>
              <w:rPr>
                <w:rFonts w:hint="eastAsia" w:cs="Times New Roman"/>
                <w:color w:val="auto"/>
                <w:sz w:val="24"/>
                <w:szCs w:val="24"/>
                <w:highlight w:val="none"/>
                <w:lang w:val="en-US" w:eastAsia="zh-CN"/>
              </w:rPr>
              <w:t>（1024m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，新增成型机、发料机、烘干机、干燥机等设备。扩建3条生产线（</w:t>
            </w:r>
            <w:r>
              <w:rPr>
                <w:rFonts w:hint="eastAsia" w:cs="Times New Roman"/>
                <w:color w:val="auto"/>
                <w:sz w:val="24"/>
                <w:szCs w:val="24"/>
                <w:u w:val="none"/>
                <w:lang w:eastAsia="zh-CN"/>
              </w:rPr>
              <w:t>EPS包装泡沫</w:t>
            </w:r>
            <w:r>
              <w:rPr>
                <w:rFonts w:hint="eastAsia" w:cs="Times New Roman"/>
                <w:color w:val="auto"/>
                <w:sz w:val="24"/>
                <w:szCs w:val="24"/>
                <w:u w:val="none"/>
                <w:lang w:val="en-US" w:eastAsia="zh-CN"/>
              </w:rPr>
              <w:t>生产线</w:t>
            </w:r>
            <w:r>
              <w:rPr>
                <w:rFonts w:hint="eastAsia" w:cs="Times New Roman"/>
                <w:color w:val="auto"/>
                <w:sz w:val="24"/>
                <w:szCs w:val="24"/>
                <w:u w:val="none"/>
                <w:lang w:eastAsia="zh-CN"/>
              </w:rPr>
              <w:t>、EPO包装泡沫</w:t>
            </w:r>
            <w:r>
              <w:rPr>
                <w:rFonts w:hint="eastAsia" w:cs="Times New Roman"/>
                <w:color w:val="auto"/>
                <w:sz w:val="24"/>
                <w:szCs w:val="24"/>
                <w:u w:val="none"/>
                <w:lang w:val="en-US" w:eastAsia="zh-CN"/>
              </w:rPr>
              <w:t>生产线</w:t>
            </w:r>
            <w:r>
              <w:rPr>
                <w:rFonts w:hint="eastAsia" w:cs="Times New Roman"/>
                <w:color w:val="auto"/>
                <w:sz w:val="24"/>
                <w:szCs w:val="24"/>
                <w:u w:val="none"/>
                <w:lang w:eastAsia="zh-CN"/>
              </w:rPr>
              <w:t>、EPP包装泡</w:t>
            </w:r>
            <w:r>
              <w:rPr>
                <w:rFonts w:hint="eastAsia" w:cs="Times New Roman"/>
                <w:color w:val="auto"/>
                <w:sz w:val="24"/>
                <w:szCs w:val="24"/>
                <w:u w:val="none"/>
                <w:lang w:val="en-US" w:eastAsia="zh-CN"/>
              </w:rPr>
              <w:t>生产线</w:t>
            </w:r>
            <w:r>
              <w:rPr>
                <w:rFonts w:hint="eastAsia" w:ascii="Times New Roman" w:hAnsi="Times New Roman" w:eastAsia="宋体" w:cs="Times New Roman"/>
                <w:color w:val="auto"/>
                <w:sz w:val="24"/>
                <w:szCs w:val="24"/>
                <w:highlight w:val="none"/>
                <w:lang w:val="en-US" w:eastAsia="zh-CN"/>
              </w:rPr>
              <w:t>），本项目新增设备均建设在租赁厂房内，</w:t>
            </w:r>
            <w:r>
              <w:rPr>
                <w:rFonts w:hint="eastAsia" w:cs="Times New Roman"/>
                <w:color w:val="auto"/>
                <w:sz w:val="24"/>
                <w:szCs w:val="24"/>
                <w:highlight w:val="none"/>
                <w:lang w:val="en-US" w:eastAsia="zh-CN"/>
              </w:rPr>
              <w:t>2#金属配件车间（6065m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）作为仓库使用，冷却水</w:t>
            </w:r>
            <w:r>
              <w:rPr>
                <w:rFonts w:hint="eastAsia"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原环评内容将产生少量废气无组织排放，本次扩建拟在1#车间西侧外新增一台活性炭吸附装置将废气收集并处理后达标排放。由于现有项目未产生危险废物，本次扩建后新增活性炭处理设施所产生废活性炭，拟在1#厂房西侧外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r>
              <w:rPr>
                <w:rFonts w:hint="eastAsia" w:cs="Times New Roman"/>
                <w:color w:val="auto"/>
                <w:sz w:val="24"/>
                <w:szCs w:val="24"/>
                <w:highlight w:val="none"/>
                <w:lang w:val="en-US" w:eastAsia="zh-CN"/>
              </w:rPr>
              <w:t>生活污水通过污水管网流入位于厂区内化粪池处理后纳入市政污水管网。</w:t>
            </w:r>
            <w:r>
              <w:rPr>
                <w:rFonts w:hint="default" w:ascii="Times New Roman" w:hAnsi="Times New Roman" w:eastAsia="宋体" w:cs="Times New Roman"/>
                <w:color w:val="auto"/>
                <w:sz w:val="24"/>
                <w:szCs w:val="24"/>
                <w:highlight w:val="none"/>
              </w:rPr>
              <w:t>各功能分区明确，生产车间内平面布置基本上根据生产工艺需要和物料流向，各工序布置间距较近，便于生产操作，同时也避免物料来回运输消耗能源，厂区总平面布置基</w:t>
            </w:r>
            <w:r>
              <w:rPr>
                <w:rFonts w:hint="default" w:ascii="Times New Roman" w:hAnsi="Times New Roman" w:eastAsia="宋体" w:cs="Times New Roman"/>
                <w:color w:val="auto"/>
                <w:sz w:val="24"/>
                <w:szCs w:val="24"/>
                <w:highlight w:val="none"/>
                <w:lang w:val="en-US" w:eastAsia="zh-CN"/>
              </w:rPr>
              <w:t>本合理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项目组成见表</w:t>
            </w:r>
            <w:r>
              <w:rPr>
                <w:rFonts w:hint="eastAsia" w:cs="Times New Roman"/>
                <w:color w:val="auto"/>
                <w:sz w:val="24"/>
                <w:szCs w:val="24"/>
                <w:highlight w:val="none"/>
                <w:lang w:val="en-US" w:eastAsia="zh-CN"/>
              </w:rPr>
              <w:t>2.2-1</w:t>
            </w:r>
            <w:r>
              <w:rPr>
                <w:rFonts w:hint="default" w:ascii="Times New Roman" w:hAnsi="Times New Roman" w:eastAsia="宋体" w:cs="Times New Roman"/>
                <w:color w:val="auto"/>
                <w:sz w:val="24"/>
                <w:szCs w:val="24"/>
                <w:highlight w:val="none"/>
                <w:lang w:val="en-US" w:eastAsia="zh-CN"/>
              </w:rPr>
              <w:t>，项目平面布置</w:t>
            </w:r>
            <w:r>
              <w:rPr>
                <w:rFonts w:hint="eastAsia" w:cs="Times New Roman"/>
                <w:color w:val="auto"/>
                <w:sz w:val="24"/>
                <w:szCs w:val="24"/>
                <w:highlight w:val="none"/>
                <w:lang w:val="en-US" w:eastAsia="zh-CN"/>
              </w:rPr>
              <w:t>详见</w:t>
            </w:r>
            <w:r>
              <w:rPr>
                <w:rFonts w:hint="eastAsia" w:cs="Times New Roman"/>
                <w:b/>
                <w:bCs/>
                <w:color w:val="auto"/>
                <w:sz w:val="24"/>
                <w:szCs w:val="24"/>
                <w:highlight w:val="none"/>
                <w:lang w:val="en-US" w:eastAsia="zh-CN"/>
              </w:rPr>
              <w:t>附图八</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p>
          <w:p w14:paraId="2B1099F8">
            <w:pPr>
              <w:pStyle w:val="35"/>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red"/>
                <w:lang w:val="en-US" w:eastAsia="zh-CN"/>
              </w:rPr>
            </w:pPr>
            <w:r>
              <w:rPr>
                <w:rFonts w:hint="eastAsia" w:cs="Times New Roman"/>
                <w:b/>
                <w:bCs/>
                <w:color w:val="auto"/>
                <w:sz w:val="24"/>
                <w:szCs w:val="24"/>
                <w:highlight w:val="none"/>
                <w:lang w:val="en-US" w:eastAsia="zh-CN"/>
              </w:rPr>
              <w:t>6.项目选址合理性分析</w:t>
            </w:r>
          </w:p>
          <w:p w14:paraId="706A8CF0">
            <w:pPr>
              <w:widowControl/>
              <w:spacing w:line="360" w:lineRule="auto"/>
              <w:ind w:firstLine="480" w:firstLineChars="200"/>
              <w:jc w:val="left"/>
              <w:rPr>
                <w:rFonts w:hint="eastAsia"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本项目位于</w:t>
            </w:r>
            <w:r>
              <w:rPr>
                <w:rFonts w:hint="eastAsia" w:cs="Times New Roman"/>
                <w:color w:val="auto"/>
                <w:sz w:val="24"/>
                <w:szCs w:val="24"/>
                <w:highlight w:val="none"/>
                <w:u w:val="none"/>
                <w:lang w:val="en-US" w:eastAsia="zh-CN"/>
              </w:rPr>
              <w:t>福建省福州市福清市新厝镇双屿500-22号（江阴港城经济区新厝区块）</w:t>
            </w:r>
            <w:r>
              <w:rPr>
                <w:rFonts w:hint="default" w:ascii="Times New Roman" w:hAnsi="Times New Roman" w:eastAsia="宋体" w:cs="Times New Roman"/>
                <w:color w:val="auto"/>
                <w:sz w:val="24"/>
                <w:szCs w:val="24"/>
                <w:highlight w:val="none"/>
                <w:lang w:val="en-US" w:eastAsia="zh-CN"/>
              </w:rPr>
              <w:t>，在</w:t>
            </w:r>
            <w:r>
              <w:rPr>
                <w:rFonts w:hint="eastAsia" w:cs="Times New Roman"/>
                <w:b w:val="0"/>
                <w:bCs w:val="0"/>
                <w:color w:val="auto"/>
                <w:sz w:val="24"/>
                <w:szCs w:val="24"/>
                <w:highlight w:val="none"/>
                <w:u w:val="none"/>
                <w:lang w:val="en-US" w:eastAsia="zh-CN"/>
              </w:rPr>
              <w:t>江阴临港产业区</w:t>
            </w:r>
            <w:r>
              <w:rPr>
                <w:rFonts w:hint="eastAsia" w:ascii="Times New Roman" w:hAnsi="Times New Roman" w:cs="Times New Roman"/>
                <w:b w:val="0"/>
                <w:bCs w:val="0"/>
                <w:color w:val="auto"/>
                <w:sz w:val="24"/>
                <w:szCs w:val="24"/>
                <w:highlight w:val="none"/>
                <w:lang w:val="en-US" w:eastAsia="zh-CN"/>
              </w:rPr>
              <w:t>（</w:t>
            </w:r>
            <w:r>
              <w:rPr>
                <w:rFonts w:ascii="宋体" w:hAnsi="宋体" w:eastAsia="宋体" w:cs="宋体"/>
                <w:b w:val="0"/>
                <w:bCs w:val="0"/>
                <w:color w:val="auto"/>
                <w:sz w:val="24"/>
                <w:szCs w:val="24"/>
                <w:highlight w:val="none"/>
              </w:rPr>
              <w:t>新厝先进制造业基地</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内</w:t>
            </w:r>
            <w:r>
              <w:rPr>
                <w:rFonts w:hint="eastAsia"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项目属于</w:t>
            </w:r>
            <w:r>
              <w:rPr>
                <w:rFonts w:hint="eastAsia" w:ascii="Times New Roman" w:hAnsi="Times New Roman" w:cs="Times New Roman"/>
                <w:color w:val="auto"/>
                <w:sz w:val="24"/>
                <w:szCs w:val="24"/>
                <w:highlight w:val="none"/>
                <w:lang w:val="en-US" w:eastAsia="zh-CN"/>
              </w:rPr>
              <w:t>泡沫塑料制造业</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根据调查项目厂址不位于自然保护区、风景名胜区、饮用水水源保护区和其他需要特别保护等法律法规禁止开发建设的区域，与区域内土地利用规划不冲突。</w:t>
            </w:r>
          </w:p>
          <w:p w14:paraId="2F968C9D">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根据现场勘查，</w:t>
            </w:r>
            <w:r>
              <w:rPr>
                <w:rFonts w:hint="eastAsia" w:ascii="Times New Roman" w:hAnsi="Times New Roman" w:eastAsia="宋体" w:cs="Times New Roman"/>
                <w:color w:val="auto"/>
                <w:sz w:val="24"/>
                <w:highlight w:val="none"/>
                <w:lang w:val="en-US" w:eastAsia="zh-CN"/>
              </w:rPr>
              <w:t>项目</w:t>
            </w:r>
            <w:r>
              <w:rPr>
                <w:rFonts w:hint="eastAsia"/>
                <w:color w:val="auto"/>
                <w:sz w:val="24"/>
                <w:highlight w:val="none"/>
                <w:lang w:val="en-US" w:eastAsia="zh-CN"/>
              </w:rPr>
              <w:t>厂界外50米范围内不存在声环境保护目标，厂界</w:t>
            </w:r>
            <w:r>
              <w:rPr>
                <w:rFonts w:hint="eastAsia" w:ascii="Times New Roman" w:hAnsi="Times New Roman" w:eastAsia="宋体" w:cs="Times New Roman"/>
                <w:color w:val="auto"/>
                <w:sz w:val="24"/>
                <w:highlight w:val="none"/>
                <w:lang w:val="en-US" w:eastAsia="zh-CN"/>
              </w:rPr>
              <w:t>外500米范围内</w:t>
            </w:r>
            <w:r>
              <w:rPr>
                <w:rFonts w:hint="eastAsia" w:cs="Times New Roman"/>
                <w:color w:val="auto"/>
                <w:sz w:val="24"/>
                <w:highlight w:val="none"/>
                <w:lang w:val="en-US" w:eastAsia="zh-CN"/>
              </w:rPr>
              <w:t>无集中式</w:t>
            </w:r>
            <w:r>
              <w:rPr>
                <w:rFonts w:hint="eastAsia" w:ascii="Times New Roman" w:hAnsi="Times New Roman" w:eastAsia="宋体" w:cs="Times New Roman"/>
                <w:color w:val="auto"/>
                <w:sz w:val="24"/>
                <w:highlight w:val="none"/>
                <w:lang w:val="en-US" w:eastAsia="zh-CN"/>
              </w:rPr>
              <w:t>居民点，</w:t>
            </w:r>
            <w:r>
              <w:rPr>
                <w:rFonts w:hint="eastAsia" w:cs="Times New Roman"/>
                <w:color w:val="auto"/>
                <w:sz w:val="24"/>
                <w:highlight w:val="none"/>
                <w:lang w:val="en-US" w:eastAsia="zh-CN"/>
              </w:rPr>
              <w:t>水环境保护目标为厂界东侧700m的兴化湾</w:t>
            </w:r>
            <w:r>
              <w:rPr>
                <w:rFonts w:hint="eastAsia" w:cs="Times New Roman"/>
                <w:color w:val="auto"/>
                <w:sz w:val="24"/>
                <w:szCs w:val="24"/>
                <w:highlight w:val="none"/>
                <w:lang w:val="en-US" w:eastAsia="zh-CN"/>
              </w:rPr>
              <w:t>（水质执行《海水水质标准》（GB3097-1996）中第二</w:t>
            </w:r>
            <w:r>
              <w:rPr>
                <w:rFonts w:hint="default" w:ascii="Times New Roman" w:hAnsi="Times New Roman" w:eastAsia="宋体" w:cs="Times New Roman"/>
                <w:color w:val="auto"/>
                <w:sz w:val="24"/>
                <w:szCs w:val="24"/>
                <w:highlight w:val="none"/>
                <w:lang w:eastAsia="zh-CN"/>
              </w:rPr>
              <w:t>类</w:t>
            </w:r>
            <w:r>
              <w:rPr>
                <w:rFonts w:hint="eastAsia" w:ascii="Times New Roman" w:hAnsi="Times New Roman" w:eastAsia="宋体" w:cs="Times New Roman"/>
                <w:color w:val="auto"/>
                <w:sz w:val="24"/>
                <w:szCs w:val="24"/>
                <w:highlight w:val="none"/>
                <w:lang w:val="en-US" w:eastAsia="zh-CN"/>
              </w:rPr>
              <w:t>水体</w:t>
            </w:r>
            <w:r>
              <w:rPr>
                <w:rFonts w:hint="eastAsia" w:cs="Times New Roman"/>
                <w:color w:val="auto"/>
                <w:sz w:val="24"/>
                <w:szCs w:val="24"/>
                <w:highlight w:val="none"/>
                <w:lang w:val="en-US" w:eastAsia="zh-CN"/>
              </w:rPr>
              <w:t>标准）。</w:t>
            </w:r>
            <w:r>
              <w:rPr>
                <w:rFonts w:hint="default" w:ascii="Times New Roman" w:hAnsi="Times New Roman" w:eastAsia="宋体" w:cs="Times New Roman"/>
                <w:color w:val="auto"/>
                <w:sz w:val="24"/>
                <w:highlight w:val="none"/>
                <w:lang w:eastAsia="zh-CN"/>
              </w:rPr>
              <w:t>周边</w:t>
            </w:r>
            <w:r>
              <w:rPr>
                <w:rFonts w:hint="eastAsia" w:cs="Times New Roman"/>
                <w:color w:val="auto"/>
                <w:sz w:val="24"/>
                <w:highlight w:val="none"/>
                <w:lang w:eastAsia="zh-CN"/>
              </w:rPr>
              <w:t>分布</w:t>
            </w:r>
            <w:r>
              <w:rPr>
                <w:rFonts w:hint="eastAsia" w:cs="Times New Roman"/>
                <w:color w:val="auto"/>
                <w:sz w:val="24"/>
                <w:highlight w:val="none"/>
                <w:lang w:val="en-US" w:eastAsia="zh-CN"/>
              </w:rPr>
              <w:t>企业为（高新（福建）日用品有限公司、福建润强包装材料有限公司、福建聚辉纸业有限公司等）均</w:t>
            </w:r>
            <w:r>
              <w:rPr>
                <w:rFonts w:hint="eastAsia" w:cs="Times New Roman"/>
                <w:color w:val="auto"/>
                <w:sz w:val="24"/>
                <w:highlight w:val="none"/>
                <w:lang w:eastAsia="zh-CN"/>
              </w:rPr>
              <w:t>以工业企业为主</w:t>
            </w:r>
            <w:r>
              <w:rPr>
                <w:rFonts w:hint="eastAsia" w:ascii="Times New Roman" w:hAnsi="Times New Roman" w:eastAsia="宋体" w:cs="Times New Roman"/>
                <w:color w:val="auto"/>
                <w:sz w:val="24"/>
                <w:highlight w:val="none"/>
                <w:lang w:val="en-US" w:eastAsia="zh-CN"/>
              </w:rPr>
              <w:t>等</w:t>
            </w:r>
            <w:r>
              <w:rPr>
                <w:rFonts w:hint="eastAsia" w:ascii="Times New Roman" w:hAnsi="Times New Roman" w:eastAsia="宋体" w:cs="Times New Roman"/>
                <w:color w:val="auto"/>
                <w:sz w:val="24"/>
                <w:highlight w:val="none"/>
                <w:lang w:eastAsia="zh-CN"/>
              </w:rPr>
              <w:t>，项目周边环境示意图</w:t>
            </w:r>
            <w:r>
              <w:rPr>
                <w:rFonts w:hint="eastAsia" w:cs="Times New Roman"/>
                <w:color w:val="auto"/>
                <w:sz w:val="24"/>
                <w:highlight w:val="none"/>
                <w:lang w:val="en-US" w:eastAsia="zh-CN"/>
              </w:rPr>
              <w:t>及保护目标</w:t>
            </w:r>
            <w:r>
              <w:rPr>
                <w:rFonts w:hint="eastAsia" w:ascii="Times New Roman" w:hAnsi="Times New Roman" w:eastAsia="宋体" w:cs="Times New Roman"/>
                <w:color w:val="auto"/>
                <w:sz w:val="24"/>
                <w:highlight w:val="none"/>
                <w:lang w:eastAsia="zh-CN"/>
              </w:rPr>
              <w:t>详见</w:t>
            </w:r>
            <w:r>
              <w:rPr>
                <w:rFonts w:hint="eastAsia"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pacing w:val="0"/>
                <w:sz w:val="24"/>
                <w:szCs w:val="24"/>
                <w:highlight w:val="none"/>
                <w:u w:val="none"/>
                <w:lang w:eastAsia="zh-CN"/>
              </w:rPr>
              <w:t>项目周边环境现状拍摄图详</w:t>
            </w:r>
            <w:r>
              <w:rPr>
                <w:rFonts w:hint="default" w:ascii="Times New Roman" w:hAnsi="Times New Roman" w:eastAsia="宋体" w:cs="Times New Roman"/>
                <w:color w:val="auto"/>
                <w:sz w:val="24"/>
                <w:highlight w:val="none"/>
                <w:lang w:eastAsia="zh-CN"/>
              </w:rPr>
              <w:t>见</w:t>
            </w:r>
            <w:r>
              <w:rPr>
                <w:rFonts w:hint="default"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七</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建设单位在</w:t>
            </w:r>
            <w:r>
              <w:rPr>
                <w:rFonts w:hint="eastAsia" w:cs="Times New Roman"/>
                <w:color w:val="auto"/>
                <w:sz w:val="24"/>
                <w:highlight w:val="none"/>
                <w:lang w:eastAsia="zh-CN"/>
              </w:rPr>
              <w:t>切实落实</w:t>
            </w:r>
            <w:r>
              <w:rPr>
                <w:rFonts w:hint="default" w:ascii="Times New Roman" w:hAnsi="Times New Roman" w:eastAsia="宋体" w:cs="Times New Roman"/>
                <w:color w:val="auto"/>
                <w:sz w:val="24"/>
                <w:highlight w:val="none"/>
                <w:lang w:eastAsia="zh-CN"/>
              </w:rPr>
              <w:t>本评价提出的各项污染治理措施的前提下，可实现污染物达标排放</w:t>
            </w:r>
            <w:r>
              <w:rPr>
                <w:rFonts w:hint="eastAsia" w:cs="Times New Roman"/>
                <w:color w:val="auto"/>
                <w:sz w:val="24"/>
                <w:highlight w:val="none"/>
                <w:lang w:eastAsia="zh-CN"/>
              </w:rPr>
              <w:t>且</w:t>
            </w:r>
            <w:r>
              <w:rPr>
                <w:rFonts w:hint="default" w:ascii="Times New Roman" w:hAnsi="Times New Roman" w:eastAsia="宋体" w:cs="Times New Roman"/>
                <w:color w:val="auto"/>
                <w:sz w:val="24"/>
                <w:highlight w:val="none"/>
                <w:lang w:eastAsia="zh-CN"/>
              </w:rPr>
              <w:t>各污染物排放源强较低，运营期产生的</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三废</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及噪声对周边环境影响不明显，因此，项目</w:t>
            </w:r>
            <w:r>
              <w:rPr>
                <w:rFonts w:hint="eastAsia" w:cs="Times New Roman"/>
                <w:color w:val="auto"/>
                <w:sz w:val="24"/>
                <w:highlight w:val="none"/>
                <w:lang w:val="en-US" w:eastAsia="zh-CN"/>
              </w:rPr>
              <w:t>建设选址可行。</w:t>
            </w:r>
          </w:p>
          <w:p w14:paraId="29E1BD02">
            <w:pPr>
              <w:widowControl/>
              <w:numPr>
                <w:ilvl w:val="0"/>
                <w:numId w:val="0"/>
              </w:numPr>
              <w:spacing w:line="360" w:lineRule="auto"/>
              <w:ind w:firstLine="482" w:firstLineChars="200"/>
              <w:jc w:val="left"/>
              <w:rPr>
                <w:b/>
                <w:bCs/>
                <w:color w:val="auto"/>
                <w:sz w:val="24"/>
                <w:highlight w:val="none"/>
              </w:rPr>
            </w:pPr>
            <w:r>
              <w:rPr>
                <w:rFonts w:hint="eastAsia"/>
                <w:b/>
                <w:bCs/>
                <w:color w:val="auto"/>
                <w:sz w:val="24"/>
                <w:highlight w:val="none"/>
                <w:lang w:val="en-US" w:eastAsia="zh-CN"/>
              </w:rPr>
              <w:t>7.</w:t>
            </w:r>
            <w:r>
              <w:rPr>
                <w:b/>
                <w:bCs/>
                <w:color w:val="auto"/>
                <w:sz w:val="24"/>
                <w:highlight w:val="none"/>
              </w:rPr>
              <w:t>与挥发性有机物污染防治相关政策符合性分析</w:t>
            </w:r>
          </w:p>
          <w:p w14:paraId="577E39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000000" w:themeColor="text1"/>
                <w:sz w:val="24"/>
                <w:szCs w:val="24"/>
                <w:highlight w:val="none"/>
                <w:u w:val="none"/>
                <w:lang w:val="en-US" w:eastAsia="zh-CN" w:bidi="ar"/>
                <w14:textFill>
                  <w14:solidFill>
                    <w14:schemeClr w14:val="tx1"/>
                  </w14:solidFill>
                </w14:textFill>
              </w:rPr>
            </w:pPr>
            <w:r>
              <w:rPr>
                <w:rFonts w:hint="eastAsia" w:cs="宋体"/>
                <w:color w:val="auto"/>
                <w:sz w:val="24"/>
                <w:szCs w:val="24"/>
                <w:highlight w:val="none"/>
                <w:u w:val="none"/>
                <w:lang w:bidi="ar"/>
              </w:rPr>
              <w:t>本项目与挥发性有机物污染防治政策相关内容符合性分析，符合性分析详见表</w:t>
            </w:r>
            <w:r>
              <w:rPr>
                <w:rFonts w:hint="eastAsia" w:cs="宋体"/>
                <w:color w:val="auto"/>
                <w:sz w:val="24"/>
                <w:szCs w:val="24"/>
                <w:highlight w:val="none"/>
                <w:u w:val="none"/>
                <w:lang w:val="en-US" w:eastAsia="zh-CN" w:bidi="ar"/>
              </w:rPr>
              <w:t>1.1-5</w:t>
            </w:r>
            <w:r>
              <w:rPr>
                <w:rFonts w:hint="eastAsia" w:cs="宋体"/>
                <w:color w:val="auto"/>
                <w:sz w:val="24"/>
                <w:szCs w:val="24"/>
                <w:highlight w:val="none"/>
                <w:u w:val="none"/>
                <w:lang w:bidi="ar"/>
              </w:rPr>
              <w:t>。</w:t>
            </w:r>
            <w:r>
              <w:rPr>
                <w:rFonts w:hint="eastAsia" w:cs="宋体"/>
                <w:color w:val="auto"/>
                <w:sz w:val="24"/>
                <w:szCs w:val="24"/>
                <w:highlight w:val="none"/>
                <w:u w:val="none"/>
                <w:lang w:eastAsia="zh-CN" w:bidi="ar"/>
              </w:rPr>
              <w:t>根据表</w:t>
            </w:r>
            <w:r>
              <w:rPr>
                <w:rFonts w:hint="eastAsia" w:cs="宋体"/>
                <w:color w:val="auto"/>
                <w:sz w:val="24"/>
                <w:szCs w:val="24"/>
                <w:highlight w:val="none"/>
                <w:u w:val="none"/>
                <w:lang w:val="en-US" w:eastAsia="zh-CN" w:bidi="ar"/>
              </w:rPr>
              <w:t>1.1-5的</w:t>
            </w:r>
            <w:r>
              <w:rPr>
                <w:rFonts w:hint="eastAsia" w:cs="宋体"/>
                <w:color w:val="000000" w:themeColor="text1"/>
                <w:sz w:val="24"/>
                <w:szCs w:val="24"/>
                <w:highlight w:val="none"/>
                <w:u w:val="none"/>
                <w:lang w:val="en-US" w:eastAsia="zh-CN" w:bidi="ar"/>
                <w14:textFill>
                  <w14:solidFill>
                    <w14:schemeClr w14:val="tx1"/>
                  </w14:solidFill>
                </w14:textFill>
              </w:rPr>
              <w:t>分析可知，本项目建设符合国家及地方的</w:t>
            </w:r>
            <w:r>
              <w:rPr>
                <w:rFonts w:hint="eastAsia" w:cs="宋体"/>
                <w:color w:val="000000" w:themeColor="text1"/>
                <w:sz w:val="24"/>
                <w:szCs w:val="24"/>
                <w:highlight w:val="none"/>
                <w:u w:val="none"/>
                <w:lang w:bidi="ar"/>
                <w14:textFill>
                  <w14:solidFill>
                    <w14:schemeClr w14:val="tx1"/>
                  </w14:solidFill>
                </w14:textFill>
              </w:rPr>
              <w:t>挥发性有机物污染防治政策相关内容</w:t>
            </w:r>
            <w:r>
              <w:rPr>
                <w:rFonts w:hint="eastAsia" w:cs="宋体"/>
                <w:color w:val="000000" w:themeColor="text1"/>
                <w:sz w:val="24"/>
                <w:szCs w:val="24"/>
                <w:highlight w:val="none"/>
                <w:u w:val="none"/>
                <w:lang w:eastAsia="zh-CN" w:bidi="ar"/>
                <w14:textFill>
                  <w14:solidFill>
                    <w14:schemeClr w14:val="tx1"/>
                  </w14:solidFill>
                </w14:textFill>
              </w:rPr>
              <w:t>的要求。</w:t>
            </w:r>
          </w:p>
          <w:p w14:paraId="1AD8E171">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黑体" w:cs="Times New Roman"/>
                <w:color w:val="000000" w:themeColor="text1"/>
                <w:sz w:val="24"/>
                <w:highlight w:val="none"/>
                <w:u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表1.1-5挥发性有机物污染防治政策相关内容</w:t>
            </w:r>
          </w:p>
          <w:tbl>
            <w:tblPr>
              <w:tblStyle w:val="24"/>
              <w:tblW w:w="846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987"/>
              <w:gridCol w:w="3382"/>
              <w:gridCol w:w="451"/>
            </w:tblGrid>
            <w:tr w14:paraId="5ED79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46" w:type="dxa"/>
                  <w:tcBorders>
                    <w:tl2br w:val="nil"/>
                    <w:tr2bl w:val="nil"/>
                  </w:tcBorders>
                  <w:vAlign w:val="center"/>
                </w:tcPr>
                <w:p w14:paraId="2530248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相关文件名称</w:t>
                  </w:r>
                </w:p>
              </w:tc>
              <w:tc>
                <w:tcPr>
                  <w:tcW w:w="2987" w:type="dxa"/>
                  <w:tcBorders>
                    <w:tl2br w:val="nil"/>
                    <w:tr2bl w:val="nil"/>
                  </w:tcBorders>
                  <w:vAlign w:val="center"/>
                </w:tcPr>
                <w:p w14:paraId="410E22D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相关内容</w:t>
                  </w:r>
                </w:p>
              </w:tc>
              <w:tc>
                <w:tcPr>
                  <w:tcW w:w="3382" w:type="dxa"/>
                  <w:tcBorders>
                    <w:tl2br w:val="nil"/>
                    <w:tr2bl w:val="nil"/>
                  </w:tcBorders>
                  <w:vAlign w:val="center"/>
                </w:tcPr>
                <w:p w14:paraId="0E3220C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本项目内容</w:t>
                  </w:r>
                </w:p>
              </w:tc>
              <w:tc>
                <w:tcPr>
                  <w:tcW w:w="451" w:type="dxa"/>
                  <w:tcBorders>
                    <w:tl2br w:val="nil"/>
                    <w:tr2bl w:val="nil"/>
                  </w:tcBorders>
                  <w:vAlign w:val="center"/>
                </w:tcPr>
                <w:p w14:paraId="57C92984">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符合性</w:t>
                  </w:r>
                </w:p>
              </w:tc>
            </w:tr>
            <w:tr w14:paraId="728FC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tcBorders>
                    <w:tl2br w:val="nil"/>
                    <w:tr2bl w:val="nil"/>
                  </w:tcBorders>
                  <w:shd w:val="clear" w:color="auto" w:fill="auto"/>
                  <w:vAlign w:val="center"/>
                </w:tcPr>
                <w:p w14:paraId="3D189322">
                  <w:pPr>
                    <w:pStyle w:val="73"/>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2"/>
                      <w:lang w:val="en-US" w:eastAsia="zh-CN" w:bidi="ar-SA"/>
                    </w:rPr>
                  </w:pPr>
                  <w:r>
                    <w:rPr>
                      <w:rFonts w:hint="default"/>
                      <w:szCs w:val="22"/>
                    </w:rPr>
                    <w:t>“十三五”挥发性有机物污染防治工作方案</w:t>
                  </w:r>
                </w:p>
              </w:tc>
              <w:tc>
                <w:tcPr>
                  <w:tcW w:w="2987" w:type="dxa"/>
                  <w:tcBorders>
                    <w:tl2br w:val="nil"/>
                    <w:tr2bl w:val="nil"/>
                  </w:tcBorders>
                  <w:shd w:val="clear" w:color="auto" w:fill="auto"/>
                  <w:vAlign w:val="top"/>
                </w:tcPr>
                <w:p w14:paraId="2C4D0C03">
                  <w:pPr>
                    <w:pStyle w:val="73"/>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w:t>
                  </w:r>
                  <w:r>
                    <w:rPr>
                      <w:rFonts w:hint="default"/>
                      <w:szCs w:val="22"/>
                    </w:rPr>
                    <w:t>.严格建设项目环境准入。</w:t>
                  </w:r>
                </w:p>
                <w:p w14:paraId="32BBD85E">
                  <w:pPr>
                    <w:pStyle w:val="73"/>
                    <w:keepNext w:val="0"/>
                    <w:keepLines w:val="0"/>
                    <w:widowControl/>
                    <w:suppressLineNumbers w:val="0"/>
                    <w:bidi w:val="0"/>
                    <w:spacing w:before="0" w:beforeAutospacing="0" w:after="0" w:afterAutospacing="0"/>
                    <w:ind w:left="0" w:right="0"/>
                    <w:rPr>
                      <w:rFonts w:hint="default"/>
                      <w:szCs w:val="22"/>
                    </w:rPr>
                  </w:pPr>
                  <w:r>
                    <w:rPr>
                      <w:rFonts w:hint="default"/>
                      <w:szCs w:val="22"/>
                    </w:rPr>
                    <w:t>提高</w:t>
                  </w:r>
                  <w:r>
                    <w:rPr>
                      <w:rFonts w:hint="eastAsia"/>
                      <w:szCs w:val="22"/>
                      <w:lang w:eastAsia="zh-CN"/>
                    </w:rPr>
                    <w:t>VOCs</w:t>
                  </w:r>
                  <w:r>
                    <w:rPr>
                      <w:rFonts w:hint="default"/>
                      <w:szCs w:val="22"/>
                    </w:rPr>
                    <w:t>排放重点行业环保准入门槛，严格控制新增污染物排放量。新建涉</w:t>
                  </w:r>
                  <w:r>
                    <w:rPr>
                      <w:rFonts w:hint="eastAsia"/>
                      <w:szCs w:val="22"/>
                      <w:lang w:eastAsia="zh-CN"/>
                    </w:rPr>
                    <w:t>VOCs</w:t>
                  </w:r>
                  <w:r>
                    <w:rPr>
                      <w:rFonts w:hint="default"/>
                      <w:szCs w:val="22"/>
                    </w:rPr>
                    <w:t>排放的工业企业要入园区。新、改、扩建涉</w:t>
                  </w:r>
                  <w:r>
                    <w:rPr>
                      <w:rFonts w:hint="eastAsia"/>
                      <w:szCs w:val="22"/>
                      <w:lang w:eastAsia="zh-CN"/>
                    </w:rPr>
                    <w:t>VOCs</w:t>
                  </w:r>
                  <w:r>
                    <w:rPr>
                      <w:rFonts w:hint="default"/>
                      <w:szCs w:val="22"/>
                    </w:rPr>
                    <w:t>排放项目，应从源头加强控制，使用低（无）</w:t>
                  </w:r>
                  <w:r>
                    <w:rPr>
                      <w:rFonts w:hint="eastAsia"/>
                      <w:szCs w:val="22"/>
                      <w:lang w:eastAsia="zh-CN"/>
                    </w:rPr>
                    <w:t>VOCs</w:t>
                  </w:r>
                  <w:r>
                    <w:rPr>
                      <w:rFonts w:hint="default"/>
                      <w:szCs w:val="22"/>
                    </w:rPr>
                    <w:t>含量的原辅材料，加强废气收集，安装高效治理设施。</w:t>
                  </w:r>
                </w:p>
                <w:p w14:paraId="54457CB7">
                  <w:pPr>
                    <w:pStyle w:val="73"/>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2"/>
                      <w:lang w:val="en-US" w:eastAsia="zh-CN" w:bidi="ar-SA"/>
                    </w:rPr>
                  </w:pPr>
                  <w:r>
                    <w:rPr>
                      <w:rFonts w:hint="default"/>
                      <w:szCs w:val="22"/>
                      <w:lang w:val="en-US" w:eastAsia="zh-CN"/>
                    </w:rPr>
                    <w:t>2</w:t>
                  </w:r>
                  <w:r>
                    <w:rPr>
                      <w:rFonts w:hint="default"/>
                      <w:szCs w:val="22"/>
                    </w:rPr>
                    <w:t>.加大工业涂装</w:t>
                  </w:r>
                  <w:r>
                    <w:rPr>
                      <w:rFonts w:hint="eastAsia"/>
                      <w:szCs w:val="22"/>
                      <w:lang w:eastAsia="zh-CN"/>
                    </w:rPr>
                    <w:t>VOCs</w:t>
                  </w:r>
                  <w:r>
                    <w:rPr>
                      <w:rFonts w:hint="default"/>
                      <w:szCs w:val="22"/>
                    </w:rPr>
                    <w:t>治理力度。木质家具制造行业。大力推广使用水性、紫外光固化涂料，到2020年底前，替代比例达到60%以上；全面使用水性胶粘剂，到2020年底前，替代比例达到100%。在平面板式木质家具制造领域，推广使用自动喷涂或辊涂等先进工艺技术。加强废气收集与处理，有机废气收集效率不低于80%；建设吸附燃烧等高效治理设施，实现达标排放。</w:t>
                  </w:r>
                </w:p>
              </w:tc>
              <w:tc>
                <w:tcPr>
                  <w:tcW w:w="3382" w:type="dxa"/>
                  <w:tcBorders>
                    <w:tl2br w:val="nil"/>
                    <w:tr2bl w:val="nil"/>
                  </w:tcBorders>
                  <w:shd w:val="clear" w:color="auto" w:fill="auto"/>
                  <w:vAlign w:val="center"/>
                </w:tcPr>
                <w:p w14:paraId="6C7A70E3">
                  <w:pPr>
                    <w:pStyle w:val="7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szCs w:val="22"/>
                      <w:lang w:val="en-US" w:eastAsia="zh-CN"/>
                    </w:rPr>
                    <w:t>1</w:t>
                  </w:r>
                  <w:r>
                    <w:rPr>
                      <w:rFonts w:hint="default"/>
                      <w:szCs w:val="22"/>
                      <w:highlight w:val="none"/>
                      <w:lang w:val="en-US" w:eastAsia="zh-CN"/>
                    </w:rPr>
                    <w:t>、项目属于</w:t>
                  </w:r>
                  <w:r>
                    <w:rPr>
                      <w:rFonts w:hint="eastAsia"/>
                      <w:szCs w:val="22"/>
                      <w:highlight w:val="none"/>
                      <w:lang w:val="en-US" w:eastAsia="zh-CN"/>
                    </w:rPr>
                    <w:t>扩建项目</w:t>
                  </w:r>
                  <w:r>
                    <w:rPr>
                      <w:rFonts w:hint="default"/>
                      <w:szCs w:val="22"/>
                      <w:highlight w:val="none"/>
                      <w:lang w:val="en-US" w:eastAsia="zh-CN"/>
                    </w:rPr>
                    <w:t>，涉</w:t>
                  </w:r>
                  <w:r>
                    <w:rPr>
                      <w:rFonts w:hint="eastAsia"/>
                      <w:szCs w:val="22"/>
                      <w:highlight w:val="none"/>
                      <w:lang w:eastAsia="zh-CN"/>
                    </w:rPr>
                    <w:t>VOCs</w:t>
                  </w:r>
                  <w:r>
                    <w:rPr>
                      <w:rFonts w:hint="default"/>
                      <w:szCs w:val="22"/>
                      <w:highlight w:val="none"/>
                    </w:rPr>
                    <w:t>排放</w:t>
                  </w:r>
                  <w:r>
                    <w:rPr>
                      <w:rFonts w:hint="default"/>
                      <w:szCs w:val="22"/>
                      <w:highlight w:val="none"/>
                      <w:lang w:eastAsia="zh-CN"/>
                    </w:rPr>
                    <w:t>，</w:t>
                  </w:r>
                  <w:r>
                    <w:rPr>
                      <w:rFonts w:hint="default"/>
                      <w:szCs w:val="22"/>
                      <w:highlight w:val="none"/>
                      <w:lang w:val="en-US" w:eastAsia="zh-CN"/>
                    </w:rPr>
                    <w:t>企</w:t>
                  </w:r>
                  <w:r>
                    <w:rPr>
                      <w:rFonts w:hint="default" w:ascii="Times New Roman" w:hAnsi="Times New Roman" w:eastAsia="宋体" w:cs="Times New Roman"/>
                      <w:b w:val="0"/>
                      <w:bCs w:val="0"/>
                      <w:color w:val="auto"/>
                      <w:sz w:val="21"/>
                      <w:szCs w:val="21"/>
                      <w:highlight w:val="none"/>
                      <w:vertAlign w:val="baseline"/>
                      <w:lang w:val="en-US" w:eastAsia="zh-CN"/>
                    </w:rPr>
                    <w:t>业</w:t>
                  </w:r>
                  <w:r>
                    <w:rPr>
                      <w:rFonts w:hint="eastAsia" w:ascii="Times New Roman" w:hAnsi="Times New Roman" w:eastAsia="宋体" w:cs="Times New Roman"/>
                      <w:b w:val="0"/>
                      <w:bCs w:val="0"/>
                      <w:color w:val="auto"/>
                      <w:sz w:val="21"/>
                      <w:szCs w:val="21"/>
                      <w:highlight w:val="none"/>
                      <w:vertAlign w:val="baseline"/>
                      <w:lang w:val="en-US" w:eastAsia="zh-CN"/>
                    </w:rPr>
                    <w:t>位于</w:t>
                  </w:r>
                  <w:r>
                    <w:rPr>
                      <w:rFonts w:hint="eastAsia" w:cs="Times New Roman"/>
                      <w:b w:val="0"/>
                      <w:bCs w:val="0"/>
                      <w:color w:val="auto"/>
                      <w:sz w:val="21"/>
                      <w:szCs w:val="21"/>
                      <w:highlight w:val="none"/>
                      <w:u w:val="none"/>
                      <w:lang w:val="en-US" w:eastAsia="zh-CN"/>
                    </w:rPr>
                    <w:t>福建省福州市福清市新厝镇双屿500-22号（江阴港城经济区新厝区块）</w:t>
                  </w:r>
                  <w:r>
                    <w:rPr>
                      <w:rFonts w:hint="default" w:ascii="Times New Roman" w:hAnsi="Times New Roman" w:eastAsia="宋体" w:cs="Times New Roman"/>
                      <w:b w:val="0"/>
                      <w:bCs w:val="0"/>
                      <w:color w:val="auto"/>
                      <w:sz w:val="21"/>
                      <w:szCs w:val="21"/>
                      <w:highlight w:val="none"/>
                      <w:lang w:val="en-US" w:eastAsia="zh-CN"/>
                    </w:rPr>
                    <w:t>，在</w:t>
                  </w:r>
                  <w:r>
                    <w:rPr>
                      <w:rFonts w:hint="default" w:ascii="Times New Roman" w:hAnsi="Times New Roman" w:eastAsia="宋体" w:cs="Times New Roman"/>
                      <w:b w:val="0"/>
                      <w:bCs w:val="0"/>
                      <w:color w:val="auto"/>
                      <w:sz w:val="21"/>
                      <w:szCs w:val="21"/>
                      <w:highlight w:val="none"/>
                      <w:u w:val="none"/>
                      <w:lang w:val="en-US" w:eastAsia="zh-CN"/>
                    </w:rPr>
                    <w:t>江阴临港产业区</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新厝先进制造业基地</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w:t>
                  </w:r>
                </w:p>
                <w:p w14:paraId="37CE5CE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szCs w:val="22"/>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项目现有工程于2017年3月通过环评审批（榕环评表</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2017</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26号），2017年7月完成竣工验收。由于还发布此政策。现有项目所产生的废气污染物VOCs未安装环保设备，无组织排放。本次扩建将把现有项目产生废气与拟扩建项目产生废气一并收集处理。</w:t>
                  </w:r>
                  <w:r>
                    <w:rPr>
                      <w:rFonts w:hint="eastAsia" w:ascii="Times New Roman" w:hAnsi="Times New Roman" w:eastAsia="宋体" w:cs="Times New Roman"/>
                      <w:b w:val="0"/>
                      <w:bCs w:val="0"/>
                      <w:color w:val="auto"/>
                      <w:sz w:val="21"/>
                      <w:szCs w:val="21"/>
                      <w:highlight w:val="none"/>
                      <w:vertAlign w:val="baseline"/>
                      <w:lang w:val="en-US" w:eastAsia="zh-CN"/>
                    </w:rPr>
                    <w:t>本次扩建项目预发、成型、废</w:t>
                  </w:r>
                  <w:r>
                    <w:rPr>
                      <w:rFonts w:hint="eastAsia"/>
                      <w:szCs w:val="22"/>
                      <w:highlight w:val="none"/>
                      <w:lang w:val="en-US" w:eastAsia="zh-CN"/>
                    </w:rPr>
                    <w:t>气</w:t>
                  </w:r>
                  <w:r>
                    <w:rPr>
                      <w:rFonts w:hint="eastAsia" w:ascii="Times New Roman" w:hAnsi="Times New Roman" w:eastAsia="宋体" w:cs="Times New Roman"/>
                      <w:b w:val="0"/>
                      <w:bCs w:val="0"/>
                      <w:color w:val="auto"/>
                      <w:sz w:val="21"/>
                      <w:szCs w:val="21"/>
                      <w:highlight w:val="none"/>
                      <w:vertAlign w:val="baseline"/>
                      <w:lang w:val="en-US" w:eastAsia="zh-CN"/>
                    </w:rPr>
                    <w:t>中所产生的VOCs经集气罩收集后通过一套“二级活性炭吸附装置+15m排气筒”排放</w:t>
                  </w:r>
                </w:p>
                <w:p w14:paraId="654E9A5C">
                  <w:pPr>
                    <w:pStyle w:val="73"/>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2"/>
                      <w:lang w:val="en-US" w:eastAsia="zh-CN" w:bidi="ar-SA"/>
                    </w:rPr>
                  </w:pPr>
                  <w:r>
                    <w:rPr>
                      <w:rFonts w:hint="default"/>
                      <w:szCs w:val="22"/>
                      <w:highlight w:val="none"/>
                      <w:lang w:val="en-US" w:eastAsia="zh-CN"/>
                    </w:rPr>
                    <w:t>2、项目不属于</w:t>
                  </w:r>
                  <w:r>
                    <w:rPr>
                      <w:rFonts w:hint="default"/>
                      <w:szCs w:val="22"/>
                      <w:highlight w:val="none"/>
                    </w:rPr>
                    <w:t>木质家具制造行业</w:t>
                  </w:r>
                  <w:r>
                    <w:rPr>
                      <w:rFonts w:hint="default"/>
                      <w:szCs w:val="22"/>
                      <w:lang w:eastAsia="zh-CN"/>
                    </w:rPr>
                    <w:t>。</w:t>
                  </w:r>
                </w:p>
              </w:tc>
              <w:tc>
                <w:tcPr>
                  <w:tcW w:w="451" w:type="dxa"/>
                  <w:tcBorders>
                    <w:tl2br w:val="nil"/>
                    <w:tr2bl w:val="nil"/>
                  </w:tcBorders>
                  <w:vAlign w:val="center"/>
                </w:tcPr>
                <w:p w14:paraId="007F225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A229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tcBorders>
                    <w:tl2br w:val="nil"/>
                    <w:tr2bl w:val="nil"/>
                  </w:tcBorders>
                  <w:shd w:val="clear" w:color="auto" w:fill="auto"/>
                  <w:vAlign w:val="center"/>
                </w:tcPr>
                <w:p w14:paraId="3D7857EF">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福建省“十四五”空气质量改善规划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A44423D">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2022年1月</w:t>
                  </w:r>
                  <w:r>
                    <w:rPr>
                      <w:rFonts w:hint="eastAsia" w:cs="Times New Roman"/>
                      <w:color w:val="000000" w:themeColor="text1"/>
                      <w:sz w:val="21"/>
                      <w:szCs w:val="21"/>
                      <w:highlight w:val="none"/>
                      <w:lang w:val="en-US" w:eastAsia="zh-CN"/>
                      <w14:textFill>
                        <w14:solidFill>
                          <w14:schemeClr w14:val="tx1"/>
                        </w14:solidFill>
                      </w14:textFill>
                    </w:rPr>
                    <w:t>）</w:t>
                  </w:r>
                </w:p>
              </w:tc>
              <w:tc>
                <w:tcPr>
                  <w:tcW w:w="2987" w:type="dxa"/>
                  <w:tcBorders>
                    <w:tl2br w:val="nil"/>
                    <w:tr2bl w:val="nil"/>
                  </w:tcBorders>
                  <w:shd w:val="clear" w:color="auto" w:fill="auto"/>
                  <w:vAlign w:val="center"/>
                </w:tcPr>
                <w:p w14:paraId="7AB02055">
                  <w:pPr>
                    <w:pStyle w:val="37"/>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推广使用水性、高固体分、无溶剂、粉末等低VOCs含量涂料，</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电缆桥架</w:t>
                  </w:r>
                  <w:r>
                    <w:rPr>
                      <w:rFonts w:hint="eastAsia" w:ascii="Times New Roman" w:hAnsi="Times New Roman" w:eastAsia="宋体" w:cs="Times New Roman"/>
                      <w:color w:val="000000" w:themeColor="text1"/>
                      <w:sz w:val="21"/>
                      <w:szCs w:val="21"/>
                      <w:highlight w:val="none"/>
                      <w14:textFill>
                        <w14:solidFill>
                          <w14:schemeClr w14:val="tx1"/>
                        </w14:solidFill>
                      </w14:textFill>
                    </w:rPr>
                    <w:t>制造、</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汽车零部件</w:t>
                  </w:r>
                  <w:r>
                    <w:rPr>
                      <w:rFonts w:hint="eastAsia" w:ascii="Times New Roman" w:hAnsi="Times New Roman" w:eastAsia="宋体" w:cs="Times New Roman"/>
                      <w:color w:val="000000" w:themeColor="text1"/>
                      <w:sz w:val="21"/>
                      <w:szCs w:val="21"/>
                      <w:highlight w:val="none"/>
                      <w14:textFill>
                        <w14:solidFill>
                          <w14:schemeClr w14:val="tx1"/>
                        </w14:solidFill>
                      </w14:textFill>
                    </w:rPr>
                    <w:t>、工程机械使用比例达到50%以上；</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严格执行涂料、油墨、胶粘剂、清洗剂VOCs含量限值标准，加大抽检力度，确保生产、销售、进口、使用符合标准的产品。严格涉VOCs建设项目环境影响评价，VOCs排放实行区域内等量替代，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福州</w:t>
                  </w:r>
                  <w:r>
                    <w:rPr>
                      <w:rFonts w:hint="eastAsia" w:ascii="Times New Roman" w:hAnsi="Times New Roman" w:eastAsia="宋体" w:cs="Times New Roman"/>
                      <w:color w:val="000000" w:themeColor="text1"/>
                      <w:sz w:val="21"/>
                      <w:szCs w:val="21"/>
                      <w:highlight w:val="none"/>
                      <w14:textFill>
                        <w14:solidFill>
                          <w14:schemeClr w14:val="tx1"/>
                        </w14:solidFill>
                      </w14:textFill>
                    </w:rPr>
                    <w:t>、厦门、漳州、泉州、莆田、宁德实施VOCs倍量替代。</w:t>
                  </w:r>
                </w:p>
              </w:tc>
              <w:tc>
                <w:tcPr>
                  <w:tcW w:w="3382" w:type="dxa"/>
                  <w:vMerge w:val="restart"/>
                  <w:tcBorders>
                    <w:tl2br w:val="nil"/>
                    <w:tr2bl w:val="nil"/>
                  </w:tcBorders>
                  <w:vAlign w:val="center"/>
                </w:tcPr>
                <w:p w14:paraId="66EBA7F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从</w:t>
                  </w:r>
                  <w:r>
                    <w:rPr>
                      <w:rFonts w:hint="eastAsia" w:cs="Times New Roman"/>
                      <w:b w:val="0"/>
                      <w:bCs w:val="0"/>
                      <w:color w:val="auto"/>
                      <w:sz w:val="21"/>
                      <w:szCs w:val="21"/>
                      <w:highlight w:val="none"/>
                      <w:vertAlign w:val="baseline"/>
                      <w:lang w:val="en-US" w:eastAsia="zh-CN"/>
                    </w:rPr>
                    <w:t>事</w:t>
                  </w:r>
                  <w:r>
                    <w:rPr>
                      <w:rFonts w:hint="eastAsia" w:cs="Times New Roman"/>
                      <w:color w:val="auto"/>
                      <w:sz w:val="21"/>
                      <w:szCs w:val="21"/>
                      <w:highlight w:val="none"/>
                      <w:u w:val="none"/>
                      <w:lang w:eastAsia="zh-CN"/>
                    </w:rPr>
                    <w:t>EPS包装泡沫、</w:t>
                  </w:r>
                  <w:r>
                    <w:rPr>
                      <w:rFonts w:hint="eastAsia" w:cs="Times New Roman"/>
                      <w:color w:val="auto"/>
                      <w:sz w:val="21"/>
                      <w:szCs w:val="21"/>
                      <w:highlight w:val="none"/>
                      <w:u w:val="none"/>
                      <w:lang w:val="en-US" w:eastAsia="zh-CN"/>
                    </w:rPr>
                    <w:t>EPO包装泡沫、EPP包装泡沫的</w:t>
                  </w:r>
                  <w:r>
                    <w:rPr>
                      <w:rFonts w:hint="default" w:ascii="Times New Roman" w:hAnsi="Times New Roman" w:eastAsia="宋体" w:cs="Times New Roman"/>
                      <w:color w:val="auto"/>
                      <w:spacing w:val="0"/>
                      <w:sz w:val="21"/>
                      <w:szCs w:val="21"/>
                      <w:highlight w:val="none"/>
                      <w:u w:val="none"/>
                      <w:lang w:val="en-US" w:eastAsia="zh-CN"/>
                    </w:rPr>
                    <w:t>生产</w:t>
                  </w:r>
                  <w:r>
                    <w:rPr>
                      <w:rFonts w:hint="default" w:ascii="Times New Roman" w:hAnsi="Times New Roman" w:eastAsia="宋体" w:cs="Times New Roman"/>
                      <w:b w:val="0"/>
                      <w:bCs w:val="0"/>
                      <w:color w:val="auto"/>
                      <w:sz w:val="21"/>
                      <w:szCs w:val="21"/>
                      <w:highlight w:val="none"/>
                      <w:vertAlign w:val="baseline"/>
                      <w:lang w:val="en-US" w:eastAsia="zh-CN"/>
                    </w:rPr>
                    <w:t>。生产过程中不涉及涂料使用，所产生VOCs的排放量较小，</w:t>
                  </w:r>
                  <w:r>
                    <w:rPr>
                      <w:rFonts w:hint="default" w:ascii="Times New Roman" w:hAnsi="Times New Roman" w:eastAsia="宋体" w:cs="Times New Roman"/>
                      <w:b w:val="0"/>
                      <w:bCs w:val="0"/>
                      <w:color w:val="auto"/>
                      <w:kern w:val="2"/>
                      <w:sz w:val="21"/>
                      <w:szCs w:val="21"/>
                      <w:highlight w:val="none"/>
                      <w:lang w:val="en-US" w:eastAsia="zh-CN" w:bidi="ar-SA"/>
                    </w:rPr>
                    <w:t>不需</w:t>
                  </w:r>
                  <w:r>
                    <w:rPr>
                      <w:rFonts w:hint="default" w:ascii="Times New Roman" w:hAnsi="Times New Roman" w:eastAsia="宋体" w:cs="Times New Roman"/>
                      <w:b w:val="0"/>
                      <w:bCs w:val="0"/>
                      <w:color w:val="auto"/>
                      <w:sz w:val="21"/>
                      <w:szCs w:val="21"/>
                      <w:highlight w:val="none"/>
                    </w:rPr>
                    <w:t>安装VOCs在线监控设备</w:t>
                  </w:r>
                  <w:r>
                    <w:rPr>
                      <w:rFonts w:hint="default" w:ascii="Times New Roman" w:hAnsi="Times New Roman" w:eastAsia="宋体" w:cs="Times New Roman"/>
                      <w:b w:val="0"/>
                      <w:bCs w:val="0"/>
                      <w:color w:val="auto"/>
                      <w:sz w:val="21"/>
                      <w:szCs w:val="21"/>
                      <w:highlight w:val="none"/>
                      <w:lang w:eastAsia="zh-CN"/>
                    </w:rPr>
                    <w:t>；</w:t>
                  </w:r>
                </w:p>
                <w:p w14:paraId="104F96D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auto"/>
                      <w:sz w:val="21"/>
                      <w:szCs w:val="21"/>
                      <w:highlight w:val="none"/>
                      <w:lang w:val="en-US" w:eastAsia="zh-CN"/>
                    </w:rPr>
                    <w:t>项目建设位置</w:t>
                  </w:r>
                  <w:r>
                    <w:rPr>
                      <w:rFonts w:hint="default" w:ascii="Times New Roman" w:hAnsi="Times New Roman" w:eastAsia="宋体" w:cs="Times New Roman"/>
                      <w:b w:val="0"/>
                      <w:bCs w:val="0"/>
                      <w:color w:val="auto"/>
                      <w:sz w:val="21"/>
                      <w:szCs w:val="21"/>
                      <w:highlight w:val="none"/>
                      <w:u w:val="none"/>
                      <w:lang w:eastAsia="zh-CN"/>
                    </w:rPr>
                    <w:t>位于</w:t>
                  </w:r>
                  <w:r>
                    <w:rPr>
                      <w:rFonts w:hint="eastAsia" w:cs="Times New Roman"/>
                      <w:b w:val="0"/>
                      <w:bCs w:val="0"/>
                      <w:color w:val="auto"/>
                      <w:sz w:val="21"/>
                      <w:szCs w:val="21"/>
                      <w:highlight w:val="none"/>
                      <w:u w:val="none"/>
                      <w:lang w:val="en-US" w:eastAsia="zh-CN"/>
                    </w:rPr>
                    <w:t>福建省福州市福清市新厝镇双屿500-22号（江阴港城经济区新厝区块）</w:t>
                  </w:r>
                  <w:r>
                    <w:rPr>
                      <w:rFonts w:hint="default" w:ascii="Times New Roman" w:hAnsi="Times New Roman" w:eastAsia="宋体" w:cs="Times New Roman"/>
                      <w:b w:val="0"/>
                      <w:bCs w:val="0"/>
                      <w:color w:val="auto"/>
                      <w:sz w:val="21"/>
                      <w:szCs w:val="21"/>
                      <w:highlight w:val="none"/>
                      <w:lang w:val="en-US" w:eastAsia="zh-CN"/>
                    </w:rPr>
                    <w:t>，在</w:t>
                  </w:r>
                  <w:r>
                    <w:rPr>
                      <w:rFonts w:hint="default" w:ascii="Times New Roman" w:hAnsi="Times New Roman" w:eastAsia="宋体" w:cs="Times New Roman"/>
                      <w:b w:val="0"/>
                      <w:bCs w:val="0"/>
                      <w:color w:val="auto"/>
                      <w:sz w:val="21"/>
                      <w:szCs w:val="21"/>
                      <w:highlight w:val="none"/>
                      <w:u w:val="none"/>
                      <w:lang w:val="en-US" w:eastAsia="zh-CN"/>
                    </w:rPr>
                    <w:t>江阴临港产业区</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新厝先进制造业基地</w:t>
                  </w:r>
                  <w:r>
                    <w:rPr>
                      <w:rFonts w:hint="default" w:ascii="Times New Roman" w:hAnsi="Times New Roman" w:eastAsia="宋体" w:cs="Times New Roman"/>
                      <w:b w:val="0"/>
                      <w:bCs w:val="0"/>
                      <w:color w:val="auto"/>
                      <w:sz w:val="21"/>
                      <w:szCs w:val="21"/>
                      <w:highlight w:val="none"/>
                      <w:lang w:val="en-US" w:eastAsia="zh-CN"/>
                    </w:rPr>
                    <w:t>）内</w:t>
                  </w:r>
                  <w:r>
                    <w:rPr>
                      <w:rFonts w:hint="eastAsia" w:cs="Times New Roman"/>
                      <w:b w:val="0"/>
                      <w:bCs w:val="0"/>
                      <w:color w:val="auto"/>
                      <w:sz w:val="21"/>
                      <w:szCs w:val="21"/>
                      <w:highlight w:val="none"/>
                      <w:lang w:val="en-US" w:eastAsia="zh-CN"/>
                    </w:rPr>
                    <w:t>。</w:t>
                  </w:r>
                </w:p>
              </w:tc>
              <w:tc>
                <w:tcPr>
                  <w:tcW w:w="451" w:type="dxa"/>
                  <w:vMerge w:val="restart"/>
                  <w:tcBorders>
                    <w:tl2br w:val="nil"/>
                    <w:tr2bl w:val="nil"/>
                  </w:tcBorders>
                  <w:vAlign w:val="center"/>
                </w:tcPr>
                <w:p w14:paraId="3596036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170E9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1646" w:type="dxa"/>
                  <w:tcBorders>
                    <w:tl2br w:val="nil"/>
                    <w:tr2bl w:val="nil"/>
                  </w:tcBorders>
                  <w:shd w:val="clear" w:color="auto" w:fill="auto"/>
                  <w:vAlign w:val="center"/>
                </w:tcPr>
                <w:p w14:paraId="3ADDCAA8">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2022年度福州市蓝天碧海净土保卫战行动计划通知</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榕环委办</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〔2022〕49号</w:t>
                  </w:r>
                  <w:r>
                    <w:rPr>
                      <w:rFonts w:hint="eastAsia" w:cs="Times New Roman"/>
                      <w:color w:val="000000" w:themeColor="text1"/>
                      <w:sz w:val="21"/>
                      <w:szCs w:val="21"/>
                      <w:highlight w:val="none"/>
                      <w:lang w:eastAsia="zh-CN"/>
                      <w14:textFill>
                        <w14:solidFill>
                          <w14:schemeClr w14:val="tx1"/>
                        </w14:solidFill>
                      </w14:textFill>
                    </w:rPr>
                    <w:t>）</w:t>
                  </w:r>
                </w:p>
              </w:tc>
              <w:tc>
                <w:tcPr>
                  <w:tcW w:w="2987" w:type="dxa"/>
                  <w:tcBorders>
                    <w:tl2br w:val="nil"/>
                    <w:tr2bl w:val="nil"/>
                  </w:tcBorders>
                  <w:shd w:val="clear" w:color="auto" w:fill="auto"/>
                  <w:vAlign w:val="center"/>
                </w:tcPr>
                <w:p w14:paraId="57EDAD3D">
                  <w:pPr>
                    <w:pStyle w:val="37"/>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四是严格涉VOCs建设项目环境影响评价审批。新、改、扩建涉VOCs排放项目，应使用低</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无</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VOCs涂料、粘胶剂等，实施新建项目VOCs排放区域内1.2及以上倍量替代。VOCs年排放量大于5吨的新建项目投运前应安装VOCs在线监控设备，并接入市生态云平台。</w:t>
                  </w:r>
                </w:p>
              </w:tc>
              <w:tc>
                <w:tcPr>
                  <w:tcW w:w="3382" w:type="dxa"/>
                  <w:vMerge w:val="continue"/>
                  <w:tcBorders>
                    <w:tl2br w:val="nil"/>
                    <w:tr2bl w:val="nil"/>
                  </w:tcBorders>
                  <w:vAlign w:val="center"/>
                </w:tcPr>
                <w:p w14:paraId="2526B59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51" w:type="dxa"/>
                  <w:vMerge w:val="continue"/>
                  <w:tcBorders>
                    <w:tl2br w:val="nil"/>
                    <w:tr2bl w:val="nil"/>
                  </w:tcBorders>
                  <w:vAlign w:val="center"/>
                </w:tcPr>
                <w:p w14:paraId="09FC10F0">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6BA88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tcBorders>
                    <w:tl2br w:val="nil"/>
                    <w:tr2bl w:val="nil"/>
                  </w:tcBorders>
                  <w:shd w:val="clear" w:color="auto" w:fill="auto"/>
                  <w:vAlign w:val="center"/>
                </w:tcPr>
                <w:p w14:paraId="28D95681">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福州市“十四五”生态环境保护规划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榕政办〔2021〕123号</w:t>
                  </w:r>
                  <w:r>
                    <w:rPr>
                      <w:rFonts w:hint="eastAsia" w:cs="Times New Roman"/>
                      <w:color w:val="000000" w:themeColor="text1"/>
                      <w:sz w:val="21"/>
                      <w:szCs w:val="21"/>
                      <w:highlight w:val="none"/>
                      <w:lang w:eastAsia="zh-CN"/>
                      <w14:textFill>
                        <w14:solidFill>
                          <w14:schemeClr w14:val="tx1"/>
                        </w14:solidFill>
                      </w14:textFill>
                    </w:rPr>
                    <w:t>）</w:t>
                  </w:r>
                </w:p>
              </w:tc>
              <w:tc>
                <w:tcPr>
                  <w:tcW w:w="2987" w:type="dxa"/>
                  <w:tcBorders>
                    <w:tl2br w:val="nil"/>
                    <w:tr2bl w:val="nil"/>
                  </w:tcBorders>
                  <w:shd w:val="clear" w:color="auto" w:fill="auto"/>
                  <w:vAlign w:val="center"/>
                </w:tcPr>
                <w:p w14:paraId="4D74BB0D">
                  <w:pPr>
                    <w:pStyle w:val="37"/>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强化挥发性有机物整治。</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实行挥发性有机物排放倍量替代。加大涉VOCs企业源头替代力度，推广使用低</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无</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VOCs原辅材料替代，禁止生产高VOCs含量有机溶剂型涂料、油墨和胶黏剂的新、改、扩建项目，推进重点企业“油改水”治理，提高有机溶剂回收率。”</w:t>
                  </w:r>
                </w:p>
              </w:tc>
              <w:tc>
                <w:tcPr>
                  <w:tcW w:w="3382" w:type="dxa"/>
                  <w:vMerge w:val="continue"/>
                  <w:tcBorders>
                    <w:tl2br w:val="nil"/>
                    <w:tr2bl w:val="nil"/>
                  </w:tcBorders>
                  <w:vAlign w:val="center"/>
                </w:tcPr>
                <w:p w14:paraId="50974F4A">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51" w:type="dxa"/>
                  <w:vMerge w:val="continue"/>
                  <w:tcBorders>
                    <w:tl2br w:val="nil"/>
                    <w:tr2bl w:val="nil"/>
                  </w:tcBorders>
                  <w:vAlign w:val="center"/>
                </w:tcPr>
                <w:p w14:paraId="0B42776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7AD33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1646" w:type="dxa"/>
                  <w:tcBorders>
                    <w:tl2br w:val="nil"/>
                    <w:tr2bl w:val="nil"/>
                  </w:tcBorders>
                  <w:shd w:val="clear" w:color="auto" w:fill="auto"/>
                  <w:vAlign w:val="center"/>
                </w:tcPr>
                <w:p w14:paraId="7A265989">
                  <w:pPr>
                    <w:pStyle w:val="37"/>
                    <w:adjustRightInd w:val="0"/>
                    <w:snapToGrid w:val="0"/>
                    <w:spacing w:line="340" w:lineRule="exact"/>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《关于开展福州市重点行业挥发性有机物综合治理工作（VOCs2.0）》</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榕环保综</w:t>
                  </w:r>
                  <w:r>
                    <w:rPr>
                      <w:rFonts w:hint="eastAsia"/>
                      <w:color w:val="000000" w:themeColor="text1"/>
                      <w:highlight w:val="none"/>
                      <w:lang w:eastAsia="zh-CN"/>
                      <w14:textFill>
                        <w14:solidFill>
                          <w14:schemeClr w14:val="tx1"/>
                        </w14:solidFill>
                      </w14:textFill>
                    </w:rPr>
                    <w:t>〔2021〕100号</w:t>
                  </w:r>
                </w:p>
              </w:tc>
              <w:tc>
                <w:tcPr>
                  <w:tcW w:w="2987" w:type="dxa"/>
                  <w:tcBorders>
                    <w:tl2br w:val="nil"/>
                    <w:tr2bl w:val="nil"/>
                  </w:tcBorders>
                  <w:shd w:val="clear" w:color="auto" w:fill="auto"/>
                  <w:vAlign w:val="center"/>
                </w:tcPr>
                <w:p w14:paraId="4BC75CC6">
                  <w:pPr>
                    <w:pStyle w:val="38"/>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（三）严格审批，加强管控</w:t>
                  </w:r>
                </w:p>
                <w:p w14:paraId="1E112FB0">
                  <w:pPr>
                    <w:pStyle w:val="37"/>
                    <w:adjustRightInd w:val="0"/>
                    <w:snapToGrid w:val="0"/>
                    <w:spacing w:line="340" w:lineRule="exact"/>
                    <w:jc w:val="both"/>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1.严格涉挥发性有机物建设项目环境影响评价审批。新、改、扩建排放挥发性有机物的建设项目实行</w:t>
                  </w:r>
                  <w:r>
                    <w:rPr>
                      <w:rFonts w:hint="eastAsia"/>
                      <w:color w:val="000000" w:themeColor="text1"/>
                      <w:highlight w:val="none"/>
                      <w:shd w:val="clear" w:color="auto" w:fill="FFFFFF"/>
                      <w14:textFill>
                        <w14:solidFill>
                          <w14:schemeClr w14:val="tx1"/>
                        </w14:solidFill>
                      </w14:textFill>
                    </w:rPr>
                    <w:t>倍量</w:t>
                  </w:r>
                  <w:r>
                    <w:rPr>
                      <w:rFonts w:hint="eastAsia"/>
                      <w:color w:val="000000" w:themeColor="text1"/>
                      <w:highlight w:val="none"/>
                      <w14:textFill>
                        <w14:solidFill>
                          <w14:schemeClr w14:val="tx1"/>
                        </w14:solidFill>
                      </w14:textFill>
                    </w:rPr>
                    <w:t>替代。鼓励使用低（无）挥发性有机物含量的原辅材料</w:t>
                  </w:r>
                </w:p>
              </w:tc>
              <w:tc>
                <w:tcPr>
                  <w:tcW w:w="3382" w:type="dxa"/>
                  <w:vMerge w:val="restart"/>
                  <w:tcBorders>
                    <w:tl2br w:val="nil"/>
                    <w:tr2bl w:val="nil"/>
                  </w:tcBorders>
                  <w:vAlign w:val="center"/>
                </w:tcPr>
                <w:p w14:paraId="548719C6">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项目现有工程于2017年3月通过环评审批（榕环评表</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2017</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26号），2017年7月完成竣工验收。由于还发布此政策。现有项目所产生的废气污染物VOCs未安装环保设备，无组织排放。本次扩建将把现有项目产生废气与拟扩建项目产生废气一并收集处理。</w:t>
                  </w:r>
                </w:p>
                <w:p w14:paraId="7266C23E">
                  <w:pPr>
                    <w:pStyle w:val="37"/>
                    <w:keepNext w:val="0"/>
                    <w:keepLines w:val="0"/>
                    <w:pageBreakBefore w:val="0"/>
                    <w:widowControl w:val="0"/>
                    <w:numPr>
                      <w:ilvl w:val="0"/>
                      <w:numId w:val="0"/>
                    </w:numPr>
                    <w:kinsoku/>
                    <w:wordWrap/>
                    <w:overflowPunct/>
                    <w:topLinePunct w:val="0"/>
                    <w:bidi w:val="0"/>
                    <w:adjustRightInd w:val="0"/>
                    <w:snapToGrid w:val="0"/>
                    <w:spacing w:line="320" w:lineRule="exact"/>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（2）本次</w:t>
                  </w:r>
                  <w:r>
                    <w:rPr>
                      <w:rFonts w:hint="eastAsia" w:cs="Times New Roman"/>
                      <w:color w:val="auto"/>
                      <w:kern w:val="2"/>
                      <w:sz w:val="21"/>
                      <w:szCs w:val="21"/>
                      <w:highlight w:val="none"/>
                      <w:lang w:val="en-US" w:eastAsia="zh-CN" w:bidi="ar-SA"/>
                    </w:rPr>
                    <w:t>扩建</w:t>
                  </w:r>
                  <w:r>
                    <w:rPr>
                      <w:rFonts w:hint="default" w:ascii="Times New Roman" w:hAnsi="Times New Roman" w:eastAsia="宋体" w:cs="Times New Roman"/>
                      <w:color w:val="auto"/>
                      <w:kern w:val="2"/>
                      <w:sz w:val="21"/>
                      <w:szCs w:val="21"/>
                      <w:highlight w:val="none"/>
                      <w:lang w:val="en-US" w:eastAsia="zh-CN" w:bidi="ar-SA"/>
                    </w:rPr>
                    <w:t>项目</w:t>
                  </w:r>
                  <w:r>
                    <w:rPr>
                      <w:rFonts w:hint="eastAsia" w:cs="Times New Roman"/>
                      <w:color w:val="auto"/>
                      <w:kern w:val="2"/>
                      <w:sz w:val="21"/>
                      <w:szCs w:val="21"/>
                      <w:highlight w:val="none"/>
                      <w:lang w:val="en-US" w:eastAsia="zh-CN" w:bidi="ar-SA"/>
                    </w:rPr>
                    <w:t>在发泡、成型工序会产生少量的VOCs，项目发泡、成型过程均在密闭的容器中进行，设备</w:t>
                  </w:r>
                  <w:r>
                    <w:rPr>
                      <w:rFonts w:hint="eastAsia" w:ascii="Times New Roman" w:hAnsi="Times New Roman" w:eastAsia="宋体" w:cs="Times New Roman"/>
                      <w:color w:val="auto"/>
                      <w:kern w:val="2"/>
                      <w:sz w:val="21"/>
                      <w:szCs w:val="21"/>
                      <w:highlight w:val="none"/>
                      <w:lang w:val="en-US" w:eastAsia="zh-CN" w:bidi="ar-SA"/>
                    </w:rPr>
                    <w:t>配套顶吸式半密闭集气罩收集有机废气，</w:t>
                  </w:r>
                  <w:r>
                    <w:rPr>
                      <w:rFonts w:hint="eastAsia" w:cs="Times New Roman"/>
                      <w:color w:val="auto"/>
                      <w:kern w:val="2"/>
                      <w:sz w:val="21"/>
                      <w:szCs w:val="21"/>
                      <w:highlight w:val="none"/>
                      <w:lang w:val="en-US" w:eastAsia="zh-CN" w:bidi="ar-SA"/>
                    </w:rPr>
                    <w:t>并通过管道进入活性炭吸附装置处理达标后排放。</w:t>
                  </w:r>
                  <w:r>
                    <w:rPr>
                      <w:rFonts w:hint="eastAsia" w:ascii="Times New Roman" w:hAnsi="Times New Roman" w:eastAsia="宋体" w:cs="Times New Roman"/>
                      <w:color w:val="auto"/>
                      <w:kern w:val="2"/>
                      <w:sz w:val="21"/>
                      <w:szCs w:val="21"/>
                      <w:highlight w:val="none"/>
                      <w:lang w:val="en-US" w:eastAsia="zh-CN" w:bidi="ar-SA"/>
                    </w:rPr>
                    <w:t>拟将更换的废活性炭当作危险废物，</w:t>
                  </w:r>
                  <w:r>
                    <w:rPr>
                      <w:rFonts w:hint="eastAsia" w:cs="Times New Roman"/>
                      <w:color w:val="auto"/>
                      <w:kern w:val="2"/>
                      <w:sz w:val="21"/>
                      <w:szCs w:val="21"/>
                      <w:highlight w:val="none"/>
                      <w:lang w:val="en-US" w:eastAsia="zh-CN" w:bidi="ar-SA"/>
                    </w:rPr>
                    <w:t>暂存</w:t>
                  </w:r>
                  <w:r>
                    <w:rPr>
                      <w:rFonts w:hint="default" w:ascii="Times New Roman" w:hAnsi="Times New Roman" w:eastAsia="宋体" w:cs="Times New Roman"/>
                      <w:color w:val="auto"/>
                      <w:kern w:val="2"/>
                      <w:sz w:val="21"/>
                      <w:szCs w:val="21"/>
                      <w:highlight w:val="none"/>
                      <w:lang w:val="en-US" w:eastAsia="zh-CN" w:bidi="ar-SA"/>
                    </w:rPr>
                    <w:t>于</w:t>
                  </w:r>
                  <w:r>
                    <w:rPr>
                      <w:rFonts w:hint="eastAsia" w:ascii="Times New Roman" w:hAnsi="Times New Roman" w:eastAsia="宋体" w:cs="Times New Roman"/>
                      <w:color w:val="auto"/>
                      <w:kern w:val="2"/>
                      <w:sz w:val="21"/>
                      <w:szCs w:val="21"/>
                      <w:highlight w:val="none"/>
                      <w:lang w:val="en-US" w:eastAsia="zh-CN" w:bidi="ar-SA"/>
                    </w:rPr>
                    <w:t>危险废物贮存库</w:t>
                  </w:r>
                  <w:r>
                    <w:rPr>
                      <w:rFonts w:hint="default" w:ascii="Times New Roman" w:hAnsi="Times New Roman" w:eastAsia="宋体" w:cs="Times New Roman"/>
                      <w:color w:val="auto"/>
                      <w:kern w:val="2"/>
                      <w:sz w:val="21"/>
                      <w:szCs w:val="21"/>
                      <w:highlight w:val="none"/>
                      <w:lang w:val="en-US" w:eastAsia="zh-CN" w:bidi="ar-SA"/>
                    </w:rPr>
                    <w:t>内</w:t>
                  </w:r>
                  <w:r>
                    <w:rPr>
                      <w:rFonts w:hint="eastAsia" w:ascii="Times New Roman" w:hAnsi="Times New Roman" w:eastAsia="宋体" w:cs="Times New Roman"/>
                      <w:color w:val="auto"/>
                      <w:kern w:val="2"/>
                      <w:sz w:val="21"/>
                      <w:szCs w:val="21"/>
                      <w:highlight w:val="none"/>
                      <w:lang w:val="en-US" w:eastAsia="zh-CN" w:bidi="ar-SA"/>
                    </w:rPr>
                    <w:t>，定期委</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托有资质单位统一处置；</w:t>
                  </w:r>
                </w:p>
                <w:p w14:paraId="3E5A6328">
                  <w:pPr>
                    <w:pStyle w:val="37"/>
                    <w:keepNext w:val="0"/>
                    <w:keepLines w:val="0"/>
                    <w:pageBreakBefore w:val="0"/>
                    <w:widowControl w:val="0"/>
                    <w:numPr>
                      <w:ilvl w:val="0"/>
                      <w:numId w:val="0"/>
                    </w:numPr>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（3）本项目将</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产生的VOCs收集</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后通过1套活性炭吸附装置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处理后排放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color w:val="000000" w:themeColor="text1"/>
                      <w:szCs w:val="21"/>
                      <w:highlight w:val="none"/>
                      <w14:textFill>
                        <w14:solidFill>
                          <w14:schemeClr w14:val="tx1"/>
                        </w14:solidFill>
                      </w14:textFill>
                    </w:rPr>
                    <w:t>项目生产设备除</w:t>
                  </w:r>
                  <w:r>
                    <w:rPr>
                      <w:color w:val="auto"/>
                      <w:szCs w:val="21"/>
                      <w:highlight w:val="none"/>
                    </w:rPr>
                    <w:t>进出料口</w:t>
                  </w:r>
                  <w:r>
                    <w:rPr>
                      <w:rFonts w:hint="eastAsia"/>
                      <w:color w:val="auto"/>
                      <w:szCs w:val="21"/>
                      <w:highlight w:val="none"/>
                      <w:lang w:val="en-US" w:eastAsia="zh-CN"/>
                    </w:rPr>
                    <w:t>外</w:t>
                  </w:r>
                  <w:r>
                    <w:rPr>
                      <w:color w:val="auto"/>
                      <w:szCs w:val="21"/>
                      <w:highlight w:val="none"/>
                    </w:rPr>
                    <w:t>全部密闭，</w:t>
                  </w:r>
                  <w:r>
                    <w:rPr>
                      <w:rFonts w:hint="default" w:ascii="Times New Roman" w:hAnsi="Times New Roman" w:eastAsia="宋体" w:cs="Times New Roman"/>
                      <w:color w:val="auto"/>
                      <w:kern w:val="2"/>
                      <w:sz w:val="21"/>
                      <w:szCs w:val="21"/>
                      <w:highlight w:val="none"/>
                      <w:lang w:val="en-US" w:eastAsia="zh-CN" w:bidi="ar-SA"/>
                    </w:rPr>
                    <w:t>VOCs</w:t>
                  </w:r>
                  <w:r>
                    <w:rPr>
                      <w:rFonts w:hint="eastAsia" w:ascii="Times New Roman" w:hAnsi="Times New Roman" w:eastAsia="宋体" w:cs="Times New Roman"/>
                      <w:color w:val="auto"/>
                      <w:kern w:val="2"/>
                      <w:sz w:val="21"/>
                      <w:szCs w:val="21"/>
                      <w:highlight w:val="none"/>
                      <w:lang w:val="en-US" w:eastAsia="zh-CN" w:bidi="ar-SA"/>
                    </w:rPr>
                    <w:t>采用集气罩收集，采用碘值不低于800毫克/克的活性炭，并定期更换</w:t>
                  </w:r>
                  <w:r>
                    <w:rPr>
                      <w:color w:val="auto"/>
                      <w:highlight w:val="none"/>
                    </w:rPr>
                    <w:t>。</w:t>
                  </w:r>
                </w:p>
              </w:tc>
              <w:tc>
                <w:tcPr>
                  <w:tcW w:w="451" w:type="dxa"/>
                  <w:vMerge w:val="continue"/>
                  <w:tcBorders>
                    <w:tl2br w:val="nil"/>
                    <w:tr2bl w:val="nil"/>
                  </w:tcBorders>
                  <w:vAlign w:val="center"/>
                </w:tcPr>
                <w:p w14:paraId="6833FBE4">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7107D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tcBorders>
                    <w:tl2br w:val="nil"/>
                    <w:tr2bl w:val="nil"/>
                  </w:tcBorders>
                  <w:vAlign w:val="center"/>
                </w:tcPr>
                <w:p w14:paraId="0C90A3F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highlight w:val="none"/>
                      <w14:textFill>
                        <w14:solidFill>
                          <w14:schemeClr w14:val="tx1"/>
                        </w14:solidFill>
                      </w14:textFill>
                    </w:rPr>
                    <w:t>《福建省2020年挥发性有机物治理攻坚实施方案》的通知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闽环保大气〔2020〕6号</w:t>
                  </w:r>
                  <w:r>
                    <w:rPr>
                      <w:rFonts w:hint="eastAsia"/>
                      <w:color w:val="000000" w:themeColor="text1"/>
                      <w:highlight w:val="none"/>
                      <w14:textFill>
                        <w14:solidFill>
                          <w14:schemeClr w14:val="tx1"/>
                        </w14:solidFill>
                      </w14:textFill>
                    </w:rPr>
                    <w:t>）</w:t>
                  </w:r>
                </w:p>
              </w:tc>
              <w:tc>
                <w:tcPr>
                  <w:tcW w:w="2987" w:type="dxa"/>
                  <w:tcBorders>
                    <w:tl2br w:val="nil"/>
                    <w:tr2bl w:val="nil"/>
                  </w:tcBorders>
                  <w:shd w:val="clear" w:color="auto" w:fill="auto"/>
                  <w:vAlign w:val="center"/>
                </w:tcPr>
                <w:p w14:paraId="7BA5A4C6">
                  <w:pPr>
                    <w:pStyle w:val="38"/>
                    <w:jc w:val="both"/>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大力推进源头替代，有效减少VOCs产生；</w:t>
                  </w:r>
                </w:p>
                <w:p w14:paraId="36416ABA">
                  <w:pPr>
                    <w:pStyle w:val="38"/>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渣、液</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、废吸附剂等通过加盖、封装等方式密闭，妥善存放，集中清运，交有资质的单位处置，不得随意丢弃；</w:t>
                  </w:r>
                </w:p>
                <w:p w14:paraId="137E9566">
                  <w:pPr>
                    <w:pStyle w:val="38"/>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聚焦治污设施</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，提升综合治理效率</w:t>
                  </w:r>
                  <w:r>
                    <w:rPr>
                      <w:color w:val="000000" w:themeColor="text1"/>
                      <w:highlight w:val="none"/>
                      <w:shd w:val="clear" w:color="auto" w:fill="FFFFFF"/>
                      <w14:textFill>
                        <w14:solidFill>
                          <w14:schemeClr w14:val="tx1"/>
                        </w14:solidFill>
                      </w14:textFill>
                    </w:rPr>
                    <w:t>。.</w:t>
                  </w:r>
                  <w:r>
                    <w:rPr>
                      <w:color w:val="000000" w:themeColor="text1"/>
                      <w:highlight w:val="none"/>
                      <w14:textFill>
                        <w14:solidFill>
                          <w14:schemeClr w14:val="tx1"/>
                        </w14:solidFill>
                      </w14:textFill>
                    </w:rPr>
                    <w:t>....</w:t>
                  </w:r>
                  <w:r>
                    <w:rPr>
                      <w:color w:val="000000" w:themeColor="text1"/>
                      <w:highlight w:val="none"/>
                      <w:shd w:val="clear" w:color="auto" w:fill="FFFFFF"/>
                      <w14:textFill>
                        <w14:solidFill>
                          <w14:schemeClr w14:val="tx1"/>
                        </w14:solidFill>
                      </w14:textFill>
                    </w:rPr>
                    <w:t>.</w:t>
                  </w:r>
                  <w:r>
                    <w:rPr>
                      <w:color w:val="000000" w:themeColor="text1"/>
                      <w:highlight w:val="none"/>
                      <w14:textFill>
                        <w14:solidFill>
                          <w14:schemeClr w14:val="tx1"/>
                        </w14:solidFill>
                      </w14:textFill>
                    </w:rPr>
                    <w:t>除恶臭异味治理外，一般不采用低温等离子、光催化、光氧化等技术。优先采用密闭设备、在密闭空间中操作或采用全密闭集气罩收集方式；</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采用活性炭吸附技术的，应选择碘值不低于800毫克/克的活性炭，并按设计要求足量添加</w:t>
                  </w:r>
                  <w:r>
                    <w:rPr>
                      <w:rFonts w:hint="eastAsia"/>
                      <w:color w:val="000000" w:themeColor="text1"/>
                      <w:highlight w:val="none"/>
                      <w:lang w:eastAsia="zh-CN"/>
                      <w14:textFill>
                        <w14:solidFill>
                          <w14:schemeClr w14:val="tx1"/>
                        </w14:solidFill>
                      </w14:textFill>
                    </w:rPr>
                    <w:t>及</w:t>
                  </w:r>
                  <w:r>
                    <w:rPr>
                      <w:color w:val="000000" w:themeColor="text1"/>
                      <w:highlight w:val="none"/>
                      <w14:textFill>
                        <w14:solidFill>
                          <w14:schemeClr w14:val="tx1"/>
                        </w14:solidFill>
                      </w14:textFill>
                    </w:rPr>
                    <w:t>时更换。</w:t>
                  </w:r>
                </w:p>
              </w:tc>
              <w:tc>
                <w:tcPr>
                  <w:tcW w:w="3382" w:type="dxa"/>
                  <w:vMerge w:val="continue"/>
                  <w:tcBorders>
                    <w:tl2br w:val="nil"/>
                    <w:tr2bl w:val="nil"/>
                  </w:tcBorders>
                  <w:shd w:val="clear" w:color="auto" w:fill="auto"/>
                  <w:vAlign w:val="center"/>
                </w:tcPr>
                <w:p w14:paraId="1BECFC97">
                  <w:pPr>
                    <w:pStyle w:val="37"/>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451" w:type="dxa"/>
                  <w:tcBorders>
                    <w:tl2br w:val="nil"/>
                    <w:tr2bl w:val="nil"/>
                  </w:tcBorders>
                  <w:vAlign w:val="center"/>
                </w:tcPr>
                <w:p w14:paraId="1648E93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6DA81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tcBorders>
                    <w:tl2br w:val="nil"/>
                    <w:tr2bl w:val="nil"/>
                  </w:tcBorders>
                  <w:vAlign w:val="center"/>
                </w:tcPr>
                <w:p w14:paraId="5FC2B7A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《福建省重点行业挥发性有机物排放控制要求</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试行</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的通知》</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闽环保大气〔2017〕9号</w:t>
                  </w:r>
                  <w:r>
                    <w:rPr>
                      <w:rFonts w:hint="eastAsia" w:cs="Times New Roman"/>
                      <w:color w:val="000000" w:themeColor="text1"/>
                      <w:sz w:val="21"/>
                      <w:szCs w:val="21"/>
                      <w:highlight w:val="none"/>
                      <w:lang w:val="en-US" w:eastAsia="zh-CN"/>
                      <w14:textFill>
                        <w14:solidFill>
                          <w14:schemeClr w14:val="tx1"/>
                        </w14:solidFill>
                      </w14:textFill>
                    </w:rPr>
                    <w:t>）</w:t>
                  </w:r>
                </w:p>
              </w:tc>
              <w:tc>
                <w:tcPr>
                  <w:tcW w:w="2987" w:type="dxa"/>
                  <w:tcBorders>
                    <w:tl2br w:val="nil"/>
                    <w:tr2bl w:val="nil"/>
                  </w:tcBorders>
                  <w:vAlign w:val="center"/>
                </w:tcPr>
                <w:p w14:paraId="1BF1BC9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工艺过程控制要求</w:t>
                  </w:r>
                </w:p>
                <w:p w14:paraId="7CD4A35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含VOCs物料应储存于密闭容器中。盛装含VOCs物料的容器应存放于储存室内，或至少设置遮阳挡雨等设施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p w14:paraId="7BD36458">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其他控制要求</w:t>
                  </w:r>
                </w:p>
                <w:p w14:paraId="172EE5C8">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产生有废气</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生产工艺和装置均设有收集系统和净化处理装置；所有产生VOCs的生产车间</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或生产设施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3382" w:type="dxa"/>
                  <w:tcBorders>
                    <w:tl2br w:val="nil"/>
                    <w:tr2bl w:val="nil"/>
                  </w:tcBorders>
                  <w:vAlign w:val="center"/>
                </w:tcPr>
                <w:p w14:paraId="64359512">
                  <w:pPr>
                    <w:keepNext w:val="0"/>
                    <w:keepLines w:val="0"/>
                    <w:pageBreakBefore w:val="0"/>
                    <w:widowControl/>
                    <w:numPr>
                      <w:ilvl w:val="0"/>
                      <w:numId w:val="8"/>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项目含</w:t>
                  </w:r>
                  <w:r>
                    <w:rPr>
                      <w:rFonts w:hint="eastAsia" w:cs="Times New Roman"/>
                      <w:b w:val="0"/>
                      <w:bCs w:val="0"/>
                      <w:color w:val="auto"/>
                      <w:sz w:val="21"/>
                      <w:szCs w:val="21"/>
                      <w:highlight w:val="none"/>
                      <w:vertAlign w:val="baseline"/>
                      <w:lang w:val="en-US" w:eastAsia="zh-CN"/>
                    </w:rPr>
                    <w:t>非甲烷总烃</w:t>
                  </w:r>
                  <w:r>
                    <w:rPr>
                      <w:rFonts w:hint="eastAsia" w:ascii="Times New Roman" w:hAnsi="Times New Roman" w:eastAsia="宋体" w:cs="Times New Roman"/>
                      <w:b w:val="0"/>
                      <w:bCs w:val="0"/>
                      <w:color w:val="auto"/>
                      <w:sz w:val="21"/>
                      <w:szCs w:val="21"/>
                      <w:highlight w:val="none"/>
                      <w:vertAlign w:val="baseline"/>
                      <w:lang w:val="en-US" w:eastAsia="zh-CN"/>
                    </w:rPr>
                    <w:t>的原辅料均放置在原辅料仓库。</w:t>
                  </w:r>
                </w:p>
                <w:p w14:paraId="487220B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（2）项目</w:t>
                  </w:r>
                  <w:r>
                    <w:rPr>
                      <w:rFonts w:hint="eastAsia" w:cs="Times New Roman"/>
                      <w:b w:val="0"/>
                      <w:bCs w:val="0"/>
                      <w:color w:val="auto"/>
                      <w:sz w:val="21"/>
                      <w:szCs w:val="21"/>
                      <w:highlight w:val="none"/>
                      <w:vertAlign w:val="baseline"/>
                      <w:lang w:val="en-US" w:eastAsia="zh-CN"/>
                    </w:rPr>
                    <w:t>发泡工段、成型</w:t>
                  </w:r>
                  <w:r>
                    <w:rPr>
                      <w:rFonts w:hint="eastAsia" w:ascii="Times New Roman" w:hAnsi="Times New Roman" w:eastAsia="宋体" w:cs="Times New Roman"/>
                      <w:b w:val="0"/>
                      <w:bCs w:val="0"/>
                      <w:color w:val="auto"/>
                      <w:sz w:val="21"/>
                      <w:szCs w:val="21"/>
                      <w:highlight w:val="none"/>
                      <w:vertAlign w:val="baseline"/>
                      <w:lang w:val="en-US" w:eastAsia="zh-CN"/>
                    </w:rPr>
                    <w:t>过程中所产生</w:t>
                  </w:r>
                  <w:r>
                    <w:rPr>
                      <w:rFonts w:hint="eastAsia" w:cs="Times New Roman"/>
                      <w:b w:val="0"/>
                      <w:bCs w:val="0"/>
                      <w:color w:val="auto"/>
                      <w:sz w:val="21"/>
                      <w:szCs w:val="21"/>
                      <w:highlight w:val="none"/>
                      <w:vertAlign w:val="baseline"/>
                      <w:lang w:val="en-US" w:eastAsia="zh-CN"/>
                    </w:rPr>
                    <w:t>挥发性有机废气</w:t>
                  </w:r>
                  <w:r>
                    <w:rPr>
                      <w:rFonts w:hint="eastAsia" w:ascii="Times New Roman" w:hAnsi="Times New Roman" w:eastAsia="宋体" w:cs="Times New Roman"/>
                      <w:b w:val="0"/>
                      <w:bCs w:val="0"/>
                      <w:color w:val="auto"/>
                      <w:sz w:val="21"/>
                      <w:szCs w:val="21"/>
                      <w:highlight w:val="none"/>
                      <w:vertAlign w:val="baseline"/>
                      <w:lang w:val="en-US" w:eastAsia="zh-CN"/>
                    </w:rPr>
                    <w:t>经集气罩收集后通过“</w:t>
                  </w:r>
                  <w:r>
                    <w:rPr>
                      <w:rFonts w:hint="eastAsia" w:cs="Times New Roman"/>
                      <w:b w:val="0"/>
                      <w:bCs w:val="0"/>
                      <w:color w:val="auto"/>
                      <w:sz w:val="21"/>
                      <w:szCs w:val="21"/>
                      <w:highlight w:val="none"/>
                      <w:vertAlign w:val="baseline"/>
                      <w:lang w:val="en-US" w:eastAsia="zh-CN"/>
                    </w:rPr>
                    <w:t>集气罩+</w:t>
                  </w:r>
                  <w:r>
                    <w:rPr>
                      <w:rFonts w:hint="eastAsia" w:ascii="Times New Roman" w:hAnsi="Times New Roman" w:eastAsia="宋体" w:cs="Times New Roman"/>
                      <w:b w:val="0"/>
                      <w:bCs w:val="0"/>
                      <w:color w:val="auto"/>
                      <w:sz w:val="21"/>
                      <w:szCs w:val="21"/>
                      <w:highlight w:val="none"/>
                      <w:vertAlign w:val="baseline"/>
                      <w:lang w:val="en-US" w:eastAsia="zh-CN"/>
                    </w:rPr>
                    <w:t>活性炭吸附装置”</w:t>
                  </w:r>
                  <w:r>
                    <w:rPr>
                      <w:rFonts w:hint="eastAsia" w:cs="Times New Roman"/>
                      <w:b w:val="0"/>
                      <w:bCs w:val="0"/>
                      <w:color w:val="auto"/>
                      <w:sz w:val="21"/>
                      <w:szCs w:val="21"/>
                      <w:highlight w:val="none"/>
                      <w:vertAlign w:val="baseline"/>
                      <w:lang w:val="en-US" w:eastAsia="zh-CN"/>
                    </w:rPr>
                    <w:t>处理后通过</w:t>
                  </w:r>
                  <w:r>
                    <w:rPr>
                      <w:rFonts w:hint="eastAsia" w:ascii="Times New Roman" w:hAnsi="Times New Roman" w:eastAsia="宋体" w:cs="Times New Roman"/>
                      <w:b w:val="0"/>
                      <w:bCs w:val="0"/>
                      <w:color w:val="auto"/>
                      <w:sz w:val="21"/>
                      <w:szCs w:val="21"/>
                      <w:highlight w:val="none"/>
                      <w:vertAlign w:val="baseline"/>
                      <w:lang w:val="en-US" w:eastAsia="zh-CN"/>
                    </w:rPr>
                    <w:t>15</w:t>
                  </w:r>
                  <w:r>
                    <w:rPr>
                      <w:rFonts w:hint="eastAsia" w:cs="Times New Roman"/>
                      <w:b w:val="0"/>
                      <w:bCs w:val="0"/>
                      <w:color w:val="auto"/>
                      <w:sz w:val="21"/>
                      <w:szCs w:val="21"/>
                      <w:highlight w:val="none"/>
                      <w:vertAlign w:val="baseline"/>
                      <w:lang w:val="en-US" w:eastAsia="zh-CN"/>
                    </w:rPr>
                    <w:t>m高</w:t>
                  </w:r>
                  <w:r>
                    <w:rPr>
                      <w:rFonts w:hint="eastAsia" w:ascii="Times New Roman" w:hAnsi="Times New Roman" w:eastAsia="宋体" w:cs="Times New Roman"/>
                      <w:b w:val="0"/>
                      <w:bCs w:val="0"/>
                      <w:color w:val="auto"/>
                      <w:sz w:val="21"/>
                      <w:szCs w:val="21"/>
                      <w:highlight w:val="none"/>
                      <w:vertAlign w:val="baseline"/>
                      <w:lang w:val="en-US" w:eastAsia="zh-CN"/>
                    </w:rPr>
                    <w:t>排气筒</w:t>
                  </w:r>
                  <w:r>
                    <w:rPr>
                      <w:rFonts w:hint="eastAsia" w:cs="Times New Roman"/>
                      <w:b w:val="0"/>
                      <w:bCs w:val="0"/>
                      <w:color w:val="auto"/>
                      <w:sz w:val="21"/>
                      <w:szCs w:val="21"/>
                      <w:highlight w:val="none"/>
                      <w:vertAlign w:val="baseline"/>
                      <w:lang w:val="en-US" w:eastAsia="zh-CN"/>
                    </w:rPr>
                    <w:t>（DA001）</w:t>
                  </w:r>
                  <w:r>
                    <w:rPr>
                      <w:rFonts w:hint="eastAsia" w:ascii="Times New Roman" w:hAnsi="Times New Roman" w:eastAsia="宋体" w:cs="Times New Roman"/>
                      <w:b w:val="0"/>
                      <w:bCs w:val="0"/>
                      <w:color w:val="auto"/>
                      <w:sz w:val="21"/>
                      <w:szCs w:val="21"/>
                      <w:highlight w:val="none"/>
                      <w:vertAlign w:val="baseline"/>
                      <w:lang w:val="en-US" w:eastAsia="zh-CN"/>
                    </w:rPr>
                    <w:t>排放，更换的废活性炭</w:t>
                  </w:r>
                  <w:r>
                    <w:rPr>
                      <w:rFonts w:hint="eastAsia" w:ascii="Times New Roman" w:hAnsi="Times New Roman" w:cs="Times New Roman"/>
                      <w:color w:val="auto"/>
                      <w:sz w:val="21"/>
                      <w:szCs w:val="21"/>
                      <w:highlight w:val="none"/>
                      <w:lang w:val="en-US" w:eastAsia="zh-CN"/>
                    </w:rPr>
                    <w:t>属于危险废物</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桶</w:t>
                  </w:r>
                  <w:r>
                    <w:rPr>
                      <w:rFonts w:hint="default" w:ascii="Times New Roman" w:hAnsi="Times New Roman" w:cs="Times New Roman"/>
                      <w:color w:val="auto"/>
                      <w:sz w:val="21"/>
                      <w:szCs w:val="21"/>
                      <w:highlight w:val="none"/>
                    </w:rPr>
                    <w:t>装密闭暂存于</w:t>
                  </w:r>
                  <w:r>
                    <w:rPr>
                      <w:rFonts w:hint="eastAsia" w:ascii="Times New Roman" w:hAnsi="Times New Roman" w:cs="Times New Roman"/>
                      <w:color w:val="auto"/>
                      <w:sz w:val="21"/>
                      <w:szCs w:val="21"/>
                      <w:highlight w:val="none"/>
                      <w:lang w:eastAsia="zh-CN"/>
                    </w:rPr>
                    <w:t>危险废物贮存</w:t>
                  </w:r>
                  <w:r>
                    <w:rPr>
                      <w:rFonts w:hint="eastAsia" w:ascii="Times New Roman" w:hAnsi="Times New Roman" w:cs="Times New Roman"/>
                      <w:color w:val="auto"/>
                      <w:sz w:val="21"/>
                      <w:szCs w:val="21"/>
                      <w:highlight w:val="none"/>
                      <w:lang w:val="en-US" w:eastAsia="zh-CN"/>
                    </w:rPr>
                    <w:t>间</w:t>
                  </w:r>
                  <w:r>
                    <w:rPr>
                      <w:rFonts w:hint="default" w:ascii="Times New Roman" w:hAnsi="Times New Roman" w:cs="Times New Roman"/>
                      <w:color w:val="auto"/>
                      <w:sz w:val="21"/>
                      <w:szCs w:val="21"/>
                      <w:highlight w:val="none"/>
                    </w:rPr>
                    <w:t>内</w:t>
                  </w:r>
                  <w:r>
                    <w:rPr>
                      <w:rFonts w:hint="eastAsia" w:ascii="Times New Roman" w:hAnsi="Times New Roman" w:cs="Times New Roman"/>
                      <w:color w:val="auto"/>
                      <w:sz w:val="21"/>
                      <w:szCs w:val="21"/>
                      <w:highlight w:val="none"/>
                      <w:lang w:val="en-US" w:eastAsia="zh-CN"/>
                    </w:rPr>
                    <w:t>，委托有资质的单位定期处置；</w:t>
                  </w:r>
                  <w:r>
                    <w:rPr>
                      <w:rFonts w:hint="eastAsia" w:cs="Times New Roman"/>
                      <w:color w:val="auto"/>
                      <w:sz w:val="21"/>
                      <w:szCs w:val="21"/>
                      <w:highlight w:val="none"/>
                      <w:lang w:val="en-US" w:eastAsia="zh-CN"/>
                    </w:rPr>
                    <w:t>非甲烷总烃</w:t>
                  </w:r>
                  <w:r>
                    <w:rPr>
                      <w:rFonts w:hint="eastAsia" w:ascii="Times New Roman" w:hAnsi="Times New Roman" w:cs="Times New Roman"/>
                      <w:color w:val="auto"/>
                      <w:sz w:val="21"/>
                      <w:szCs w:val="21"/>
                      <w:highlight w:val="none"/>
                      <w:lang w:val="en-US" w:eastAsia="zh-CN"/>
                    </w:rPr>
                    <w:t>采用密闭车间集气罩收集，集气效率≥</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eastAsia="zh-CN"/>
                    </w:rPr>
                    <w:t>。</w:t>
                  </w:r>
                </w:p>
              </w:tc>
              <w:tc>
                <w:tcPr>
                  <w:tcW w:w="451" w:type="dxa"/>
                  <w:tcBorders>
                    <w:tl2br w:val="nil"/>
                    <w:tr2bl w:val="nil"/>
                  </w:tcBorders>
                  <w:vAlign w:val="center"/>
                </w:tcPr>
                <w:p w14:paraId="453D905A">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5E843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tcBorders>
                    <w:tl2br w:val="nil"/>
                    <w:tr2bl w:val="nil"/>
                  </w:tcBorders>
                  <w:vAlign w:val="center"/>
                </w:tcPr>
                <w:p w14:paraId="63C9F09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福建省重点行业挥发性有机物污染防治工作方案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闽环保大气〔2017〕6号</w:t>
                  </w:r>
                  <w:r>
                    <w:rPr>
                      <w:rFonts w:hint="eastAsia" w:cs="Times New Roman"/>
                      <w:color w:val="000000" w:themeColor="text1"/>
                      <w:sz w:val="21"/>
                      <w:szCs w:val="21"/>
                      <w:highlight w:val="none"/>
                      <w:lang w:eastAsia="zh-CN"/>
                      <w14:textFill>
                        <w14:solidFill>
                          <w14:schemeClr w14:val="tx1"/>
                        </w14:solidFill>
                      </w14:textFill>
                    </w:rPr>
                    <w:t>）</w:t>
                  </w:r>
                </w:p>
              </w:tc>
              <w:tc>
                <w:tcPr>
                  <w:tcW w:w="2987" w:type="dxa"/>
                  <w:tcBorders>
                    <w:tl2br w:val="nil"/>
                    <w:tr2bl w:val="nil"/>
                  </w:tcBorders>
                  <w:vAlign w:val="center"/>
                </w:tcPr>
                <w:p w14:paraId="1757EA4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二、主要任务</w:t>
                  </w:r>
                </w:p>
                <w:p w14:paraId="426FEAFB">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（一）严格环境准入</w:t>
                  </w:r>
                </w:p>
                <w:p w14:paraId="4277545A">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25473EFC">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（二）大力推进清洁生产</w:t>
                  </w:r>
                </w:p>
                <w:p w14:paraId="05540933">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在重点行业大力倡导环境标志产品生产及使用，尤其是水性涂料的生产和使用，从源头控制VOCs排放。</w:t>
                  </w:r>
                </w:p>
                <w:p w14:paraId="1106F834">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（三）加快推进重点行业VOCs专项整治</w:t>
                  </w:r>
                </w:p>
                <w:p w14:paraId="1219E920">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（2）加强化工企业污染综合整治</w:t>
                  </w:r>
                </w:p>
                <w:p w14:paraId="1483DBFF">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Cs w:val="21"/>
                      <w:highlight w:val="none"/>
                      <w:u w:val="none"/>
                      <w14:textFill>
                        <w14:solidFill>
                          <w14:schemeClr w14:val="tx1"/>
                        </w14:solidFill>
                      </w14:textFill>
                    </w:rPr>
                    <w:t>提升有机化工（含有机化学原料、合成材料、日用化工、涂料、油墨、</w:t>
                  </w:r>
                  <w:r>
                    <w:rPr>
                      <w:rFonts w:hint="eastAsia"/>
                      <w:color w:val="000000" w:themeColor="text1"/>
                      <w:szCs w:val="21"/>
                      <w:highlight w:val="none"/>
                      <w:u w:val="none"/>
                      <w:lang w:eastAsia="zh-CN"/>
                      <w14:textFill>
                        <w14:solidFill>
                          <w14:schemeClr w14:val="tx1"/>
                        </w14:solidFill>
                      </w14:textFill>
                    </w:rPr>
                    <w:t>胶黏剂</w:t>
                  </w:r>
                  <w:r>
                    <w:rPr>
                      <w:rFonts w:hint="default"/>
                      <w:color w:val="000000" w:themeColor="text1"/>
                      <w:szCs w:val="21"/>
                      <w:highlight w:val="none"/>
                      <w:u w:val="none"/>
                      <w14:textFill>
                        <w14:solidFill>
                          <w14:schemeClr w14:val="tx1"/>
                        </w14:solidFill>
                      </w14:textFill>
                    </w:rPr>
                    <w:t>、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3382" w:type="dxa"/>
                  <w:tcBorders>
                    <w:tl2br w:val="nil"/>
                    <w:tr2bl w:val="nil"/>
                  </w:tcBorders>
                  <w:vAlign w:val="center"/>
                </w:tcPr>
                <w:p w14:paraId="314FD460">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eastAsia"/>
                      <w:color w:val="auto"/>
                      <w:szCs w:val="21"/>
                      <w:highlight w:val="none"/>
                      <w:u w:val="none"/>
                      <w:lang w:val="en-US" w:eastAsia="zh-CN"/>
                    </w:rPr>
                    <w:t>1.本项目从事</w:t>
                  </w:r>
                  <w:r>
                    <w:rPr>
                      <w:rFonts w:hint="eastAsia" w:cs="Times New Roman"/>
                      <w:color w:val="auto"/>
                      <w:sz w:val="21"/>
                      <w:szCs w:val="21"/>
                      <w:highlight w:val="none"/>
                      <w:u w:val="none"/>
                      <w:lang w:eastAsia="zh-CN"/>
                    </w:rPr>
                    <w:t>EPS包装泡沫、</w:t>
                  </w:r>
                  <w:r>
                    <w:rPr>
                      <w:rFonts w:hint="eastAsia" w:cs="Times New Roman"/>
                      <w:color w:val="auto"/>
                      <w:sz w:val="21"/>
                      <w:szCs w:val="21"/>
                      <w:highlight w:val="none"/>
                      <w:u w:val="none"/>
                      <w:lang w:val="en-US" w:eastAsia="zh-CN"/>
                    </w:rPr>
                    <w:t>EPO包装泡沫、EPP包装泡沫的</w:t>
                  </w:r>
                  <w:r>
                    <w:rPr>
                      <w:rFonts w:hint="default" w:ascii="Times New Roman" w:hAnsi="Times New Roman" w:eastAsia="宋体" w:cs="Times New Roman"/>
                      <w:color w:val="auto"/>
                      <w:spacing w:val="0"/>
                      <w:sz w:val="21"/>
                      <w:szCs w:val="21"/>
                      <w:highlight w:val="none"/>
                      <w:u w:val="none"/>
                      <w:lang w:val="en-US" w:eastAsia="zh-CN"/>
                    </w:rPr>
                    <w:t>生产</w:t>
                  </w:r>
                  <w:r>
                    <w:rPr>
                      <w:rFonts w:hint="eastAsia"/>
                      <w:color w:val="auto"/>
                      <w:sz w:val="21"/>
                      <w:szCs w:val="21"/>
                      <w:highlight w:val="none"/>
                      <w:u w:val="none"/>
                      <w:lang w:val="en-US" w:eastAsia="zh-CN"/>
                    </w:rPr>
                    <w:t>，属于泡沫制品制造业</w:t>
                  </w:r>
                  <w:r>
                    <w:rPr>
                      <w:rFonts w:hint="eastAsia"/>
                      <w:color w:val="auto"/>
                      <w:szCs w:val="21"/>
                      <w:highlight w:val="none"/>
                      <w:u w:val="none"/>
                      <w:lang w:val="en-US" w:eastAsia="zh-CN"/>
                    </w:rPr>
                    <w:t>，不属于文件中限制的</w:t>
                  </w:r>
                  <w:r>
                    <w:rPr>
                      <w:rFonts w:hint="default"/>
                      <w:color w:val="auto"/>
                      <w:szCs w:val="21"/>
                      <w:highlight w:val="none"/>
                      <w:u w:val="none"/>
                      <w:lang w:val="en-US" w:eastAsia="zh-CN"/>
                    </w:rPr>
                    <w:t>高VOCs排放建设项目</w:t>
                  </w:r>
                  <w:r>
                    <w:rPr>
                      <w:rFonts w:hint="eastAsia"/>
                      <w:color w:val="auto"/>
                      <w:szCs w:val="21"/>
                      <w:highlight w:val="none"/>
                      <w:u w:val="none"/>
                      <w:lang w:val="en-US" w:eastAsia="zh-CN"/>
                    </w:rPr>
                    <w:t>，本项目原辅材料为EPS、EPO、EPP等泡沫塑料颗粒，不涉及高</w:t>
                  </w:r>
                  <w:r>
                    <w:rPr>
                      <w:rFonts w:hint="default"/>
                      <w:color w:val="auto"/>
                      <w:szCs w:val="21"/>
                      <w:highlight w:val="none"/>
                      <w:u w:val="none"/>
                      <w:lang w:val="en-US" w:eastAsia="zh-CN"/>
                    </w:rPr>
                    <w:t>VOCs</w:t>
                  </w:r>
                  <w:r>
                    <w:rPr>
                      <w:rFonts w:hint="default"/>
                      <w:color w:val="auto"/>
                      <w:szCs w:val="21"/>
                      <w:highlight w:val="none"/>
                      <w:u w:val="none"/>
                    </w:rPr>
                    <w:t>含量原辅材料</w:t>
                  </w:r>
                  <w:r>
                    <w:rPr>
                      <w:rFonts w:hint="eastAsia"/>
                      <w:color w:val="auto"/>
                      <w:szCs w:val="21"/>
                      <w:highlight w:val="none"/>
                      <w:u w:val="none"/>
                      <w:lang w:eastAsia="zh-CN"/>
                    </w:rPr>
                    <w:t>且在采取有效的收集措施和治理措施后，通过排气筒达标排放。本项目不涉及</w:t>
                  </w:r>
                  <w:r>
                    <w:rPr>
                      <w:rFonts w:hint="default"/>
                      <w:color w:val="auto"/>
                      <w:szCs w:val="21"/>
                      <w:highlight w:val="none"/>
                      <w:u w:val="none"/>
                    </w:rPr>
                    <w:t>国家及地方明令禁止的落后工艺和设备。</w:t>
                  </w:r>
                </w:p>
                <w:p w14:paraId="7DDB393C">
                  <w:pPr>
                    <w:pStyle w:val="37"/>
                    <w:widowControl/>
                    <w:numPr>
                      <w:ilvl w:val="0"/>
                      <w:numId w:val="0"/>
                    </w:numPr>
                    <w:adjustRightInd w:val="0"/>
                    <w:spacing w:line="340" w:lineRule="exact"/>
                    <w:jc w:val="both"/>
                    <w:rPr>
                      <w:rFonts w:hint="eastAsia"/>
                      <w:color w:val="auto"/>
                      <w:highlight w:val="none"/>
                    </w:rPr>
                  </w:pPr>
                  <w:r>
                    <w:rPr>
                      <w:rFonts w:hint="eastAsia"/>
                      <w:color w:val="auto"/>
                      <w:highlight w:val="none"/>
                      <w:lang w:val="en-US" w:eastAsia="zh-CN"/>
                    </w:rPr>
                    <w:t>2.</w:t>
                  </w:r>
                  <w:r>
                    <w:rPr>
                      <w:rFonts w:hint="eastAsia"/>
                      <w:color w:val="auto"/>
                      <w:highlight w:val="none"/>
                    </w:rPr>
                    <w:t>本项目使用低VOCs含量原辅材料，</w:t>
                  </w:r>
                  <w:r>
                    <w:rPr>
                      <w:rFonts w:hint="eastAsia"/>
                      <w:bCs/>
                      <w:color w:val="auto"/>
                      <w:highlight w:val="none"/>
                    </w:rPr>
                    <w:t>项目废气经集气装置收集后通过废气处理设施处理后达标排放</w:t>
                  </w:r>
                  <w:r>
                    <w:rPr>
                      <w:rFonts w:hint="eastAsia"/>
                      <w:color w:val="auto"/>
                      <w:highlight w:val="none"/>
                    </w:rPr>
                    <w:t>。</w:t>
                  </w:r>
                </w:p>
                <w:p w14:paraId="0607C2C7">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olor w:val="auto"/>
                      <w:highlight w:val="none"/>
                      <w:lang w:val="en-US" w:eastAsia="zh-CN"/>
                    </w:rPr>
                    <w:t>3.</w:t>
                  </w:r>
                  <w:r>
                    <w:rPr>
                      <w:rFonts w:hint="eastAsia"/>
                      <w:color w:val="auto"/>
                      <w:highlight w:val="none"/>
                    </w:rPr>
                    <w:t>本项目废气产生点设备上方设置集气罩，拟将产生的VOCs收集后通过1套“活性炭吸附装置”处理后排放</w:t>
                  </w:r>
                </w:p>
              </w:tc>
              <w:tc>
                <w:tcPr>
                  <w:tcW w:w="451" w:type="dxa"/>
                  <w:tcBorders>
                    <w:tl2br w:val="nil"/>
                    <w:tr2bl w:val="nil"/>
                  </w:tcBorders>
                  <w:vAlign w:val="center"/>
                </w:tcPr>
                <w:p w14:paraId="3239F18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1F0CD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vMerge w:val="restart"/>
                  <w:tcBorders>
                    <w:tl2br w:val="nil"/>
                    <w:tr2bl w:val="nil"/>
                  </w:tcBorders>
                  <w:vAlign w:val="center"/>
                </w:tcPr>
                <w:p w14:paraId="2C853813">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《挥发性有机物无组织排放控制标准》</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GB37822-2019</w:t>
                  </w:r>
                  <w:r>
                    <w:rPr>
                      <w:rFonts w:hint="eastAsia" w:cs="Times New Roman"/>
                      <w:color w:val="000000" w:themeColor="text1"/>
                      <w:highlight w:val="none"/>
                      <w:lang w:val="en-US" w:eastAsia="zh-CN"/>
                      <w14:textFill>
                        <w14:solidFill>
                          <w14:schemeClr w14:val="tx1"/>
                        </w14:solidFill>
                      </w14:textFill>
                    </w:rPr>
                    <w:t>）</w:t>
                  </w:r>
                </w:p>
              </w:tc>
              <w:tc>
                <w:tcPr>
                  <w:tcW w:w="2987" w:type="dxa"/>
                  <w:tcBorders>
                    <w:tl2br w:val="nil"/>
                    <w:tr2bl w:val="nil"/>
                  </w:tcBorders>
                  <w:vAlign w:val="center"/>
                </w:tcPr>
                <w:p w14:paraId="4C2FD6D5">
                  <w:pPr>
                    <w:pStyle w:val="38"/>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5.1.1VOCs物料应储存于密闭的容器、包装袋、储罐、储库、料仓中。</w:t>
                  </w:r>
                </w:p>
                <w:p w14:paraId="1BF576D0">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5.1.2盛装VOCs物料的容器或包装袋应存放于室内，或存放于设置有雨棚、遮阳和防渗设施的专用场地。盛装VOCs物料的容器或包装袋在非取用状态时应加盖、封口，保持密闭。</w:t>
                  </w:r>
                </w:p>
              </w:tc>
              <w:tc>
                <w:tcPr>
                  <w:tcW w:w="3382" w:type="dxa"/>
                  <w:tcBorders>
                    <w:tl2br w:val="nil"/>
                    <w:tr2bl w:val="nil"/>
                  </w:tcBorders>
                  <w:vAlign w:val="center"/>
                </w:tcPr>
                <w:p w14:paraId="762673D8">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项目属于泡沫塑料制造业，使用塑料颗粒作为原材料进行加工。塑料颗粒存放于现有化学品仓库，在常温下不会产生VOCs</w:t>
                  </w:r>
                </w:p>
              </w:tc>
              <w:tc>
                <w:tcPr>
                  <w:tcW w:w="451" w:type="dxa"/>
                  <w:tcBorders>
                    <w:tl2br w:val="nil"/>
                    <w:tr2bl w:val="nil"/>
                  </w:tcBorders>
                  <w:vAlign w:val="center"/>
                </w:tcPr>
                <w:p w14:paraId="377D7E2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31E2A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Merge w:val="continue"/>
                  <w:tcBorders>
                    <w:tl2br w:val="nil"/>
                    <w:tr2bl w:val="nil"/>
                  </w:tcBorders>
                  <w:vAlign w:val="center"/>
                </w:tcPr>
                <w:p w14:paraId="325F138E">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987" w:type="dxa"/>
                  <w:tcBorders>
                    <w:tl2br w:val="nil"/>
                    <w:tr2bl w:val="nil"/>
                  </w:tcBorders>
                  <w:vAlign w:val="center"/>
                </w:tcPr>
                <w:p w14:paraId="2B2B5541">
                  <w:pPr>
                    <w:pStyle w:val="38"/>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6.1.1液态VOC物料应采用密闭管道输送。采用非管道输送方式转移液态VOC物料时，应采用密闭容器、罐车。</w:t>
                  </w:r>
                </w:p>
                <w:p w14:paraId="7F223AE8">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6.1.2粉状、粒状VOCs物料应采用气力输送设备、管状带式输送机、螺旋输送机等密闭输送方式或者采用密闭的包装袋、容器或罐车进行物料转移。</w:t>
                  </w:r>
                </w:p>
              </w:tc>
              <w:tc>
                <w:tcPr>
                  <w:tcW w:w="3382" w:type="dxa"/>
                  <w:tcBorders>
                    <w:tl2br w:val="nil"/>
                    <w:tr2bl w:val="nil"/>
                  </w:tcBorders>
                  <w:vAlign w:val="center"/>
                </w:tcPr>
                <w:p w14:paraId="39345BCC">
                  <w:pPr>
                    <w:pStyle w:val="38"/>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cs="Times New Roman"/>
                      <w:color w:val="000000" w:themeColor="text1"/>
                      <w:highlight w:val="none"/>
                      <w:lang w:val="en-US" w:eastAsia="zh-CN"/>
                      <w14:textFill>
                        <w14:solidFill>
                          <w14:schemeClr w14:val="tx1"/>
                        </w14:solidFill>
                      </w14:textFill>
                    </w:rPr>
                    <w:t>不</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涉及液态</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物料。</w:t>
                  </w:r>
                </w:p>
                <w:p w14:paraId="6021CD6E">
                  <w:pPr>
                    <w:pStyle w:val="38"/>
                    <w:jc w:val="center"/>
                    <w:rPr>
                      <w:rFonts w:hint="default"/>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颗粒状VOCs物料（塑料颗粒）采用密闭包装袋进厂运输、储存于原料仓库</w:t>
                  </w:r>
                </w:p>
              </w:tc>
              <w:tc>
                <w:tcPr>
                  <w:tcW w:w="451" w:type="dxa"/>
                  <w:tcBorders>
                    <w:tl2br w:val="nil"/>
                    <w:tr2bl w:val="nil"/>
                  </w:tcBorders>
                  <w:vAlign w:val="center"/>
                </w:tcPr>
                <w:p w14:paraId="17D19CA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65DC6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vMerge w:val="continue"/>
                  <w:tcBorders>
                    <w:tl2br w:val="nil"/>
                    <w:tr2bl w:val="nil"/>
                  </w:tcBorders>
                  <w:vAlign w:val="center"/>
                </w:tcPr>
                <w:p w14:paraId="2816801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987" w:type="dxa"/>
                  <w:tcBorders>
                    <w:tl2br w:val="nil"/>
                    <w:tr2bl w:val="nil"/>
                  </w:tcBorders>
                  <w:shd w:val="clear" w:color="auto" w:fill="auto"/>
                  <w:vAlign w:val="center"/>
                </w:tcPr>
                <w:p w14:paraId="7A5EAB19">
                  <w:pPr>
                    <w:pStyle w:val="38"/>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7.3.1企业应建立台账，记录含VOCs原辅材料和含VOCs产品的名称、使用量、回收量、废弃量、去向以及VOCs含量等信息。台账保存期限不少于3年。</w:t>
                  </w:r>
                </w:p>
                <w:p w14:paraId="7B672FED">
                  <w:pPr>
                    <w:pStyle w:val="38"/>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7.3.3载有VOC物料的设备及其管道在开停工车、检维修和清洗时，应在退料阶段将残存物料退净，并用密闭容器盛装，退料过程废气应排至VOCs废气收集处理系统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清洗及吹扫过程排气应排至VOCs废气收集处理系统。</w:t>
                  </w:r>
                </w:p>
              </w:tc>
              <w:tc>
                <w:tcPr>
                  <w:tcW w:w="3382" w:type="dxa"/>
                  <w:tcBorders>
                    <w:tl2br w:val="nil"/>
                    <w:tr2bl w:val="nil"/>
                  </w:tcBorders>
                  <w:vAlign w:val="center"/>
                </w:tcPr>
                <w:p w14:paraId="2C5C34EC">
                  <w:pPr>
                    <w:pStyle w:val="38"/>
                    <w:jc w:val="both"/>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项目将严格按照要求制定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含</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原辅材料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购买台账，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台账保存期限不少于3年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451" w:type="dxa"/>
                  <w:tcBorders>
                    <w:tl2br w:val="nil"/>
                    <w:tr2bl w:val="nil"/>
                  </w:tcBorders>
                  <w:vAlign w:val="center"/>
                </w:tcPr>
                <w:p w14:paraId="6B0AEE2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33D99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6" w:type="dxa"/>
                  <w:vMerge w:val="continue"/>
                  <w:vAlign w:val="center"/>
                </w:tcPr>
                <w:p w14:paraId="1818411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987" w:type="dxa"/>
                  <w:shd w:val="clear" w:color="auto" w:fill="auto"/>
                  <w:vAlign w:val="center"/>
                </w:tcPr>
                <w:p w14:paraId="5DC6C8E3">
                  <w:pPr>
                    <w:pStyle w:val="38"/>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10.1.2VOCs废气收集处理系统应与生产工艺设备同步运行。VOCs废气收集处理系统发生故障或检修时，对应的生产工艺设备应停止运行，待检修完毕后同步投入使用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生产工艺设备不能停止运行或不能及时停止运行的，应设置废气应急处理设施或采取其他替代措施。</w:t>
                  </w:r>
                </w:p>
                <w:p w14:paraId="6D700B5C">
                  <w:pPr>
                    <w:pStyle w:val="38"/>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10.2.1企业应考虑生产工艺、操作方式、废气性质、处理方法等因素，对VOCs废气进行分类收集。</w:t>
                  </w:r>
                </w:p>
                <w:p w14:paraId="124BD9B3">
                  <w:pPr>
                    <w:pStyle w:val="38"/>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10.4记录要求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3382" w:type="dxa"/>
                  <w:vAlign w:val="center"/>
                </w:tcPr>
                <w:p w14:paraId="47709E14">
                  <w:pPr>
                    <w:pStyle w:val="38"/>
                    <w:jc w:val="both"/>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将</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与生产工艺设备同步运行。</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废气收集处理系统发生故障或检修时，对应的生产工艺设备应停止运行，待检修完毕后同步投入使用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cs="Times New Roman"/>
                      <w:color w:val="000000" w:themeColor="text1"/>
                      <w:highlight w:val="none"/>
                      <w:lang w:val="en-US" w:eastAsia="zh-CN"/>
                      <w14:textFill>
                        <w14:solidFill>
                          <w14:schemeClr w14:val="tx1"/>
                        </w14:solidFill>
                      </w14:textFill>
                    </w:rPr>
                    <w:t>生产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废气拟收集后统一通过1套活性炭吸附装置处理后排放。项目将严格按照要求制定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废气收集系统、</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处理设施</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运行台账，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台账保存期限不少于3年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451" w:type="dxa"/>
                  <w:vAlign w:val="center"/>
                </w:tcPr>
                <w:p w14:paraId="1DD42E9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14:paraId="339E8CD6">
            <w:pPr>
              <w:spacing w:line="360" w:lineRule="auto"/>
              <w:ind w:firstLine="480" w:firstLineChars="200"/>
              <w:jc w:val="left"/>
              <w:rPr>
                <w:rFonts w:hint="eastAsia"/>
                <w:color w:val="000000" w:themeColor="text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根据以上分析，项目产生挥发性有机物可以得到有效</w:t>
            </w:r>
            <w:r>
              <w:rPr>
                <w:rFonts w:hint="eastAsia" w:cs="Times New Roman"/>
                <w:color w:val="000000" w:themeColor="text1"/>
                <w:kern w:val="2"/>
                <w:sz w:val="24"/>
                <w:szCs w:val="24"/>
                <w:highlight w:val="none"/>
                <w:lang w:val="en-US" w:eastAsia="zh-CN" w:bidi="ar"/>
                <w14:textFill>
                  <w14:solidFill>
                    <w14:schemeClr w14:val="tx1"/>
                  </w14:solidFill>
                </w14:textFill>
              </w:rPr>
              <w:t>地</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控制，采取有效治理措施后，符合挥发性有机物污染防治相关政策的要求。</w:t>
            </w:r>
          </w:p>
        </w:tc>
      </w:tr>
    </w:tbl>
    <w:p w14:paraId="0FD80E08">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p w14:paraId="3095116C">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highlight w:val="none"/>
          <w:u w:val="none"/>
          <w:lang w:val="en-US" w:eastAsia="zh-CN"/>
          <w14:textFill>
            <w14:solidFill>
              <w14:schemeClr w14:val="tx1"/>
            </w14:solidFill>
          </w14:textFill>
        </w:rPr>
      </w:pPr>
      <w:bookmarkStart w:id="13" w:name="_Toc2805"/>
      <w:bookmarkStart w:id="14" w:name="_Toc12592"/>
      <w:r>
        <w:rPr>
          <w:rFonts w:hint="default" w:ascii="Times New Roman" w:hAnsi="Times New Roman" w:eastAsia="黑体" w:cs="Times New Roman"/>
          <w:snapToGrid w:val="0"/>
          <w:color w:val="000000" w:themeColor="text1"/>
          <w:sz w:val="30"/>
          <w:szCs w:val="30"/>
          <w:highlight w:val="none"/>
          <w:u w:val="none"/>
          <w:lang w:val="en-US" w:eastAsia="zh-CN"/>
          <w14:textFill>
            <w14:solidFill>
              <w14:schemeClr w14:val="tx1"/>
            </w14:solidFill>
          </w14:textFill>
        </w:rPr>
        <w:t>二、建设项目工程分析</w:t>
      </w:r>
      <w:bookmarkEnd w:id="13"/>
      <w:bookmarkEnd w:id="14"/>
    </w:p>
    <w:tbl>
      <w:tblPr>
        <w:tblStyle w:val="24"/>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832"/>
      </w:tblGrid>
      <w:tr w14:paraId="6E99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1" w:hRule="atLeast"/>
        </w:trPr>
        <w:tc>
          <w:tcPr>
            <w:tcW w:w="449" w:type="dxa"/>
            <w:vAlign w:val="center"/>
          </w:tcPr>
          <w:p w14:paraId="43386C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建设内容</w:t>
            </w:r>
          </w:p>
        </w:tc>
        <w:tc>
          <w:tcPr>
            <w:tcW w:w="8832" w:type="dxa"/>
            <w:vAlign w:val="center"/>
          </w:tcPr>
          <w:p w14:paraId="0680B1F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pPr>
            <w:bookmarkStart w:id="15" w:name="_Toc12184"/>
            <w:bookmarkStart w:id="16" w:name="_Toc9428"/>
            <w:bookmarkStart w:id="17" w:name="_Toc2247"/>
            <w:bookmarkStart w:id="18" w:name="_Toc17663"/>
            <w:bookmarkStart w:id="19" w:name="_Toc2901"/>
            <w:r>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t>2.1项目由来</w:t>
            </w:r>
            <w:bookmarkEnd w:id="15"/>
            <w:bookmarkEnd w:id="16"/>
            <w:bookmarkEnd w:id="17"/>
            <w:bookmarkEnd w:id="18"/>
            <w:bookmarkEnd w:id="19"/>
          </w:p>
          <w:p w14:paraId="7901398B">
            <w:pPr>
              <w:pStyle w:val="8"/>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福建恒润包装有限公司</w:t>
            </w:r>
            <w:r>
              <w:rPr>
                <w:rFonts w:hint="eastAsia" w:ascii="Times New Roman" w:hAnsi="Times New Roman" w:eastAsia="宋体" w:cs="Times New Roman"/>
                <w:color w:val="auto"/>
                <w:sz w:val="24"/>
                <w:szCs w:val="24"/>
                <w:highlight w:val="none"/>
                <w:u w:val="none"/>
                <w:lang w:val="en-US" w:eastAsia="zh-CN"/>
              </w:rPr>
              <w:t>成立于20</w:t>
            </w:r>
            <w:r>
              <w:rPr>
                <w:rFonts w:hint="eastAsia" w:cs="Times New Roman"/>
                <w:color w:val="auto"/>
                <w:sz w:val="24"/>
                <w:szCs w:val="24"/>
                <w:highlight w:val="none"/>
                <w:u w:val="none"/>
                <w:lang w:val="en-US" w:eastAsia="zh-CN"/>
              </w:rPr>
              <w:t>15</w:t>
            </w:r>
            <w:r>
              <w:rPr>
                <w:rFonts w:hint="eastAsia"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4</w:t>
            </w:r>
            <w:r>
              <w:rPr>
                <w:rFonts w:hint="eastAsia" w:ascii="Times New Roman" w:hAnsi="Times New Roman" w:eastAsia="宋体" w:cs="Times New Roman"/>
                <w:color w:val="auto"/>
                <w:sz w:val="24"/>
                <w:szCs w:val="24"/>
                <w:highlight w:val="none"/>
                <w:u w:val="none"/>
                <w:lang w:val="en-US" w:eastAsia="zh-CN"/>
              </w:rPr>
              <w:t>月</w:t>
            </w:r>
            <w:r>
              <w:rPr>
                <w:rFonts w:hint="eastAsia" w:cs="Times New Roman"/>
                <w:color w:val="auto"/>
                <w:sz w:val="24"/>
                <w:szCs w:val="24"/>
                <w:highlight w:val="none"/>
                <w:u w:val="none"/>
                <w:lang w:val="en-US" w:eastAsia="zh-CN"/>
              </w:rPr>
              <w:t>9</w:t>
            </w:r>
            <w:r>
              <w:rPr>
                <w:rFonts w:hint="eastAsia" w:ascii="Times New Roman" w:hAnsi="Times New Roman" w:eastAsia="宋体" w:cs="Times New Roman"/>
                <w:color w:val="auto"/>
                <w:sz w:val="24"/>
                <w:szCs w:val="24"/>
                <w:highlight w:val="none"/>
                <w:u w:val="none"/>
                <w:lang w:val="en-US" w:eastAsia="zh-CN"/>
              </w:rPr>
              <w:t>日，注册资本为</w:t>
            </w:r>
            <w:r>
              <w:rPr>
                <w:rFonts w:hint="eastAsia" w:cs="Times New Roman"/>
                <w:color w:val="auto"/>
                <w:sz w:val="24"/>
                <w:szCs w:val="24"/>
                <w:highlight w:val="none"/>
                <w:u w:val="none"/>
                <w:lang w:val="en-US" w:eastAsia="zh-CN"/>
              </w:rPr>
              <w:t>1000</w:t>
            </w:r>
            <w:r>
              <w:rPr>
                <w:rFonts w:hint="eastAsia" w:ascii="Times New Roman" w:hAnsi="Times New Roman" w:eastAsia="宋体" w:cs="Times New Roman"/>
                <w:color w:val="auto"/>
                <w:sz w:val="24"/>
                <w:szCs w:val="24"/>
                <w:highlight w:val="none"/>
                <w:u w:val="none"/>
                <w:lang w:val="en-US" w:eastAsia="zh-CN"/>
              </w:rPr>
              <w:t>万元，</w:t>
            </w:r>
            <w:r>
              <w:rPr>
                <w:rFonts w:hint="eastAsia" w:cs="Times New Roman"/>
                <w:color w:val="auto"/>
                <w:sz w:val="24"/>
                <w:szCs w:val="24"/>
                <w:highlight w:val="none"/>
                <w:u w:val="none"/>
                <w:lang w:val="en-US" w:eastAsia="zh-CN"/>
              </w:rPr>
              <w:t>注册地址福建省福州保税港区加工贸易区监管大楼附属楼2层211室076区间。</w:t>
            </w:r>
            <w:r>
              <w:rPr>
                <w:rFonts w:hint="eastAsia" w:ascii="Times New Roman" w:hAnsi="Times New Roman" w:eastAsia="宋体" w:cs="Times New Roman"/>
                <w:color w:val="auto"/>
                <w:sz w:val="24"/>
                <w:szCs w:val="24"/>
                <w:highlight w:val="none"/>
                <w:u w:val="none"/>
                <w:lang w:val="en-US" w:eastAsia="zh-CN"/>
              </w:rPr>
              <w:t>主要从事</w:t>
            </w:r>
            <w:r>
              <w:rPr>
                <w:rFonts w:hint="eastAsia" w:cs="Times New Roman"/>
                <w:color w:val="auto"/>
                <w:sz w:val="24"/>
                <w:szCs w:val="24"/>
                <w:highlight w:val="none"/>
                <w:u w:val="none"/>
                <w:lang w:val="en-US" w:eastAsia="zh-CN"/>
              </w:rPr>
              <w:t>包装材料、泡沫塑料、塑料制品生产、销售等相关业务。</w:t>
            </w:r>
            <w:r>
              <w:rPr>
                <w:rFonts w:hint="eastAsia" w:ascii="Times New Roman" w:hAnsi="Times New Roman" w:eastAsia="宋体" w:cs="Times New Roman"/>
                <w:color w:val="auto"/>
                <w:sz w:val="24"/>
                <w:szCs w:val="24"/>
                <w:highlight w:val="none"/>
                <w:u w:val="none"/>
                <w:lang w:val="en-US" w:eastAsia="zh-CN"/>
              </w:rPr>
              <w:t>统一社会信用代码为</w:t>
            </w:r>
            <w:r>
              <w:rPr>
                <w:rFonts w:hint="eastAsia" w:cs="Times New Roman"/>
                <w:color w:val="auto"/>
                <w:sz w:val="24"/>
                <w:szCs w:val="24"/>
                <w:highlight w:val="none"/>
                <w:u w:val="none"/>
                <w:lang w:val="en-US" w:eastAsia="zh-CN"/>
              </w:rPr>
              <w:t>91******55W</w:t>
            </w:r>
            <w:r>
              <w:rPr>
                <w:rFonts w:hint="default" w:ascii="Times New Roman" w:hAnsi="Times New Roman" w:eastAsia="宋体" w:cs="Times New Roman"/>
                <w:color w:val="auto"/>
                <w:sz w:val="24"/>
                <w:szCs w:val="24"/>
                <w:highlight w:val="none"/>
                <w:u w:val="none"/>
                <w:lang w:eastAsia="zh-CN"/>
              </w:rPr>
              <w:t>，</w:t>
            </w:r>
            <w:r>
              <w:rPr>
                <w:rFonts w:hint="eastAsia" w:cs="Times New Roman"/>
                <w:color w:val="auto"/>
                <w:sz w:val="24"/>
                <w:szCs w:val="24"/>
                <w:highlight w:val="none"/>
                <w:u w:val="none"/>
                <w:lang w:eastAsia="zh-CN"/>
              </w:rPr>
              <w:t>法人</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营业执照</w:t>
            </w:r>
            <w:r>
              <w:rPr>
                <w:rFonts w:hint="eastAsia" w:cs="Times New Roman"/>
                <w:color w:val="auto"/>
                <w:sz w:val="24"/>
                <w:szCs w:val="24"/>
                <w:highlight w:val="none"/>
                <w:u w:val="none"/>
                <w:lang w:val="en-US" w:eastAsia="zh-CN"/>
              </w:rPr>
              <w:t>详见</w:t>
            </w:r>
            <w:r>
              <w:rPr>
                <w:rFonts w:hint="eastAsia" w:cs="Times New Roman"/>
                <w:b/>
                <w:bCs/>
                <w:color w:val="auto"/>
                <w:sz w:val="24"/>
                <w:szCs w:val="24"/>
                <w:highlight w:val="none"/>
                <w:u w:val="none"/>
                <w:lang w:val="en-US" w:eastAsia="zh-CN"/>
              </w:rPr>
              <w:t>附件二</w:t>
            </w:r>
            <w:r>
              <w:rPr>
                <w:rFonts w:hint="eastAsia" w:ascii="Times New Roman" w:hAnsi="Times New Roman" w:cs="Times New Roman"/>
                <w:color w:val="auto"/>
                <w:sz w:val="24"/>
                <w:szCs w:val="24"/>
                <w:highlight w:val="none"/>
                <w:u w:val="none"/>
                <w:lang w:eastAsia="zh-CN"/>
              </w:rPr>
              <w:t>及</w:t>
            </w:r>
            <w:r>
              <w:rPr>
                <w:rFonts w:hint="default" w:ascii="Times New Roman" w:hAnsi="Times New Roman" w:cs="Times New Roman"/>
                <w:color w:val="auto"/>
                <w:sz w:val="24"/>
                <w:szCs w:val="24"/>
                <w:highlight w:val="none"/>
                <w:u w:val="none"/>
              </w:rPr>
              <w:t>法人身份证</w:t>
            </w:r>
            <w:r>
              <w:rPr>
                <w:rFonts w:hint="eastAsia" w:ascii="Times New Roman" w:hAnsi="Times New Roman" w:cs="Times New Roman"/>
                <w:color w:val="auto"/>
                <w:sz w:val="24"/>
                <w:szCs w:val="24"/>
                <w:highlight w:val="none"/>
                <w:u w:val="none"/>
                <w:lang w:eastAsia="zh-CN"/>
              </w:rPr>
              <w:t>复印件</w:t>
            </w:r>
            <w:r>
              <w:rPr>
                <w:rFonts w:hint="default" w:ascii="Times New Roman" w:hAnsi="Times New Roman" w:cs="Times New Roman"/>
                <w:b w:val="0"/>
                <w:bCs w:val="0"/>
                <w:color w:val="auto"/>
                <w:sz w:val="24"/>
                <w:szCs w:val="24"/>
                <w:highlight w:val="none"/>
                <w:u w:val="none"/>
              </w:rPr>
              <w:t>见</w:t>
            </w:r>
            <w:r>
              <w:rPr>
                <w:rFonts w:hint="default" w:ascii="Times New Roman" w:hAnsi="Times New Roman" w:cs="Times New Roman"/>
                <w:b/>
                <w:bCs/>
                <w:color w:val="auto"/>
                <w:sz w:val="24"/>
                <w:szCs w:val="24"/>
                <w:highlight w:val="none"/>
                <w:u w:val="none"/>
              </w:rPr>
              <w:t>附件</w:t>
            </w:r>
            <w:r>
              <w:rPr>
                <w:rFonts w:hint="eastAsia" w:cs="Times New Roman"/>
                <w:b/>
                <w:bCs/>
                <w:color w:val="auto"/>
                <w:sz w:val="24"/>
                <w:szCs w:val="24"/>
                <w:highlight w:val="none"/>
                <w:u w:val="none"/>
                <w:lang w:val="en-US" w:eastAsia="zh-CN"/>
              </w:rPr>
              <w:t>三</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w:t>
            </w:r>
          </w:p>
          <w:p w14:paraId="2CB0A1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u w:val="none"/>
                <w:lang w:val="en-US" w:eastAsia="zh-CN"/>
              </w:rPr>
              <w:t>福建恒润包装有限公司</w:t>
            </w:r>
            <w:r>
              <w:rPr>
                <w:rFonts w:hint="eastAsia" w:ascii="Times New Roman" w:hAnsi="Times New Roman" w:eastAsia="宋体" w:cs="Times New Roman"/>
                <w:color w:val="auto"/>
                <w:sz w:val="24"/>
                <w:szCs w:val="24"/>
                <w:highlight w:val="none"/>
                <w:u w:val="none"/>
                <w:lang w:val="en-US" w:eastAsia="zh-CN"/>
              </w:rPr>
              <w:t>年产1800吨EPS包装泡沫项目</w:t>
            </w:r>
            <w:r>
              <w:rPr>
                <w:rFonts w:hint="default" w:ascii="Times New Roman" w:hAnsi="Times New Roman" w:eastAsia="宋体" w:cs="Times New Roman"/>
                <w:color w:val="auto"/>
                <w:sz w:val="24"/>
                <w:szCs w:val="24"/>
                <w:highlight w:val="none"/>
                <w:u w:val="none"/>
                <w:lang w:val="en-US" w:eastAsia="zh-CN"/>
              </w:rPr>
              <w:t>位于</w:t>
            </w:r>
            <w:r>
              <w:rPr>
                <w:rFonts w:hint="eastAsia" w:cs="Times New Roman"/>
                <w:color w:val="auto"/>
                <w:sz w:val="24"/>
                <w:szCs w:val="24"/>
                <w:highlight w:val="none"/>
                <w:u w:val="none"/>
                <w:lang w:val="en-US" w:eastAsia="zh-CN"/>
              </w:rPr>
              <w:t>福建省福州市福清市新厝镇双屿500-22号（江阴港城经济区新厝区块）</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租赁福建力</w:t>
            </w:r>
            <w:r>
              <w:rPr>
                <w:rFonts w:hint="eastAsia" w:ascii="Times New Roman" w:hAnsi="Times New Roman" w:eastAsia="宋体" w:cs="Times New Roman"/>
                <w:sz w:val="24"/>
                <w:szCs w:val="24"/>
                <w:lang w:val="en-US" w:eastAsia="zh-CN"/>
              </w:rPr>
              <w:t>峰机械实业有限公司已建厂房，</w:t>
            </w:r>
            <w:r>
              <w:rPr>
                <w:rFonts w:hint="eastAsia" w:cs="Times New Roman"/>
                <w:sz w:val="24"/>
                <w:szCs w:val="24"/>
                <w:lang w:val="en-US" w:eastAsia="zh-CN"/>
              </w:rPr>
              <w:t>厂区</w:t>
            </w:r>
            <w:r>
              <w:rPr>
                <w:rFonts w:hint="default" w:ascii="Times New Roman" w:hAnsi="Times New Roman" w:eastAsia="宋体" w:cs="Times New Roman"/>
                <w:sz w:val="24"/>
                <w:szCs w:val="24"/>
                <w:lang w:val="en-US" w:eastAsia="zh-CN"/>
              </w:rPr>
              <w:t>总占地面积</w:t>
            </w:r>
            <w:r>
              <w:rPr>
                <w:rFonts w:hint="eastAsia" w:cs="Times New Roman"/>
                <w:sz w:val="24"/>
                <w:szCs w:val="24"/>
                <w:lang w:val="en-US" w:eastAsia="zh-CN"/>
              </w:rPr>
              <w:t>15359.17</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厂房总</w:t>
            </w:r>
            <w:r>
              <w:rPr>
                <w:rFonts w:hint="default" w:ascii="Times New Roman" w:hAnsi="Times New Roman" w:eastAsia="宋体" w:cs="Times New Roman"/>
                <w:sz w:val="24"/>
                <w:szCs w:val="24"/>
                <w:lang w:val="en-US" w:eastAsia="zh-CN"/>
              </w:rPr>
              <w:t>建筑面积</w:t>
            </w:r>
            <w:r>
              <w:rPr>
                <w:rFonts w:hint="eastAsia" w:cs="Times New Roman"/>
                <w:sz w:val="24"/>
                <w:szCs w:val="24"/>
                <w:lang w:val="en-US" w:eastAsia="zh-CN"/>
              </w:rPr>
              <w:t>9131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作为生产场所</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b w:val="0"/>
                <w:bCs w:val="0"/>
                <w:color w:val="auto"/>
                <w:kern w:val="2"/>
                <w:sz w:val="24"/>
                <w:szCs w:val="24"/>
                <w:highlight w:val="none"/>
                <w:lang w:val="en-US" w:eastAsia="zh-CN" w:bidi="ar-SA"/>
              </w:rPr>
              <w:t>现有项目于20</w:t>
            </w:r>
            <w:r>
              <w:rPr>
                <w:rFonts w:hint="eastAsia" w:ascii="Times New Roman" w:hAnsi="Times New Roman" w:eastAsia="宋体" w:cs="Times New Roman"/>
                <w:b w:val="0"/>
                <w:bCs w:val="0"/>
                <w:color w:val="auto"/>
                <w:kern w:val="2"/>
                <w:sz w:val="24"/>
                <w:szCs w:val="24"/>
                <w:highlight w:val="none"/>
                <w:lang w:val="en-US" w:eastAsia="zh-CN" w:bidi="ar-SA"/>
              </w:rPr>
              <w:t>15</w:t>
            </w:r>
            <w:r>
              <w:rPr>
                <w:rFonts w:hint="default" w:ascii="Times New Roman" w:hAnsi="Times New Roman" w:eastAsia="宋体" w:cs="Times New Roman"/>
                <w:b w:val="0"/>
                <w:bCs w:val="0"/>
                <w:color w:val="auto"/>
                <w:kern w:val="2"/>
                <w:sz w:val="24"/>
                <w:szCs w:val="24"/>
                <w:highlight w:val="none"/>
                <w:lang w:val="en-US" w:eastAsia="zh-CN" w:bidi="ar-SA"/>
              </w:rPr>
              <w:t>年</w:t>
            </w:r>
            <w:r>
              <w:rPr>
                <w:rFonts w:hint="eastAsia" w:ascii="Times New Roman" w:hAnsi="Times New Roman" w:eastAsia="宋体" w:cs="Times New Roman"/>
                <w:b w:val="0"/>
                <w:bCs w:val="0"/>
                <w:color w:val="auto"/>
                <w:kern w:val="2"/>
                <w:sz w:val="24"/>
                <w:szCs w:val="24"/>
                <w:highlight w:val="none"/>
                <w:lang w:val="en-US" w:eastAsia="zh-CN" w:bidi="ar-SA"/>
              </w:rPr>
              <w:t>12</w:t>
            </w:r>
            <w:r>
              <w:rPr>
                <w:rFonts w:hint="default" w:ascii="Times New Roman" w:hAnsi="Times New Roman" w:eastAsia="宋体" w:cs="Times New Roman"/>
                <w:b w:val="0"/>
                <w:bCs w:val="0"/>
                <w:color w:val="auto"/>
                <w:kern w:val="2"/>
                <w:sz w:val="24"/>
                <w:szCs w:val="24"/>
                <w:highlight w:val="none"/>
                <w:lang w:val="en-US" w:eastAsia="zh-CN" w:bidi="ar-SA"/>
              </w:rPr>
              <w:t>月</w:t>
            </w:r>
            <w:r>
              <w:rPr>
                <w:rFonts w:hint="eastAsia" w:ascii="Times New Roman" w:hAnsi="Times New Roman" w:eastAsia="宋体" w:cs="Times New Roman"/>
                <w:b w:val="0"/>
                <w:bCs w:val="0"/>
                <w:color w:val="auto"/>
                <w:kern w:val="2"/>
                <w:sz w:val="24"/>
                <w:szCs w:val="24"/>
                <w:highlight w:val="none"/>
                <w:lang w:val="en-US" w:eastAsia="zh-CN" w:bidi="ar-SA"/>
              </w:rPr>
              <w:t>投入试生产，</w:t>
            </w:r>
            <w:r>
              <w:rPr>
                <w:rFonts w:hint="default" w:ascii="Times New Roman" w:hAnsi="Times New Roman" w:eastAsia="宋体" w:cs="Times New Roman"/>
                <w:sz w:val="24"/>
                <w:szCs w:val="24"/>
                <w:lang w:val="en-US" w:eastAsia="zh-CN"/>
              </w:rPr>
              <w:t>于2016年11月委托北京中企安信环境科技有限公司编制了《</w:t>
            </w:r>
            <w:r>
              <w:rPr>
                <w:rFonts w:hint="eastAsia" w:cs="Times New Roman"/>
                <w:sz w:val="24"/>
                <w:szCs w:val="24"/>
                <w:lang w:val="en-US" w:eastAsia="zh-CN"/>
              </w:rPr>
              <w:t>福建恒润包装有限公司</w:t>
            </w:r>
            <w:r>
              <w:rPr>
                <w:rFonts w:hint="default" w:ascii="Times New Roman" w:hAnsi="Times New Roman" w:eastAsia="宋体" w:cs="Times New Roman"/>
                <w:sz w:val="24"/>
                <w:szCs w:val="24"/>
                <w:lang w:val="en-US" w:eastAsia="zh-CN"/>
              </w:rPr>
              <w:t>年产1800吨EPS包装泡沫环境影响评价报告表》，并于</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月取得</w:t>
            </w:r>
            <w:r>
              <w:rPr>
                <w:rFonts w:hint="eastAsia" w:ascii="Times New Roman" w:hAnsi="Times New Roman" w:eastAsia="宋体" w:cs="Times New Roman"/>
                <w:sz w:val="24"/>
                <w:szCs w:val="24"/>
                <w:highlight w:val="none"/>
                <w:lang w:val="en-US" w:eastAsia="zh-CN"/>
              </w:rPr>
              <w:t>福清市</w:t>
            </w:r>
            <w:r>
              <w:rPr>
                <w:rFonts w:hint="eastAsia" w:cs="Times New Roman"/>
                <w:sz w:val="24"/>
                <w:szCs w:val="24"/>
                <w:highlight w:val="none"/>
                <w:lang w:val="en-US" w:eastAsia="zh-CN"/>
              </w:rPr>
              <w:t>生态环境局</w:t>
            </w:r>
            <w:r>
              <w:rPr>
                <w:rFonts w:hint="eastAsia" w:ascii="Times New Roman" w:hAnsi="Times New Roman" w:eastAsia="宋体" w:cs="Times New Roman"/>
                <w:sz w:val="24"/>
                <w:szCs w:val="24"/>
                <w:highlight w:val="none"/>
                <w:lang w:val="en-US" w:eastAsia="zh-CN"/>
              </w:rPr>
              <w:t>的</w:t>
            </w:r>
            <w:r>
              <w:rPr>
                <w:rFonts w:hint="default" w:ascii="Times New Roman" w:hAnsi="Times New Roman" w:eastAsia="宋体" w:cs="Times New Roman"/>
                <w:sz w:val="24"/>
                <w:szCs w:val="24"/>
                <w:highlight w:val="none"/>
                <w:lang w:val="en-US" w:eastAsia="zh-CN"/>
              </w:rPr>
              <w:t>审批意见</w:t>
            </w:r>
            <w:r>
              <w:rPr>
                <w:rFonts w:hint="default" w:ascii="Times New Roman" w:hAnsi="Times New Roman" w:eastAsia="宋体" w:cs="Times New Roman"/>
                <w:b w:val="0"/>
                <w:bCs w:val="0"/>
                <w:color w:val="auto"/>
                <w:kern w:val="2"/>
                <w:sz w:val="24"/>
                <w:szCs w:val="24"/>
                <w:highlight w:val="none"/>
                <w:lang w:val="en-US" w:eastAsia="zh-CN" w:bidi="ar-SA"/>
              </w:rPr>
              <w:t>（批复文</w:t>
            </w:r>
            <w:r>
              <w:rPr>
                <w:rFonts w:hint="eastAsia" w:ascii="Times New Roman" w:hAnsi="Times New Roman" w:eastAsia="宋体" w:cs="Times New Roman"/>
                <w:b w:val="0"/>
                <w:bCs w:val="0"/>
                <w:color w:val="auto"/>
                <w:kern w:val="2"/>
                <w:sz w:val="24"/>
                <w:szCs w:val="24"/>
                <w:highlight w:val="none"/>
                <w:lang w:val="en-US" w:eastAsia="zh-CN" w:bidi="ar-SA"/>
              </w:rPr>
              <w:t>号：</w:t>
            </w:r>
            <w:r>
              <w:rPr>
                <w:rFonts w:hint="eastAsia" w:cs="Times New Roman"/>
                <w:b w:val="0"/>
                <w:bCs w:val="0"/>
                <w:color w:val="auto"/>
                <w:kern w:val="2"/>
                <w:sz w:val="24"/>
                <w:szCs w:val="24"/>
                <w:highlight w:val="none"/>
                <w:lang w:val="en-US" w:eastAsia="zh-CN" w:bidi="ar-SA"/>
              </w:rPr>
              <w:t>融环评表</w:t>
            </w:r>
            <w:r>
              <w:rPr>
                <w:rFonts w:hint="eastAsia" w:ascii="宋体" w:hAnsi="宋体" w:eastAsia="宋体" w:cs="宋体"/>
                <w:b w:val="0"/>
                <w:bCs w:val="0"/>
                <w:color w:val="auto"/>
                <w:kern w:val="2"/>
                <w:sz w:val="24"/>
                <w:szCs w:val="24"/>
                <w:highlight w:val="none"/>
                <w:lang w:val="en-US" w:eastAsia="zh-CN" w:bidi="ar-SA"/>
              </w:rPr>
              <w:t>〔2017〕26号</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详见</w:t>
            </w:r>
            <w:r>
              <w:rPr>
                <w:rFonts w:hint="default" w:ascii="Times New Roman" w:hAnsi="Times New Roman" w:eastAsia="宋体" w:cs="Times New Roman"/>
                <w:b/>
                <w:bCs/>
                <w:color w:val="auto"/>
                <w:kern w:val="2"/>
                <w:sz w:val="24"/>
                <w:szCs w:val="24"/>
                <w:highlight w:val="none"/>
                <w:lang w:val="en-US" w:eastAsia="zh-CN" w:bidi="ar-SA"/>
              </w:rPr>
              <w:t>附件</w:t>
            </w:r>
            <w:r>
              <w:rPr>
                <w:rFonts w:hint="eastAsia" w:cs="Times New Roman"/>
                <w:b/>
                <w:bCs/>
                <w:color w:val="auto"/>
                <w:kern w:val="2"/>
                <w:sz w:val="24"/>
                <w:szCs w:val="24"/>
                <w:highlight w:val="none"/>
                <w:lang w:val="en-US" w:eastAsia="zh-CN" w:bidi="ar-SA"/>
              </w:rPr>
              <w:t>九</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。福清市环境监测站</w:t>
            </w:r>
            <w:r>
              <w:rPr>
                <w:rFonts w:hint="default" w:ascii="Times New Roman" w:hAnsi="Times New Roman" w:eastAsia="宋体" w:cs="Times New Roman"/>
                <w:b w:val="0"/>
                <w:bCs w:val="0"/>
                <w:color w:val="auto"/>
                <w:kern w:val="2"/>
                <w:sz w:val="24"/>
                <w:szCs w:val="24"/>
                <w:highlight w:val="none"/>
                <w:lang w:val="en-US" w:eastAsia="zh-CN" w:bidi="ar-SA"/>
              </w:rPr>
              <w:t>于20</w:t>
            </w:r>
            <w:r>
              <w:rPr>
                <w:rFonts w:hint="eastAsia" w:ascii="Times New Roman" w:hAnsi="Times New Roman" w:eastAsia="宋体" w:cs="Times New Roman"/>
                <w:b w:val="0"/>
                <w:bCs w:val="0"/>
                <w:color w:val="auto"/>
                <w:kern w:val="2"/>
                <w:sz w:val="24"/>
                <w:szCs w:val="24"/>
                <w:highlight w:val="none"/>
                <w:lang w:val="en-US" w:eastAsia="zh-CN" w:bidi="ar-SA"/>
              </w:rPr>
              <w:t>17</w:t>
            </w:r>
            <w:r>
              <w:rPr>
                <w:rFonts w:hint="default" w:ascii="Times New Roman" w:hAnsi="Times New Roman" w:eastAsia="宋体" w:cs="Times New Roman"/>
                <w:b w:val="0"/>
                <w:bCs w:val="0"/>
                <w:color w:val="auto"/>
                <w:kern w:val="2"/>
                <w:sz w:val="24"/>
                <w:szCs w:val="24"/>
                <w:highlight w:val="none"/>
                <w:lang w:val="en-US" w:eastAsia="zh-CN" w:bidi="ar-SA"/>
              </w:rPr>
              <w:t>年</w:t>
            </w:r>
            <w:r>
              <w:rPr>
                <w:rFonts w:hint="eastAsia" w:ascii="Times New Roman" w:hAnsi="Times New Roman" w:eastAsia="宋体" w:cs="Times New Roman"/>
                <w:b w:val="0"/>
                <w:bCs w:val="0"/>
                <w:color w:val="auto"/>
                <w:kern w:val="2"/>
                <w:sz w:val="24"/>
                <w:szCs w:val="24"/>
                <w:highlight w:val="none"/>
                <w:lang w:val="en-US" w:eastAsia="zh-CN" w:bidi="ar-SA"/>
              </w:rPr>
              <w:t>7月</w:t>
            </w:r>
            <w:r>
              <w:rPr>
                <w:rFonts w:hint="default" w:ascii="Times New Roman" w:hAnsi="Times New Roman" w:eastAsia="宋体" w:cs="Times New Roman"/>
                <w:b w:val="0"/>
                <w:bCs w:val="0"/>
                <w:color w:val="auto"/>
                <w:kern w:val="2"/>
                <w:sz w:val="24"/>
                <w:szCs w:val="24"/>
                <w:highlight w:val="none"/>
                <w:lang w:val="en-US" w:eastAsia="zh-CN" w:bidi="ar-SA"/>
              </w:rPr>
              <w:t>完成《</w:t>
            </w:r>
            <w:r>
              <w:rPr>
                <w:rFonts w:hint="eastAsia" w:ascii="Times New Roman" w:hAnsi="Times New Roman" w:eastAsia="宋体" w:cs="Times New Roman"/>
                <w:color w:val="auto"/>
                <w:sz w:val="24"/>
                <w:szCs w:val="24"/>
                <w:highlight w:val="none"/>
                <w:u w:val="none"/>
                <w:lang w:val="en-US" w:eastAsia="zh-CN"/>
              </w:rPr>
              <w:t>年产1800吨EPS包装泡沫项目</w:t>
            </w:r>
            <w:r>
              <w:rPr>
                <w:rFonts w:hint="default" w:ascii="Times New Roman" w:hAnsi="Times New Roman" w:eastAsia="宋体" w:cs="Times New Roman"/>
                <w:b w:val="0"/>
                <w:bCs w:val="0"/>
                <w:color w:val="auto"/>
                <w:kern w:val="2"/>
                <w:sz w:val="24"/>
                <w:szCs w:val="24"/>
                <w:highlight w:val="none"/>
                <w:lang w:val="en-US" w:eastAsia="zh-CN" w:bidi="ar-SA"/>
              </w:rPr>
              <w:t>竣工环境保护验收监测》</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建设单位项目竣工环境保护验收监测表</w:t>
            </w:r>
            <w:r>
              <w:rPr>
                <w:rFonts w:hint="default" w:ascii="Times New Roman" w:hAnsi="Times New Roman" w:eastAsia="宋体" w:cs="Times New Roman"/>
                <w:color w:val="000000"/>
                <w:sz w:val="24"/>
                <w:szCs w:val="24"/>
                <w:highlight w:val="none"/>
                <w:lang w:val="en-US" w:eastAsia="zh-CN"/>
              </w:rPr>
              <w:t>详见</w:t>
            </w:r>
            <w:r>
              <w:rPr>
                <w:rFonts w:hint="default" w:ascii="Times New Roman" w:hAnsi="Times New Roman" w:eastAsia="宋体" w:cs="Times New Roman"/>
                <w:b/>
                <w:bCs/>
                <w:color w:val="000000"/>
                <w:sz w:val="24"/>
                <w:szCs w:val="24"/>
                <w:highlight w:val="none"/>
                <w:lang w:val="en-US" w:eastAsia="zh-CN"/>
              </w:rPr>
              <w:t>附件</w:t>
            </w:r>
            <w:r>
              <w:rPr>
                <w:rFonts w:hint="eastAsia" w:cs="Times New Roman"/>
                <w:b/>
                <w:bCs/>
                <w:color w:val="000000"/>
                <w:sz w:val="24"/>
                <w:szCs w:val="24"/>
                <w:highlight w:val="none"/>
                <w:lang w:val="en-US" w:eastAsia="zh-CN"/>
              </w:rPr>
              <w:t>十</w:t>
            </w:r>
            <w:r>
              <w:rPr>
                <w:rFonts w:hint="default"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于202</w:t>
            </w:r>
            <w:r>
              <w:rPr>
                <w:rFonts w:hint="eastAsia"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年</w:t>
            </w:r>
            <w:r>
              <w:rPr>
                <w:rFonts w:hint="eastAsia"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val="en-US" w:eastAsia="zh-CN"/>
              </w:rPr>
              <w:t>月</w:t>
            </w:r>
            <w:r>
              <w:rPr>
                <w:rFonts w:hint="eastAsia"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lang w:val="en-US" w:eastAsia="zh-CN"/>
              </w:rPr>
              <w:t>日在</w:t>
            </w:r>
            <w:r>
              <w:rPr>
                <w:rFonts w:hint="default" w:ascii="Times New Roman" w:hAnsi="Times New Roman" w:eastAsia="宋体" w:cs="Times New Roman"/>
                <w:color w:val="auto"/>
                <w:sz w:val="24"/>
                <w:szCs w:val="24"/>
                <w:highlight w:val="none"/>
                <w:lang w:val="en-US" w:eastAsia="zh-CN"/>
              </w:rPr>
              <w:t>全国排污许可证管理信息平台获得固定污染源排污登记回执（</w:t>
            </w:r>
            <w:r>
              <w:rPr>
                <w:rFonts w:hint="eastAsia" w:cs="Times New Roman"/>
                <w:color w:val="auto"/>
                <w:sz w:val="24"/>
                <w:szCs w:val="24"/>
                <w:highlight w:val="none"/>
                <w:lang w:val="en-US" w:eastAsia="zh-CN"/>
              </w:rPr>
              <w:t>登记编号：91350181337537655W001X，</w:t>
            </w:r>
            <w:r>
              <w:rPr>
                <w:rFonts w:hint="default" w:ascii="Times New Roman" w:hAnsi="Times New Roman" w:eastAsia="宋体" w:cs="Times New Roman"/>
                <w:color w:val="auto"/>
                <w:sz w:val="24"/>
                <w:szCs w:val="24"/>
                <w:highlight w:val="none"/>
                <w:lang w:val="en-US" w:eastAsia="zh-CN"/>
              </w:rPr>
              <w:t>排污</w:t>
            </w:r>
            <w:r>
              <w:rPr>
                <w:rFonts w:hint="eastAsia" w:cs="Times New Roman"/>
                <w:color w:val="auto"/>
                <w:sz w:val="24"/>
                <w:szCs w:val="24"/>
                <w:highlight w:val="none"/>
                <w:lang w:val="en-US" w:eastAsia="zh-CN"/>
              </w:rPr>
              <w:t>登记回执</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十一</w:t>
            </w:r>
            <w:r>
              <w:rPr>
                <w:rFonts w:hint="default" w:ascii="Times New Roman" w:hAnsi="Times New Roman" w:eastAsia="宋体" w:cs="Times New Roman"/>
                <w:color w:val="auto"/>
                <w:sz w:val="24"/>
                <w:szCs w:val="24"/>
                <w:highlight w:val="none"/>
                <w:lang w:val="en-US" w:eastAsia="zh-CN"/>
              </w:rPr>
              <w:t>）。</w:t>
            </w:r>
          </w:p>
          <w:p w14:paraId="29CCC8AC">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现因企业发展需求，企业拟投资</w:t>
            </w:r>
            <w:r>
              <w:rPr>
                <w:rFonts w:hint="default" w:ascii="Times New Roman" w:hAnsi="Times New Roman" w:cs="Times New Roman"/>
                <w:color w:val="auto"/>
                <w:sz w:val="24"/>
                <w:szCs w:val="24"/>
                <w:lang w:val="en-US" w:eastAsia="zh-CN"/>
              </w:rPr>
              <w:t>1146.31</w:t>
            </w:r>
            <w:r>
              <w:rPr>
                <w:rFonts w:hint="default" w:ascii="Times New Roman" w:hAnsi="Times New Roman" w:eastAsia="宋体" w:cs="Times New Roman"/>
                <w:color w:val="auto"/>
                <w:sz w:val="24"/>
                <w:szCs w:val="24"/>
                <w:highlight w:val="none"/>
                <w:lang w:val="en-US" w:eastAsia="zh-CN"/>
              </w:rPr>
              <w:t>万元</w:t>
            </w:r>
            <w:r>
              <w:rPr>
                <w:rFonts w:hint="default" w:ascii="Times New Roman" w:hAnsi="Times New Roman" w:eastAsia="宋体" w:cs="Times New Roman"/>
                <w:color w:val="auto"/>
                <w:sz w:val="24"/>
                <w:szCs w:val="24"/>
                <w:lang w:val="en-US" w:eastAsia="zh-CN"/>
              </w:rPr>
              <w:t>对</w:t>
            </w:r>
            <w:r>
              <w:rPr>
                <w:rFonts w:hint="default" w:ascii="Times New Roman" w:hAnsi="Times New Roman" w:cs="Times New Roman"/>
                <w:color w:val="auto"/>
                <w:sz w:val="24"/>
                <w:szCs w:val="24"/>
                <w:lang w:val="en-US" w:eastAsia="zh-CN"/>
              </w:rPr>
              <w:t>现有</w:t>
            </w:r>
            <w:r>
              <w:rPr>
                <w:rFonts w:hint="default" w:ascii="Times New Roman" w:hAnsi="Times New Roman" w:eastAsia="宋体" w:cs="Times New Roman"/>
                <w:color w:val="auto"/>
                <w:sz w:val="24"/>
                <w:szCs w:val="24"/>
                <w:lang w:val="en-US" w:eastAsia="zh-CN"/>
              </w:rPr>
              <w:t>厂址</w:t>
            </w:r>
            <w:r>
              <w:rPr>
                <w:rFonts w:hint="default" w:ascii="Times New Roman" w:hAnsi="Times New Roman" w:cs="Times New Roman"/>
                <w:color w:val="auto"/>
                <w:sz w:val="24"/>
                <w:szCs w:val="24"/>
                <w:lang w:val="en-US" w:eastAsia="zh-CN"/>
              </w:rPr>
              <w:t>内</w:t>
            </w:r>
            <w:r>
              <w:rPr>
                <w:rFonts w:hint="default" w:ascii="Times New Roman" w:hAnsi="Times New Roman" w:eastAsia="宋体" w:cs="Times New Roman"/>
                <w:color w:val="auto"/>
                <w:sz w:val="24"/>
                <w:szCs w:val="24"/>
                <w:lang w:val="en-US" w:eastAsia="zh-CN"/>
              </w:rPr>
              <w:t>进行产品产能的扩建，</w:t>
            </w:r>
            <w:r>
              <w:rPr>
                <w:rFonts w:hint="default" w:ascii="Times New Roman" w:hAnsi="Times New Roman" w:cs="Times New Roman"/>
                <w:color w:val="auto"/>
                <w:sz w:val="24"/>
                <w:szCs w:val="24"/>
                <w:lang w:val="en-US" w:eastAsia="zh-CN"/>
              </w:rPr>
              <w:t>新增用地面积6045m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合计租赁面积9131m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（共2座厂房）厂房主体已建设完成。本项目拟将1#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组装</w:t>
            </w:r>
            <w:r>
              <w:rPr>
                <w:rFonts w:hint="default" w:ascii="Times New Roman" w:hAnsi="Times New Roman" w:cs="Times New Roman"/>
                <w:color w:val="auto"/>
                <w:sz w:val="24"/>
                <w:szCs w:val="24"/>
                <w:highlight w:val="none"/>
                <w:lang w:val="en-US" w:eastAsia="zh-CN"/>
              </w:rPr>
              <w:t>车间（3086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内东侧闲置区域</w:t>
            </w:r>
            <w:r>
              <w:rPr>
                <w:rFonts w:hint="default" w:ascii="Times New Roman" w:hAnsi="Times New Roman" w:cs="Times New Roman"/>
                <w:color w:val="auto"/>
                <w:sz w:val="24"/>
                <w:szCs w:val="24"/>
                <w:highlight w:val="none"/>
                <w:lang w:val="en-US" w:eastAsia="zh-CN"/>
              </w:rPr>
              <w:t>（1024m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，新增</w:t>
            </w:r>
            <w:r>
              <w:rPr>
                <w:rFonts w:hint="default" w:ascii="Times New Roman" w:hAnsi="Times New Roman" w:cs="Times New Roman"/>
                <w:color w:val="auto"/>
                <w:sz w:val="24"/>
                <w:szCs w:val="24"/>
                <w:highlight w:val="none"/>
                <w:lang w:val="en-US" w:eastAsia="zh-CN"/>
              </w:rPr>
              <w:t>24台</w:t>
            </w:r>
            <w:r>
              <w:rPr>
                <w:rFonts w:hint="default" w:ascii="Times New Roman" w:hAnsi="Times New Roman" w:eastAsia="宋体" w:cs="Times New Roman"/>
                <w:color w:val="auto"/>
                <w:sz w:val="24"/>
                <w:szCs w:val="24"/>
                <w:highlight w:val="none"/>
                <w:lang w:val="en-US" w:eastAsia="zh-CN"/>
              </w:rPr>
              <w:t>成型机、</w:t>
            </w:r>
            <w:r>
              <w:rPr>
                <w:rFonts w:hint="default" w:ascii="Times New Roman" w:hAnsi="Times New Roman" w:cs="Times New Roman"/>
                <w:color w:val="auto"/>
                <w:sz w:val="24"/>
                <w:szCs w:val="24"/>
                <w:highlight w:val="none"/>
                <w:lang w:val="en-US" w:eastAsia="zh-CN"/>
              </w:rPr>
              <w:t>1台</w:t>
            </w:r>
            <w:r>
              <w:rPr>
                <w:rFonts w:hint="default" w:ascii="Times New Roman" w:hAnsi="Times New Roman" w:eastAsia="宋体" w:cs="Times New Roman"/>
                <w:color w:val="auto"/>
                <w:sz w:val="24"/>
                <w:szCs w:val="24"/>
                <w:highlight w:val="none"/>
                <w:lang w:val="en-US" w:eastAsia="zh-CN"/>
              </w:rPr>
              <w:t>发料机</w:t>
            </w:r>
            <w:r>
              <w:rPr>
                <w:rFonts w:hint="default" w:ascii="Times New Roman" w:hAnsi="Times New Roman" w:cs="Times New Roman"/>
                <w:color w:val="auto"/>
                <w:sz w:val="24"/>
                <w:szCs w:val="24"/>
                <w:highlight w:val="none"/>
                <w:lang w:val="en-US" w:eastAsia="zh-CN"/>
              </w:rPr>
              <w:t>以及相关辅助设备</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2#金属配件车间（9131</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highlight w:val="none"/>
                <w:lang w:val="en-US" w:eastAsia="zh-CN"/>
              </w:rPr>
              <w:t>）作为仓库使用，冷却水</w:t>
            </w:r>
            <w:r>
              <w:rPr>
                <w:rFonts w:hint="default"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cs="Times New Roman"/>
                <w:color w:val="auto"/>
                <w:sz w:val="24"/>
                <w:szCs w:val="24"/>
                <w:highlight w:val="none"/>
                <w:lang w:val="en-US" w:eastAsia="zh-CN"/>
              </w:rPr>
              <w:t>原环评内容将产生少量废气无组织排放，本次扩建拟在1#车间西侧外新增一台活性炭吸附装置将废气收集</w:t>
            </w:r>
            <w:r>
              <w:rPr>
                <w:rFonts w:hint="eastAsia" w:ascii="Times New Roman" w:hAnsi="Times New Roman" w:cs="Times New Roman"/>
                <w:color w:val="auto"/>
                <w:sz w:val="24"/>
                <w:szCs w:val="24"/>
                <w:highlight w:val="none"/>
                <w:lang w:val="en-US" w:eastAsia="zh-CN"/>
              </w:rPr>
              <w:t>并处理后达标排放。由于现有项目未产生危险废物，本次扩建后新增活性炭处理设施所产生废活性炭，拟在1#厂房西侧外按照规范设置一间面积2-3m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p>
          <w:p w14:paraId="61B71F94">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现有项目生产规模为年产EPS包装泡沫1800吨，本次扩建项目生产规模为年产EPS包装泡沫6000吨、EPO包装泡沫900吨、EPP包装泡沫1200吨。扩建后全厂生产规模为年产EPS包装泡沫7800吨、EPO包装泡沫900吨、EPP包装泡沫1200吨。</w:t>
            </w:r>
            <w:r>
              <w:rPr>
                <w:rFonts w:hint="default" w:ascii="Times New Roman" w:hAnsi="Times New Roman" w:eastAsia="宋体" w:cs="Times New Roman"/>
                <w:color w:val="auto"/>
                <w:sz w:val="24"/>
                <w:szCs w:val="24"/>
                <w:highlight w:val="none"/>
                <w:lang w:val="en-US" w:eastAsia="zh-CN"/>
              </w:rPr>
              <w:t>并于202</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lang w:val="en-US" w:eastAsia="zh-CN"/>
              </w:rPr>
              <w:t>日通过</w:t>
            </w:r>
            <w:r>
              <w:rPr>
                <w:rFonts w:hint="eastAsia" w:ascii="Times New Roman" w:hAnsi="Times New Roman"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工业和信息化局的备案（备案文号为：闽工信备</w:t>
            </w:r>
            <w:r>
              <w:rPr>
                <w:rFonts w:hint="eastAsia" w:ascii="Times New Roman" w:hAnsi="Times New Roman" w:cs="Times New Roman"/>
                <w:color w:val="auto"/>
                <w:sz w:val="24"/>
                <w:szCs w:val="24"/>
                <w:highlight w:val="none"/>
                <w:lang w:val="en-US" w:eastAsia="zh-CN"/>
              </w:rPr>
              <w:t>〔2026〕A</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（备案表详见</w:t>
            </w:r>
            <w:r>
              <w:rPr>
                <w:rFonts w:hint="eastAsia" w:ascii="Times New Roman" w:hAnsi="Times New Roman" w:eastAsia="宋体" w:cs="Times New Roman"/>
                <w:b/>
                <w:bCs/>
                <w:color w:val="auto"/>
                <w:sz w:val="24"/>
                <w:szCs w:val="24"/>
                <w:highlight w:val="none"/>
                <w:lang w:val="en-US" w:eastAsia="zh-CN"/>
              </w:rPr>
              <w:t>附件六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14:paraId="3A8757B6">
            <w:pPr>
              <w:pStyle w:val="8"/>
              <w:spacing w:line="360" w:lineRule="auto"/>
              <w:ind w:firstLine="480" w:firstLineChars="200"/>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u w:val="none"/>
                <w:lang w:val="en-US" w:eastAsia="zh-CN"/>
              </w:rPr>
              <w:t>根据《中华人民共和国环境保护法》（2015年）、《中华人民共和国环境影响评价法》（2018年修正）、《建设项目环境保护管理条例》（2017年）以及《建设项目环境影响评价分类管理名录（2021年）》等规定，</w:t>
            </w:r>
            <w:r>
              <w:rPr>
                <w:rFonts w:hint="eastAsia" w:cs="Times New Roman"/>
                <w:color w:val="auto"/>
                <w:sz w:val="24"/>
                <w:szCs w:val="24"/>
                <w:highlight w:val="none"/>
                <w:u w:val="none"/>
                <w:lang w:val="en-US" w:eastAsia="zh-CN"/>
              </w:rPr>
              <w:t>EPS包装泡沫、EPO包装泡沫、EPP包装泡沫的生产，涉及以合成树脂为主要原料，经发泡成型工艺加工制成内部具有微孔的塑料制品。</w:t>
            </w:r>
            <w:r>
              <w:rPr>
                <w:rFonts w:hint="default" w:ascii="Times New Roman" w:hAnsi="Times New Roman" w:eastAsia="宋体" w:cs="Times New Roman"/>
                <w:color w:val="auto"/>
                <w:sz w:val="24"/>
                <w:szCs w:val="24"/>
                <w:highlight w:val="none"/>
                <w:u w:val="none"/>
                <w:lang w:val="en-US" w:eastAsia="zh-CN"/>
              </w:rPr>
              <w:t>属于名录中“</w:t>
            </w:r>
            <w:r>
              <w:rPr>
                <w:rFonts w:hint="eastAsia" w:cs="Times New Roman"/>
                <w:color w:val="auto"/>
                <w:sz w:val="24"/>
                <w:szCs w:val="24"/>
                <w:highlight w:val="none"/>
                <w:u w:val="none"/>
                <w:lang w:val="en-US" w:eastAsia="zh-CN"/>
              </w:rPr>
              <w:t>二十六、橡胶</w:t>
            </w:r>
            <w:r>
              <w:rPr>
                <w:rFonts w:hint="eastAsia" w:cs="Times New Roman"/>
                <w:color w:val="000000" w:themeColor="text1"/>
                <w:sz w:val="24"/>
                <w:szCs w:val="24"/>
                <w:highlight w:val="none"/>
                <w:u w:val="none"/>
                <w:lang w:val="en-US" w:eastAsia="zh-CN"/>
                <w14:textFill>
                  <w14:solidFill>
                    <w14:schemeClr w14:val="tx1"/>
                  </w14:solidFill>
                </w14:textFill>
              </w:rPr>
              <w:t>和塑料制品业29—53塑料制品业292—其他（年用非溶剂型低VOCs含量涂料10吨以下的除外）</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本项目环评类别为环境影响报告表，详见表2-1。为此，</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该公司于202</w:t>
            </w:r>
            <w:r>
              <w:rPr>
                <w:rFonts w:hint="eastAsia" w:cs="Times New Roman"/>
                <w:color w:val="000000" w:themeColor="text1"/>
                <w:sz w:val="24"/>
                <w:szCs w:val="24"/>
                <w:highlight w:val="none"/>
                <w:u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月委托福州朴诚至信环保科技有限公司编制《</w:t>
            </w:r>
            <w:r>
              <w:rPr>
                <w:rFonts w:hint="eastAsia" w:cs="Times New Roman"/>
                <w:color w:val="000000" w:themeColor="text1"/>
                <w:sz w:val="24"/>
                <w:szCs w:val="24"/>
                <w:highlight w:val="none"/>
                <w:u w:val="none"/>
                <w:lang w:val="en-US" w:eastAsia="zh-CN"/>
                <w14:textFill>
                  <w14:solidFill>
                    <w14:schemeClr w14:val="tx1"/>
                  </w14:solidFill>
                </w14:textFill>
              </w:rPr>
              <w:t>福建恒润包装有限公司年产EPS包装泡沫7800吨、EPO包装泡沫900吨、EPP包装泡沫1200吨项目</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环</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境影响报告表》（</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委托书详见</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附件一</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。本环评单位接受委托后，立即派技术人员踏勘现场和收集有关资料，按照</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建设项目环境影响报告表编制技术指南</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污染影响类</w:t>
            </w:r>
            <w:r>
              <w:rPr>
                <w:rFonts w:hint="eastAsia" w:cs="Times New Roman"/>
                <w:color w:val="000000" w:themeColor="text1"/>
                <w:sz w:val="24"/>
                <w:szCs w:val="24"/>
                <w:highlight w:val="none"/>
                <w:u w:val="none"/>
                <w:lang w:eastAsia="zh-CN"/>
                <w14:textFill>
                  <w14:solidFill>
                    <w14:schemeClr w14:val="tx1"/>
                  </w14:solidFill>
                </w14:textFill>
              </w:rPr>
              <w:t>）（试行）》</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及相关技术规范要求，</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编制了本环境影响报告表，供建设单位上报</w:t>
            </w:r>
            <w:r>
              <w:rPr>
                <w:rFonts w:hint="default" w:ascii="Times New Roman" w:hAnsi="Times New Roman" w:eastAsia="宋体" w:cs="Times New Roman"/>
                <w:color w:val="000000" w:themeColor="text1"/>
                <w:kern w:val="0"/>
                <w:sz w:val="24"/>
                <w:szCs w:val="24"/>
                <w:highlight w:val="none"/>
                <w:u w:val="none"/>
                <w:lang w:eastAsia="zh-CN"/>
                <w14:textFill>
                  <w14:solidFill>
                    <w14:schemeClr w14:val="tx1"/>
                  </w14:solidFill>
                </w14:textFill>
              </w:rPr>
              <w:t>生态环境行政主管部门</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审批。</w:t>
            </w:r>
          </w:p>
          <w:p w14:paraId="21FBF633">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rPr>
                <w:rFonts w:hint="default" w:ascii="Times New Roman" w:hAnsi="Times New Roman" w:eastAsia="宋体" w:cs="Times New Roman"/>
                <w:b/>
                <w:bCs/>
                <w:color w:val="auto"/>
                <w:sz w:val="24"/>
                <w:szCs w:val="24"/>
                <w:highlight w:val="none"/>
                <w:lang w:val="en-US" w:eastAsia="zh-CN"/>
              </w:rPr>
            </w:pPr>
            <w:bookmarkStart w:id="20" w:name="_Toc21531"/>
            <w:bookmarkStart w:id="21" w:name="_Toc17739"/>
            <w:bookmarkStart w:id="22" w:name="_Toc2858"/>
            <w:bookmarkStart w:id="23" w:name="_Toc1709"/>
            <w:bookmarkStart w:id="24" w:name="_Toc13485"/>
            <w:bookmarkStart w:id="25" w:name="_Toc8414"/>
            <w:r>
              <w:rPr>
                <w:rFonts w:hint="default" w:ascii="Times New Roman" w:hAnsi="Times New Roman" w:eastAsia="宋体" w:cs="Times New Roman"/>
                <w:b/>
                <w:bCs/>
                <w:color w:val="auto"/>
                <w:sz w:val="24"/>
                <w:szCs w:val="24"/>
                <w:highlight w:val="none"/>
              </w:rPr>
              <w:t>表2</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-1建设项目环境影响评价分类管理名录</w:t>
            </w:r>
            <w:bookmarkEnd w:id="20"/>
            <w:bookmarkEnd w:id="21"/>
            <w:bookmarkEnd w:id="22"/>
            <w:bookmarkEnd w:id="23"/>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摘录</w:t>
            </w:r>
            <w:r>
              <w:rPr>
                <w:rFonts w:hint="default" w:ascii="Times New Roman" w:hAnsi="Times New Roman" w:eastAsia="宋体" w:cs="Times New Roman"/>
                <w:b/>
                <w:bCs/>
                <w:color w:val="auto"/>
                <w:sz w:val="24"/>
                <w:szCs w:val="24"/>
                <w:highlight w:val="none"/>
                <w:lang w:eastAsia="zh-CN"/>
              </w:rPr>
              <w:t>）</w:t>
            </w:r>
            <w:bookmarkEnd w:id="24"/>
          </w:p>
          <w:tbl>
            <w:tblPr>
              <w:tblStyle w:val="23"/>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745"/>
              <w:gridCol w:w="3029"/>
              <w:gridCol w:w="2173"/>
              <w:gridCol w:w="1096"/>
            </w:tblGrid>
            <w:tr w14:paraId="5EFFB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316" w:type="dxa"/>
                  <w:gridSpan w:val="2"/>
                  <w:tcBorders>
                    <w:tl2br w:val="single" w:color="auto" w:sz="2" w:space="0"/>
                  </w:tcBorders>
                  <w:shd w:val="clear" w:color="auto" w:fill="auto"/>
                  <w:vAlign w:val="center"/>
                </w:tcPr>
                <w:p w14:paraId="5E0D0FE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righ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环评类别</w:t>
                  </w:r>
                </w:p>
                <w:p w14:paraId="08183D2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项目类别</w:t>
                  </w:r>
                </w:p>
              </w:tc>
              <w:tc>
                <w:tcPr>
                  <w:tcW w:w="3029" w:type="dxa"/>
                  <w:tcBorders>
                    <w:tl2br w:val="nil"/>
                    <w:tr2bl w:val="nil"/>
                  </w:tcBorders>
                  <w:shd w:val="clear" w:color="auto" w:fill="auto"/>
                  <w:vAlign w:val="center"/>
                </w:tcPr>
                <w:p w14:paraId="5393639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报告书</w:t>
                  </w:r>
                </w:p>
              </w:tc>
              <w:tc>
                <w:tcPr>
                  <w:tcW w:w="2173" w:type="dxa"/>
                  <w:tcBorders>
                    <w:tl2br w:val="nil"/>
                    <w:tr2bl w:val="nil"/>
                  </w:tcBorders>
                  <w:shd w:val="clear" w:color="auto" w:fill="BEBEBE"/>
                  <w:vAlign w:val="center"/>
                </w:tcPr>
                <w:p w14:paraId="6781977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报告表</w:t>
                  </w:r>
                </w:p>
              </w:tc>
              <w:tc>
                <w:tcPr>
                  <w:tcW w:w="1096" w:type="dxa"/>
                  <w:tcBorders>
                    <w:tl2br w:val="nil"/>
                    <w:tr2bl w:val="nil"/>
                  </w:tcBorders>
                  <w:vAlign w:val="center"/>
                </w:tcPr>
                <w:p w14:paraId="473E00E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登记表</w:t>
                  </w:r>
                </w:p>
              </w:tc>
            </w:tr>
            <w:tr w14:paraId="68E62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14" w:type="dxa"/>
                  <w:gridSpan w:val="5"/>
                  <w:tcBorders>
                    <w:tl2br w:val="nil"/>
                    <w:tr2bl w:val="nil"/>
                  </w:tcBorders>
                  <w:shd w:val="clear" w:color="auto" w:fill="BEBEBE"/>
                  <w:vAlign w:val="center"/>
                </w:tcPr>
                <w:p w14:paraId="052AA69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val="0"/>
                      <w:bCs w:val="0"/>
                      <w:color w:val="auto"/>
                      <w:kern w:val="2"/>
                      <w:sz w:val="24"/>
                      <w:szCs w:val="24"/>
                      <w:highlight w:val="none"/>
                      <w:lang w:val="en-US" w:eastAsia="zh-CN" w:bidi="ar-SA"/>
                    </w:rPr>
                    <w:t>二十六、橡胶和塑料制品业29</w:t>
                  </w:r>
                </w:p>
              </w:tc>
            </w:tr>
            <w:tr w14:paraId="1D719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571" w:type="dxa"/>
                  <w:tcBorders>
                    <w:tl2br w:val="nil"/>
                    <w:tr2bl w:val="nil"/>
                  </w:tcBorders>
                  <w:shd w:val="clear" w:color="auto" w:fill="auto"/>
                  <w:vAlign w:val="center"/>
                </w:tcPr>
                <w:p w14:paraId="603CBE5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53</w:t>
                  </w:r>
                </w:p>
              </w:tc>
              <w:tc>
                <w:tcPr>
                  <w:tcW w:w="1745" w:type="dxa"/>
                  <w:tcBorders>
                    <w:tl2br w:val="nil"/>
                    <w:tr2bl w:val="nil"/>
                  </w:tcBorders>
                  <w:shd w:val="clear" w:color="auto" w:fill="auto"/>
                  <w:vAlign w:val="center"/>
                </w:tcPr>
                <w:p w14:paraId="7E63951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塑料制品业292</w:t>
                  </w:r>
                </w:p>
              </w:tc>
              <w:tc>
                <w:tcPr>
                  <w:tcW w:w="3029" w:type="dxa"/>
                  <w:tcBorders>
                    <w:tl2br w:val="nil"/>
                    <w:tr2bl w:val="nil"/>
                  </w:tcBorders>
                  <w:shd w:val="clear" w:color="auto" w:fill="auto"/>
                  <w:vAlign w:val="center"/>
                </w:tcPr>
                <w:p w14:paraId="1F918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以再生塑料为原料生产的；有电镀工艺的；年用溶剂型胶粘剂10吨及以上的；年用溶剂型涂料（含稀释剂）10吨及以上的</w:t>
                  </w:r>
                </w:p>
              </w:tc>
              <w:tc>
                <w:tcPr>
                  <w:tcW w:w="2173" w:type="dxa"/>
                  <w:tcBorders>
                    <w:tl2br w:val="nil"/>
                    <w:tr2bl w:val="nil"/>
                  </w:tcBorders>
                  <w:shd w:val="clear" w:color="auto" w:fill="BEBEBE"/>
                  <w:vAlign w:val="center"/>
                </w:tcPr>
                <w:p w14:paraId="376476A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其他</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年用非溶剂型低VOCs含量涂料10吨以下的除外</w:t>
                  </w:r>
                  <w:r>
                    <w:rPr>
                      <w:rFonts w:hint="eastAsia" w:cs="Times New Roman"/>
                      <w:b w:val="0"/>
                      <w:bCs w:val="0"/>
                      <w:color w:val="auto"/>
                      <w:kern w:val="2"/>
                      <w:sz w:val="24"/>
                      <w:szCs w:val="24"/>
                      <w:highlight w:val="none"/>
                      <w:lang w:val="en-US" w:eastAsia="zh-CN" w:bidi="ar-SA"/>
                    </w:rPr>
                    <w:t>）</w:t>
                  </w:r>
                </w:p>
              </w:tc>
              <w:tc>
                <w:tcPr>
                  <w:tcW w:w="1096" w:type="dxa"/>
                  <w:tcBorders>
                    <w:tl2br w:val="nil"/>
                    <w:tr2bl w:val="nil"/>
                  </w:tcBorders>
                  <w:vAlign w:val="center"/>
                </w:tcPr>
                <w:p w14:paraId="3B40BF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bl>
          <w:p w14:paraId="269EA98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pPr>
            <w:bookmarkStart w:id="26" w:name="_Toc22327"/>
            <w:r>
              <w:rPr>
                <w:rFonts w:hint="eastAsia" w:ascii="Times New Roman" w:hAnsi="Times New Roman" w:eastAsia="宋体" w:cs="Times New Roman"/>
                <w:color w:val="000000" w:themeColor="text1"/>
                <w:sz w:val="28"/>
                <w:szCs w:val="28"/>
                <w:highlight w:val="none"/>
                <w:u w:val="none"/>
                <w:lang w:val="en-US" w:eastAsia="zh-CN"/>
                <w14:textFill>
                  <w14:solidFill>
                    <w14:schemeClr w14:val="tx1"/>
                  </w14:solidFill>
                </w14:textFill>
              </w:rPr>
              <w:t>2.2</w:t>
            </w:r>
            <w:r>
              <w:rPr>
                <w:rFonts w:hint="eastAsia" w:ascii="Times New Roman" w:hAnsi="Times New Roman" w:cs="Times New Roman"/>
                <w:color w:val="000000" w:themeColor="text1"/>
                <w:sz w:val="28"/>
                <w:szCs w:val="28"/>
                <w:highlight w:val="none"/>
                <w:u w:val="none"/>
                <w:lang w:val="en-US" w:eastAsia="zh-CN"/>
                <w14:textFill>
                  <w14:solidFill>
                    <w14:schemeClr w14:val="tx1"/>
                  </w14:solidFill>
                </w14:textFill>
              </w:rPr>
              <w:t>扩建项目</w:t>
            </w:r>
            <w:bookmarkEnd w:id="25"/>
            <w:r>
              <w:rPr>
                <w:rFonts w:hint="eastAsia" w:ascii="Times New Roman" w:hAnsi="Times New Roman" w:cs="Times New Roman"/>
                <w:color w:val="000000" w:themeColor="text1"/>
                <w:sz w:val="28"/>
                <w:szCs w:val="28"/>
                <w:highlight w:val="none"/>
                <w:u w:val="none"/>
                <w:lang w:val="en-US" w:eastAsia="zh-CN"/>
                <w14:textFill>
                  <w14:solidFill>
                    <w14:schemeClr w14:val="tx1"/>
                  </w14:solidFill>
                </w14:textFill>
              </w:rPr>
              <w:t>概况</w:t>
            </w:r>
            <w:bookmarkEnd w:id="26"/>
          </w:p>
          <w:p w14:paraId="46137A7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7" w:name="_Toc9404"/>
            <w:bookmarkStart w:id="28" w:name="_Toc557"/>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2.2.1企业基本情况</w:t>
            </w:r>
            <w:bookmarkEnd w:id="27"/>
            <w:bookmarkEnd w:id="28"/>
          </w:p>
          <w:p w14:paraId="054488C1">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i w:val="0"/>
                <w:iCs w:val="0"/>
                <w:caps w:val="0"/>
                <w:color w:val="000000" w:themeColor="text1"/>
                <w:spacing w:val="0"/>
                <w:sz w:val="24"/>
                <w:szCs w:val="24"/>
                <w:highlight w:val="none"/>
                <w:shd w:val="clear" w:color="auto" w:fill="FFFFFF"/>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建设单位</w:t>
            </w:r>
            <w:r>
              <w:rPr>
                <w:rFonts w:hint="eastAsia" w:cs="Times New Roman"/>
                <w:color w:val="000000" w:themeColor="text1"/>
                <w:sz w:val="24"/>
                <w:szCs w:val="24"/>
                <w:highlight w:val="none"/>
                <w:lang w:val="en-US" w:eastAsia="zh-CN"/>
                <w14:textFill>
                  <w14:solidFill>
                    <w14:schemeClr w14:val="tx1"/>
                  </w14:solidFill>
                </w14:textFill>
              </w:rPr>
              <w:t>租赁福建力峰机械实业有限</w:t>
            </w:r>
            <w:r>
              <w:rPr>
                <w:rFonts w:hint="eastAsia" w:cs="Times New Roman"/>
                <w:color w:val="auto"/>
                <w:sz w:val="24"/>
                <w:szCs w:val="24"/>
                <w:highlight w:val="none"/>
                <w:lang w:val="en-US" w:eastAsia="zh-CN"/>
              </w:rPr>
              <w:t>公司位于</w:t>
            </w:r>
            <w:r>
              <w:rPr>
                <w:rFonts w:hint="eastAsia" w:cs="Times New Roman"/>
                <w:color w:val="auto"/>
                <w:sz w:val="24"/>
                <w:szCs w:val="24"/>
                <w:highlight w:val="none"/>
                <w:u w:val="none"/>
                <w:lang w:val="en-US" w:eastAsia="zh-CN"/>
              </w:rPr>
              <w:t>福建省福州市福清市新厝镇双屿500-22号（江阴港城经济区新厝区块）的1号、2号厂房作为生产场所</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房</w:t>
            </w:r>
            <w:r>
              <w:rPr>
                <w:rFonts w:hint="eastAsia" w:cs="Times New Roman"/>
                <w:color w:val="000000" w:themeColor="text1"/>
                <w:sz w:val="24"/>
                <w:szCs w:val="24"/>
                <w:highlight w:val="none"/>
                <w:lang w:val="en-US" w:eastAsia="zh-CN"/>
                <w14:textFill>
                  <w14:solidFill>
                    <w14:schemeClr w14:val="tx1"/>
                  </w14:solidFill>
                </w14:textFill>
              </w:rPr>
              <w:t>租赁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合同</w:t>
            </w:r>
            <w:r>
              <w:rPr>
                <w:rFonts w:hint="eastAsia" w:cs="Times New Roman"/>
                <w:color w:val="000000" w:themeColor="text1"/>
                <w:sz w:val="24"/>
                <w:szCs w:val="24"/>
                <w:highlight w:val="none"/>
                <w:lang w:val="en-US" w:eastAsia="zh-CN"/>
                <w14:textFill>
                  <w14:solidFill>
                    <w14:schemeClr w14:val="tx1"/>
                  </w14:solidFill>
                </w14:textFill>
              </w:rPr>
              <w:t>详</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八</w:t>
            </w:r>
            <w:r>
              <w:rPr>
                <w:rFonts w:hint="eastAsia" w:cs="Times New Roman"/>
                <w:color w:val="000000" w:themeColor="text1"/>
                <w:sz w:val="24"/>
                <w:szCs w:val="24"/>
                <w:highlight w:val="none"/>
                <w:lang w:val="en-US" w:eastAsia="zh-CN"/>
                <w14:textFill>
                  <w14:solidFill>
                    <w14:schemeClr w14:val="tx1"/>
                  </w14:solidFill>
                </w14:textFill>
              </w:rPr>
              <w:t>）（不动产权证详见</w:t>
            </w:r>
            <w:r>
              <w:rPr>
                <w:rFonts w:hint="eastAsia" w:cs="Times New Roman"/>
                <w:b/>
                <w:bCs/>
                <w:color w:val="000000" w:themeColor="text1"/>
                <w:sz w:val="24"/>
                <w:szCs w:val="24"/>
                <w:highlight w:val="none"/>
                <w:lang w:val="en-US" w:eastAsia="zh-CN"/>
                <w14:textFill>
                  <w14:solidFill>
                    <w14:schemeClr w14:val="tx1"/>
                  </w14:solidFill>
                </w14:textFill>
              </w:rPr>
              <w:t>附件七</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本次评价</w:t>
            </w:r>
            <w:r>
              <w:rPr>
                <w:rFonts w:hint="eastAsia" w:cs="Times New Roman"/>
                <w:color w:val="000000" w:themeColor="text1"/>
                <w:sz w:val="24"/>
                <w:szCs w:val="24"/>
                <w:highlight w:val="none"/>
                <w:lang w:val="en-US" w:eastAsia="zh-CN"/>
                <w14:textFill>
                  <w14:solidFill>
                    <w14:schemeClr w14:val="tx1"/>
                  </w14:solidFill>
                </w14:textFill>
              </w:rPr>
              <w:t>范围：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利用</w:t>
            </w:r>
            <w:r>
              <w:rPr>
                <w:rFonts w:hint="eastAsia" w:cs="Times New Roman"/>
                <w:color w:val="000000" w:themeColor="text1"/>
                <w:sz w:val="24"/>
                <w:szCs w:val="24"/>
                <w:highlight w:val="none"/>
                <w:lang w:val="en-US" w:eastAsia="zh-CN"/>
                <w14:textFill>
                  <w14:solidFill>
                    <w14:schemeClr w14:val="tx1"/>
                  </w14:solidFill>
                </w14:textFill>
              </w:rPr>
              <w:t>1号厂房原有项目（3068m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）闲置位置（1024m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作为本项目生产经营场所，</w:t>
            </w:r>
            <w:r>
              <w:rPr>
                <w:rFonts w:hint="eastAsia" w:cs="Times New Roman"/>
                <w:color w:val="000000" w:themeColor="text1"/>
                <w:sz w:val="24"/>
                <w:szCs w:val="24"/>
                <w:highlight w:val="none"/>
                <w:lang w:val="en-US" w:eastAsia="zh-CN"/>
                <w14:textFill>
                  <w14:solidFill>
                    <w14:schemeClr w14:val="tx1"/>
                  </w14:solidFill>
                </w14:textFill>
              </w:rPr>
              <w:t>2号厂房（6045m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作为原辅材料及成品仓库，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无需分割。</w:t>
            </w:r>
            <w:r>
              <w:rPr>
                <w:rFonts w:hint="eastAsia" w:cs="Times New Roman"/>
                <w:color w:val="000000" w:themeColor="text1"/>
                <w:sz w:val="24"/>
                <w:szCs w:val="24"/>
                <w:highlight w:val="none"/>
                <w:lang w:val="en-US" w:eastAsia="zh-CN"/>
                <w14:textFill>
                  <w14:solidFill>
                    <w14:schemeClr w14:val="tx1"/>
                  </w14:solidFill>
                </w14:textFill>
              </w:rPr>
              <w:t>现有项目已建设冷却水循环处理设施、化粪池、一般固废贮存间等。本次拟建设三条生产线及配套设施，危险废物贮存间、活性炭处理设施等。</w:t>
            </w:r>
          </w:p>
          <w:p w14:paraId="6EAB9C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9" w:name="_Toc29283"/>
            <w:bookmarkStart w:id="30" w:name="_Toc6433"/>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2项目基本情况</w:t>
            </w:r>
            <w:bookmarkEnd w:id="29"/>
            <w:bookmarkEnd w:id="30"/>
          </w:p>
          <w:p w14:paraId="330EFE6D">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（1）项目名称：</w:t>
            </w:r>
            <w:r>
              <w:rPr>
                <w:rFonts w:hint="eastAsia" w:cs="Times New Roman"/>
                <w:color w:val="000000" w:themeColor="text1"/>
                <w:sz w:val="24"/>
                <w:szCs w:val="24"/>
                <w:highlight w:val="none"/>
                <w:u w:val="none"/>
                <w:lang w:eastAsia="zh-CN"/>
                <w14:textFill>
                  <w14:solidFill>
                    <w14:schemeClr w14:val="tx1"/>
                  </w14:solidFill>
                </w14:textFill>
              </w:rPr>
              <w:t>福建恒润包装有限公司年产EPS包装泡沫7800吨、EPO包装泡沫900吨、EPP包装泡沫1200吨项目</w:t>
            </w:r>
          </w:p>
          <w:p w14:paraId="31F8F714">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（2）建设单位：</w:t>
            </w:r>
            <w:r>
              <w:rPr>
                <w:rFonts w:hint="eastAsia" w:cs="Times New Roman"/>
                <w:color w:val="auto"/>
                <w:sz w:val="24"/>
                <w:szCs w:val="24"/>
                <w:highlight w:val="none"/>
                <w:u w:val="none"/>
                <w:lang w:eastAsia="zh-CN"/>
              </w:rPr>
              <w:t>福建恒润包装有限公司</w:t>
            </w:r>
          </w:p>
          <w:p w14:paraId="501906EA">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（3）建设地点：</w:t>
            </w:r>
            <w:r>
              <w:rPr>
                <w:rFonts w:hint="eastAsia" w:cs="Times New Roman"/>
                <w:color w:val="auto"/>
                <w:sz w:val="24"/>
                <w:szCs w:val="24"/>
                <w:highlight w:val="none"/>
                <w:u w:val="none"/>
                <w:lang w:val="en-US" w:eastAsia="zh-CN"/>
              </w:rPr>
              <w:t>福建省福州市福清市新厝镇双屿500-22号（江阴港城经济区新厝区块）</w:t>
            </w:r>
          </w:p>
          <w:p w14:paraId="5B4BC5C2">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（4）建设性质：</w:t>
            </w:r>
            <w:r>
              <w:rPr>
                <w:rFonts w:hint="eastAsia" w:cs="Times New Roman"/>
                <w:color w:val="000000" w:themeColor="text1"/>
                <w:sz w:val="24"/>
                <w:szCs w:val="24"/>
                <w:highlight w:val="none"/>
                <w:lang w:val="en-US" w:eastAsia="zh-CN"/>
                <w14:textFill>
                  <w14:solidFill>
                    <w14:schemeClr w14:val="tx1"/>
                  </w14:solidFill>
                </w14:textFill>
              </w:rPr>
              <w:t>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w:t>
            </w:r>
          </w:p>
          <w:p w14:paraId="709F6DC8">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（5）总投资：</w:t>
            </w:r>
            <w:r>
              <w:rPr>
                <w:rFonts w:hint="eastAsia" w:cs="Times New Roman"/>
                <w:color w:val="000000" w:themeColor="text1"/>
                <w:sz w:val="24"/>
                <w:szCs w:val="24"/>
                <w:highlight w:val="none"/>
                <w:lang w:val="en-US" w:eastAsia="zh-CN"/>
                <w14:textFill>
                  <w14:solidFill>
                    <w14:schemeClr w14:val="tx1"/>
                  </w14:solidFill>
                </w14:textFill>
              </w:rPr>
              <w:t>1146.31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万元，其中环保投资</w:t>
            </w:r>
            <w:r>
              <w:rPr>
                <w:rFonts w:hint="eastAsia" w:cs="Times New Roman"/>
                <w:color w:val="000000" w:themeColor="text1"/>
                <w:sz w:val="24"/>
                <w:szCs w:val="24"/>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p>
          <w:p w14:paraId="1340F0BA">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eastAsia" w:cs="Times New Roman"/>
                <w:color w:val="000000" w:themeColor="text1"/>
                <w:sz w:val="24"/>
                <w:szCs w:val="24"/>
                <w:highlight w:val="none"/>
                <w:lang w:val="en-US" w:eastAsia="zh-CN"/>
                <w14:textFill>
                  <w14:solidFill>
                    <w14:schemeClr w14:val="tx1"/>
                  </w14:solidFill>
                </w14:textFill>
              </w:rPr>
              <w:t>工程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规模：</w:t>
            </w:r>
            <w:r>
              <w:rPr>
                <w:rFonts w:hint="eastAsia" w:cs="Times New Roman"/>
                <w:color w:val="000000" w:themeColor="text1"/>
                <w:sz w:val="24"/>
                <w:szCs w:val="24"/>
                <w:highlight w:val="none"/>
                <w:lang w:val="en-US" w:eastAsia="zh-CN"/>
                <w14:textFill>
                  <w14:solidFill>
                    <w14:schemeClr w14:val="tx1"/>
                  </w14:solidFill>
                </w14:textFill>
              </w:rPr>
              <w:t>主要建筑面积9131m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，本次扩建新增建筑面积6045m</w:t>
            </w:r>
            <w:r>
              <w:rPr>
                <w:rFonts w:hint="eastAsia" w:cs="Times New Roman"/>
                <w:color w:val="000000" w:themeColor="text1"/>
                <w:sz w:val="24"/>
                <w:szCs w:val="24"/>
                <w:highlight w:val="none"/>
                <w:vertAlign w:val="superscript"/>
                <w:lang w:val="en-US" w:eastAsia="zh-CN"/>
                <w14:textFill>
                  <w14:solidFill>
                    <w14:schemeClr w14:val="tx1"/>
                  </w14:solidFill>
                </w14:textFill>
              </w:rPr>
              <w:t>2</w:t>
            </w:r>
          </w:p>
          <w:p w14:paraId="1C4BC6FA">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eastAsia" w:cs="Times New Roman"/>
                <w:color w:val="000000" w:themeColor="text1"/>
                <w:sz w:val="24"/>
                <w:szCs w:val="24"/>
                <w:highlight w:val="none"/>
                <w:lang w:val="en-US" w:eastAsia="zh-CN"/>
                <w14:textFill>
                  <w14:solidFill>
                    <w14:schemeClr w14:val="tx1"/>
                  </w14:solidFill>
                </w14:textFill>
              </w:rPr>
              <w:t>工程规模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本次拟新增EPS包装泡沫生产线、EPP包装泡沫生产线、EPO包装泡沫生产线各1条，年产EPS包装泡沫6000吨、EPP包装泡沫900吨、EPO包装泡沫1200吨。项目建设完成后，全厂生产规模为年产EPS包装泡沫7800吨、EPP包装泡沫900吨、EPO包装泡沫1200吨。</w:t>
            </w:r>
          </w:p>
          <w:p w14:paraId="69B73D8C">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（8）工作制度：年生产3</w:t>
            </w:r>
            <w:r>
              <w:rPr>
                <w:rFonts w:hint="eastAsia" w:cs="Times New Roman"/>
                <w:color w:val="000000" w:themeColor="text1"/>
                <w:sz w:val="24"/>
                <w:szCs w:val="24"/>
                <w:highlight w:val="none"/>
                <w:u w:val="none"/>
                <w:vertAlign w:val="baseline"/>
                <w:lang w:val="en-US" w:eastAsia="zh-CN"/>
                <w14:textFill>
                  <w14:solidFill>
                    <w14:schemeClr w14:val="tx1"/>
                  </w14:solidFill>
                </w14:textFill>
              </w:rPr>
              <w:t>30</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天，</w:t>
            </w:r>
            <w:r>
              <w:rPr>
                <w:rFonts w:hint="eastAsia" w:cs="Times New Roman"/>
                <w:color w:val="000000" w:themeColor="text1"/>
                <w:sz w:val="24"/>
                <w:szCs w:val="24"/>
                <w:highlight w:val="none"/>
                <w:u w:val="none"/>
                <w:vertAlign w:val="baseline"/>
                <w:lang w:val="en-US" w:eastAsia="zh-CN"/>
                <w14:textFill>
                  <w14:solidFill>
                    <w14:schemeClr w14:val="tx1"/>
                  </w14:solidFill>
                </w14:textFill>
              </w:rPr>
              <w:t>两班制</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，每班</w:t>
            </w:r>
            <w:r>
              <w:rPr>
                <w:rFonts w:hint="eastAsia" w:cs="Times New Roman"/>
                <w:color w:val="000000" w:themeColor="text1"/>
                <w:sz w:val="24"/>
                <w:szCs w:val="24"/>
                <w:highlight w:val="none"/>
                <w:u w:val="none"/>
                <w:vertAlign w:val="baseline"/>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小时；</w:t>
            </w:r>
          </w:p>
          <w:p w14:paraId="6C5E865B">
            <w:pPr>
              <w:pStyle w:val="80"/>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（9）劳动定员：</w:t>
            </w:r>
            <w:r>
              <w:rPr>
                <w:rFonts w:hint="default" w:ascii="Times New Roman" w:hAnsi="Times New Roman" w:eastAsia="宋体" w:cs="Times New Roman"/>
                <w:color w:val="auto"/>
                <w:highlight w:val="none"/>
                <w:lang w:val="en-US" w:eastAsia="zh-CN"/>
              </w:rPr>
              <w:t>扩建</w:t>
            </w:r>
            <w:r>
              <w:rPr>
                <w:rFonts w:hint="eastAsia" w:cs="Times New Roman"/>
                <w:color w:val="auto"/>
                <w:highlight w:val="none"/>
                <w:lang w:val="en-US" w:eastAsia="zh-CN"/>
              </w:rPr>
              <w:t>项目新增</w:t>
            </w:r>
            <w:r>
              <w:rPr>
                <w:rFonts w:hint="default" w:ascii="Times New Roman" w:hAnsi="Times New Roman" w:eastAsia="宋体" w:cs="Times New Roman"/>
                <w:color w:val="auto"/>
                <w:highlight w:val="none"/>
                <w:lang w:val="en-US" w:eastAsia="zh-CN"/>
              </w:rPr>
              <w:t>职工</w:t>
            </w:r>
            <w:r>
              <w:rPr>
                <w:rFonts w:hint="eastAsia" w:cs="Times New Roman"/>
                <w:color w:val="auto"/>
                <w:highlight w:val="none"/>
                <w:lang w:val="en-US" w:eastAsia="zh-CN"/>
              </w:rPr>
              <w:t>10人</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全厂合计职工人数8</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人</w:t>
            </w:r>
            <w:r>
              <w:rPr>
                <w:rFonts w:hint="default" w:ascii="Times New Roman" w:hAnsi="Times New Roman" w:eastAsia="宋体" w:cs="Times New Roman"/>
                <w:color w:val="auto"/>
                <w:lang w:val="en-US" w:eastAsia="zh-CN"/>
              </w:rPr>
              <w:t>（</w:t>
            </w:r>
            <w:r>
              <w:rPr>
                <w:rFonts w:hint="eastAsia" w:cs="Times New Roman"/>
                <w:color w:val="auto"/>
                <w:lang w:val="en-US" w:eastAsia="zh-CN"/>
              </w:rPr>
              <w:t>均不在厂内食宿</w:t>
            </w:r>
            <w:r>
              <w:rPr>
                <w:rFonts w:hint="default" w:ascii="Times New Roman" w:hAnsi="Times New Roman" w:eastAsia="宋体" w:cs="Times New Roman"/>
                <w:color w:val="auto"/>
                <w:highlight w:val="none"/>
              </w:rPr>
              <w:t>）</w:t>
            </w:r>
          </w:p>
          <w:p w14:paraId="388DFE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1" w:name="_Toc27237"/>
            <w:bookmarkStart w:id="32" w:name="_Toc18841"/>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default" w:cs="Times New Roman"/>
                <w:b/>
                <w:bCs/>
                <w:color w:val="000000" w:themeColor="text1"/>
                <w:sz w:val="24"/>
                <w:szCs w:val="24"/>
                <w:highlight w:val="none"/>
                <w:u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项目工程组成及建设内容</w:t>
            </w:r>
            <w:bookmarkEnd w:id="31"/>
            <w:bookmarkEnd w:id="32"/>
          </w:p>
          <w:p w14:paraId="5FF4E001">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扩建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项目工程组成及建设内容详见表2.2-1。</w:t>
            </w:r>
          </w:p>
          <w:p w14:paraId="616A740D">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表2.2-1</w:t>
            </w:r>
            <w:r>
              <w:rPr>
                <w:rFonts w:hint="eastAsia" w:cs="Times New Roman"/>
                <w:b/>
                <w:bCs/>
                <w:color w:val="000000" w:themeColor="text1"/>
                <w:sz w:val="24"/>
                <w:szCs w:val="24"/>
                <w:highlight w:val="none"/>
                <w:lang w:val="en-US" w:eastAsia="zh-CN"/>
                <w14:textFill>
                  <w14:solidFill>
                    <w14:schemeClr w14:val="tx1"/>
                  </w14:solidFill>
                </w14:textFill>
              </w:rPr>
              <w:t>扩建</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项目工程组成及建设内容一览表</w:t>
            </w:r>
          </w:p>
          <w:tbl>
            <w:tblPr>
              <w:tblStyle w:val="24"/>
              <w:tblW w:w="86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273"/>
              <w:gridCol w:w="1904"/>
              <w:gridCol w:w="1949"/>
              <w:gridCol w:w="2061"/>
              <w:gridCol w:w="706"/>
            </w:tblGrid>
            <w:tr w14:paraId="488D9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21" w:type="dxa"/>
                  <w:tcBorders>
                    <w:tl2br w:val="nil"/>
                    <w:tr2bl w:val="nil"/>
                  </w:tcBorders>
                  <w:vAlign w:val="center"/>
                </w:tcPr>
                <w:p w14:paraId="5B2CC5F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工程类别</w:t>
                  </w:r>
                </w:p>
              </w:tc>
              <w:tc>
                <w:tcPr>
                  <w:tcW w:w="1273" w:type="dxa"/>
                  <w:tcBorders>
                    <w:tl2br w:val="nil"/>
                    <w:tr2bl w:val="nil"/>
                  </w:tcBorders>
                  <w:vAlign w:val="center"/>
                </w:tcPr>
                <w:p w14:paraId="1F84DA0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w:t>
                  </w:r>
                </w:p>
                <w:p w14:paraId="68BE3E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组成</w:t>
                  </w:r>
                </w:p>
              </w:tc>
              <w:tc>
                <w:tcPr>
                  <w:tcW w:w="1904" w:type="dxa"/>
                  <w:tcBorders>
                    <w:tl2br w:val="nil"/>
                    <w:tr2bl w:val="nil"/>
                  </w:tcBorders>
                  <w:vAlign w:val="center"/>
                </w:tcPr>
                <w:p w14:paraId="39B9479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现有</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工程规模和内容</w:t>
                  </w:r>
                </w:p>
              </w:tc>
              <w:tc>
                <w:tcPr>
                  <w:tcW w:w="1949" w:type="dxa"/>
                  <w:tcBorders>
                    <w:tl2br w:val="nil"/>
                    <w:tr2bl w:val="nil"/>
                  </w:tcBorders>
                  <w:vAlign w:val="center"/>
                </w:tcPr>
                <w:p w14:paraId="7572AF1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本项目扩建内容</w:t>
                  </w:r>
                </w:p>
              </w:tc>
              <w:tc>
                <w:tcPr>
                  <w:tcW w:w="2061" w:type="dxa"/>
                  <w:tcBorders>
                    <w:tl2br w:val="nil"/>
                    <w:tr2bl w:val="nil"/>
                  </w:tcBorders>
                  <w:vAlign w:val="center"/>
                </w:tcPr>
                <w:p w14:paraId="7EF54D4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扩建完成后建设内容</w:t>
                  </w:r>
                </w:p>
              </w:tc>
              <w:tc>
                <w:tcPr>
                  <w:tcW w:w="706" w:type="dxa"/>
                  <w:tcBorders>
                    <w:tl2br w:val="nil"/>
                    <w:tr2bl w:val="nil"/>
                  </w:tcBorders>
                  <w:vAlign w:val="center"/>
                </w:tcPr>
                <w:p w14:paraId="7F1CE81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备注</w:t>
                  </w:r>
                </w:p>
              </w:tc>
            </w:tr>
            <w:tr w14:paraId="565B7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21" w:type="dxa"/>
                  <w:vMerge w:val="restart"/>
                  <w:tcBorders>
                    <w:tl2br w:val="nil"/>
                    <w:tr2bl w:val="nil"/>
                  </w:tcBorders>
                  <w:vAlign w:val="center"/>
                </w:tcPr>
                <w:p w14:paraId="6ECF5B1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主体工程</w:t>
                  </w:r>
                </w:p>
              </w:tc>
              <w:tc>
                <w:tcPr>
                  <w:tcW w:w="1273" w:type="dxa"/>
                  <w:tcBorders>
                    <w:tl2br w:val="nil"/>
                    <w:tr2bl w:val="nil"/>
                  </w:tcBorders>
                  <w:vAlign w:val="center"/>
                </w:tcPr>
                <w:p w14:paraId="5C99630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生产厂房</w:t>
                  </w:r>
                </w:p>
              </w:tc>
              <w:tc>
                <w:tcPr>
                  <w:tcW w:w="1904" w:type="dxa"/>
                  <w:tcBorders>
                    <w:tl2br w:val="nil"/>
                    <w:tr2bl w:val="nil"/>
                  </w:tcBorders>
                  <w:vAlign w:val="center"/>
                </w:tcPr>
                <w:p w14:paraId="57E6289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占地3086m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，建筑面积3086m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，钢构、层高9m，共一层</w:t>
                  </w:r>
                </w:p>
              </w:tc>
              <w:tc>
                <w:tcPr>
                  <w:tcW w:w="1949" w:type="dxa"/>
                  <w:tcBorders>
                    <w:tl2br w:val="nil"/>
                    <w:tr2bl w:val="nil"/>
                  </w:tcBorders>
                  <w:vAlign w:val="center"/>
                </w:tcPr>
                <w:p w14:paraId="5E8381F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依托现有厂房空闲区域建设生产车间以及2号厂房（面积6045m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）作为仓库</w:t>
                  </w:r>
                </w:p>
              </w:tc>
              <w:tc>
                <w:tcPr>
                  <w:tcW w:w="2061" w:type="dxa"/>
                  <w:tcBorders>
                    <w:tl2br w:val="nil"/>
                    <w:tr2bl w:val="nil"/>
                  </w:tcBorders>
                  <w:vAlign w:val="center"/>
                </w:tcPr>
                <w:p w14:paraId="2288804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总占地9131m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，建筑面积9131m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。本次新增2号厂房面积6045m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，钢结构、层高9m，共一层</w:t>
                  </w:r>
                </w:p>
              </w:tc>
              <w:tc>
                <w:tcPr>
                  <w:tcW w:w="706" w:type="dxa"/>
                  <w:tcBorders>
                    <w:tl2br w:val="nil"/>
                    <w:tr2bl w:val="nil"/>
                  </w:tcBorders>
                  <w:shd w:val="clear" w:color="auto" w:fill="auto"/>
                  <w:vAlign w:val="center"/>
                </w:tcPr>
                <w:p w14:paraId="0A661E1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依托现有</w:t>
                  </w:r>
                </w:p>
              </w:tc>
            </w:tr>
            <w:tr w14:paraId="77B02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21" w:type="dxa"/>
                  <w:vMerge w:val="continue"/>
                  <w:tcBorders>
                    <w:tl2br w:val="nil"/>
                    <w:tr2bl w:val="nil"/>
                  </w:tcBorders>
                  <w:vAlign w:val="center"/>
                </w:tcPr>
                <w:p w14:paraId="7CE98B5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73" w:type="dxa"/>
                  <w:tcBorders>
                    <w:tl2br w:val="nil"/>
                    <w:tr2bl w:val="nil"/>
                  </w:tcBorders>
                  <w:vAlign w:val="center"/>
                </w:tcPr>
                <w:p w14:paraId="0531244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生产设备</w:t>
                  </w:r>
                </w:p>
              </w:tc>
              <w:tc>
                <w:tcPr>
                  <w:tcW w:w="1904" w:type="dxa"/>
                  <w:tcBorders>
                    <w:tl2br w:val="nil"/>
                    <w:tr2bl w:val="nil"/>
                  </w:tcBorders>
                  <w:vAlign w:val="center"/>
                </w:tcPr>
                <w:p w14:paraId="03CFA10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购置设备总数合计25台，建设一条EPS包装泡沫生产线</w:t>
                  </w:r>
                </w:p>
              </w:tc>
              <w:tc>
                <w:tcPr>
                  <w:tcW w:w="1949" w:type="dxa"/>
                  <w:tcBorders>
                    <w:tl2br w:val="nil"/>
                    <w:tr2bl w:val="nil"/>
                  </w:tcBorders>
                  <w:vAlign w:val="center"/>
                </w:tcPr>
                <w:p w14:paraId="3AEAE07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扩建新增设备总数62台，建设一条EPS包装泡沫生产线、一条EPP包装生产线、一条EPO包装生产线</w:t>
                  </w:r>
                </w:p>
              </w:tc>
              <w:tc>
                <w:tcPr>
                  <w:tcW w:w="2061" w:type="dxa"/>
                  <w:tcBorders>
                    <w:tl2br w:val="nil"/>
                    <w:tr2bl w:val="nil"/>
                  </w:tcBorders>
                  <w:vAlign w:val="center"/>
                </w:tcPr>
                <w:p w14:paraId="3975969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建设后全厂设备总数87台。共有两条EPS包装泡沫生产线、一条EPP包装生产线、一条EPO包装生产线</w:t>
                  </w:r>
                </w:p>
              </w:tc>
              <w:tc>
                <w:tcPr>
                  <w:tcW w:w="706" w:type="dxa"/>
                  <w:tcBorders>
                    <w:tl2br w:val="nil"/>
                    <w:tr2bl w:val="nil"/>
                  </w:tcBorders>
                  <w:vAlign w:val="center"/>
                </w:tcPr>
                <w:p w14:paraId="4C9F127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本次新增</w:t>
                  </w:r>
                </w:p>
              </w:tc>
            </w:tr>
            <w:tr w14:paraId="4F889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Merge w:val="restart"/>
                  <w:tcBorders>
                    <w:tl2br w:val="nil"/>
                    <w:tr2bl w:val="nil"/>
                  </w:tcBorders>
                  <w:vAlign w:val="center"/>
                </w:tcPr>
                <w:p w14:paraId="1CB36EA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辅助工程</w:t>
                  </w:r>
                </w:p>
              </w:tc>
              <w:tc>
                <w:tcPr>
                  <w:tcW w:w="1273" w:type="dxa"/>
                  <w:tcBorders>
                    <w:tl2br w:val="nil"/>
                    <w:tr2bl w:val="nil"/>
                  </w:tcBorders>
                  <w:vAlign w:val="center"/>
                </w:tcPr>
                <w:p w14:paraId="735AAD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lang w:val="en-US" w:eastAsia="zh-CN"/>
                    </w:rPr>
                  </w:pPr>
                  <w:r>
                    <w:rPr>
                      <w:rFonts w:hint="eastAsia" w:cs="Times New Roman"/>
                      <w:color w:val="000000" w:themeColor="text1"/>
                      <w:sz w:val="21"/>
                      <w:szCs w:val="21"/>
                      <w:highlight w:val="none"/>
                      <w:vertAlign w:val="baseline"/>
                      <w:lang w:val="en-US" w:eastAsia="zh-CN"/>
                      <w14:textFill>
                        <w14:solidFill>
                          <w14:schemeClr w14:val="tx1"/>
                        </w14:solidFill>
                      </w14:textFill>
                    </w:rPr>
                    <w:t>空压机房</w:t>
                  </w:r>
                </w:p>
              </w:tc>
              <w:tc>
                <w:tcPr>
                  <w:tcW w:w="1904" w:type="dxa"/>
                  <w:tcBorders>
                    <w:tl2br w:val="nil"/>
                    <w:tr2bl w:val="nil"/>
                  </w:tcBorders>
                  <w:vAlign w:val="center"/>
                </w:tcPr>
                <w:p w14:paraId="4DB04BD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位于项目西北侧建设一间空压机房</w:t>
                  </w:r>
                </w:p>
              </w:tc>
              <w:tc>
                <w:tcPr>
                  <w:tcW w:w="1949" w:type="dxa"/>
                  <w:tcBorders>
                    <w:tl2br w:val="nil"/>
                    <w:tr2bl w:val="nil"/>
                  </w:tcBorders>
                  <w:vAlign w:val="center"/>
                </w:tcPr>
                <w:p w14:paraId="5A07E9D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2061" w:type="dxa"/>
                  <w:tcBorders>
                    <w:tl2br w:val="nil"/>
                    <w:tr2bl w:val="nil"/>
                  </w:tcBorders>
                  <w:vAlign w:val="center"/>
                </w:tcPr>
                <w:p w14:paraId="374CBCC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位于项目西北侧建设一间空压机房</w:t>
                  </w:r>
                </w:p>
              </w:tc>
              <w:tc>
                <w:tcPr>
                  <w:tcW w:w="706" w:type="dxa"/>
                  <w:tcBorders>
                    <w:tl2br w:val="nil"/>
                    <w:tr2bl w:val="nil"/>
                  </w:tcBorders>
                  <w:vAlign w:val="center"/>
                </w:tcPr>
                <w:p w14:paraId="528E908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165A3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1" w:type="dxa"/>
                  <w:vMerge w:val="continue"/>
                  <w:tcBorders>
                    <w:tl2br w:val="nil"/>
                    <w:tr2bl w:val="nil"/>
                  </w:tcBorders>
                  <w:vAlign w:val="center"/>
                </w:tcPr>
                <w:p w14:paraId="46893D9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73" w:type="dxa"/>
                  <w:tcBorders>
                    <w:tl2br w:val="nil"/>
                    <w:tr2bl w:val="nil"/>
                  </w:tcBorders>
                  <w:vAlign w:val="center"/>
                </w:tcPr>
                <w:p w14:paraId="307A9AC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lang w:val="en-US" w:eastAsia="zh-CN"/>
                    </w:rPr>
                  </w:pPr>
                  <w:r>
                    <w:rPr>
                      <w:rFonts w:hint="eastAsia" w:cs="Times New Roman"/>
                      <w:color w:val="000000" w:themeColor="text1"/>
                      <w:sz w:val="21"/>
                      <w:szCs w:val="21"/>
                      <w:highlight w:val="none"/>
                      <w:vertAlign w:val="baseline"/>
                      <w:lang w:val="en-US" w:eastAsia="zh-CN"/>
                      <w14:textFill>
                        <w14:solidFill>
                          <w14:schemeClr w14:val="tx1"/>
                        </w14:solidFill>
                      </w14:textFill>
                    </w:rPr>
                    <w:t>原料区</w:t>
                  </w:r>
                </w:p>
              </w:tc>
              <w:tc>
                <w:tcPr>
                  <w:tcW w:w="1904" w:type="dxa"/>
                  <w:tcBorders>
                    <w:tl2br w:val="nil"/>
                    <w:tr2bl w:val="nil"/>
                  </w:tcBorders>
                  <w:vAlign w:val="center"/>
                </w:tcPr>
                <w:p w14:paraId="6DD65A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位于项目车间内西南角</w:t>
                  </w:r>
                </w:p>
              </w:tc>
              <w:tc>
                <w:tcPr>
                  <w:tcW w:w="1949" w:type="dxa"/>
                  <w:tcBorders>
                    <w:tl2br w:val="nil"/>
                    <w:tr2bl w:val="nil"/>
                  </w:tcBorders>
                  <w:vAlign w:val="center"/>
                </w:tcPr>
                <w:p w14:paraId="70C1AB0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2061" w:type="dxa"/>
                  <w:tcBorders>
                    <w:tl2br w:val="nil"/>
                    <w:tr2bl w:val="nil"/>
                  </w:tcBorders>
                  <w:vAlign w:val="center"/>
                </w:tcPr>
                <w:p w14:paraId="495B763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位于项目车间内西南角</w:t>
                  </w:r>
                </w:p>
              </w:tc>
              <w:tc>
                <w:tcPr>
                  <w:tcW w:w="706" w:type="dxa"/>
                  <w:tcBorders>
                    <w:tl2br w:val="nil"/>
                    <w:tr2bl w:val="nil"/>
                  </w:tcBorders>
                  <w:vAlign w:val="center"/>
                </w:tcPr>
                <w:p w14:paraId="377D6F8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71BDB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dxa"/>
                  <w:vMerge w:val="continue"/>
                  <w:tcBorders>
                    <w:tl2br w:val="nil"/>
                    <w:tr2bl w:val="nil"/>
                  </w:tcBorders>
                  <w:vAlign w:val="center"/>
                </w:tcPr>
                <w:p w14:paraId="43E807A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73" w:type="dxa"/>
                  <w:tcBorders>
                    <w:tl2br w:val="nil"/>
                    <w:tr2bl w:val="nil"/>
                  </w:tcBorders>
                  <w:vAlign w:val="center"/>
                </w:tcPr>
                <w:p w14:paraId="2ABA29A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highlight w:val="none"/>
                      <w:vertAlign w:val="baseline"/>
                      <w:lang w:val="en-US" w:eastAsia="zh-CN"/>
                    </w:rPr>
                  </w:pPr>
                  <w:r>
                    <w:rPr>
                      <w:rFonts w:hint="eastAsia" w:cs="Times New Roman"/>
                      <w:color w:val="auto"/>
                      <w:sz w:val="21"/>
                      <w:szCs w:val="21"/>
                      <w:highlight w:val="none"/>
                      <w:vertAlign w:val="baseline"/>
                      <w:lang w:val="en-US" w:eastAsia="zh-CN"/>
                    </w:rPr>
                    <w:t>成品区</w:t>
                  </w:r>
                </w:p>
              </w:tc>
              <w:tc>
                <w:tcPr>
                  <w:tcW w:w="1904" w:type="dxa"/>
                  <w:tcBorders>
                    <w:tl2br w:val="nil"/>
                    <w:tr2bl w:val="nil"/>
                  </w:tcBorders>
                  <w:vAlign w:val="center"/>
                </w:tcPr>
                <w:p w14:paraId="1C91967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车间内东侧一角作为成品存放区</w:t>
                  </w:r>
                </w:p>
              </w:tc>
              <w:tc>
                <w:tcPr>
                  <w:tcW w:w="1949" w:type="dxa"/>
                  <w:tcBorders>
                    <w:tl2br w:val="nil"/>
                    <w:tr2bl w:val="nil"/>
                  </w:tcBorders>
                  <w:vAlign w:val="center"/>
                </w:tcPr>
                <w:p w14:paraId="380894C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新增2#厂房作为成品仓库，面积6045m</w:t>
                  </w:r>
                  <w:r>
                    <w:rPr>
                      <w:rFonts w:hint="eastAsia" w:cs="Times New Roman"/>
                      <w:color w:val="auto"/>
                      <w:sz w:val="21"/>
                      <w:szCs w:val="21"/>
                      <w:highlight w:val="none"/>
                      <w:vertAlign w:val="superscript"/>
                      <w:lang w:val="en-US" w:eastAsia="zh-CN"/>
                    </w:rPr>
                    <w:t>2</w:t>
                  </w:r>
                </w:p>
              </w:tc>
              <w:tc>
                <w:tcPr>
                  <w:tcW w:w="2061" w:type="dxa"/>
                  <w:tcBorders>
                    <w:tl2br w:val="nil"/>
                    <w:tr2bl w:val="nil"/>
                  </w:tcBorders>
                  <w:vAlign w:val="center"/>
                </w:tcPr>
                <w:p w14:paraId="3F2E38AC">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成品仓库位于新增2#厂房作为成品仓库，面积6045m</w:t>
                  </w:r>
                  <w:r>
                    <w:rPr>
                      <w:rFonts w:hint="eastAsia" w:cs="Times New Roman"/>
                      <w:color w:val="auto"/>
                      <w:sz w:val="21"/>
                      <w:szCs w:val="21"/>
                      <w:highlight w:val="none"/>
                      <w:vertAlign w:val="superscript"/>
                      <w:lang w:val="en-US" w:eastAsia="zh-CN"/>
                    </w:rPr>
                    <w:t>2</w:t>
                  </w:r>
                </w:p>
              </w:tc>
              <w:tc>
                <w:tcPr>
                  <w:tcW w:w="706" w:type="dxa"/>
                  <w:tcBorders>
                    <w:tl2br w:val="nil"/>
                    <w:tr2bl w:val="nil"/>
                  </w:tcBorders>
                  <w:vAlign w:val="center"/>
                </w:tcPr>
                <w:p w14:paraId="4343117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本次新增</w:t>
                  </w:r>
                </w:p>
              </w:tc>
            </w:tr>
            <w:tr w14:paraId="0B8AC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21" w:type="dxa"/>
                  <w:vMerge w:val="restart"/>
                  <w:tcBorders>
                    <w:tl2br w:val="nil"/>
                    <w:tr2bl w:val="nil"/>
                  </w:tcBorders>
                  <w:vAlign w:val="center"/>
                </w:tcPr>
                <w:p w14:paraId="3032496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公用工程</w:t>
                  </w:r>
                </w:p>
              </w:tc>
              <w:tc>
                <w:tcPr>
                  <w:tcW w:w="1273" w:type="dxa"/>
                  <w:tcBorders>
                    <w:tl2br w:val="nil"/>
                    <w:tr2bl w:val="nil"/>
                  </w:tcBorders>
                  <w:shd w:val="clear" w:color="auto" w:fill="auto"/>
                  <w:vAlign w:val="center"/>
                </w:tcPr>
                <w:p w14:paraId="3BE4B44A">
                  <w:pPr>
                    <w:snapToGrid w:val="0"/>
                    <w:spacing w:line="240" w:lineRule="atLeast"/>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供水</w:t>
                  </w:r>
                </w:p>
              </w:tc>
              <w:tc>
                <w:tcPr>
                  <w:tcW w:w="1904" w:type="dxa"/>
                  <w:tcBorders>
                    <w:tl2br w:val="nil"/>
                    <w:tr2bl w:val="nil"/>
                  </w:tcBorders>
                  <w:vAlign w:val="center"/>
                </w:tcPr>
                <w:p w14:paraId="0108993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市政供水管网供给</w:t>
                  </w:r>
                </w:p>
              </w:tc>
              <w:tc>
                <w:tcPr>
                  <w:tcW w:w="1949" w:type="dxa"/>
                  <w:tcBorders>
                    <w:tl2br w:val="nil"/>
                    <w:tr2bl w:val="nil"/>
                  </w:tcBorders>
                  <w:vAlign w:val="center"/>
                </w:tcPr>
                <w:p w14:paraId="7D16376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olor w:val="auto"/>
                      <w:szCs w:val="21"/>
                      <w:highlight w:val="none"/>
                    </w:rPr>
                  </w:pPr>
                  <w:r>
                    <w:rPr>
                      <w:rFonts w:hint="eastAsia" w:cs="Times New Roman"/>
                      <w:color w:val="auto"/>
                      <w:sz w:val="21"/>
                      <w:szCs w:val="21"/>
                      <w:highlight w:val="none"/>
                      <w:vertAlign w:val="baseline"/>
                      <w:lang w:val="en-US" w:eastAsia="zh-CN"/>
                    </w:rPr>
                    <w:t>利用现有项目，无新增</w:t>
                  </w:r>
                </w:p>
              </w:tc>
              <w:tc>
                <w:tcPr>
                  <w:tcW w:w="2061" w:type="dxa"/>
                  <w:tcBorders>
                    <w:tl2br w:val="nil"/>
                    <w:tr2bl w:val="nil"/>
                  </w:tcBorders>
                  <w:shd w:val="clear" w:color="auto" w:fill="auto"/>
                  <w:vAlign w:val="center"/>
                </w:tcPr>
                <w:p w14:paraId="228D9C1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市政供水管网供给</w:t>
                  </w:r>
                </w:p>
              </w:tc>
              <w:tc>
                <w:tcPr>
                  <w:tcW w:w="706" w:type="dxa"/>
                  <w:tcBorders>
                    <w:tl2br w:val="nil"/>
                    <w:tr2bl w:val="nil"/>
                  </w:tcBorders>
                  <w:shd w:val="clear" w:color="auto" w:fill="auto"/>
                  <w:vAlign w:val="center"/>
                </w:tcPr>
                <w:p w14:paraId="53D9958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0D47B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721" w:type="dxa"/>
                  <w:vMerge w:val="continue"/>
                  <w:tcBorders>
                    <w:tl2br w:val="nil"/>
                    <w:tr2bl w:val="nil"/>
                  </w:tcBorders>
                  <w:vAlign w:val="center"/>
                </w:tcPr>
                <w:p w14:paraId="1AAFF8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73" w:type="dxa"/>
                  <w:tcBorders>
                    <w:tl2br w:val="nil"/>
                    <w:tr2bl w:val="nil"/>
                  </w:tcBorders>
                  <w:shd w:val="clear" w:color="auto" w:fill="auto"/>
                  <w:vAlign w:val="center"/>
                </w:tcPr>
                <w:p w14:paraId="320C57BB">
                  <w:pPr>
                    <w:snapToGrid w:val="0"/>
                    <w:spacing w:line="240" w:lineRule="atLeast"/>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供电</w:t>
                  </w:r>
                </w:p>
              </w:tc>
              <w:tc>
                <w:tcPr>
                  <w:tcW w:w="1904" w:type="dxa"/>
                  <w:tcBorders>
                    <w:tl2br w:val="nil"/>
                    <w:tr2bl w:val="nil"/>
                  </w:tcBorders>
                  <w:vAlign w:val="center"/>
                </w:tcPr>
                <w:p w14:paraId="565486C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市政供电</w:t>
                  </w:r>
                </w:p>
              </w:tc>
              <w:tc>
                <w:tcPr>
                  <w:tcW w:w="1949" w:type="dxa"/>
                  <w:tcBorders>
                    <w:tl2br w:val="nil"/>
                    <w:tr2bl w:val="nil"/>
                  </w:tcBorders>
                  <w:shd w:val="clear" w:color="auto" w:fill="auto"/>
                  <w:vAlign w:val="center"/>
                </w:tcPr>
                <w:p w14:paraId="371216A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2061" w:type="dxa"/>
                  <w:tcBorders>
                    <w:tl2br w:val="nil"/>
                    <w:tr2bl w:val="nil"/>
                  </w:tcBorders>
                  <w:shd w:val="clear" w:color="auto" w:fill="auto"/>
                  <w:vAlign w:val="center"/>
                </w:tcPr>
                <w:p w14:paraId="066F47C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市政供电</w:t>
                  </w:r>
                </w:p>
              </w:tc>
              <w:tc>
                <w:tcPr>
                  <w:tcW w:w="706" w:type="dxa"/>
                  <w:tcBorders>
                    <w:tl2br w:val="nil"/>
                    <w:tr2bl w:val="nil"/>
                  </w:tcBorders>
                  <w:shd w:val="clear" w:color="auto" w:fill="auto"/>
                  <w:vAlign w:val="center"/>
                </w:tcPr>
                <w:p w14:paraId="0427741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78DFB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721" w:type="dxa"/>
                  <w:vMerge w:val="continue"/>
                  <w:tcBorders>
                    <w:tl2br w:val="nil"/>
                    <w:tr2bl w:val="nil"/>
                  </w:tcBorders>
                  <w:vAlign w:val="center"/>
                </w:tcPr>
                <w:p w14:paraId="7AACA19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73" w:type="dxa"/>
                  <w:tcBorders>
                    <w:tl2br w:val="nil"/>
                    <w:tr2bl w:val="nil"/>
                  </w:tcBorders>
                  <w:shd w:val="clear" w:color="auto" w:fill="auto"/>
                  <w:vAlign w:val="center"/>
                </w:tcPr>
                <w:p w14:paraId="6F6F313C">
                  <w:pPr>
                    <w:snapToGrid w:val="0"/>
                    <w:spacing w:line="240" w:lineRule="atLeast"/>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供气</w:t>
                  </w:r>
                </w:p>
              </w:tc>
              <w:tc>
                <w:tcPr>
                  <w:tcW w:w="1904" w:type="dxa"/>
                  <w:tcBorders>
                    <w:tl2br w:val="nil"/>
                    <w:tr2bl w:val="nil"/>
                  </w:tcBorders>
                  <w:vAlign w:val="center"/>
                </w:tcPr>
                <w:p w14:paraId="6C73DF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olor w:val="auto"/>
                      <w:lang w:val="en-US" w:eastAsia="zh-CN"/>
                    </w:rPr>
                  </w:pPr>
                  <w:r>
                    <w:rPr>
                      <w:rFonts w:hint="eastAsia" w:cs="Times New Roman"/>
                      <w:color w:val="auto"/>
                      <w:sz w:val="21"/>
                      <w:szCs w:val="21"/>
                      <w:highlight w:val="none"/>
                      <w:vertAlign w:val="baseline"/>
                      <w:lang w:val="en-US" w:eastAsia="zh-CN"/>
                    </w:rPr>
                    <w:t>蒸汽由国电福州发电有限公司供应，年供应1300吨，以管道方式输送，正常流量为3t/h</w:t>
                  </w:r>
                </w:p>
              </w:tc>
              <w:tc>
                <w:tcPr>
                  <w:tcW w:w="1949" w:type="dxa"/>
                  <w:tcBorders>
                    <w:tl2br w:val="nil"/>
                    <w:tr2bl w:val="nil"/>
                  </w:tcBorders>
                  <w:vAlign w:val="center"/>
                </w:tcPr>
                <w:p w14:paraId="7424D2C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与现有项目相同</w:t>
                  </w:r>
                </w:p>
              </w:tc>
              <w:tc>
                <w:tcPr>
                  <w:tcW w:w="2061" w:type="dxa"/>
                  <w:tcBorders>
                    <w:tl2br w:val="nil"/>
                    <w:tr2bl w:val="nil"/>
                  </w:tcBorders>
                  <w:shd w:val="clear" w:color="auto" w:fill="auto"/>
                  <w:vAlign w:val="center"/>
                </w:tcPr>
                <w:p w14:paraId="13DBA83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1"/>
                      <w:highlight w:val="none"/>
                      <w:vertAlign w:val="baseline"/>
                      <w:lang w:val="en-US" w:eastAsia="zh-CN"/>
                    </w:rPr>
                    <w:t>蒸汽由国电福州发电有限公司供应，年供应93000吨，以管道方式输送，正常流量为3t/h</w:t>
                  </w:r>
                </w:p>
              </w:tc>
              <w:tc>
                <w:tcPr>
                  <w:tcW w:w="706" w:type="dxa"/>
                  <w:tcBorders>
                    <w:tl2br w:val="nil"/>
                    <w:tr2bl w:val="nil"/>
                  </w:tcBorders>
                  <w:shd w:val="clear" w:color="auto" w:fill="auto"/>
                  <w:vAlign w:val="center"/>
                </w:tcPr>
                <w:p w14:paraId="677491F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新增用量</w:t>
                  </w:r>
                </w:p>
              </w:tc>
            </w:tr>
            <w:tr w14:paraId="19188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21" w:type="dxa"/>
                  <w:vMerge w:val="restart"/>
                  <w:tcBorders>
                    <w:tl2br w:val="nil"/>
                    <w:tr2bl w:val="nil"/>
                  </w:tcBorders>
                  <w:vAlign w:val="center"/>
                </w:tcPr>
                <w:p w14:paraId="537B56B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环保工程</w:t>
                  </w:r>
                </w:p>
              </w:tc>
              <w:tc>
                <w:tcPr>
                  <w:tcW w:w="1273" w:type="dxa"/>
                  <w:tcBorders>
                    <w:tl2br w:val="nil"/>
                    <w:tr2bl w:val="nil"/>
                  </w:tcBorders>
                  <w:vAlign w:val="center"/>
                </w:tcPr>
                <w:p w14:paraId="2580CE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生活污水化粪池</w:t>
                  </w:r>
                </w:p>
              </w:tc>
              <w:tc>
                <w:tcPr>
                  <w:tcW w:w="1904" w:type="dxa"/>
                  <w:tcBorders>
                    <w:tl2br w:val="nil"/>
                    <w:tr2bl w:val="nil"/>
                  </w:tcBorders>
                  <w:vAlign w:val="center"/>
                </w:tcPr>
                <w:p w14:paraId="60AC2573">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依托厂区内已建设化粪池（40m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1949" w:type="dxa"/>
                  <w:tcBorders>
                    <w:tl2br w:val="nil"/>
                    <w:tr2bl w:val="nil"/>
                  </w:tcBorders>
                  <w:vAlign w:val="center"/>
                </w:tcPr>
                <w:p w14:paraId="2D58A05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u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2061" w:type="dxa"/>
                  <w:tcBorders>
                    <w:tl2br w:val="nil"/>
                    <w:tr2bl w:val="nil"/>
                  </w:tcBorders>
                  <w:vAlign w:val="center"/>
                </w:tcPr>
                <w:p w14:paraId="3DD11F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依托厂区内已建设化粪池（40m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706" w:type="dxa"/>
                  <w:tcBorders>
                    <w:tl2br w:val="nil"/>
                    <w:tr2bl w:val="nil"/>
                  </w:tcBorders>
                  <w:vAlign w:val="center"/>
                </w:tcPr>
                <w:p w14:paraId="68AB78B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24FCB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21" w:type="dxa"/>
                  <w:vMerge w:val="continue"/>
                  <w:tcBorders>
                    <w:tl2br w:val="nil"/>
                    <w:tr2bl w:val="nil"/>
                  </w:tcBorders>
                  <w:vAlign w:val="center"/>
                </w:tcPr>
                <w:p w14:paraId="53E1CF1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73" w:type="dxa"/>
                  <w:tcBorders>
                    <w:tl2br w:val="nil"/>
                    <w:tr2bl w:val="nil"/>
                  </w:tcBorders>
                  <w:shd w:val="clear" w:color="auto" w:fill="auto"/>
                  <w:vAlign w:val="center"/>
                </w:tcPr>
                <w:p w14:paraId="7D96B99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冷却水循环沉淀池</w:t>
                  </w:r>
                </w:p>
              </w:tc>
              <w:tc>
                <w:tcPr>
                  <w:tcW w:w="1904" w:type="dxa"/>
                  <w:tcBorders>
                    <w:tl2br w:val="nil"/>
                    <w:tr2bl w:val="nil"/>
                  </w:tcBorders>
                  <w:shd w:val="clear" w:color="auto" w:fill="auto"/>
                  <w:vAlign w:val="center"/>
                </w:tcPr>
                <w:p w14:paraId="38F1C40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冷却水循环沉淀池（长×宽×高：17m×4m×3m）</w:t>
                  </w:r>
                </w:p>
              </w:tc>
              <w:tc>
                <w:tcPr>
                  <w:tcW w:w="1949" w:type="dxa"/>
                  <w:tcBorders>
                    <w:tl2br w:val="nil"/>
                    <w:tr2bl w:val="nil"/>
                  </w:tcBorders>
                  <w:shd w:val="clear" w:color="auto" w:fill="auto"/>
                  <w:vAlign w:val="center"/>
                </w:tcPr>
                <w:p w14:paraId="5E9554B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u w:val="none"/>
                      <w:vertAlign w:val="baseline"/>
                      <w:lang w:val="en-US" w:eastAsia="zh-CN" w:bidi="ar-SA"/>
                    </w:rPr>
                  </w:pPr>
                  <w:r>
                    <w:rPr>
                      <w:rFonts w:hint="eastAsia" w:cs="Times New Roman"/>
                      <w:color w:val="auto"/>
                      <w:sz w:val="21"/>
                      <w:szCs w:val="21"/>
                      <w:highlight w:val="none"/>
                      <w:vertAlign w:val="baseline"/>
                      <w:lang w:val="en-US" w:eastAsia="zh-CN"/>
                    </w:rPr>
                    <w:t>利用现有项目，无新增</w:t>
                  </w:r>
                </w:p>
              </w:tc>
              <w:tc>
                <w:tcPr>
                  <w:tcW w:w="2061" w:type="dxa"/>
                  <w:tcBorders>
                    <w:tl2br w:val="nil"/>
                    <w:tr2bl w:val="nil"/>
                  </w:tcBorders>
                  <w:shd w:val="clear" w:color="auto" w:fill="auto"/>
                  <w:vAlign w:val="center"/>
                </w:tcPr>
                <w:p w14:paraId="2E57500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冷却水循环沉淀池（长×宽×高：17m×4m×3m）</w:t>
                  </w:r>
                </w:p>
              </w:tc>
              <w:tc>
                <w:tcPr>
                  <w:tcW w:w="706" w:type="dxa"/>
                  <w:tcBorders>
                    <w:tl2br w:val="nil"/>
                    <w:tr2bl w:val="nil"/>
                  </w:tcBorders>
                  <w:shd w:val="clear" w:color="auto" w:fill="auto"/>
                  <w:vAlign w:val="center"/>
                </w:tcPr>
                <w:p w14:paraId="26DA924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依托现有</w:t>
                  </w:r>
                </w:p>
              </w:tc>
            </w:tr>
            <w:tr w14:paraId="3A92B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721" w:type="dxa"/>
                  <w:vMerge w:val="continue"/>
                  <w:tcBorders>
                    <w:tl2br w:val="nil"/>
                    <w:tr2bl w:val="nil"/>
                  </w:tcBorders>
                  <w:vAlign w:val="center"/>
                </w:tcPr>
                <w:p w14:paraId="71A1882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73" w:type="dxa"/>
                  <w:tcBorders>
                    <w:tl2br w:val="nil"/>
                    <w:tr2bl w:val="nil"/>
                  </w:tcBorders>
                  <w:vAlign w:val="center"/>
                </w:tcPr>
                <w:p w14:paraId="3C4D3EF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活性炭吸附装置</w:t>
                  </w:r>
                </w:p>
              </w:tc>
              <w:tc>
                <w:tcPr>
                  <w:tcW w:w="1904" w:type="dxa"/>
                  <w:tcBorders>
                    <w:tl2br w:val="nil"/>
                    <w:tr2bl w:val="nil"/>
                  </w:tcBorders>
                  <w:vAlign w:val="center"/>
                </w:tcPr>
                <w:p w14:paraId="32350BE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1949" w:type="dxa"/>
                  <w:tcBorders>
                    <w:tl2br w:val="nil"/>
                    <w:tr2bl w:val="nil"/>
                  </w:tcBorders>
                  <w:vAlign w:val="center"/>
                </w:tcPr>
                <w:p w14:paraId="50F99B9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新增一台活性炭吸附装置，</w:t>
                  </w:r>
                  <w:r>
                    <w:rPr>
                      <w:rFonts w:hint="eastAsia" w:cs="Times New Roman"/>
                      <w:color w:val="auto"/>
                      <w:sz w:val="21"/>
                      <w:szCs w:val="21"/>
                      <w:highlight w:val="none"/>
                      <w:vertAlign w:val="baseline"/>
                      <w:lang w:val="en-US" w:eastAsia="zh-CN"/>
                    </w:rPr>
                    <w:t>加强车间内通风排气，确保废气排放达标</w:t>
                  </w:r>
                </w:p>
              </w:tc>
              <w:tc>
                <w:tcPr>
                  <w:tcW w:w="2061" w:type="dxa"/>
                  <w:tcBorders>
                    <w:tl2br w:val="nil"/>
                    <w:tr2bl w:val="nil"/>
                  </w:tcBorders>
                  <w:vAlign w:val="center"/>
                </w:tcPr>
                <w:p w14:paraId="40A95D6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highlight w:val="none"/>
                      <w:lang w:val="en-US" w:eastAsia="zh-CN"/>
                    </w:rPr>
                    <w:t>新增一台活性炭吸附装置</w:t>
                  </w:r>
                  <w:r>
                    <w:rPr>
                      <w:rFonts w:hint="eastAsia" w:cs="Times New Roman"/>
                      <w:color w:val="auto"/>
                      <w:sz w:val="21"/>
                      <w:szCs w:val="21"/>
                      <w:highlight w:val="none"/>
                      <w:vertAlign w:val="baseline"/>
                      <w:lang w:val="en-US" w:eastAsia="zh-CN"/>
                    </w:rPr>
                    <w:t>加强车间内通风排气，确保废气排放达标</w:t>
                  </w:r>
                </w:p>
              </w:tc>
              <w:tc>
                <w:tcPr>
                  <w:tcW w:w="706" w:type="dxa"/>
                  <w:tcBorders>
                    <w:tl2br w:val="nil"/>
                    <w:tr2bl w:val="nil"/>
                  </w:tcBorders>
                  <w:vAlign w:val="center"/>
                </w:tcPr>
                <w:p w14:paraId="706590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本次新增</w:t>
                  </w:r>
                </w:p>
              </w:tc>
            </w:tr>
            <w:tr w14:paraId="3B90D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21" w:type="dxa"/>
                  <w:vMerge w:val="continue"/>
                  <w:tcBorders>
                    <w:tl2br w:val="nil"/>
                    <w:tr2bl w:val="nil"/>
                  </w:tcBorders>
                  <w:vAlign w:val="center"/>
                </w:tcPr>
                <w:p w14:paraId="30A0170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bookmarkStart w:id="33" w:name="_Toc24491"/>
                </w:p>
              </w:tc>
              <w:tc>
                <w:tcPr>
                  <w:tcW w:w="1273" w:type="dxa"/>
                  <w:tcBorders>
                    <w:tl2br w:val="nil"/>
                    <w:tr2bl w:val="nil"/>
                  </w:tcBorders>
                  <w:vAlign w:val="center"/>
                </w:tcPr>
                <w:p w14:paraId="47BE335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一般固体废物贮存区</w:t>
                  </w:r>
                </w:p>
              </w:tc>
              <w:tc>
                <w:tcPr>
                  <w:tcW w:w="1904" w:type="dxa"/>
                  <w:tcBorders>
                    <w:tl2br w:val="nil"/>
                    <w:tr2bl w:val="nil"/>
                  </w:tcBorders>
                  <w:vAlign w:val="center"/>
                </w:tcPr>
                <w:p w14:paraId="2DFB7BC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厂区北侧设置一般固体废物贮存区</w:t>
                  </w:r>
                </w:p>
              </w:tc>
              <w:tc>
                <w:tcPr>
                  <w:tcW w:w="1949" w:type="dxa"/>
                  <w:tcBorders>
                    <w:tl2br w:val="nil"/>
                    <w:tr2bl w:val="nil"/>
                  </w:tcBorders>
                  <w:vAlign w:val="center"/>
                </w:tcPr>
                <w:p w14:paraId="172C639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highlight w:val="none"/>
                      <w:lang w:val="en-US" w:eastAsia="zh-CN"/>
                    </w:rPr>
                  </w:pPr>
                  <w:r>
                    <w:rPr>
                      <w:rFonts w:hint="eastAsia" w:cs="Times New Roman"/>
                      <w:color w:val="auto"/>
                      <w:sz w:val="21"/>
                      <w:szCs w:val="21"/>
                      <w:highlight w:val="none"/>
                      <w:vertAlign w:val="baseline"/>
                      <w:lang w:val="en-US" w:eastAsia="zh-CN"/>
                    </w:rPr>
                    <w:t>利用现有项目，无新增</w:t>
                  </w:r>
                </w:p>
              </w:tc>
              <w:tc>
                <w:tcPr>
                  <w:tcW w:w="2061" w:type="dxa"/>
                  <w:tcBorders>
                    <w:tl2br w:val="nil"/>
                    <w:tr2bl w:val="nil"/>
                  </w:tcBorders>
                  <w:vAlign w:val="center"/>
                </w:tcPr>
                <w:p w14:paraId="23617DA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highlight w:val="none"/>
                      <w:lang w:val="en-US" w:eastAsia="zh-CN"/>
                    </w:rPr>
                  </w:pPr>
                  <w:r>
                    <w:rPr>
                      <w:rFonts w:hint="eastAsia" w:cs="Times New Roman"/>
                      <w:color w:val="auto"/>
                      <w:sz w:val="21"/>
                      <w:szCs w:val="21"/>
                      <w:highlight w:val="none"/>
                      <w:vertAlign w:val="baseline"/>
                      <w:lang w:val="en-US" w:eastAsia="zh-CN"/>
                    </w:rPr>
                    <w:t>厂区北侧设置一般固体废物贮存区</w:t>
                  </w:r>
                </w:p>
              </w:tc>
              <w:tc>
                <w:tcPr>
                  <w:tcW w:w="706" w:type="dxa"/>
                  <w:tcBorders>
                    <w:tl2br w:val="nil"/>
                    <w:tr2bl w:val="nil"/>
                  </w:tcBorders>
                  <w:vAlign w:val="center"/>
                </w:tcPr>
                <w:p w14:paraId="7CAE0DA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依托现有</w:t>
                  </w:r>
                </w:p>
              </w:tc>
            </w:tr>
            <w:tr w14:paraId="31721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721" w:type="dxa"/>
                  <w:vMerge w:val="continue"/>
                  <w:tcBorders>
                    <w:tl2br w:val="nil"/>
                    <w:tr2bl w:val="nil"/>
                  </w:tcBorders>
                  <w:vAlign w:val="center"/>
                </w:tcPr>
                <w:p w14:paraId="32E202F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73" w:type="dxa"/>
                  <w:tcBorders>
                    <w:tl2br w:val="nil"/>
                    <w:tr2bl w:val="nil"/>
                  </w:tcBorders>
                  <w:vAlign w:val="center"/>
                </w:tcPr>
                <w:p w14:paraId="640F932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危险废物贮存间</w:t>
                  </w:r>
                </w:p>
              </w:tc>
              <w:tc>
                <w:tcPr>
                  <w:tcW w:w="1904" w:type="dxa"/>
                  <w:tcBorders>
                    <w:tl2br w:val="nil"/>
                    <w:tr2bl w:val="nil"/>
                  </w:tcBorders>
                  <w:vAlign w:val="center"/>
                </w:tcPr>
                <w:p w14:paraId="639E3B7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949" w:type="dxa"/>
                  <w:tcBorders>
                    <w:tl2br w:val="nil"/>
                    <w:tr2bl w:val="nil"/>
                  </w:tcBorders>
                  <w:vAlign w:val="center"/>
                </w:tcPr>
                <w:p w14:paraId="16CD4E6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本项目拟在1#车间西侧建设一间约2-3m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的危险废物贮存间</w:t>
                  </w:r>
                </w:p>
              </w:tc>
              <w:tc>
                <w:tcPr>
                  <w:tcW w:w="2061" w:type="dxa"/>
                  <w:tcBorders>
                    <w:tl2br w:val="nil"/>
                    <w:tr2bl w:val="nil"/>
                  </w:tcBorders>
                  <w:vAlign w:val="center"/>
                </w:tcPr>
                <w:p w14:paraId="0ED39C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本项目拟在1#车间西侧建设一间约2-3m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的危险废物贮存间</w:t>
                  </w:r>
                </w:p>
              </w:tc>
              <w:tc>
                <w:tcPr>
                  <w:tcW w:w="706" w:type="dxa"/>
                  <w:tcBorders>
                    <w:tl2br w:val="nil"/>
                    <w:tr2bl w:val="nil"/>
                  </w:tcBorders>
                  <w:vAlign w:val="center"/>
                </w:tcPr>
                <w:p w14:paraId="30C8F16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本次新增</w:t>
                  </w:r>
                </w:p>
              </w:tc>
            </w:tr>
          </w:tbl>
          <w:p w14:paraId="77C83FF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4" w:name="_Toc25412"/>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default" w:cs="Times New Roman"/>
                <w:b/>
                <w:bCs/>
                <w:color w:val="000000" w:themeColor="text1"/>
                <w:sz w:val="24"/>
                <w:szCs w:val="24"/>
                <w:highlight w:val="none"/>
                <w:u w:val="none"/>
                <w:lang w:val="en-US" w:eastAsia="zh-CN"/>
                <w14:textFill>
                  <w14:solidFill>
                    <w14:schemeClr w14:val="tx1"/>
                  </w14:solidFill>
                </w14:textFill>
              </w:rPr>
              <w:t>4</w:t>
            </w:r>
            <w:bookmarkEnd w:id="33"/>
            <w:r>
              <w:rPr>
                <w:rFonts w:hint="eastAsia" w:cs="Times New Roman"/>
                <w:b/>
                <w:bCs/>
                <w:color w:val="000000" w:themeColor="text1"/>
                <w:sz w:val="24"/>
                <w:szCs w:val="24"/>
                <w:highlight w:val="none"/>
                <w:u w:val="none"/>
                <w:lang w:val="en-US" w:eastAsia="zh-CN"/>
                <w14:textFill>
                  <w14:solidFill>
                    <w14:schemeClr w14:val="tx1"/>
                  </w14:solidFill>
                </w14:textFill>
              </w:rPr>
              <w:t>项目产品方案</w:t>
            </w:r>
            <w:bookmarkEnd w:id="34"/>
          </w:p>
          <w:p w14:paraId="2B1CE2B2">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根据建设单位提供资料，项目现有工程和扩建后工程具体产品方案及产量情况详见表2.2-2。</w:t>
            </w:r>
          </w:p>
          <w:p w14:paraId="4133A7E5">
            <w:pPr>
              <w:pStyle w:val="21"/>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t>表2.2-2项目主要产品方案</w:t>
            </w:r>
          </w:p>
          <w:tbl>
            <w:tblPr>
              <w:tblStyle w:val="24"/>
              <w:tblW w:w="86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689"/>
              <w:gridCol w:w="707"/>
              <w:gridCol w:w="1260"/>
              <w:gridCol w:w="1380"/>
              <w:gridCol w:w="1335"/>
              <w:gridCol w:w="1687"/>
            </w:tblGrid>
            <w:tr w14:paraId="37CC5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1" w:hRule="atLeast"/>
              </w:trPr>
              <w:tc>
                <w:tcPr>
                  <w:tcW w:w="558" w:type="dxa"/>
                  <w:tcBorders>
                    <w:tl2br w:val="nil"/>
                    <w:tr2bl w:val="nil"/>
                  </w:tcBorders>
                  <w:vAlign w:val="center"/>
                </w:tcPr>
                <w:p w14:paraId="0C1934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1689" w:type="dxa"/>
                  <w:tcBorders>
                    <w:tl2br w:val="nil"/>
                    <w:tr2bl w:val="nil"/>
                  </w:tcBorders>
                  <w:vAlign w:val="center"/>
                </w:tcPr>
                <w:p w14:paraId="69A418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产品名称</w:t>
                  </w:r>
                </w:p>
              </w:tc>
              <w:tc>
                <w:tcPr>
                  <w:tcW w:w="707" w:type="dxa"/>
                  <w:tcBorders>
                    <w:tl2br w:val="nil"/>
                    <w:tr2bl w:val="nil"/>
                  </w:tcBorders>
                  <w:shd w:val="clear" w:color="auto" w:fill="auto"/>
                  <w:vAlign w:val="center"/>
                </w:tcPr>
                <w:p w14:paraId="570146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单位</w:t>
                  </w:r>
                </w:p>
              </w:tc>
              <w:tc>
                <w:tcPr>
                  <w:tcW w:w="1260" w:type="dxa"/>
                  <w:tcBorders>
                    <w:tl2br w:val="nil"/>
                    <w:tr2bl w:val="nil"/>
                  </w:tcBorders>
                  <w:shd w:val="clear" w:color="auto" w:fill="auto"/>
                  <w:vAlign w:val="center"/>
                </w:tcPr>
                <w:p w14:paraId="3FDF24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现有产品产能</w:t>
                  </w:r>
                </w:p>
              </w:tc>
              <w:tc>
                <w:tcPr>
                  <w:tcW w:w="1380" w:type="dxa"/>
                  <w:tcBorders>
                    <w:tl2br w:val="nil"/>
                    <w:tr2bl w:val="nil"/>
                  </w:tcBorders>
                  <w:shd w:val="clear" w:color="auto" w:fill="auto"/>
                  <w:vAlign w:val="center"/>
                </w:tcPr>
                <w:p w14:paraId="713581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本次扩建项目产品产能</w:t>
                  </w:r>
                </w:p>
              </w:tc>
              <w:tc>
                <w:tcPr>
                  <w:tcW w:w="1335" w:type="dxa"/>
                  <w:tcBorders>
                    <w:tl2br w:val="nil"/>
                    <w:tr2bl w:val="nil"/>
                  </w:tcBorders>
                  <w:shd w:val="clear" w:color="auto" w:fill="auto"/>
                  <w:vAlign w:val="center"/>
                </w:tcPr>
                <w:p w14:paraId="418080C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扩建后全厂产品产能</w:t>
                  </w:r>
                </w:p>
              </w:tc>
              <w:tc>
                <w:tcPr>
                  <w:tcW w:w="1687" w:type="dxa"/>
                  <w:tcBorders>
                    <w:tl2br w:val="nil"/>
                    <w:tr2bl w:val="nil"/>
                  </w:tcBorders>
                  <w:shd w:val="clear" w:color="auto" w:fill="auto"/>
                  <w:vAlign w:val="center"/>
                </w:tcPr>
                <w:p w14:paraId="26C915B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产品用途</w:t>
                  </w:r>
                </w:p>
              </w:tc>
            </w:tr>
            <w:tr w14:paraId="270B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58" w:type="dxa"/>
                  <w:tcBorders>
                    <w:tl2br w:val="nil"/>
                    <w:tr2bl w:val="nil"/>
                  </w:tcBorders>
                  <w:vAlign w:val="center"/>
                </w:tcPr>
                <w:p w14:paraId="08F54F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1689" w:type="dxa"/>
                  <w:tcBorders>
                    <w:tl2br w:val="nil"/>
                    <w:tr2bl w:val="nil"/>
                  </w:tcBorders>
                  <w:vAlign w:val="center"/>
                </w:tcPr>
                <w:p w14:paraId="0A8E8D3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EPS包装泡沫</w:t>
                  </w:r>
                </w:p>
              </w:tc>
              <w:tc>
                <w:tcPr>
                  <w:tcW w:w="707" w:type="dxa"/>
                  <w:tcBorders>
                    <w:tl2br w:val="nil"/>
                    <w:tr2bl w:val="nil"/>
                  </w:tcBorders>
                  <w:shd w:val="clear" w:color="auto" w:fill="auto"/>
                  <w:vAlign w:val="center"/>
                </w:tcPr>
                <w:p w14:paraId="7C551E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t/a</w:t>
                  </w:r>
                </w:p>
              </w:tc>
              <w:tc>
                <w:tcPr>
                  <w:tcW w:w="1260" w:type="dxa"/>
                  <w:tcBorders>
                    <w:tl2br w:val="nil"/>
                    <w:tr2bl w:val="nil"/>
                  </w:tcBorders>
                  <w:vAlign w:val="center"/>
                </w:tcPr>
                <w:p w14:paraId="3D52972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1800</w:t>
                  </w:r>
                </w:p>
              </w:tc>
              <w:tc>
                <w:tcPr>
                  <w:tcW w:w="1380" w:type="dxa"/>
                  <w:tcBorders>
                    <w:tl2br w:val="nil"/>
                    <w:tr2bl w:val="nil"/>
                  </w:tcBorders>
                  <w:vAlign w:val="center"/>
                </w:tcPr>
                <w:p w14:paraId="2C06914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6000</w:t>
                  </w:r>
                </w:p>
              </w:tc>
              <w:tc>
                <w:tcPr>
                  <w:tcW w:w="1335" w:type="dxa"/>
                  <w:tcBorders>
                    <w:tl2br w:val="nil"/>
                    <w:tr2bl w:val="nil"/>
                  </w:tcBorders>
                  <w:vAlign w:val="center"/>
                </w:tcPr>
                <w:p w14:paraId="67B3FD3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7800</w:t>
                  </w:r>
                </w:p>
              </w:tc>
              <w:tc>
                <w:tcPr>
                  <w:tcW w:w="1687" w:type="dxa"/>
                  <w:tcBorders>
                    <w:tl2br w:val="nil"/>
                    <w:tr2bl w:val="nil"/>
                  </w:tcBorders>
                  <w:vAlign w:val="center"/>
                </w:tcPr>
                <w:p w14:paraId="5AF99D92">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保温、包装防护</w:t>
                  </w:r>
                </w:p>
              </w:tc>
            </w:tr>
            <w:tr w14:paraId="0CF6C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58" w:type="dxa"/>
                  <w:tcBorders>
                    <w:tl2br w:val="nil"/>
                    <w:tr2bl w:val="nil"/>
                  </w:tcBorders>
                  <w:vAlign w:val="center"/>
                </w:tcPr>
                <w:p w14:paraId="0795189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bookmarkStart w:id="35" w:name="_Toc30151"/>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1689" w:type="dxa"/>
                  <w:tcBorders>
                    <w:tl2br w:val="nil"/>
                    <w:tr2bl w:val="nil"/>
                  </w:tcBorders>
                  <w:vAlign w:val="center"/>
                </w:tcPr>
                <w:p w14:paraId="4B7593C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EPO包装泡沫</w:t>
                  </w:r>
                </w:p>
              </w:tc>
              <w:tc>
                <w:tcPr>
                  <w:tcW w:w="707" w:type="dxa"/>
                  <w:tcBorders>
                    <w:tl2br w:val="nil"/>
                    <w:tr2bl w:val="nil"/>
                  </w:tcBorders>
                  <w:shd w:val="clear" w:color="auto" w:fill="auto"/>
                  <w:vAlign w:val="center"/>
                </w:tcPr>
                <w:p w14:paraId="65BD0E5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t/a</w:t>
                  </w:r>
                </w:p>
              </w:tc>
              <w:tc>
                <w:tcPr>
                  <w:tcW w:w="1260" w:type="dxa"/>
                  <w:tcBorders>
                    <w:tl2br w:val="nil"/>
                    <w:tr2bl w:val="nil"/>
                  </w:tcBorders>
                  <w:vAlign w:val="center"/>
                </w:tcPr>
                <w:p w14:paraId="6156B7C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380" w:type="dxa"/>
                  <w:tcBorders>
                    <w:tl2br w:val="nil"/>
                    <w:tr2bl w:val="nil"/>
                  </w:tcBorders>
                  <w:vAlign w:val="center"/>
                </w:tcPr>
                <w:p w14:paraId="34C1404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800</w:t>
                  </w:r>
                </w:p>
              </w:tc>
              <w:tc>
                <w:tcPr>
                  <w:tcW w:w="1335" w:type="dxa"/>
                  <w:tcBorders>
                    <w:tl2br w:val="nil"/>
                    <w:tr2bl w:val="nil"/>
                  </w:tcBorders>
                  <w:vAlign w:val="center"/>
                </w:tcPr>
                <w:p w14:paraId="5E23A1D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800</w:t>
                  </w:r>
                </w:p>
              </w:tc>
              <w:tc>
                <w:tcPr>
                  <w:tcW w:w="1687" w:type="dxa"/>
                  <w:tcBorders>
                    <w:tl2br w:val="nil"/>
                    <w:tr2bl w:val="nil"/>
                  </w:tcBorders>
                  <w:vAlign w:val="center"/>
                </w:tcPr>
                <w:p w14:paraId="3C27994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保温、包装防护</w:t>
                  </w:r>
                </w:p>
              </w:tc>
            </w:tr>
            <w:tr w14:paraId="7D8B7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58" w:type="dxa"/>
                  <w:tcBorders>
                    <w:tl2br w:val="nil"/>
                    <w:tr2bl w:val="nil"/>
                  </w:tcBorders>
                  <w:vAlign w:val="center"/>
                </w:tcPr>
                <w:p w14:paraId="238CDDD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1689" w:type="dxa"/>
                  <w:tcBorders>
                    <w:tl2br w:val="nil"/>
                    <w:tr2bl w:val="nil"/>
                  </w:tcBorders>
                  <w:vAlign w:val="center"/>
                </w:tcPr>
                <w:p w14:paraId="65FFC752">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EPP包装泡沫</w:t>
                  </w:r>
                </w:p>
              </w:tc>
              <w:tc>
                <w:tcPr>
                  <w:tcW w:w="707" w:type="dxa"/>
                  <w:tcBorders>
                    <w:tl2br w:val="nil"/>
                    <w:tr2bl w:val="nil"/>
                  </w:tcBorders>
                  <w:shd w:val="clear" w:color="auto" w:fill="auto"/>
                  <w:vAlign w:val="center"/>
                </w:tcPr>
                <w:p w14:paraId="715A7CC1">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t/a</w:t>
                  </w:r>
                </w:p>
              </w:tc>
              <w:tc>
                <w:tcPr>
                  <w:tcW w:w="1260" w:type="dxa"/>
                  <w:tcBorders>
                    <w:tl2br w:val="nil"/>
                    <w:tr2bl w:val="nil"/>
                  </w:tcBorders>
                  <w:vAlign w:val="center"/>
                </w:tcPr>
                <w:p w14:paraId="3D2F6D5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380" w:type="dxa"/>
                  <w:tcBorders>
                    <w:tl2br w:val="nil"/>
                    <w:tr2bl w:val="nil"/>
                  </w:tcBorders>
                  <w:vAlign w:val="center"/>
                </w:tcPr>
                <w:p w14:paraId="7FF971E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1200</w:t>
                  </w:r>
                </w:p>
              </w:tc>
              <w:tc>
                <w:tcPr>
                  <w:tcW w:w="1335" w:type="dxa"/>
                  <w:tcBorders>
                    <w:tl2br w:val="nil"/>
                    <w:tr2bl w:val="nil"/>
                  </w:tcBorders>
                  <w:vAlign w:val="center"/>
                </w:tcPr>
                <w:p w14:paraId="4F23C2D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1200</w:t>
                  </w:r>
                </w:p>
              </w:tc>
              <w:tc>
                <w:tcPr>
                  <w:tcW w:w="1687" w:type="dxa"/>
                  <w:tcBorders>
                    <w:tl2br w:val="nil"/>
                    <w:tr2bl w:val="nil"/>
                  </w:tcBorders>
                  <w:vAlign w:val="center"/>
                </w:tcPr>
                <w:p w14:paraId="4BB8695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保温、包装防护</w:t>
                  </w:r>
                </w:p>
              </w:tc>
            </w:tr>
            <w:bookmarkEnd w:id="35"/>
          </w:tbl>
          <w:p w14:paraId="31E3DE2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p>
        </w:tc>
      </w:tr>
    </w:tbl>
    <w:p w14:paraId="3D547C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4"/>
        <w:tblW w:w="138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3198"/>
      </w:tblGrid>
      <w:tr w14:paraId="1FF9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4" w:hRule="atLeast"/>
        </w:trPr>
        <w:tc>
          <w:tcPr>
            <w:tcW w:w="668" w:type="dxa"/>
            <w:vAlign w:val="center"/>
          </w:tcPr>
          <w:p w14:paraId="6D7F58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p>
        </w:tc>
        <w:tc>
          <w:tcPr>
            <w:tcW w:w="13198" w:type="dxa"/>
            <w:vAlign w:val="center"/>
          </w:tcPr>
          <w:p w14:paraId="36B7269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6" w:name="_Toc2514"/>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6项目主要原辅材料及能源消耗</w:t>
            </w:r>
            <w:bookmarkEnd w:id="36"/>
          </w:p>
          <w:p w14:paraId="5A20B7EF">
            <w:pPr>
              <w:pStyle w:val="2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的主要原辅材料及用量情况详见表2.2-3。</w:t>
            </w:r>
          </w:p>
          <w:p w14:paraId="6D621CBD">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w:t>
            </w:r>
            <w:r>
              <w:rPr>
                <w:rFonts w:hint="eastAsia" w:cs="Times New Roman"/>
                <w:b/>
                <w:bCs/>
                <w:color w:val="000000" w:themeColor="text1"/>
                <w:sz w:val="24"/>
                <w:szCs w:val="24"/>
                <w:highlight w:val="none"/>
                <w:u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主要原辅材料及用量一览表</w:t>
            </w:r>
          </w:p>
          <w:tbl>
            <w:tblPr>
              <w:tblStyle w:val="23"/>
              <w:tblW w:w="1297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070"/>
              <w:gridCol w:w="1376"/>
              <w:gridCol w:w="1236"/>
              <w:gridCol w:w="1356"/>
              <w:gridCol w:w="1317"/>
              <w:gridCol w:w="1460"/>
              <w:gridCol w:w="1067"/>
              <w:gridCol w:w="1143"/>
              <w:gridCol w:w="1382"/>
            </w:tblGrid>
            <w:tr w14:paraId="49BED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570" w:type="dxa"/>
                  <w:tcBorders>
                    <w:tl2br w:val="nil"/>
                    <w:tr2bl w:val="nil"/>
                  </w:tcBorders>
                  <w:vAlign w:val="center"/>
                </w:tcPr>
                <w:p w14:paraId="3C22BB80">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序号</w:t>
                  </w:r>
                </w:p>
              </w:tc>
              <w:tc>
                <w:tcPr>
                  <w:tcW w:w="2070" w:type="dxa"/>
                  <w:tcBorders>
                    <w:tl2br w:val="nil"/>
                    <w:tr2bl w:val="nil"/>
                  </w:tcBorders>
                  <w:vAlign w:val="center"/>
                </w:tcPr>
                <w:p w14:paraId="0345836E">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原辅材料及能源名称</w:t>
                  </w:r>
                </w:p>
              </w:tc>
              <w:tc>
                <w:tcPr>
                  <w:tcW w:w="1376" w:type="dxa"/>
                  <w:tcBorders>
                    <w:tl2br w:val="nil"/>
                    <w:tr2bl w:val="nil"/>
                  </w:tcBorders>
                  <w:vAlign w:val="center"/>
                </w:tcPr>
                <w:p w14:paraId="5E91C040">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主要成分</w:t>
                  </w:r>
                </w:p>
              </w:tc>
              <w:tc>
                <w:tcPr>
                  <w:tcW w:w="1236" w:type="dxa"/>
                  <w:tcBorders>
                    <w:tl2br w:val="nil"/>
                    <w:tr2bl w:val="nil"/>
                  </w:tcBorders>
                  <w:vAlign w:val="center"/>
                </w:tcPr>
                <w:p w14:paraId="1C0A66D4">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现有项目用量</w:t>
                  </w:r>
                </w:p>
                <w:p w14:paraId="704CC9B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1356" w:type="dxa"/>
                  <w:tcBorders>
                    <w:tl2br w:val="nil"/>
                    <w:tr2bl w:val="nil"/>
                  </w:tcBorders>
                  <w:vAlign w:val="center"/>
                </w:tcPr>
                <w:p w14:paraId="2D85C075">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本次扩建项目用量</w:t>
                  </w:r>
                </w:p>
                <w:p w14:paraId="352E124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1317" w:type="dxa"/>
                  <w:tcBorders>
                    <w:tl2br w:val="nil"/>
                    <w:tr2bl w:val="nil"/>
                  </w:tcBorders>
                  <w:vAlign w:val="center"/>
                </w:tcPr>
                <w:p w14:paraId="604ED4BF">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扩建后全厂用量</w:t>
                  </w:r>
                </w:p>
                <w:p w14:paraId="1293F240">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1460" w:type="dxa"/>
                  <w:tcBorders>
                    <w:tl2br w:val="nil"/>
                    <w:tr2bl w:val="nil"/>
                  </w:tcBorders>
                  <w:vAlign w:val="center"/>
                </w:tcPr>
                <w:p w14:paraId="0B3E2FF8">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扩建后全厂最大储存量</w:t>
                  </w:r>
                </w:p>
                <w:p w14:paraId="019BFB5E">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w:t>
                  </w:r>
                </w:p>
              </w:tc>
              <w:tc>
                <w:tcPr>
                  <w:tcW w:w="1067" w:type="dxa"/>
                  <w:tcBorders>
                    <w:tl2br w:val="nil"/>
                    <w:tr2bl w:val="nil"/>
                  </w:tcBorders>
                  <w:vAlign w:val="center"/>
                </w:tcPr>
                <w:p w14:paraId="32FDF8A0">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物理形态</w:t>
                  </w:r>
                </w:p>
              </w:tc>
              <w:tc>
                <w:tcPr>
                  <w:tcW w:w="1143" w:type="dxa"/>
                  <w:tcBorders>
                    <w:tl2br w:val="nil"/>
                    <w:tr2bl w:val="nil"/>
                  </w:tcBorders>
                  <w:vAlign w:val="center"/>
                </w:tcPr>
                <w:p w14:paraId="38E82252">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包装形式</w:t>
                  </w:r>
                </w:p>
              </w:tc>
              <w:tc>
                <w:tcPr>
                  <w:tcW w:w="1382" w:type="dxa"/>
                  <w:tcBorders>
                    <w:tl2br w:val="nil"/>
                    <w:tr2bl w:val="nil"/>
                  </w:tcBorders>
                  <w:vAlign w:val="center"/>
                </w:tcPr>
                <w:p w14:paraId="5FC71B7C">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储存位置</w:t>
                  </w:r>
                </w:p>
              </w:tc>
            </w:tr>
            <w:tr w14:paraId="34CBE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70" w:type="dxa"/>
                  <w:tcBorders>
                    <w:tl2br w:val="nil"/>
                    <w:tr2bl w:val="nil"/>
                  </w:tcBorders>
                  <w:vAlign w:val="center"/>
                </w:tcPr>
                <w:p w14:paraId="4B97C4D9">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2070" w:type="dxa"/>
                  <w:tcBorders>
                    <w:tl2br w:val="nil"/>
                    <w:tr2bl w:val="nil"/>
                  </w:tcBorders>
                  <w:shd w:val="clear" w:color="auto" w:fill="auto"/>
                  <w:vAlign w:val="center"/>
                </w:tcPr>
                <w:p w14:paraId="3B728CA2">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EPS</w:t>
                  </w:r>
                </w:p>
                <w:p w14:paraId="3A43072E">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（可发性聚苯乙烯）</w:t>
                  </w:r>
                </w:p>
              </w:tc>
              <w:tc>
                <w:tcPr>
                  <w:tcW w:w="1376" w:type="dxa"/>
                  <w:tcBorders>
                    <w:tl2br w:val="nil"/>
                    <w:tr2bl w:val="nil"/>
                  </w:tcBorders>
                  <w:vAlign w:val="center"/>
                </w:tcPr>
                <w:p w14:paraId="7446B23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聚苯乙烯：93-96%；戊烷：4-7%</w:t>
                  </w:r>
                </w:p>
              </w:tc>
              <w:tc>
                <w:tcPr>
                  <w:tcW w:w="1236" w:type="dxa"/>
                  <w:tcBorders>
                    <w:tl2br w:val="nil"/>
                    <w:tr2bl w:val="nil"/>
                  </w:tcBorders>
                  <w:vAlign w:val="center"/>
                </w:tcPr>
                <w:p w14:paraId="6659114E">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1880</w:t>
                  </w:r>
                </w:p>
              </w:tc>
              <w:tc>
                <w:tcPr>
                  <w:tcW w:w="1356" w:type="dxa"/>
                  <w:tcBorders>
                    <w:tl2br w:val="nil"/>
                    <w:tr2bl w:val="nil"/>
                  </w:tcBorders>
                  <w:vAlign w:val="center"/>
                </w:tcPr>
                <w:p w14:paraId="5C959D9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6120</w:t>
                  </w:r>
                </w:p>
              </w:tc>
              <w:tc>
                <w:tcPr>
                  <w:tcW w:w="1317" w:type="dxa"/>
                  <w:tcBorders>
                    <w:tl2br w:val="nil"/>
                    <w:tr2bl w:val="nil"/>
                  </w:tcBorders>
                  <w:vAlign w:val="center"/>
                </w:tcPr>
                <w:p w14:paraId="1405F7B7">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8000</w:t>
                  </w:r>
                </w:p>
              </w:tc>
              <w:tc>
                <w:tcPr>
                  <w:tcW w:w="1460" w:type="dxa"/>
                  <w:tcBorders>
                    <w:tl2br w:val="nil"/>
                    <w:tr2bl w:val="nil"/>
                  </w:tcBorders>
                  <w:vAlign w:val="center"/>
                </w:tcPr>
                <w:p w14:paraId="31053A38">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100</w:t>
                  </w:r>
                </w:p>
              </w:tc>
              <w:tc>
                <w:tcPr>
                  <w:tcW w:w="1067" w:type="dxa"/>
                  <w:tcBorders>
                    <w:tl2br w:val="nil"/>
                    <w:tr2bl w:val="nil"/>
                  </w:tcBorders>
                  <w:vAlign w:val="center"/>
                </w:tcPr>
                <w:p w14:paraId="478DDC39">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1143" w:type="dxa"/>
                  <w:tcBorders>
                    <w:tl2br w:val="nil"/>
                    <w:tr2bl w:val="nil"/>
                  </w:tcBorders>
                  <w:vAlign w:val="center"/>
                </w:tcPr>
                <w:p w14:paraId="2ED21B8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袋装</w:t>
                  </w:r>
                </w:p>
              </w:tc>
              <w:tc>
                <w:tcPr>
                  <w:tcW w:w="1382" w:type="dxa"/>
                  <w:tcBorders>
                    <w:tl2br w:val="nil"/>
                    <w:tr2bl w:val="nil"/>
                  </w:tcBorders>
                  <w:vAlign w:val="center"/>
                </w:tcPr>
                <w:p w14:paraId="3E2F9FCA">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72DC5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70" w:type="dxa"/>
                  <w:tcBorders>
                    <w:tl2br w:val="nil"/>
                    <w:tr2bl w:val="nil"/>
                  </w:tcBorders>
                  <w:vAlign w:val="center"/>
                </w:tcPr>
                <w:p w14:paraId="4CF4598C">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2070" w:type="dxa"/>
                  <w:tcBorders>
                    <w:tl2br w:val="nil"/>
                    <w:tr2bl w:val="nil"/>
                  </w:tcBorders>
                  <w:shd w:val="clear" w:color="auto" w:fill="auto"/>
                  <w:vAlign w:val="center"/>
                </w:tcPr>
                <w:p w14:paraId="049205C4">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EPO</w:t>
                  </w:r>
                </w:p>
                <w:p w14:paraId="15E6C38B">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发泡聚苯乙烯聚乙烯混合体</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376" w:type="dxa"/>
                  <w:tcBorders>
                    <w:tl2br w:val="nil"/>
                    <w:tr2bl w:val="nil"/>
                  </w:tcBorders>
                  <w:vAlign w:val="center"/>
                </w:tcPr>
                <w:p w14:paraId="2B6C3607">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聚乙烯30%、聚苯乙烯68%、发泡剂（戊烷）2%</w:t>
                  </w:r>
                </w:p>
              </w:tc>
              <w:tc>
                <w:tcPr>
                  <w:tcW w:w="1236" w:type="dxa"/>
                  <w:tcBorders>
                    <w:tl2br w:val="nil"/>
                    <w:tr2bl w:val="nil"/>
                  </w:tcBorders>
                  <w:vAlign w:val="center"/>
                </w:tcPr>
                <w:p w14:paraId="549AAB9C">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356" w:type="dxa"/>
                  <w:tcBorders>
                    <w:tl2br w:val="nil"/>
                    <w:tr2bl w:val="nil"/>
                  </w:tcBorders>
                  <w:vAlign w:val="center"/>
                </w:tcPr>
                <w:p w14:paraId="38B7462D">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910</w:t>
                  </w:r>
                </w:p>
              </w:tc>
              <w:tc>
                <w:tcPr>
                  <w:tcW w:w="1317" w:type="dxa"/>
                  <w:tcBorders>
                    <w:tl2br w:val="nil"/>
                    <w:tr2bl w:val="nil"/>
                  </w:tcBorders>
                  <w:vAlign w:val="center"/>
                </w:tcPr>
                <w:p w14:paraId="50C5B30D">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910</w:t>
                  </w:r>
                </w:p>
              </w:tc>
              <w:tc>
                <w:tcPr>
                  <w:tcW w:w="1460" w:type="dxa"/>
                  <w:tcBorders>
                    <w:tl2br w:val="nil"/>
                    <w:tr2bl w:val="nil"/>
                  </w:tcBorders>
                  <w:vAlign w:val="center"/>
                </w:tcPr>
                <w:p w14:paraId="2285FF2E">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50</w:t>
                  </w:r>
                </w:p>
              </w:tc>
              <w:tc>
                <w:tcPr>
                  <w:tcW w:w="1067" w:type="dxa"/>
                  <w:tcBorders>
                    <w:tl2br w:val="nil"/>
                    <w:tr2bl w:val="nil"/>
                  </w:tcBorders>
                  <w:vAlign w:val="center"/>
                </w:tcPr>
                <w:p w14:paraId="2A3AA062">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1143" w:type="dxa"/>
                  <w:tcBorders>
                    <w:tl2br w:val="nil"/>
                    <w:tr2bl w:val="nil"/>
                  </w:tcBorders>
                  <w:vAlign w:val="center"/>
                </w:tcPr>
                <w:p w14:paraId="6C1E79B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袋装</w:t>
                  </w:r>
                </w:p>
              </w:tc>
              <w:tc>
                <w:tcPr>
                  <w:tcW w:w="1382" w:type="dxa"/>
                  <w:tcBorders>
                    <w:tl2br w:val="nil"/>
                    <w:tr2bl w:val="nil"/>
                  </w:tcBorders>
                  <w:vAlign w:val="center"/>
                </w:tcPr>
                <w:p w14:paraId="057A2000">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4DE7A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70" w:type="dxa"/>
                  <w:tcBorders>
                    <w:tl2br w:val="nil"/>
                    <w:tr2bl w:val="nil"/>
                  </w:tcBorders>
                  <w:shd w:val="clear" w:color="auto" w:fill="auto"/>
                  <w:vAlign w:val="center"/>
                </w:tcPr>
                <w:p w14:paraId="2CE85F5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2070" w:type="dxa"/>
                  <w:tcBorders>
                    <w:tl2br w:val="nil"/>
                    <w:tr2bl w:val="nil"/>
                  </w:tcBorders>
                  <w:shd w:val="clear" w:color="auto" w:fill="auto"/>
                  <w:vAlign w:val="center"/>
                </w:tcPr>
                <w:p w14:paraId="5D521D58">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EPP</w:t>
                  </w:r>
                </w:p>
                <w:p w14:paraId="29D6B08B">
                  <w:pPr>
                    <w:pStyle w:val="11"/>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（发泡聚丙烯）</w:t>
                  </w:r>
                </w:p>
              </w:tc>
              <w:tc>
                <w:tcPr>
                  <w:tcW w:w="1376" w:type="dxa"/>
                  <w:tcBorders>
                    <w:tl2br w:val="nil"/>
                    <w:tr2bl w:val="nil"/>
                  </w:tcBorders>
                  <w:shd w:val="clear" w:color="auto" w:fill="auto"/>
                  <w:vAlign w:val="center"/>
                </w:tcPr>
                <w:p w14:paraId="463DA2EC">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聚丙烯：94.82%；色母：5.18%</w:t>
                  </w:r>
                </w:p>
              </w:tc>
              <w:tc>
                <w:tcPr>
                  <w:tcW w:w="1236" w:type="dxa"/>
                  <w:tcBorders>
                    <w:tl2br w:val="nil"/>
                    <w:tr2bl w:val="nil"/>
                  </w:tcBorders>
                  <w:shd w:val="clear" w:color="auto" w:fill="auto"/>
                  <w:vAlign w:val="center"/>
                </w:tcPr>
                <w:p w14:paraId="7D017124">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356" w:type="dxa"/>
                  <w:tcBorders>
                    <w:tl2br w:val="nil"/>
                    <w:tr2bl w:val="nil"/>
                  </w:tcBorders>
                  <w:shd w:val="clear" w:color="auto" w:fill="auto"/>
                  <w:vAlign w:val="center"/>
                </w:tcPr>
                <w:p w14:paraId="145167E5">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240</w:t>
                  </w:r>
                </w:p>
              </w:tc>
              <w:tc>
                <w:tcPr>
                  <w:tcW w:w="1317" w:type="dxa"/>
                  <w:tcBorders>
                    <w:tl2br w:val="nil"/>
                    <w:tr2bl w:val="nil"/>
                  </w:tcBorders>
                  <w:shd w:val="clear" w:color="auto" w:fill="auto"/>
                  <w:vAlign w:val="center"/>
                </w:tcPr>
                <w:p w14:paraId="3A06DA9D">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24</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1460" w:type="dxa"/>
                  <w:tcBorders>
                    <w:tl2br w:val="nil"/>
                    <w:tr2bl w:val="nil"/>
                  </w:tcBorders>
                  <w:shd w:val="clear" w:color="auto" w:fill="auto"/>
                  <w:vAlign w:val="center"/>
                </w:tcPr>
                <w:p w14:paraId="721B5FBE">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50</w:t>
                  </w:r>
                </w:p>
              </w:tc>
              <w:tc>
                <w:tcPr>
                  <w:tcW w:w="1067" w:type="dxa"/>
                  <w:tcBorders>
                    <w:tl2br w:val="nil"/>
                    <w:tr2bl w:val="nil"/>
                  </w:tcBorders>
                  <w:shd w:val="clear" w:color="auto" w:fill="auto"/>
                  <w:vAlign w:val="center"/>
                </w:tcPr>
                <w:p w14:paraId="7B2B86BC">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1143" w:type="dxa"/>
                  <w:tcBorders>
                    <w:tl2br w:val="nil"/>
                    <w:tr2bl w:val="nil"/>
                  </w:tcBorders>
                  <w:shd w:val="clear" w:color="auto" w:fill="auto"/>
                  <w:vAlign w:val="center"/>
                </w:tcPr>
                <w:p w14:paraId="0C117939">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袋装</w:t>
                  </w:r>
                </w:p>
              </w:tc>
              <w:tc>
                <w:tcPr>
                  <w:tcW w:w="1382" w:type="dxa"/>
                  <w:tcBorders>
                    <w:tl2br w:val="nil"/>
                    <w:tr2bl w:val="nil"/>
                  </w:tcBorders>
                  <w:shd w:val="clear" w:color="auto" w:fill="auto"/>
                  <w:vAlign w:val="center"/>
                </w:tcPr>
                <w:p w14:paraId="1774A20A">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74203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0" w:type="dxa"/>
                  <w:tcBorders>
                    <w:tl2br w:val="nil"/>
                    <w:tr2bl w:val="nil"/>
                  </w:tcBorders>
                  <w:shd w:val="clear" w:color="auto" w:fill="auto"/>
                  <w:vAlign w:val="center"/>
                </w:tcPr>
                <w:p w14:paraId="5D69AE91">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p>
              </w:tc>
              <w:tc>
                <w:tcPr>
                  <w:tcW w:w="2070" w:type="dxa"/>
                  <w:tcBorders>
                    <w:tl2br w:val="nil"/>
                    <w:tr2bl w:val="nil"/>
                  </w:tcBorders>
                  <w:shd w:val="clear" w:color="auto" w:fill="auto"/>
                  <w:vAlign w:val="center"/>
                </w:tcPr>
                <w:p w14:paraId="2191BB6B">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z w:val="21"/>
                      <w:szCs w:val="21"/>
                      <w:lang w:val="en-US" w:eastAsia="zh-CN"/>
                    </w:rPr>
                    <w:t>液压油</w:t>
                  </w:r>
                </w:p>
              </w:tc>
              <w:tc>
                <w:tcPr>
                  <w:tcW w:w="1376" w:type="dxa"/>
                  <w:tcBorders>
                    <w:tl2br w:val="nil"/>
                    <w:tr2bl w:val="nil"/>
                  </w:tcBorders>
                  <w:shd w:val="clear" w:color="auto" w:fill="auto"/>
                  <w:vAlign w:val="center"/>
                </w:tcPr>
                <w:p w14:paraId="6512A3AC">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1236" w:type="dxa"/>
                  <w:tcBorders>
                    <w:tl2br w:val="nil"/>
                    <w:tr2bl w:val="nil"/>
                  </w:tcBorders>
                  <w:shd w:val="clear" w:color="auto" w:fill="auto"/>
                  <w:vAlign w:val="center"/>
                </w:tcPr>
                <w:p w14:paraId="52659259">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356" w:type="dxa"/>
                  <w:tcBorders>
                    <w:tl2br w:val="nil"/>
                    <w:tr2bl w:val="nil"/>
                  </w:tcBorders>
                  <w:shd w:val="clear" w:color="auto" w:fill="auto"/>
                  <w:vAlign w:val="center"/>
                </w:tcPr>
                <w:p w14:paraId="27CACE37">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0.5</w:t>
                  </w:r>
                </w:p>
              </w:tc>
              <w:tc>
                <w:tcPr>
                  <w:tcW w:w="1317" w:type="dxa"/>
                  <w:tcBorders>
                    <w:tl2br w:val="nil"/>
                    <w:tr2bl w:val="nil"/>
                  </w:tcBorders>
                  <w:shd w:val="clear" w:color="auto" w:fill="auto"/>
                  <w:vAlign w:val="center"/>
                </w:tcPr>
                <w:p w14:paraId="4F80720F">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460" w:type="dxa"/>
                  <w:tcBorders>
                    <w:tl2br w:val="nil"/>
                    <w:tr2bl w:val="nil"/>
                  </w:tcBorders>
                  <w:shd w:val="clear" w:color="auto" w:fill="auto"/>
                  <w:vAlign w:val="center"/>
                </w:tcPr>
                <w:p w14:paraId="01A6AD14">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w:t>
                  </w:r>
                </w:p>
              </w:tc>
              <w:tc>
                <w:tcPr>
                  <w:tcW w:w="1067" w:type="dxa"/>
                  <w:tcBorders>
                    <w:tl2br w:val="nil"/>
                    <w:tr2bl w:val="nil"/>
                  </w:tcBorders>
                  <w:shd w:val="clear" w:color="auto" w:fill="auto"/>
                  <w:vAlign w:val="center"/>
                </w:tcPr>
                <w:p w14:paraId="6ADA29FF">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液体</w:t>
                  </w:r>
                </w:p>
              </w:tc>
              <w:tc>
                <w:tcPr>
                  <w:tcW w:w="1143" w:type="dxa"/>
                  <w:tcBorders>
                    <w:tl2br w:val="nil"/>
                    <w:tr2bl w:val="nil"/>
                  </w:tcBorders>
                  <w:shd w:val="clear" w:color="auto" w:fill="auto"/>
                  <w:vAlign w:val="center"/>
                </w:tcPr>
                <w:p w14:paraId="0724751F">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桶装</w:t>
                  </w:r>
                </w:p>
              </w:tc>
              <w:tc>
                <w:tcPr>
                  <w:tcW w:w="1382" w:type="dxa"/>
                  <w:tcBorders>
                    <w:tl2br w:val="nil"/>
                    <w:tr2bl w:val="nil"/>
                  </w:tcBorders>
                  <w:shd w:val="clear" w:color="auto" w:fill="auto"/>
                  <w:vAlign w:val="center"/>
                </w:tcPr>
                <w:p w14:paraId="77ADC514">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化学品仓库</w:t>
                  </w:r>
                </w:p>
              </w:tc>
            </w:tr>
            <w:tr w14:paraId="5B25C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0" w:type="dxa"/>
                  <w:tcBorders>
                    <w:tl2br w:val="nil"/>
                    <w:tr2bl w:val="nil"/>
                  </w:tcBorders>
                  <w:vAlign w:val="center"/>
                </w:tcPr>
                <w:p w14:paraId="59FA3B7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p>
              </w:tc>
              <w:tc>
                <w:tcPr>
                  <w:tcW w:w="2070" w:type="dxa"/>
                  <w:tcBorders>
                    <w:tl2br w:val="nil"/>
                    <w:tr2bl w:val="nil"/>
                  </w:tcBorders>
                  <w:vAlign w:val="center"/>
                </w:tcPr>
                <w:p w14:paraId="7825BC42">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生产用电</w:t>
                  </w:r>
                </w:p>
              </w:tc>
              <w:tc>
                <w:tcPr>
                  <w:tcW w:w="1376" w:type="dxa"/>
                  <w:tcBorders>
                    <w:tl2br w:val="nil"/>
                    <w:tr2bl w:val="nil"/>
                  </w:tcBorders>
                  <w:vAlign w:val="center"/>
                </w:tcPr>
                <w:p w14:paraId="110B0BFA">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1236" w:type="dxa"/>
                  <w:tcBorders>
                    <w:tl2br w:val="nil"/>
                    <w:tr2bl w:val="nil"/>
                  </w:tcBorders>
                  <w:vAlign w:val="center"/>
                </w:tcPr>
                <w:p w14:paraId="283BB9D3">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50万kwh/a</w:t>
                  </w:r>
                </w:p>
              </w:tc>
              <w:tc>
                <w:tcPr>
                  <w:tcW w:w="1356" w:type="dxa"/>
                  <w:tcBorders>
                    <w:tl2br w:val="nil"/>
                    <w:tr2bl w:val="nil"/>
                  </w:tcBorders>
                  <w:vAlign w:val="center"/>
                </w:tcPr>
                <w:p w14:paraId="709FCAF2">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300万</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kwh/a</w:t>
                  </w:r>
                </w:p>
              </w:tc>
              <w:tc>
                <w:tcPr>
                  <w:tcW w:w="1317" w:type="dxa"/>
                  <w:tcBorders>
                    <w:tl2br w:val="nil"/>
                    <w:tr2bl w:val="nil"/>
                  </w:tcBorders>
                  <w:vAlign w:val="center"/>
                </w:tcPr>
                <w:p w14:paraId="16AD6E58">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350万</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kwh/a</w:t>
                  </w:r>
                </w:p>
              </w:tc>
              <w:tc>
                <w:tcPr>
                  <w:tcW w:w="5052" w:type="dxa"/>
                  <w:gridSpan w:val="4"/>
                  <w:tcBorders>
                    <w:tl2br w:val="nil"/>
                    <w:tr2bl w:val="nil"/>
                  </w:tcBorders>
                  <w:vAlign w:val="center"/>
                </w:tcPr>
                <w:p w14:paraId="6D3EC7A0">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所在地供电所供给</w:t>
                  </w:r>
                </w:p>
              </w:tc>
            </w:tr>
            <w:tr w14:paraId="59558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0" w:type="dxa"/>
                  <w:tcBorders>
                    <w:tl2br w:val="nil"/>
                    <w:tr2bl w:val="nil"/>
                  </w:tcBorders>
                  <w:vAlign w:val="center"/>
                </w:tcPr>
                <w:p w14:paraId="223E89F8">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w:t>
                  </w:r>
                </w:p>
              </w:tc>
              <w:tc>
                <w:tcPr>
                  <w:tcW w:w="2070" w:type="dxa"/>
                  <w:tcBorders>
                    <w:tl2br w:val="nil"/>
                    <w:tr2bl w:val="nil"/>
                  </w:tcBorders>
                  <w:vAlign w:val="center"/>
                </w:tcPr>
                <w:p w14:paraId="2A6FAB64">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生产用水</w:t>
                  </w:r>
                </w:p>
              </w:tc>
              <w:tc>
                <w:tcPr>
                  <w:tcW w:w="1376" w:type="dxa"/>
                  <w:tcBorders>
                    <w:tl2br w:val="nil"/>
                    <w:tr2bl w:val="nil"/>
                  </w:tcBorders>
                  <w:vAlign w:val="center"/>
                </w:tcPr>
                <w:p w14:paraId="6ACACD35">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1236" w:type="dxa"/>
                  <w:tcBorders>
                    <w:tl2br w:val="nil"/>
                    <w:tr2bl w:val="nil"/>
                  </w:tcBorders>
                  <w:vAlign w:val="center"/>
                </w:tcPr>
                <w:p w14:paraId="1AD021C7">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1485t</w:t>
                  </w:r>
                </w:p>
              </w:tc>
              <w:tc>
                <w:tcPr>
                  <w:tcW w:w="1356" w:type="dxa"/>
                  <w:tcBorders>
                    <w:tl2br w:val="nil"/>
                    <w:tr2bl w:val="nil"/>
                  </w:tcBorders>
                  <w:vAlign w:val="center"/>
                </w:tcPr>
                <w:p w14:paraId="30059DFE">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9450t</w:t>
                  </w:r>
                </w:p>
              </w:tc>
              <w:tc>
                <w:tcPr>
                  <w:tcW w:w="1317" w:type="dxa"/>
                  <w:tcBorders>
                    <w:tl2br w:val="nil"/>
                    <w:tr2bl w:val="nil"/>
                  </w:tcBorders>
                  <w:vAlign w:val="center"/>
                </w:tcPr>
                <w:p w14:paraId="5593021C">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10935t</w:t>
                  </w:r>
                </w:p>
              </w:tc>
              <w:tc>
                <w:tcPr>
                  <w:tcW w:w="5052" w:type="dxa"/>
                  <w:gridSpan w:val="4"/>
                  <w:tcBorders>
                    <w:tl2br w:val="nil"/>
                    <w:tr2bl w:val="nil"/>
                  </w:tcBorders>
                  <w:vAlign w:val="center"/>
                </w:tcPr>
                <w:p w14:paraId="418C0E52">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市政供水管网供给</w:t>
                  </w:r>
                </w:p>
              </w:tc>
            </w:tr>
            <w:tr w14:paraId="1FD4E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0" w:type="dxa"/>
                  <w:tcBorders>
                    <w:tl2br w:val="nil"/>
                    <w:tr2bl w:val="nil"/>
                  </w:tcBorders>
                  <w:vAlign w:val="center"/>
                </w:tcPr>
                <w:p w14:paraId="0FBAF0A6">
                  <w:pPr>
                    <w:pStyle w:val="1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8</w:t>
                  </w:r>
                </w:p>
              </w:tc>
              <w:tc>
                <w:tcPr>
                  <w:tcW w:w="2070" w:type="dxa"/>
                  <w:tcBorders>
                    <w:tl2br w:val="nil"/>
                    <w:tr2bl w:val="nil"/>
                  </w:tcBorders>
                  <w:vAlign w:val="center"/>
                </w:tcPr>
                <w:p w14:paraId="70E9CD0E">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蒸汽</w:t>
                  </w:r>
                </w:p>
              </w:tc>
              <w:tc>
                <w:tcPr>
                  <w:tcW w:w="1376" w:type="dxa"/>
                  <w:tcBorders>
                    <w:tl2br w:val="nil"/>
                    <w:tr2bl w:val="nil"/>
                  </w:tcBorders>
                  <w:vAlign w:val="center"/>
                </w:tcPr>
                <w:p w14:paraId="4B2B3204">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1236" w:type="dxa"/>
                  <w:tcBorders>
                    <w:tl2br w:val="nil"/>
                    <w:tr2bl w:val="nil"/>
                  </w:tcBorders>
                  <w:vAlign w:val="center"/>
                </w:tcPr>
                <w:p w14:paraId="6C6A25E4">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23760t</w:t>
                  </w:r>
                </w:p>
              </w:tc>
              <w:tc>
                <w:tcPr>
                  <w:tcW w:w="1356" w:type="dxa"/>
                  <w:tcBorders>
                    <w:tl2br w:val="nil"/>
                    <w:tr2bl w:val="nil"/>
                  </w:tcBorders>
                  <w:vAlign w:val="center"/>
                </w:tcPr>
                <w:p w14:paraId="46CC65FA">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93000t</w:t>
                  </w:r>
                </w:p>
              </w:tc>
              <w:tc>
                <w:tcPr>
                  <w:tcW w:w="1317" w:type="dxa"/>
                  <w:tcBorders>
                    <w:tl2br w:val="nil"/>
                    <w:tr2bl w:val="nil"/>
                  </w:tcBorders>
                  <w:vAlign w:val="center"/>
                </w:tcPr>
                <w:p w14:paraId="682BCCCD">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116760t</w:t>
                  </w:r>
                </w:p>
              </w:tc>
              <w:tc>
                <w:tcPr>
                  <w:tcW w:w="5052" w:type="dxa"/>
                  <w:gridSpan w:val="4"/>
                  <w:tcBorders>
                    <w:tl2br w:val="nil"/>
                    <w:tr2bl w:val="nil"/>
                  </w:tcBorders>
                  <w:vAlign w:val="center"/>
                </w:tcPr>
                <w:p w14:paraId="4E80B288">
                  <w:pPr>
                    <w:pStyle w:val="14"/>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国电福州发电有限公司供应，供气协议详见</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附件</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十</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二</w:t>
                  </w:r>
                </w:p>
              </w:tc>
            </w:tr>
          </w:tbl>
          <w:p w14:paraId="0802764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p>
        </w:tc>
      </w:tr>
    </w:tbl>
    <w:p w14:paraId="465624EF">
      <w:p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833"/>
      </w:tblGrid>
      <w:tr w14:paraId="6C56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1" w:hRule="atLeast"/>
        </w:trPr>
        <w:tc>
          <w:tcPr>
            <w:tcW w:w="449" w:type="dxa"/>
            <w:vAlign w:val="center"/>
          </w:tcPr>
          <w:p w14:paraId="468CB29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00" w:themeColor="text1"/>
                <w:sz w:val="24"/>
                <w:szCs w:val="24"/>
                <w14:textFill>
                  <w14:solidFill>
                    <w14:schemeClr w14:val="tx1"/>
                  </w14:solidFill>
                </w14:textFill>
              </w:rPr>
            </w:pPr>
          </w:p>
        </w:tc>
        <w:tc>
          <w:tcPr>
            <w:tcW w:w="8833" w:type="dxa"/>
            <w:vAlign w:val="top"/>
          </w:tcPr>
          <w:p w14:paraId="08F582F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w:t>
            </w:r>
            <w:r>
              <w:rPr>
                <w:rFonts w:hint="eastAsia" w:cs="Times New Roman"/>
                <w:b/>
                <w:bCs/>
                <w:color w:val="000000" w:themeColor="text1"/>
                <w:sz w:val="24"/>
                <w:szCs w:val="24"/>
                <w:highlight w:val="none"/>
                <w:u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原辅材料</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理化性质表</w:t>
            </w:r>
          </w:p>
          <w:tbl>
            <w:tblPr>
              <w:tblStyle w:val="24"/>
              <w:tblW w:w="86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536"/>
              <w:gridCol w:w="6354"/>
            </w:tblGrid>
            <w:tr w14:paraId="4D91D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24" w:type="dxa"/>
                  <w:tcBorders>
                    <w:tl2br w:val="nil"/>
                    <w:tr2bl w:val="nil"/>
                  </w:tcBorders>
                  <w:vAlign w:val="center"/>
                </w:tcPr>
                <w:p w14:paraId="573794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1536" w:type="dxa"/>
                  <w:tcBorders>
                    <w:tl2br w:val="nil"/>
                    <w:tr2bl w:val="nil"/>
                  </w:tcBorders>
                  <w:vAlign w:val="center"/>
                </w:tcPr>
                <w:p w14:paraId="799D3B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原辅材料名称</w:t>
                  </w:r>
                </w:p>
              </w:tc>
              <w:tc>
                <w:tcPr>
                  <w:tcW w:w="6354" w:type="dxa"/>
                  <w:tcBorders>
                    <w:tl2br w:val="nil"/>
                    <w:tr2bl w:val="nil"/>
                  </w:tcBorders>
                  <w:vAlign w:val="center"/>
                </w:tcPr>
                <w:p w14:paraId="0A6A04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理化性质</w:t>
                  </w:r>
                </w:p>
              </w:tc>
            </w:tr>
            <w:tr w14:paraId="612A2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724" w:type="dxa"/>
                  <w:tcBorders>
                    <w:tl2br w:val="nil"/>
                    <w:tr2bl w:val="nil"/>
                  </w:tcBorders>
                  <w:shd w:val="clear" w:color="auto" w:fill="auto"/>
                  <w:vAlign w:val="center"/>
                </w:tcPr>
                <w:p w14:paraId="43C90104">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1536" w:type="dxa"/>
                  <w:tcBorders>
                    <w:tl2br w:val="nil"/>
                    <w:tr2bl w:val="nil"/>
                  </w:tcBorders>
                  <w:shd w:val="clear" w:color="auto" w:fill="auto"/>
                  <w:vAlign w:val="center"/>
                </w:tcPr>
                <w:p w14:paraId="5ECB35CF">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EPS、EPO</w:t>
                  </w:r>
                </w:p>
                <w:p w14:paraId="26466A11">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（可发性聚苯乙烯）</w:t>
                  </w:r>
                </w:p>
              </w:tc>
              <w:tc>
                <w:tcPr>
                  <w:tcW w:w="6354" w:type="dxa"/>
                  <w:tcBorders>
                    <w:tl2br w:val="nil"/>
                    <w:tr2bl w:val="nil"/>
                  </w:tcBorders>
                  <w:vAlign w:val="center"/>
                </w:tcPr>
                <w:p w14:paraId="40B9C6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EPO料也属于EPS可发性聚苯乙烯为具有一定粒度的白色或无色透明珠体，</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粒径</w:t>
                  </w:r>
                  <w:r>
                    <w:rPr>
                      <w:rFonts w:hint="eastAsia" w:cs="Times New Roman"/>
                      <w:color w:val="000000" w:themeColor="text1"/>
                      <w:sz w:val="21"/>
                      <w:szCs w:val="21"/>
                      <w:highlight w:val="none"/>
                      <w:vertAlign w:val="baseline"/>
                      <w:lang w:val="en-US" w:eastAsia="zh-CN"/>
                      <w14:textFill>
                        <w14:solidFill>
                          <w14:schemeClr w14:val="tx1"/>
                        </w14:solidFill>
                      </w14:textFill>
                    </w:rPr>
                    <w:t>范围</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2.5mm，</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相对密度1.05～1.06。可任意着色，化学性能良好。含有低沸点烃类发泡剂的可发性聚苯乙烯，在受热至90～110℃时，体积可增大5～50倍，成为具有隔热、隔声、防震、耐水、耐酸、耐碱等特性的泡沫塑料。聚苯乙烯泡沫塑料的性能，与微孔结构关系很大</w:t>
                  </w:r>
                  <w:r>
                    <w:rPr>
                      <w:rFonts w:hint="eastAsia" w:cs="Times New Roman"/>
                      <w:color w:val="000000" w:themeColor="text1"/>
                      <w:sz w:val="21"/>
                      <w:szCs w:val="21"/>
                      <w:highlight w:val="none"/>
                      <w:vertAlign w:val="baseline"/>
                      <w:lang w:val="en-US" w:eastAsia="zh-CN"/>
                      <w14:textFill>
                        <w14:solidFill>
                          <w14:schemeClr w14:val="tx1"/>
                        </w14:solidFill>
                      </w14:textFill>
                    </w:rPr>
                    <w:t>且</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与改性剂和助剂有关，如加入阻燃剂六溴环十二烷，则制得的泡沫塑料具有阻燃性能。（详见</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附件十三（1）</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5A46B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724" w:type="dxa"/>
                  <w:tcBorders>
                    <w:tl2br w:val="nil"/>
                    <w:tr2bl w:val="nil"/>
                  </w:tcBorders>
                  <w:shd w:val="clear" w:color="auto" w:fill="auto"/>
                  <w:vAlign w:val="center"/>
                </w:tcPr>
                <w:p w14:paraId="114A3AB6">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1536" w:type="dxa"/>
                  <w:tcBorders>
                    <w:tl2br w:val="nil"/>
                    <w:tr2bl w:val="nil"/>
                  </w:tcBorders>
                  <w:shd w:val="clear" w:color="auto" w:fill="auto"/>
                  <w:vAlign w:val="center"/>
                </w:tcPr>
                <w:p w14:paraId="143F20C8">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EPP</w:t>
                  </w:r>
                </w:p>
                <w:p w14:paraId="651F4E09">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（发泡聚丙烯）</w:t>
                  </w:r>
                </w:p>
              </w:tc>
              <w:tc>
                <w:tcPr>
                  <w:tcW w:w="6354" w:type="dxa"/>
                  <w:tcBorders>
                    <w:tl2br w:val="nil"/>
                    <w:tr2bl w:val="nil"/>
                  </w:tcBorders>
                  <w:shd w:val="clear" w:color="auto" w:fill="auto"/>
                  <w:vAlign w:val="center"/>
                </w:tcPr>
                <w:p w14:paraId="585E61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aps w:val="0"/>
                      <w:color w:val="333333"/>
                      <w:spacing w:val="0"/>
                      <w:sz w:val="21"/>
                      <w:szCs w:val="21"/>
                      <w:shd w:val="clear" w:fill="FFFFFF"/>
                    </w:rPr>
                    <w:t>聚丙烯塑料发泡材料（Expandedpolypropylene，简称EPP）是由固体和气体组成的闭孔泡沫材料，外观呈黑色、粉红色或白色颗粒状，粒径范围2～7mm。其固相成分占比2%～10%，密度为17～100kg/m³，可承受-40℃～110℃温度范围且具有缓冲性能，加热后可消解实现100%回收利用。</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（详见</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附件十三（2）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CFA2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724" w:type="dxa"/>
                  <w:tcBorders>
                    <w:tl2br w:val="nil"/>
                    <w:tr2bl w:val="nil"/>
                  </w:tcBorders>
                  <w:shd w:val="clear" w:color="auto" w:fill="auto"/>
                  <w:vAlign w:val="center"/>
                </w:tcPr>
                <w:p w14:paraId="6220B9E5">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1536" w:type="dxa"/>
                  <w:tcBorders>
                    <w:tl2br w:val="nil"/>
                    <w:tr2bl w:val="nil"/>
                  </w:tcBorders>
                  <w:shd w:val="clear" w:color="auto" w:fill="auto"/>
                  <w:vAlign w:val="center"/>
                </w:tcPr>
                <w:p w14:paraId="008958E2">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液压油</w:t>
                  </w:r>
                </w:p>
              </w:tc>
              <w:tc>
                <w:tcPr>
                  <w:tcW w:w="6354" w:type="dxa"/>
                  <w:tcBorders>
                    <w:tl2br w:val="nil"/>
                    <w:tr2bl w:val="nil"/>
                  </w:tcBorders>
                  <w:shd w:val="clear" w:color="auto" w:fill="auto"/>
                  <w:vAlign w:val="center"/>
                </w:tcPr>
                <w:p w14:paraId="25DBA0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新的液压油通常呈淡黄色，清澈透明。带有轻度矿物油味，密度通常在0.85～0.9g/m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之间。在金属摩擦（如泵、马达、油缸）之间形成强韧的油膜，防止金属直接接触，减少磨损。在与水接触并混合后，能迅速分离的能力。</w:t>
                  </w:r>
                </w:p>
              </w:tc>
            </w:tr>
          </w:tbl>
          <w:p w14:paraId="474B4E0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p>
          <w:p w14:paraId="6073E23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7" w:name="_Toc7444"/>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5主要生产设备</w:t>
            </w:r>
            <w:bookmarkEnd w:id="37"/>
          </w:p>
          <w:p w14:paraId="1B23B637">
            <w:pPr>
              <w:pStyle w:val="2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现有项目和本次扩建后主要生产设备一览表详见表2.2-5。</w:t>
            </w:r>
          </w:p>
          <w:p w14:paraId="49E0382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w:t>
            </w:r>
            <w:r>
              <w:rPr>
                <w:rFonts w:hint="eastAsia" w:cs="Times New Roman"/>
                <w:b/>
                <w:bCs/>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主要生产设备一览表</w:t>
            </w:r>
          </w:p>
          <w:tbl>
            <w:tblPr>
              <w:tblStyle w:val="24"/>
              <w:tblW w:w="86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871"/>
              <w:gridCol w:w="2469"/>
              <w:gridCol w:w="898"/>
              <w:gridCol w:w="1171"/>
              <w:gridCol w:w="1532"/>
            </w:tblGrid>
            <w:tr w14:paraId="4424E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674" w:type="dxa"/>
                  <w:tcBorders>
                    <w:tl2br w:val="nil"/>
                    <w:tr2bl w:val="nil"/>
                  </w:tcBorders>
                  <w:vAlign w:val="center"/>
                </w:tcPr>
                <w:p w14:paraId="4865E700">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序号</w:t>
                  </w:r>
                </w:p>
              </w:tc>
              <w:tc>
                <w:tcPr>
                  <w:tcW w:w="1871" w:type="dxa"/>
                  <w:tcBorders>
                    <w:tl2br w:val="nil"/>
                    <w:tr2bl w:val="nil"/>
                  </w:tcBorders>
                  <w:vAlign w:val="center"/>
                </w:tcPr>
                <w:p w14:paraId="7B630C85">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设备名称</w:t>
                  </w:r>
                </w:p>
              </w:tc>
              <w:tc>
                <w:tcPr>
                  <w:tcW w:w="2469" w:type="dxa"/>
                  <w:tcBorders>
                    <w:tl2br w:val="nil"/>
                    <w:tr2bl w:val="nil"/>
                  </w:tcBorders>
                  <w:vAlign w:val="center"/>
                </w:tcPr>
                <w:p w14:paraId="29120AC8">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功率/型号</w:t>
                  </w:r>
                </w:p>
              </w:tc>
              <w:tc>
                <w:tcPr>
                  <w:tcW w:w="898" w:type="dxa"/>
                  <w:tcBorders>
                    <w:tl2br w:val="nil"/>
                    <w:tr2bl w:val="nil"/>
                  </w:tcBorders>
                  <w:vAlign w:val="center"/>
                </w:tcPr>
                <w:p w14:paraId="5E9323A8">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现有设备数量</w:t>
                  </w:r>
                </w:p>
                <w:p w14:paraId="1209AB2E">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（台）</w:t>
                  </w:r>
                </w:p>
              </w:tc>
              <w:tc>
                <w:tcPr>
                  <w:tcW w:w="1171" w:type="dxa"/>
                  <w:tcBorders>
                    <w:tl2br w:val="nil"/>
                    <w:tr2bl w:val="nil"/>
                  </w:tcBorders>
                  <w:vAlign w:val="center"/>
                </w:tcPr>
                <w:p w14:paraId="0E8E01F7">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本次扩建项目数量</w:t>
                  </w:r>
                </w:p>
                <w:p w14:paraId="0D367EFE">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（台）</w:t>
                  </w:r>
                </w:p>
              </w:tc>
              <w:tc>
                <w:tcPr>
                  <w:tcW w:w="1532" w:type="dxa"/>
                  <w:tcBorders>
                    <w:tl2br w:val="nil"/>
                    <w:tr2bl w:val="nil"/>
                  </w:tcBorders>
                  <w:vAlign w:val="center"/>
                </w:tcPr>
                <w:p w14:paraId="5B725AB4">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项目建成后全厂设备数量（台）</w:t>
                  </w:r>
                </w:p>
              </w:tc>
            </w:tr>
            <w:tr w14:paraId="32FED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restart"/>
                  <w:tcBorders>
                    <w:tl2br w:val="nil"/>
                    <w:tr2bl w:val="nil"/>
                  </w:tcBorders>
                  <w:shd w:val="clear" w:color="auto" w:fill="auto"/>
                  <w:vAlign w:val="center"/>
                </w:tcPr>
                <w:p w14:paraId="1C56CF95">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871" w:type="dxa"/>
                  <w:vMerge w:val="restart"/>
                  <w:tcBorders>
                    <w:tl2br w:val="nil"/>
                    <w:tr2bl w:val="nil"/>
                  </w:tcBorders>
                  <w:shd w:val="clear" w:color="auto" w:fill="auto"/>
                  <w:vAlign w:val="center"/>
                </w:tcPr>
                <w:p w14:paraId="698919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发料机</w:t>
                  </w:r>
                </w:p>
              </w:tc>
              <w:tc>
                <w:tcPr>
                  <w:tcW w:w="2469" w:type="dxa"/>
                  <w:tcBorders>
                    <w:tl2br w:val="nil"/>
                    <w:tr2bl w:val="nil"/>
                  </w:tcBorders>
                  <w:shd w:val="clear" w:color="auto" w:fill="auto"/>
                  <w:vAlign w:val="center"/>
                </w:tcPr>
                <w:p w14:paraId="1485D9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110型</w:t>
                  </w:r>
                </w:p>
              </w:tc>
              <w:tc>
                <w:tcPr>
                  <w:tcW w:w="898" w:type="dxa"/>
                  <w:tcBorders>
                    <w:tl2br w:val="nil"/>
                    <w:tr2bl w:val="nil"/>
                  </w:tcBorders>
                  <w:shd w:val="clear" w:color="auto" w:fill="auto"/>
                  <w:vAlign w:val="center"/>
                </w:tcPr>
                <w:p w14:paraId="4DB090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171" w:type="dxa"/>
                  <w:tcBorders>
                    <w:tl2br w:val="nil"/>
                    <w:tr2bl w:val="nil"/>
                  </w:tcBorders>
                  <w:vAlign w:val="center"/>
                </w:tcPr>
                <w:p w14:paraId="4157C5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c>
                <w:tcPr>
                  <w:tcW w:w="1532" w:type="dxa"/>
                  <w:tcBorders>
                    <w:tl2br w:val="nil"/>
                    <w:tr2bl w:val="nil"/>
                  </w:tcBorders>
                  <w:vAlign w:val="center"/>
                </w:tcPr>
                <w:p w14:paraId="78ACAD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585CA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shd w:val="clear" w:color="auto" w:fill="auto"/>
                  <w:vAlign w:val="center"/>
                </w:tcPr>
                <w:p w14:paraId="43B1F9A2">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rPr>
                  </w:pPr>
                </w:p>
              </w:tc>
              <w:tc>
                <w:tcPr>
                  <w:tcW w:w="1871" w:type="dxa"/>
                  <w:vMerge w:val="continue"/>
                  <w:tcBorders>
                    <w:tl2br w:val="nil"/>
                    <w:tr2bl w:val="nil"/>
                  </w:tcBorders>
                  <w:shd w:val="clear" w:color="auto" w:fill="auto"/>
                  <w:vAlign w:val="center"/>
                </w:tcPr>
                <w:p w14:paraId="42E1F31D">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rPr>
                  </w:pPr>
                </w:p>
              </w:tc>
              <w:tc>
                <w:tcPr>
                  <w:tcW w:w="2469" w:type="dxa"/>
                  <w:tcBorders>
                    <w:tl2br w:val="nil"/>
                    <w:tr2bl w:val="nil"/>
                  </w:tcBorders>
                  <w:shd w:val="clear" w:color="auto" w:fill="auto"/>
                  <w:vAlign w:val="center"/>
                </w:tcPr>
                <w:p w14:paraId="7671D9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130型</w:t>
                  </w:r>
                </w:p>
              </w:tc>
              <w:tc>
                <w:tcPr>
                  <w:tcW w:w="898" w:type="dxa"/>
                  <w:tcBorders>
                    <w:tl2br w:val="nil"/>
                    <w:tr2bl w:val="nil"/>
                  </w:tcBorders>
                  <w:shd w:val="clear" w:color="auto" w:fill="auto"/>
                  <w:vAlign w:val="center"/>
                </w:tcPr>
                <w:p w14:paraId="69A40AE5">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c>
                <w:tcPr>
                  <w:tcW w:w="1171" w:type="dxa"/>
                  <w:tcBorders>
                    <w:tl2br w:val="nil"/>
                    <w:tr2bl w:val="nil"/>
                  </w:tcBorders>
                  <w:vAlign w:val="center"/>
                </w:tcPr>
                <w:p w14:paraId="103D939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vAlign w:val="center"/>
                </w:tcPr>
                <w:p w14:paraId="099BDE2F">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6F7CC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shd w:val="clear" w:color="auto" w:fill="auto"/>
                  <w:vAlign w:val="center"/>
                </w:tcPr>
                <w:p w14:paraId="38D2DDF9">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p>
              </w:tc>
              <w:tc>
                <w:tcPr>
                  <w:tcW w:w="1871" w:type="dxa"/>
                  <w:vMerge w:val="continue"/>
                  <w:tcBorders>
                    <w:tl2br w:val="nil"/>
                    <w:tr2bl w:val="nil"/>
                  </w:tcBorders>
                  <w:shd w:val="clear" w:color="auto" w:fill="auto"/>
                  <w:vAlign w:val="center"/>
                </w:tcPr>
                <w:p w14:paraId="6F49E87C">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69" w:type="dxa"/>
                  <w:tcBorders>
                    <w:tl2br w:val="nil"/>
                    <w:tr2bl w:val="nil"/>
                  </w:tcBorders>
                  <w:shd w:val="clear" w:color="auto" w:fill="auto"/>
                  <w:vAlign w:val="center"/>
                </w:tcPr>
                <w:p w14:paraId="2F4263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PSF-90型</w:t>
                  </w:r>
                </w:p>
              </w:tc>
              <w:tc>
                <w:tcPr>
                  <w:tcW w:w="898" w:type="dxa"/>
                  <w:tcBorders>
                    <w:tl2br w:val="nil"/>
                    <w:tr2bl w:val="nil"/>
                  </w:tcBorders>
                  <w:shd w:val="clear" w:color="auto" w:fill="auto"/>
                  <w:vAlign w:val="center"/>
                </w:tcPr>
                <w:p w14:paraId="1B577C3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171" w:type="dxa"/>
                  <w:tcBorders>
                    <w:tl2br w:val="nil"/>
                    <w:tr2bl w:val="nil"/>
                  </w:tcBorders>
                  <w:vAlign w:val="center"/>
                </w:tcPr>
                <w:p w14:paraId="72C3850D">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c>
                <w:tcPr>
                  <w:tcW w:w="1532" w:type="dxa"/>
                  <w:tcBorders>
                    <w:tl2br w:val="nil"/>
                    <w:tr2bl w:val="nil"/>
                  </w:tcBorders>
                  <w:vAlign w:val="center"/>
                </w:tcPr>
                <w:p w14:paraId="40461BC6">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379C7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tcBorders>
                    <w:tl2br w:val="nil"/>
                    <w:tr2bl w:val="nil"/>
                  </w:tcBorders>
                  <w:vAlign w:val="center"/>
                </w:tcPr>
                <w:p w14:paraId="5DB2227A">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c>
                <w:tcPr>
                  <w:tcW w:w="1871" w:type="dxa"/>
                  <w:tcBorders>
                    <w:tl2br w:val="nil"/>
                    <w:tr2bl w:val="nil"/>
                  </w:tcBorders>
                  <w:shd w:val="clear" w:color="auto" w:fill="auto"/>
                  <w:vAlign w:val="center"/>
                </w:tcPr>
                <w:p w14:paraId="5D4DBC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vertAlign w:val="baseline"/>
                      <w:lang w:val="en-US" w:eastAsia="zh-CN"/>
                    </w:rPr>
                    <w:t>成型机</w:t>
                  </w:r>
                </w:p>
              </w:tc>
              <w:tc>
                <w:tcPr>
                  <w:tcW w:w="2469" w:type="dxa"/>
                  <w:tcBorders>
                    <w:tl2br w:val="nil"/>
                    <w:tr2bl w:val="nil"/>
                  </w:tcBorders>
                  <w:shd w:val="clear" w:color="auto" w:fill="auto"/>
                  <w:vAlign w:val="center"/>
                </w:tcPr>
                <w:p w14:paraId="5F8BA8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PMA140120</w:t>
                  </w:r>
                </w:p>
              </w:tc>
              <w:tc>
                <w:tcPr>
                  <w:tcW w:w="898" w:type="dxa"/>
                  <w:tcBorders>
                    <w:tl2br w:val="nil"/>
                    <w:tr2bl w:val="nil"/>
                  </w:tcBorders>
                  <w:shd w:val="clear" w:color="auto" w:fill="auto"/>
                  <w:vAlign w:val="center"/>
                </w:tcPr>
                <w:p w14:paraId="762232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171" w:type="dxa"/>
                  <w:tcBorders>
                    <w:tl2br w:val="nil"/>
                    <w:tr2bl w:val="nil"/>
                  </w:tcBorders>
                  <w:vAlign w:val="center"/>
                </w:tcPr>
                <w:p w14:paraId="61C2E2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24</w:t>
                  </w:r>
                </w:p>
              </w:tc>
              <w:tc>
                <w:tcPr>
                  <w:tcW w:w="1532" w:type="dxa"/>
                  <w:tcBorders>
                    <w:tl2br w:val="nil"/>
                    <w:tr2bl w:val="nil"/>
                  </w:tcBorders>
                  <w:vAlign w:val="center"/>
                </w:tcPr>
                <w:p w14:paraId="619B6D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47D4C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tcBorders>
                    <w:tl2br w:val="nil"/>
                    <w:tr2bl w:val="nil"/>
                  </w:tcBorders>
                  <w:shd w:val="clear" w:color="auto" w:fill="auto"/>
                  <w:vAlign w:val="center"/>
                </w:tcPr>
                <w:p w14:paraId="2CBC4B1A">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w:t>
                  </w:r>
                </w:p>
              </w:tc>
              <w:tc>
                <w:tcPr>
                  <w:tcW w:w="1871" w:type="dxa"/>
                  <w:tcBorders>
                    <w:tl2br w:val="nil"/>
                    <w:tr2bl w:val="nil"/>
                  </w:tcBorders>
                  <w:shd w:val="clear" w:color="auto" w:fill="auto"/>
                  <w:vAlign w:val="center"/>
                </w:tcPr>
                <w:p w14:paraId="3201D5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压缩机</w:t>
                  </w:r>
                </w:p>
              </w:tc>
              <w:tc>
                <w:tcPr>
                  <w:tcW w:w="2469" w:type="dxa"/>
                  <w:tcBorders>
                    <w:tl2br w:val="nil"/>
                    <w:tr2bl w:val="nil"/>
                  </w:tcBorders>
                  <w:shd w:val="clear" w:color="auto" w:fill="auto"/>
                  <w:vAlign w:val="center"/>
                </w:tcPr>
                <w:p w14:paraId="12B459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HVG-120Y-11</w:t>
                  </w:r>
                </w:p>
              </w:tc>
              <w:tc>
                <w:tcPr>
                  <w:tcW w:w="898" w:type="dxa"/>
                  <w:tcBorders>
                    <w:tl2br w:val="nil"/>
                    <w:tr2bl w:val="nil"/>
                  </w:tcBorders>
                  <w:shd w:val="clear" w:color="auto" w:fill="auto"/>
                  <w:vAlign w:val="center"/>
                </w:tcPr>
                <w:p w14:paraId="262A0D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6F3256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532" w:type="dxa"/>
                  <w:tcBorders>
                    <w:tl2br w:val="nil"/>
                    <w:tr2bl w:val="nil"/>
                  </w:tcBorders>
                  <w:vAlign w:val="center"/>
                </w:tcPr>
                <w:p w14:paraId="03A1A1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0F677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restart"/>
                  <w:tcBorders>
                    <w:tl2br w:val="nil"/>
                    <w:tr2bl w:val="nil"/>
                  </w:tcBorders>
                  <w:vAlign w:val="center"/>
                </w:tcPr>
                <w:p w14:paraId="0F78686F">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4</w:t>
                  </w:r>
                </w:p>
              </w:tc>
              <w:tc>
                <w:tcPr>
                  <w:tcW w:w="1871" w:type="dxa"/>
                  <w:vMerge w:val="restart"/>
                  <w:tcBorders>
                    <w:tl2br w:val="nil"/>
                    <w:tr2bl w:val="nil"/>
                  </w:tcBorders>
                  <w:shd w:val="clear" w:color="auto" w:fill="auto"/>
                  <w:vAlign w:val="center"/>
                </w:tcPr>
                <w:p w14:paraId="7E60F0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螺杆式空气压缩机</w:t>
                  </w:r>
                </w:p>
              </w:tc>
              <w:tc>
                <w:tcPr>
                  <w:tcW w:w="2469" w:type="dxa"/>
                  <w:tcBorders>
                    <w:tl2br w:val="nil"/>
                    <w:tr2bl w:val="nil"/>
                  </w:tcBorders>
                  <w:shd w:val="clear" w:color="auto" w:fill="auto"/>
                  <w:vAlign w:val="center"/>
                </w:tcPr>
                <w:p w14:paraId="72F602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CRRC37PM-08</w:t>
                  </w:r>
                </w:p>
              </w:tc>
              <w:tc>
                <w:tcPr>
                  <w:tcW w:w="898" w:type="dxa"/>
                  <w:tcBorders>
                    <w:tl2br w:val="nil"/>
                    <w:tr2bl w:val="nil"/>
                  </w:tcBorders>
                  <w:shd w:val="clear" w:color="auto" w:fill="auto"/>
                  <w:vAlign w:val="center"/>
                </w:tcPr>
                <w:p w14:paraId="2EE9D9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71" w:type="dxa"/>
                  <w:tcBorders>
                    <w:tl2br w:val="nil"/>
                    <w:tr2bl w:val="nil"/>
                  </w:tcBorders>
                  <w:shd w:val="clear" w:color="auto" w:fill="auto"/>
                  <w:vAlign w:val="center"/>
                </w:tcPr>
                <w:p w14:paraId="7B7C5D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532" w:type="dxa"/>
                  <w:tcBorders>
                    <w:tl2br w:val="nil"/>
                    <w:tr2bl w:val="nil"/>
                  </w:tcBorders>
                  <w:shd w:val="clear" w:color="auto" w:fill="auto"/>
                  <w:vAlign w:val="center"/>
                </w:tcPr>
                <w:p w14:paraId="45D58D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1D393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vAlign w:val="center"/>
                </w:tcPr>
                <w:p w14:paraId="229A1AD9">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rPr>
                  </w:pPr>
                </w:p>
              </w:tc>
              <w:tc>
                <w:tcPr>
                  <w:tcW w:w="1871" w:type="dxa"/>
                  <w:vMerge w:val="continue"/>
                  <w:tcBorders>
                    <w:tl2br w:val="nil"/>
                    <w:tr2bl w:val="nil"/>
                  </w:tcBorders>
                  <w:shd w:val="clear" w:color="auto" w:fill="auto"/>
                  <w:vAlign w:val="center"/>
                </w:tcPr>
                <w:p w14:paraId="7D92DDA4">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rPr>
                  </w:pPr>
                </w:p>
              </w:tc>
              <w:tc>
                <w:tcPr>
                  <w:tcW w:w="2469" w:type="dxa"/>
                  <w:tcBorders>
                    <w:tl2br w:val="nil"/>
                    <w:tr2bl w:val="nil"/>
                  </w:tcBorders>
                  <w:shd w:val="clear" w:color="auto" w:fill="auto"/>
                  <w:vAlign w:val="center"/>
                </w:tcPr>
                <w:p w14:paraId="0D614F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CRRC75PM11-04</w:t>
                  </w:r>
                </w:p>
              </w:tc>
              <w:tc>
                <w:tcPr>
                  <w:tcW w:w="898" w:type="dxa"/>
                  <w:tcBorders>
                    <w:tl2br w:val="nil"/>
                    <w:tr2bl w:val="nil"/>
                  </w:tcBorders>
                  <w:shd w:val="clear" w:color="auto" w:fill="auto"/>
                  <w:vAlign w:val="center"/>
                </w:tcPr>
                <w:p w14:paraId="167760B7">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171" w:type="dxa"/>
                  <w:tcBorders>
                    <w:tl2br w:val="nil"/>
                    <w:tr2bl w:val="nil"/>
                  </w:tcBorders>
                  <w:shd w:val="clear" w:color="auto" w:fill="auto"/>
                  <w:vAlign w:val="center"/>
                </w:tcPr>
                <w:p w14:paraId="0D64485A">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c>
                <w:tcPr>
                  <w:tcW w:w="1532" w:type="dxa"/>
                  <w:tcBorders>
                    <w:tl2br w:val="nil"/>
                    <w:tr2bl w:val="nil"/>
                  </w:tcBorders>
                  <w:shd w:val="clear" w:color="auto" w:fill="auto"/>
                  <w:vAlign w:val="center"/>
                </w:tcPr>
                <w:p w14:paraId="3727F50A">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16416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restart"/>
                  <w:tcBorders>
                    <w:tl2br w:val="nil"/>
                    <w:tr2bl w:val="nil"/>
                  </w:tcBorders>
                  <w:vAlign w:val="center"/>
                </w:tcPr>
                <w:p w14:paraId="72EB331C">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5</w:t>
                  </w:r>
                </w:p>
              </w:tc>
              <w:tc>
                <w:tcPr>
                  <w:tcW w:w="1871" w:type="dxa"/>
                  <w:vMerge w:val="restart"/>
                  <w:tcBorders>
                    <w:tl2br w:val="nil"/>
                    <w:tr2bl w:val="nil"/>
                  </w:tcBorders>
                  <w:shd w:val="clear" w:color="auto" w:fill="auto"/>
                  <w:vAlign w:val="center"/>
                </w:tcPr>
                <w:p w14:paraId="6A5DC3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离心式水泵</w:t>
                  </w:r>
                </w:p>
              </w:tc>
              <w:tc>
                <w:tcPr>
                  <w:tcW w:w="2469" w:type="dxa"/>
                  <w:tcBorders>
                    <w:tl2br w:val="nil"/>
                    <w:tr2bl w:val="nil"/>
                  </w:tcBorders>
                  <w:shd w:val="clear" w:color="auto" w:fill="auto"/>
                  <w:vAlign w:val="center"/>
                </w:tcPr>
                <w:p w14:paraId="5B5D6E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80KQW50-32</w:t>
                  </w:r>
                </w:p>
              </w:tc>
              <w:tc>
                <w:tcPr>
                  <w:tcW w:w="898" w:type="dxa"/>
                  <w:tcBorders>
                    <w:tl2br w:val="nil"/>
                    <w:tr2bl w:val="nil"/>
                  </w:tcBorders>
                  <w:shd w:val="clear" w:color="auto" w:fill="auto"/>
                  <w:vAlign w:val="center"/>
                </w:tcPr>
                <w:p w14:paraId="6CD314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171" w:type="dxa"/>
                  <w:tcBorders>
                    <w:tl2br w:val="nil"/>
                    <w:tr2bl w:val="nil"/>
                  </w:tcBorders>
                  <w:shd w:val="clear" w:color="auto" w:fill="auto"/>
                  <w:vAlign w:val="center"/>
                </w:tcPr>
                <w:p w14:paraId="2FC208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545169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352B7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vAlign w:val="center"/>
                </w:tcPr>
                <w:p w14:paraId="0898A1C2">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rPr>
                  </w:pPr>
                </w:p>
              </w:tc>
              <w:tc>
                <w:tcPr>
                  <w:tcW w:w="1871" w:type="dxa"/>
                  <w:vMerge w:val="continue"/>
                  <w:tcBorders>
                    <w:tl2br w:val="nil"/>
                    <w:tr2bl w:val="nil"/>
                  </w:tcBorders>
                  <w:shd w:val="clear" w:color="auto" w:fill="auto"/>
                  <w:vAlign w:val="center"/>
                </w:tcPr>
                <w:p w14:paraId="2542AD4A">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rPr>
                  </w:pPr>
                </w:p>
              </w:tc>
              <w:tc>
                <w:tcPr>
                  <w:tcW w:w="2469" w:type="dxa"/>
                  <w:tcBorders>
                    <w:tl2br w:val="nil"/>
                    <w:tr2bl w:val="nil"/>
                  </w:tcBorders>
                  <w:shd w:val="clear" w:color="auto" w:fill="auto"/>
                  <w:vAlign w:val="center"/>
                </w:tcPr>
                <w:p w14:paraId="74CCD1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80KQW50-33</w:t>
                  </w:r>
                </w:p>
              </w:tc>
              <w:tc>
                <w:tcPr>
                  <w:tcW w:w="898" w:type="dxa"/>
                  <w:tcBorders>
                    <w:tl2br w:val="nil"/>
                    <w:tr2bl w:val="nil"/>
                  </w:tcBorders>
                  <w:shd w:val="clear" w:color="auto" w:fill="auto"/>
                  <w:vAlign w:val="center"/>
                </w:tcPr>
                <w:p w14:paraId="698CC538">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171" w:type="dxa"/>
                  <w:tcBorders>
                    <w:tl2br w:val="nil"/>
                    <w:tr2bl w:val="nil"/>
                  </w:tcBorders>
                  <w:shd w:val="clear" w:color="auto" w:fill="auto"/>
                  <w:vAlign w:val="center"/>
                </w:tcPr>
                <w:p w14:paraId="6724C78F">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6C7F673F">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r>
            <w:tr w14:paraId="4C420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shd w:val="clear" w:color="auto" w:fill="auto"/>
                  <w:vAlign w:val="center"/>
                </w:tcPr>
                <w:p w14:paraId="7A8DFD4E">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871" w:type="dxa"/>
                  <w:vMerge w:val="continue"/>
                  <w:tcBorders>
                    <w:tl2br w:val="nil"/>
                    <w:tr2bl w:val="nil"/>
                  </w:tcBorders>
                  <w:shd w:val="clear" w:color="auto" w:fill="auto"/>
                  <w:vAlign w:val="center"/>
                </w:tcPr>
                <w:p w14:paraId="50D7212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69" w:type="dxa"/>
                  <w:tcBorders>
                    <w:tl2br w:val="nil"/>
                    <w:tr2bl w:val="nil"/>
                  </w:tcBorders>
                  <w:shd w:val="clear" w:color="auto" w:fill="auto"/>
                  <w:vAlign w:val="center"/>
                </w:tcPr>
                <w:p w14:paraId="15E450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80KQW50-33</w:t>
                  </w:r>
                </w:p>
              </w:tc>
              <w:tc>
                <w:tcPr>
                  <w:tcW w:w="898" w:type="dxa"/>
                  <w:tcBorders>
                    <w:tl2br w:val="nil"/>
                    <w:tr2bl w:val="nil"/>
                  </w:tcBorders>
                  <w:shd w:val="clear" w:color="auto" w:fill="auto"/>
                  <w:vAlign w:val="center"/>
                </w:tcPr>
                <w:p w14:paraId="05DE330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171" w:type="dxa"/>
                  <w:tcBorders>
                    <w:tl2br w:val="nil"/>
                    <w:tr2bl w:val="nil"/>
                  </w:tcBorders>
                  <w:shd w:val="clear" w:color="auto" w:fill="auto"/>
                  <w:vAlign w:val="center"/>
                </w:tcPr>
                <w:p w14:paraId="7E0D0960">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58FD6A49">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r>
            <w:tr w14:paraId="7410C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shd w:val="clear" w:color="auto" w:fill="auto"/>
                  <w:vAlign w:val="center"/>
                </w:tcPr>
                <w:p w14:paraId="4BAB0E18">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871" w:type="dxa"/>
                  <w:vMerge w:val="continue"/>
                  <w:tcBorders>
                    <w:tl2br w:val="nil"/>
                    <w:tr2bl w:val="nil"/>
                  </w:tcBorders>
                  <w:shd w:val="clear" w:color="auto" w:fill="auto"/>
                  <w:vAlign w:val="center"/>
                </w:tcPr>
                <w:p w14:paraId="53BBA138">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69" w:type="dxa"/>
                  <w:tcBorders>
                    <w:tl2br w:val="nil"/>
                    <w:tr2bl w:val="nil"/>
                  </w:tcBorders>
                  <w:shd w:val="clear" w:color="auto" w:fill="auto"/>
                  <w:vAlign w:val="center"/>
                </w:tcPr>
                <w:p w14:paraId="0930BF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YES-132S1-2</w:t>
                  </w:r>
                </w:p>
              </w:tc>
              <w:tc>
                <w:tcPr>
                  <w:tcW w:w="898" w:type="dxa"/>
                  <w:tcBorders>
                    <w:tl2br w:val="nil"/>
                    <w:tr2bl w:val="nil"/>
                  </w:tcBorders>
                  <w:shd w:val="clear" w:color="auto" w:fill="auto"/>
                  <w:vAlign w:val="center"/>
                </w:tcPr>
                <w:p w14:paraId="266526E0">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171" w:type="dxa"/>
                  <w:tcBorders>
                    <w:tl2br w:val="nil"/>
                    <w:tr2bl w:val="nil"/>
                  </w:tcBorders>
                  <w:shd w:val="clear" w:color="auto" w:fill="auto"/>
                  <w:vAlign w:val="center"/>
                </w:tcPr>
                <w:p w14:paraId="3943ECD1">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496FDBE9">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r>
            <w:tr w14:paraId="0FC03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shd w:val="clear" w:color="auto" w:fill="auto"/>
                  <w:vAlign w:val="center"/>
                </w:tcPr>
                <w:p w14:paraId="421A58DB">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p>
              </w:tc>
              <w:tc>
                <w:tcPr>
                  <w:tcW w:w="1871" w:type="dxa"/>
                  <w:vMerge w:val="continue"/>
                  <w:tcBorders>
                    <w:tl2br w:val="nil"/>
                    <w:tr2bl w:val="nil"/>
                  </w:tcBorders>
                  <w:shd w:val="clear" w:color="auto" w:fill="auto"/>
                  <w:vAlign w:val="center"/>
                </w:tcPr>
                <w:p w14:paraId="37D1E6C8">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69" w:type="dxa"/>
                  <w:tcBorders>
                    <w:tl2br w:val="nil"/>
                    <w:tr2bl w:val="nil"/>
                  </w:tcBorders>
                  <w:shd w:val="clear" w:color="auto" w:fill="auto"/>
                  <w:vAlign w:val="center"/>
                </w:tcPr>
                <w:p w14:paraId="58BE08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YES-160M1-2</w:t>
                  </w:r>
                </w:p>
              </w:tc>
              <w:tc>
                <w:tcPr>
                  <w:tcW w:w="898" w:type="dxa"/>
                  <w:tcBorders>
                    <w:tl2br w:val="nil"/>
                    <w:tr2bl w:val="nil"/>
                  </w:tcBorders>
                  <w:shd w:val="clear" w:color="auto" w:fill="auto"/>
                  <w:vAlign w:val="center"/>
                </w:tcPr>
                <w:p w14:paraId="1F273EF7">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171" w:type="dxa"/>
                  <w:tcBorders>
                    <w:tl2br w:val="nil"/>
                    <w:tr2bl w:val="nil"/>
                  </w:tcBorders>
                  <w:shd w:val="clear" w:color="auto" w:fill="auto"/>
                  <w:vAlign w:val="center"/>
                </w:tcPr>
                <w:p w14:paraId="73FB7139">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671C9976">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r>
            <w:tr w14:paraId="462B3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restart"/>
                  <w:tcBorders>
                    <w:tl2br w:val="nil"/>
                    <w:tr2bl w:val="nil"/>
                  </w:tcBorders>
                  <w:shd w:val="clear" w:color="auto" w:fill="auto"/>
                  <w:vAlign w:val="center"/>
                </w:tcPr>
                <w:p w14:paraId="5F13B345">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p>
              </w:tc>
              <w:tc>
                <w:tcPr>
                  <w:tcW w:w="1871" w:type="dxa"/>
                  <w:vMerge w:val="restart"/>
                  <w:tcBorders>
                    <w:tl2br w:val="nil"/>
                    <w:tr2bl w:val="nil"/>
                  </w:tcBorders>
                  <w:shd w:val="clear" w:color="auto" w:fill="auto"/>
                  <w:vAlign w:val="center"/>
                </w:tcPr>
                <w:p w14:paraId="503D7276">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真空泵</w:t>
                  </w:r>
                </w:p>
              </w:tc>
              <w:tc>
                <w:tcPr>
                  <w:tcW w:w="2469" w:type="dxa"/>
                  <w:tcBorders>
                    <w:tl2br w:val="nil"/>
                    <w:tr2bl w:val="nil"/>
                  </w:tcBorders>
                  <w:shd w:val="clear" w:color="auto" w:fill="auto"/>
                  <w:vAlign w:val="center"/>
                </w:tcPr>
                <w:p w14:paraId="0FC5C1A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2BY-6161</w:t>
                  </w:r>
                </w:p>
              </w:tc>
              <w:tc>
                <w:tcPr>
                  <w:tcW w:w="898" w:type="dxa"/>
                  <w:tcBorders>
                    <w:tl2br w:val="nil"/>
                    <w:tr2bl w:val="nil"/>
                  </w:tcBorders>
                  <w:shd w:val="clear" w:color="auto" w:fill="auto"/>
                  <w:vAlign w:val="center"/>
                </w:tcPr>
                <w:p w14:paraId="0284DE8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c>
                <w:tcPr>
                  <w:tcW w:w="1171" w:type="dxa"/>
                  <w:tcBorders>
                    <w:tl2br w:val="nil"/>
                    <w:tr2bl w:val="nil"/>
                  </w:tcBorders>
                  <w:shd w:val="clear" w:color="auto" w:fill="auto"/>
                  <w:vAlign w:val="center"/>
                </w:tcPr>
                <w:p w14:paraId="411FD55C">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786CF2A0">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75B17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shd w:val="clear" w:color="auto" w:fill="auto"/>
                  <w:vAlign w:val="center"/>
                </w:tcPr>
                <w:p w14:paraId="5341CA20">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p>
              </w:tc>
              <w:tc>
                <w:tcPr>
                  <w:tcW w:w="1871" w:type="dxa"/>
                  <w:vMerge w:val="continue"/>
                  <w:tcBorders>
                    <w:tl2br w:val="nil"/>
                    <w:tr2bl w:val="nil"/>
                  </w:tcBorders>
                  <w:shd w:val="clear" w:color="auto" w:fill="auto"/>
                  <w:vAlign w:val="center"/>
                </w:tcPr>
                <w:p w14:paraId="401A08D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69" w:type="dxa"/>
                  <w:tcBorders>
                    <w:tl2br w:val="nil"/>
                    <w:tr2bl w:val="nil"/>
                  </w:tcBorders>
                  <w:shd w:val="clear" w:color="auto" w:fill="auto"/>
                  <w:vAlign w:val="center"/>
                </w:tcPr>
                <w:p w14:paraId="57ACC8F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AEH3-BG160M</w:t>
                  </w:r>
                </w:p>
              </w:tc>
              <w:tc>
                <w:tcPr>
                  <w:tcW w:w="898" w:type="dxa"/>
                  <w:tcBorders>
                    <w:tl2br w:val="nil"/>
                    <w:tr2bl w:val="nil"/>
                  </w:tcBorders>
                  <w:shd w:val="clear" w:color="auto" w:fill="auto"/>
                  <w:vAlign w:val="center"/>
                </w:tcPr>
                <w:p w14:paraId="731090F2">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c>
                <w:tcPr>
                  <w:tcW w:w="1171" w:type="dxa"/>
                  <w:tcBorders>
                    <w:tl2br w:val="nil"/>
                    <w:tr2bl w:val="nil"/>
                  </w:tcBorders>
                  <w:shd w:val="clear" w:color="auto" w:fill="auto"/>
                  <w:vAlign w:val="center"/>
                </w:tcPr>
                <w:p w14:paraId="7EEA8E0F">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70FB3997">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43DF3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shd w:val="clear" w:color="auto" w:fill="auto"/>
                  <w:vAlign w:val="center"/>
                </w:tcPr>
                <w:p w14:paraId="17BED0F6">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p>
              </w:tc>
              <w:tc>
                <w:tcPr>
                  <w:tcW w:w="1871" w:type="dxa"/>
                  <w:vMerge w:val="continue"/>
                  <w:tcBorders>
                    <w:tl2br w:val="nil"/>
                    <w:tr2bl w:val="nil"/>
                  </w:tcBorders>
                  <w:shd w:val="clear" w:color="auto" w:fill="auto"/>
                  <w:vAlign w:val="center"/>
                </w:tcPr>
                <w:p w14:paraId="3F7A43E6">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69" w:type="dxa"/>
                  <w:tcBorders>
                    <w:tl2br w:val="nil"/>
                    <w:tr2bl w:val="nil"/>
                  </w:tcBorders>
                  <w:shd w:val="clear" w:color="auto" w:fill="auto"/>
                  <w:vAlign w:val="center"/>
                </w:tcPr>
                <w:p w14:paraId="301044F8">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r>
                    <w:rPr>
                      <w:rFonts w:hint="eastAsia" w:ascii="宋体" w:hAnsi="宋体" w:cs="宋体"/>
                      <w:i w:val="0"/>
                      <w:iCs w:val="0"/>
                      <w:color w:val="000000"/>
                      <w:kern w:val="0"/>
                      <w:sz w:val="22"/>
                      <w:szCs w:val="22"/>
                      <w:u w:val="none"/>
                      <w:lang w:val="en-US" w:eastAsia="zh-CN" w:bidi="ar"/>
                    </w:rPr>
                    <w:t>kW</w:t>
                  </w:r>
                </w:p>
              </w:tc>
              <w:tc>
                <w:tcPr>
                  <w:tcW w:w="898" w:type="dxa"/>
                  <w:tcBorders>
                    <w:tl2br w:val="nil"/>
                    <w:tr2bl w:val="nil"/>
                  </w:tcBorders>
                  <w:shd w:val="clear" w:color="auto" w:fill="auto"/>
                  <w:vAlign w:val="center"/>
                </w:tcPr>
                <w:p w14:paraId="67D6A33F">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c>
                <w:tcPr>
                  <w:tcW w:w="1171" w:type="dxa"/>
                  <w:tcBorders>
                    <w:tl2br w:val="nil"/>
                    <w:tr2bl w:val="nil"/>
                  </w:tcBorders>
                  <w:shd w:val="clear" w:color="auto" w:fill="auto"/>
                  <w:vAlign w:val="center"/>
                </w:tcPr>
                <w:p w14:paraId="4ED0E40F">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545793CF">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29CF4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tcBorders>
                    <w:tl2br w:val="nil"/>
                    <w:tr2bl w:val="nil"/>
                  </w:tcBorders>
                  <w:shd w:val="clear" w:color="auto" w:fill="auto"/>
                  <w:vAlign w:val="center"/>
                </w:tcPr>
                <w:p w14:paraId="7269ABCA">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p>
              </w:tc>
              <w:tc>
                <w:tcPr>
                  <w:tcW w:w="1871" w:type="dxa"/>
                  <w:vMerge w:val="continue"/>
                  <w:tcBorders>
                    <w:tl2br w:val="nil"/>
                    <w:tr2bl w:val="nil"/>
                  </w:tcBorders>
                  <w:shd w:val="clear" w:color="auto" w:fill="auto"/>
                  <w:vAlign w:val="center"/>
                </w:tcPr>
                <w:p w14:paraId="44C2FD1C">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69" w:type="dxa"/>
                  <w:tcBorders>
                    <w:tl2br w:val="nil"/>
                    <w:tr2bl w:val="nil"/>
                  </w:tcBorders>
                  <w:shd w:val="clear" w:color="auto" w:fill="auto"/>
                  <w:vAlign w:val="center"/>
                </w:tcPr>
                <w:p w14:paraId="365569AC">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w:t>
                  </w:r>
                  <w:r>
                    <w:rPr>
                      <w:rFonts w:hint="eastAsia" w:ascii="宋体" w:hAnsi="宋体" w:cs="宋体"/>
                      <w:i w:val="0"/>
                      <w:iCs w:val="0"/>
                      <w:color w:val="000000"/>
                      <w:kern w:val="0"/>
                      <w:sz w:val="22"/>
                      <w:szCs w:val="22"/>
                      <w:u w:val="none"/>
                      <w:lang w:val="en-US" w:eastAsia="zh-CN" w:bidi="ar"/>
                    </w:rPr>
                    <w:t>kW</w:t>
                  </w:r>
                </w:p>
              </w:tc>
              <w:tc>
                <w:tcPr>
                  <w:tcW w:w="898" w:type="dxa"/>
                  <w:tcBorders>
                    <w:tl2br w:val="nil"/>
                    <w:tr2bl w:val="nil"/>
                  </w:tcBorders>
                  <w:shd w:val="clear" w:color="auto" w:fill="auto"/>
                  <w:vAlign w:val="center"/>
                </w:tcPr>
                <w:p w14:paraId="4C15CF0C">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c>
                <w:tcPr>
                  <w:tcW w:w="1171" w:type="dxa"/>
                  <w:tcBorders>
                    <w:tl2br w:val="nil"/>
                    <w:tr2bl w:val="nil"/>
                  </w:tcBorders>
                  <w:shd w:val="clear" w:color="auto" w:fill="auto"/>
                  <w:vAlign w:val="center"/>
                </w:tcPr>
                <w:p w14:paraId="0E6A76A8">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532" w:type="dxa"/>
                  <w:tcBorders>
                    <w:tl2br w:val="nil"/>
                    <w:tr2bl w:val="nil"/>
                  </w:tcBorders>
                  <w:shd w:val="clear" w:color="auto" w:fill="auto"/>
                  <w:vAlign w:val="center"/>
                </w:tcPr>
                <w:p w14:paraId="5F68A8B0">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r>
            <w:tr w14:paraId="7DB3D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tcBorders>
                    <w:tl2br w:val="nil"/>
                    <w:tr2bl w:val="nil"/>
                  </w:tcBorders>
                  <w:shd w:val="clear" w:color="auto" w:fill="auto"/>
                  <w:vAlign w:val="center"/>
                </w:tcPr>
                <w:p w14:paraId="35DAFEAA">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t>6</w:t>
                  </w:r>
                </w:p>
              </w:tc>
              <w:tc>
                <w:tcPr>
                  <w:tcW w:w="1871" w:type="dxa"/>
                  <w:tcBorders>
                    <w:tl2br w:val="nil"/>
                    <w:tr2bl w:val="nil"/>
                  </w:tcBorders>
                  <w:shd w:val="clear" w:color="auto" w:fill="auto"/>
                  <w:vAlign w:val="center"/>
                </w:tcPr>
                <w:p w14:paraId="74720F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烘干机</w:t>
                  </w:r>
                </w:p>
              </w:tc>
              <w:tc>
                <w:tcPr>
                  <w:tcW w:w="2469" w:type="dxa"/>
                  <w:tcBorders>
                    <w:tl2br w:val="nil"/>
                    <w:tr2bl w:val="nil"/>
                  </w:tcBorders>
                  <w:shd w:val="clear" w:color="auto" w:fill="auto"/>
                  <w:vAlign w:val="center"/>
                </w:tcPr>
                <w:p w14:paraId="7F9D92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JB/T10391</w:t>
                  </w:r>
                </w:p>
              </w:tc>
              <w:tc>
                <w:tcPr>
                  <w:tcW w:w="898" w:type="dxa"/>
                  <w:tcBorders>
                    <w:tl2br w:val="nil"/>
                    <w:tr2bl w:val="nil"/>
                  </w:tcBorders>
                  <w:shd w:val="clear" w:color="auto" w:fill="auto"/>
                  <w:vAlign w:val="center"/>
                </w:tcPr>
                <w:p w14:paraId="0203B7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71" w:type="dxa"/>
                  <w:tcBorders>
                    <w:tl2br w:val="nil"/>
                    <w:tr2bl w:val="nil"/>
                  </w:tcBorders>
                  <w:shd w:val="clear" w:color="auto" w:fill="auto"/>
                  <w:vAlign w:val="center"/>
                </w:tcPr>
                <w:p w14:paraId="0FDA32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1532" w:type="dxa"/>
                  <w:tcBorders>
                    <w:tl2br w:val="nil"/>
                    <w:tr2bl w:val="nil"/>
                  </w:tcBorders>
                  <w:shd w:val="clear" w:color="auto" w:fill="auto"/>
                  <w:vAlign w:val="center"/>
                </w:tcPr>
                <w:p w14:paraId="3361C2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r>
            <w:tr w14:paraId="3CCC2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74" w:type="dxa"/>
                  <w:tcBorders>
                    <w:tl2br w:val="nil"/>
                    <w:tr2bl w:val="nil"/>
                  </w:tcBorders>
                  <w:shd w:val="clear" w:color="auto" w:fill="auto"/>
                  <w:vAlign w:val="center"/>
                </w:tcPr>
                <w:p w14:paraId="1AFF480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t>7</w:t>
                  </w:r>
                </w:p>
              </w:tc>
              <w:tc>
                <w:tcPr>
                  <w:tcW w:w="1871" w:type="dxa"/>
                  <w:tcBorders>
                    <w:tl2br w:val="nil"/>
                    <w:tr2bl w:val="nil"/>
                  </w:tcBorders>
                  <w:shd w:val="clear" w:color="auto" w:fill="auto"/>
                  <w:vAlign w:val="center"/>
                </w:tcPr>
                <w:p w14:paraId="42DE2C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干燥机</w:t>
                  </w:r>
                </w:p>
              </w:tc>
              <w:tc>
                <w:tcPr>
                  <w:tcW w:w="2469" w:type="dxa"/>
                  <w:tcBorders>
                    <w:tl2br w:val="nil"/>
                    <w:tr2bl w:val="nil"/>
                  </w:tcBorders>
                  <w:shd w:val="clear" w:color="auto" w:fill="auto"/>
                  <w:vAlign w:val="center"/>
                </w:tcPr>
                <w:p w14:paraId="5B7970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HN-25NF</w:t>
                  </w:r>
                </w:p>
              </w:tc>
              <w:tc>
                <w:tcPr>
                  <w:tcW w:w="898" w:type="dxa"/>
                  <w:tcBorders>
                    <w:tl2br w:val="nil"/>
                    <w:tr2bl w:val="nil"/>
                  </w:tcBorders>
                  <w:shd w:val="clear" w:color="auto" w:fill="auto"/>
                  <w:vAlign w:val="center"/>
                </w:tcPr>
                <w:p w14:paraId="458061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71" w:type="dxa"/>
                  <w:tcBorders>
                    <w:tl2br w:val="nil"/>
                    <w:tr2bl w:val="nil"/>
                  </w:tcBorders>
                  <w:shd w:val="clear" w:color="auto" w:fill="auto"/>
                  <w:vAlign w:val="center"/>
                </w:tcPr>
                <w:p w14:paraId="1BCF7F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532" w:type="dxa"/>
                  <w:tcBorders>
                    <w:tl2br w:val="nil"/>
                    <w:tr2bl w:val="nil"/>
                  </w:tcBorders>
                  <w:shd w:val="clear" w:color="auto" w:fill="auto"/>
                  <w:vAlign w:val="center"/>
                </w:tcPr>
                <w:p w14:paraId="227EBD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r>
            <w:tr w14:paraId="53DE1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tcBorders>
                    <w:tl2br w:val="nil"/>
                    <w:tr2bl w:val="nil"/>
                  </w:tcBorders>
                  <w:vAlign w:val="center"/>
                </w:tcPr>
                <w:p w14:paraId="642323BB">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8</w:t>
                  </w:r>
                </w:p>
              </w:tc>
              <w:tc>
                <w:tcPr>
                  <w:tcW w:w="1871" w:type="dxa"/>
                  <w:tcBorders>
                    <w:tl2br w:val="nil"/>
                    <w:tr2bl w:val="nil"/>
                  </w:tcBorders>
                  <w:shd w:val="clear" w:color="auto" w:fill="auto"/>
                  <w:vAlign w:val="center"/>
                </w:tcPr>
                <w:p w14:paraId="460D83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190机模框</w:t>
                  </w:r>
                </w:p>
              </w:tc>
              <w:tc>
                <w:tcPr>
                  <w:tcW w:w="2469" w:type="dxa"/>
                  <w:tcBorders>
                    <w:tl2br w:val="nil"/>
                    <w:tr2bl w:val="nil"/>
                  </w:tcBorders>
                  <w:shd w:val="clear" w:color="auto" w:fill="auto"/>
                  <w:vAlign w:val="center"/>
                </w:tcPr>
                <w:p w14:paraId="02B70E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190</w:t>
                  </w:r>
                </w:p>
              </w:tc>
              <w:tc>
                <w:tcPr>
                  <w:tcW w:w="898" w:type="dxa"/>
                  <w:tcBorders>
                    <w:tl2br w:val="nil"/>
                    <w:tr2bl w:val="nil"/>
                  </w:tcBorders>
                  <w:shd w:val="clear" w:color="auto" w:fill="auto"/>
                  <w:vAlign w:val="center"/>
                </w:tcPr>
                <w:p w14:paraId="6B43DB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71" w:type="dxa"/>
                  <w:tcBorders>
                    <w:tl2br w:val="nil"/>
                    <w:tr2bl w:val="nil"/>
                  </w:tcBorders>
                  <w:shd w:val="clear" w:color="auto" w:fill="auto"/>
                  <w:vAlign w:val="center"/>
                </w:tcPr>
                <w:p w14:paraId="31EB3A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1532" w:type="dxa"/>
                  <w:tcBorders>
                    <w:tl2br w:val="nil"/>
                    <w:tr2bl w:val="nil"/>
                  </w:tcBorders>
                  <w:shd w:val="clear" w:color="auto" w:fill="auto"/>
                  <w:vAlign w:val="center"/>
                </w:tcPr>
                <w:p w14:paraId="1D3579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r>
            <w:tr w14:paraId="6C1AF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tcBorders>
                    <w:tl2br w:val="nil"/>
                    <w:tr2bl w:val="nil"/>
                  </w:tcBorders>
                  <w:shd w:val="clear" w:color="auto" w:fill="auto"/>
                  <w:vAlign w:val="center"/>
                </w:tcPr>
                <w:p w14:paraId="7F9BA9BB">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9</w:t>
                  </w:r>
                </w:p>
              </w:tc>
              <w:tc>
                <w:tcPr>
                  <w:tcW w:w="1871" w:type="dxa"/>
                  <w:tcBorders>
                    <w:tl2br w:val="nil"/>
                    <w:tr2bl w:val="nil"/>
                  </w:tcBorders>
                  <w:shd w:val="clear" w:color="auto" w:fill="auto"/>
                  <w:vAlign w:val="center"/>
                </w:tcPr>
                <w:p w14:paraId="1CEAD5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悬挂链</w:t>
                  </w:r>
                </w:p>
              </w:tc>
              <w:tc>
                <w:tcPr>
                  <w:tcW w:w="2469" w:type="dxa"/>
                  <w:tcBorders>
                    <w:tl2br w:val="nil"/>
                    <w:tr2bl w:val="nil"/>
                  </w:tcBorders>
                  <w:shd w:val="clear" w:color="auto" w:fill="auto"/>
                  <w:vAlign w:val="center"/>
                </w:tcPr>
                <w:p w14:paraId="3A0952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4.4</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898" w:type="dxa"/>
                  <w:tcBorders>
                    <w:tl2br w:val="nil"/>
                    <w:tr2bl w:val="nil"/>
                  </w:tcBorders>
                  <w:shd w:val="clear" w:color="auto" w:fill="auto"/>
                  <w:vAlign w:val="center"/>
                </w:tcPr>
                <w:p w14:paraId="4A7CF3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1（套）</w:t>
                  </w:r>
                </w:p>
              </w:tc>
              <w:tc>
                <w:tcPr>
                  <w:tcW w:w="1171" w:type="dxa"/>
                  <w:tcBorders>
                    <w:tl2br w:val="nil"/>
                    <w:tr2bl w:val="nil"/>
                  </w:tcBorders>
                  <w:shd w:val="clear" w:color="auto" w:fill="auto"/>
                  <w:vAlign w:val="center"/>
                </w:tcPr>
                <w:p w14:paraId="4776AF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1（套）</w:t>
                  </w:r>
                </w:p>
              </w:tc>
              <w:tc>
                <w:tcPr>
                  <w:tcW w:w="1532" w:type="dxa"/>
                  <w:tcBorders>
                    <w:tl2br w:val="nil"/>
                    <w:tr2bl w:val="nil"/>
                  </w:tcBorders>
                  <w:shd w:val="clear" w:color="auto" w:fill="auto"/>
                  <w:vAlign w:val="center"/>
                </w:tcPr>
                <w:p w14:paraId="6548D8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2（套）</w:t>
                  </w:r>
                </w:p>
              </w:tc>
            </w:tr>
            <w:tr w14:paraId="6236E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restart"/>
                  <w:tcBorders>
                    <w:tl2br w:val="nil"/>
                    <w:tr2bl w:val="nil"/>
                  </w:tcBorders>
                  <w:vAlign w:val="center"/>
                </w:tcPr>
                <w:p w14:paraId="26E23D7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10</w:t>
                  </w:r>
                </w:p>
              </w:tc>
              <w:tc>
                <w:tcPr>
                  <w:tcW w:w="1871" w:type="dxa"/>
                  <w:vMerge w:val="restart"/>
                  <w:tcBorders>
                    <w:tl2br w:val="nil"/>
                    <w:tr2bl w:val="nil"/>
                  </w:tcBorders>
                  <w:shd w:val="clear" w:color="auto" w:fill="auto"/>
                  <w:vAlign w:val="center"/>
                </w:tcPr>
                <w:p w14:paraId="233F90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蓄能罐</w:t>
                  </w:r>
                  <w:r>
                    <w:rPr>
                      <w:rFonts w:hint="eastAsia" w:cs="Times New Roman"/>
                      <w:color w:val="auto"/>
                      <w:sz w:val="21"/>
                      <w:szCs w:val="21"/>
                      <w:highlight w:val="none"/>
                      <w:vertAlign w:val="baseline"/>
                      <w:lang w:val="en-US" w:eastAsia="zh-CN"/>
                    </w:rPr>
                    <w:t>（空气）</w:t>
                  </w:r>
                </w:p>
              </w:tc>
              <w:tc>
                <w:tcPr>
                  <w:tcW w:w="2469" w:type="dxa"/>
                  <w:tcBorders>
                    <w:tl2br w:val="nil"/>
                    <w:tr2bl w:val="nil"/>
                  </w:tcBorders>
                  <w:shd w:val="clear" w:color="auto" w:fill="auto"/>
                  <w:vAlign w:val="center"/>
                </w:tcPr>
                <w:p w14:paraId="3F476B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容17闽A4342(20)</w:t>
                  </w:r>
                </w:p>
              </w:tc>
              <w:tc>
                <w:tcPr>
                  <w:tcW w:w="898" w:type="dxa"/>
                  <w:tcBorders>
                    <w:tl2br w:val="nil"/>
                    <w:tr2bl w:val="nil"/>
                  </w:tcBorders>
                  <w:shd w:val="clear" w:color="auto" w:fill="auto"/>
                  <w:vAlign w:val="center"/>
                </w:tcPr>
                <w:p w14:paraId="4686EB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71" w:type="dxa"/>
                  <w:tcBorders>
                    <w:tl2br w:val="nil"/>
                    <w:tr2bl w:val="nil"/>
                  </w:tcBorders>
                  <w:shd w:val="clear" w:color="auto" w:fill="auto"/>
                  <w:vAlign w:val="center"/>
                </w:tcPr>
                <w:p w14:paraId="354735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532" w:type="dxa"/>
                  <w:tcBorders>
                    <w:tl2br w:val="nil"/>
                    <w:tr2bl w:val="nil"/>
                  </w:tcBorders>
                  <w:shd w:val="clear" w:color="auto" w:fill="auto"/>
                  <w:vAlign w:val="center"/>
                </w:tcPr>
                <w:p w14:paraId="1C191D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1AE98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Merge w:val="continue"/>
                  <w:vAlign w:val="center"/>
                </w:tcPr>
                <w:p w14:paraId="7BD3D031">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871" w:type="dxa"/>
                  <w:vMerge w:val="continue"/>
                  <w:shd w:val="clear" w:color="auto" w:fill="auto"/>
                  <w:vAlign w:val="center"/>
                </w:tcPr>
                <w:p w14:paraId="518894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469" w:type="dxa"/>
                  <w:shd w:val="clear" w:color="auto" w:fill="auto"/>
                  <w:vAlign w:val="center"/>
                </w:tcPr>
                <w:p w14:paraId="3A7722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容17闽A4341(20)</w:t>
                  </w:r>
                </w:p>
              </w:tc>
              <w:tc>
                <w:tcPr>
                  <w:tcW w:w="898" w:type="dxa"/>
                  <w:shd w:val="clear" w:color="auto" w:fill="auto"/>
                  <w:vAlign w:val="center"/>
                </w:tcPr>
                <w:p w14:paraId="4978AB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71" w:type="dxa"/>
                  <w:shd w:val="clear" w:color="auto" w:fill="auto"/>
                  <w:vAlign w:val="center"/>
                </w:tcPr>
                <w:p w14:paraId="7A530E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532" w:type="dxa"/>
                  <w:shd w:val="clear" w:color="auto" w:fill="auto"/>
                  <w:vAlign w:val="center"/>
                </w:tcPr>
                <w:p w14:paraId="2D88C7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6DCE2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Align w:val="center"/>
                </w:tcPr>
                <w:p w14:paraId="6F503A59">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bookmarkStart w:id="38" w:name="_Toc26666"/>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11</w:t>
                  </w:r>
                </w:p>
              </w:tc>
              <w:tc>
                <w:tcPr>
                  <w:tcW w:w="1871" w:type="dxa"/>
                  <w:shd w:val="clear" w:color="auto" w:fill="auto"/>
                  <w:vAlign w:val="center"/>
                </w:tcPr>
                <w:p w14:paraId="4C26263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储气罐</w:t>
                  </w:r>
                  <w:r>
                    <w:rPr>
                      <w:rFonts w:hint="eastAsia"/>
                      <w:color w:val="auto"/>
                      <w:lang w:eastAsia="zh-CN"/>
                    </w:rPr>
                    <w:t>（</w:t>
                  </w:r>
                  <w:r>
                    <w:rPr>
                      <w:rFonts w:hint="eastAsia"/>
                      <w:color w:val="auto"/>
                      <w:lang w:val="en-US" w:eastAsia="zh-CN"/>
                    </w:rPr>
                    <w:t>蒸汽</w:t>
                  </w:r>
                  <w:r>
                    <w:rPr>
                      <w:rFonts w:hint="eastAsia"/>
                      <w:color w:val="auto"/>
                      <w:lang w:eastAsia="zh-CN"/>
                    </w:rPr>
                    <w:t>）</w:t>
                  </w:r>
                </w:p>
              </w:tc>
              <w:tc>
                <w:tcPr>
                  <w:tcW w:w="2469" w:type="dxa"/>
                  <w:shd w:val="clear" w:color="auto" w:fill="auto"/>
                  <w:vAlign w:val="center"/>
                </w:tcPr>
                <w:p w14:paraId="174DE6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容17闽A4343(20)</w:t>
                  </w:r>
                </w:p>
              </w:tc>
              <w:tc>
                <w:tcPr>
                  <w:tcW w:w="898" w:type="dxa"/>
                  <w:shd w:val="clear" w:color="auto" w:fill="auto"/>
                  <w:vAlign w:val="center"/>
                </w:tcPr>
                <w:p w14:paraId="12AFF9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71" w:type="dxa"/>
                  <w:vAlign w:val="center"/>
                </w:tcPr>
                <w:p w14:paraId="5689B0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532" w:type="dxa"/>
                  <w:vAlign w:val="center"/>
                </w:tcPr>
                <w:p w14:paraId="7F03D0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0605E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Align w:val="center"/>
                </w:tcPr>
                <w:p w14:paraId="0CEDD436">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bookmarkStart w:id="39" w:name="_Toc31186"/>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12</w:t>
                  </w:r>
                </w:p>
              </w:tc>
              <w:tc>
                <w:tcPr>
                  <w:tcW w:w="1871" w:type="dxa"/>
                  <w:shd w:val="clear" w:color="auto" w:fill="auto"/>
                  <w:vAlign w:val="center"/>
                </w:tcPr>
                <w:p w14:paraId="5AAACD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真空控制系统组</w:t>
                  </w:r>
                </w:p>
              </w:tc>
              <w:tc>
                <w:tcPr>
                  <w:tcW w:w="2469" w:type="dxa"/>
                  <w:shd w:val="clear" w:color="auto" w:fill="auto"/>
                  <w:vAlign w:val="center"/>
                </w:tcPr>
                <w:p w14:paraId="63E78F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ME160M</w:t>
                  </w:r>
                </w:p>
              </w:tc>
              <w:tc>
                <w:tcPr>
                  <w:tcW w:w="898" w:type="dxa"/>
                  <w:shd w:val="clear" w:color="auto" w:fill="auto"/>
                  <w:vAlign w:val="center"/>
                </w:tcPr>
                <w:p w14:paraId="62D277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71" w:type="dxa"/>
                  <w:vAlign w:val="center"/>
                </w:tcPr>
                <w:p w14:paraId="7EB3F1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532" w:type="dxa"/>
                  <w:vAlign w:val="center"/>
                </w:tcPr>
                <w:p w14:paraId="5F36DE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1D5FB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4" w:type="dxa"/>
                  <w:vAlign w:val="center"/>
                </w:tcPr>
                <w:p w14:paraId="739FFA29">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13</w:t>
                  </w:r>
                </w:p>
              </w:tc>
              <w:tc>
                <w:tcPr>
                  <w:tcW w:w="1871" w:type="dxa"/>
                  <w:shd w:val="clear" w:color="auto" w:fill="auto"/>
                  <w:vAlign w:val="center"/>
                </w:tcPr>
                <w:p w14:paraId="3E6FD9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冷却塔</w:t>
                  </w:r>
                </w:p>
              </w:tc>
              <w:tc>
                <w:tcPr>
                  <w:tcW w:w="2469" w:type="dxa"/>
                  <w:shd w:val="clear" w:color="auto" w:fill="auto"/>
                  <w:vAlign w:val="center"/>
                </w:tcPr>
                <w:p w14:paraId="33FA62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898" w:type="dxa"/>
                  <w:shd w:val="clear" w:color="auto" w:fill="auto"/>
                  <w:vAlign w:val="center"/>
                </w:tcPr>
                <w:p w14:paraId="3790D0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171" w:type="dxa"/>
                  <w:vAlign w:val="center"/>
                </w:tcPr>
                <w:p w14:paraId="6384FA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532" w:type="dxa"/>
                  <w:vAlign w:val="center"/>
                </w:tcPr>
                <w:p w14:paraId="683CB2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r>
            <w:tr w14:paraId="22F90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14" w:type="dxa"/>
                  <w:gridSpan w:val="3"/>
                  <w:vAlign w:val="center"/>
                </w:tcPr>
                <w:p w14:paraId="704181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合计</w:t>
                  </w:r>
                </w:p>
              </w:tc>
              <w:tc>
                <w:tcPr>
                  <w:tcW w:w="898" w:type="dxa"/>
                  <w:shd w:val="clear" w:color="auto" w:fill="auto"/>
                  <w:vAlign w:val="center"/>
                </w:tcPr>
                <w:p w14:paraId="14C091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w:t>
                  </w:r>
                </w:p>
              </w:tc>
              <w:tc>
                <w:tcPr>
                  <w:tcW w:w="1171" w:type="dxa"/>
                  <w:vAlign w:val="center"/>
                </w:tcPr>
                <w:p w14:paraId="4C5914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47</w:t>
                  </w:r>
                </w:p>
              </w:tc>
              <w:tc>
                <w:tcPr>
                  <w:tcW w:w="1532" w:type="dxa"/>
                  <w:vAlign w:val="center"/>
                </w:tcPr>
                <w:p w14:paraId="5F7F30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p>
              </w:tc>
            </w:tr>
            <w:bookmarkEnd w:id="38"/>
          </w:tbl>
          <w:p w14:paraId="133191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40" w:name="_Toc24377"/>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2.2.7项目水平衡</w:t>
            </w:r>
            <w:bookmarkEnd w:id="39"/>
            <w:bookmarkEnd w:id="40"/>
          </w:p>
          <w:p w14:paraId="10B090E3">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000000" w:themeColor="text1"/>
                <w:sz w:val="24"/>
                <w:highlight w:val="none"/>
                <w14:textFill>
                  <w14:solidFill>
                    <w14:schemeClr w14:val="tx1"/>
                  </w14:solidFill>
                </w14:textFill>
              </w:rPr>
            </w:pPr>
            <w:bookmarkStart w:id="41" w:name="_Toc81"/>
            <w:r>
              <w:rPr>
                <w:rFonts w:hint="eastAsia"/>
                <w:b w:val="0"/>
                <w:bCs/>
                <w:color w:val="000000" w:themeColor="text1"/>
                <w:sz w:val="24"/>
                <w:highlight w:val="none"/>
                <w14:textFill>
                  <w14:solidFill>
                    <w14:schemeClr w14:val="tx1"/>
                  </w14:solidFill>
                </w14:textFill>
              </w:rPr>
              <w:t>（1）生活污水</w:t>
            </w:r>
            <w:bookmarkEnd w:id="41"/>
          </w:p>
          <w:p w14:paraId="031F935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color w:val="000000" w:themeColor="text1"/>
                <w:kern w:val="0"/>
                <w:sz w:val="24"/>
                <w:highlight w:val="none"/>
                <w:lang w:bidi="ar"/>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color w:val="000000" w:themeColor="text1"/>
                <w:sz w:val="24"/>
                <w:highlight w:val="none"/>
                <w14:textFill>
                  <w14:solidFill>
                    <w14:schemeClr w14:val="tx1"/>
                  </w14:solidFill>
                </w14:textFill>
              </w:rPr>
              <w:t>《建筑给水排水设计标准》</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GB50015-2019</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，本项目</w:t>
            </w:r>
            <w:r>
              <w:rPr>
                <w:rFonts w:hint="eastAsia"/>
                <w:color w:val="000000" w:themeColor="text1"/>
                <w:sz w:val="24"/>
                <w:highlight w:val="none"/>
                <w14:textFill>
                  <w14:solidFill>
                    <w14:schemeClr w14:val="tx1"/>
                  </w14:solidFill>
                </w14:textFill>
              </w:rPr>
              <w:t>不</w:t>
            </w:r>
            <w:r>
              <w:rPr>
                <w:color w:val="000000" w:themeColor="text1"/>
                <w:sz w:val="24"/>
                <w:highlight w:val="none"/>
                <w14:textFill>
                  <w14:solidFill>
                    <w14:schemeClr w14:val="tx1"/>
                  </w14:solidFill>
                </w14:textFill>
              </w:rPr>
              <w:t>住宿员工用水量按</w:t>
            </w:r>
            <w:r>
              <w:rPr>
                <w:rFonts w:hint="eastAsia"/>
                <w:color w:val="000000" w:themeColor="text1"/>
                <w:sz w:val="24"/>
                <w:highlight w:val="none"/>
                <w14:textFill>
                  <w14:solidFill>
                    <w14:schemeClr w14:val="tx1"/>
                  </w14:solidFill>
                </w14:textFill>
              </w:rPr>
              <w:t>50</w:t>
            </w:r>
            <w:r>
              <w:rPr>
                <w:color w:val="000000" w:themeColor="text1"/>
                <w:sz w:val="24"/>
                <w:highlight w:val="none"/>
                <w14:textFill>
                  <w14:solidFill>
                    <w14:schemeClr w14:val="tx1"/>
                  </w14:solidFill>
                </w14:textFill>
              </w:rPr>
              <w:t>L/人·d计</w:t>
            </w:r>
            <w:r>
              <w:rPr>
                <w:color w:val="000000" w:themeColor="text1"/>
                <w:kern w:val="0"/>
                <w:sz w:val="24"/>
                <w:highlight w:val="none"/>
                <w:lang w:bidi="ar"/>
                <w14:textFill>
                  <w14:solidFill>
                    <w14:schemeClr w14:val="tx1"/>
                  </w14:solidFill>
                </w14:textFill>
              </w:rPr>
              <w:t>，项目职工人数</w:t>
            </w:r>
            <w:r>
              <w:rPr>
                <w:rFonts w:hint="eastAsia"/>
                <w:color w:val="000000" w:themeColor="text1"/>
                <w:kern w:val="0"/>
                <w:sz w:val="24"/>
                <w:highlight w:val="none"/>
                <w:lang w:val="en-US" w:eastAsia="zh-CN" w:bidi="ar"/>
                <w14:textFill>
                  <w14:solidFill>
                    <w14:schemeClr w14:val="tx1"/>
                  </w14:solidFill>
                </w14:textFill>
              </w:rPr>
              <w:t>80</w:t>
            </w:r>
            <w:r>
              <w:rPr>
                <w:color w:val="000000" w:themeColor="text1"/>
                <w:kern w:val="0"/>
                <w:sz w:val="24"/>
                <w:highlight w:val="none"/>
                <w:lang w:bidi="ar"/>
                <w14:textFill>
                  <w14:solidFill>
                    <w14:schemeClr w14:val="tx1"/>
                  </w14:solidFill>
                </w14:textFill>
              </w:rPr>
              <w:t>人，均不住厂，则生活用水量约</w:t>
            </w:r>
            <w:r>
              <w:rPr>
                <w:rFonts w:hint="eastAsia"/>
                <w:color w:val="000000" w:themeColor="text1"/>
                <w:kern w:val="0"/>
                <w:sz w:val="24"/>
                <w:highlight w:val="none"/>
                <w:lang w:val="en-US" w:eastAsia="zh-CN" w:bidi="ar"/>
                <w14:textFill>
                  <w14:solidFill>
                    <w14:schemeClr w14:val="tx1"/>
                  </w14:solidFill>
                </w14:textFill>
              </w:rPr>
              <w:t>4</w:t>
            </w:r>
            <w:r>
              <w:rPr>
                <w:color w:val="000000" w:themeColor="text1"/>
                <w:kern w:val="0"/>
                <w:sz w:val="24"/>
                <w:highlight w:val="none"/>
                <w:lang w:bidi="ar"/>
                <w14:textFill>
                  <w14:solidFill>
                    <w14:schemeClr w14:val="tx1"/>
                  </w14:solidFill>
                </w14:textFill>
              </w:rPr>
              <w:t>t/d（</w:t>
            </w:r>
            <w:r>
              <w:rPr>
                <w:rFonts w:hint="eastAsia"/>
                <w:color w:val="000000" w:themeColor="text1"/>
                <w:kern w:val="0"/>
                <w:sz w:val="24"/>
                <w:highlight w:val="none"/>
                <w:lang w:val="en-US" w:eastAsia="zh-CN" w:bidi="ar"/>
                <w14:textFill>
                  <w14:solidFill>
                    <w14:schemeClr w14:val="tx1"/>
                  </w14:solidFill>
                </w14:textFill>
              </w:rPr>
              <w:t>1320</w:t>
            </w:r>
            <w:r>
              <w:rPr>
                <w:color w:val="000000" w:themeColor="text1"/>
                <w:kern w:val="0"/>
                <w:sz w:val="24"/>
                <w:highlight w:val="none"/>
                <w:lang w:bidi="ar"/>
                <w14:textFill>
                  <w14:solidFill>
                    <w14:schemeClr w14:val="tx1"/>
                  </w14:solidFill>
                </w14:textFill>
              </w:rPr>
              <w:t>t/a），项目废水排放系数按照0.8计算，则废水产生量为</w:t>
            </w:r>
            <w:r>
              <w:rPr>
                <w:rFonts w:hint="eastAsia"/>
                <w:color w:val="000000" w:themeColor="text1"/>
                <w:kern w:val="0"/>
                <w:sz w:val="24"/>
                <w:highlight w:val="none"/>
                <w:lang w:val="en-US" w:eastAsia="zh-CN" w:bidi="ar"/>
                <w14:textFill>
                  <w14:solidFill>
                    <w14:schemeClr w14:val="tx1"/>
                  </w14:solidFill>
                </w14:textFill>
              </w:rPr>
              <w:t>3.2</w:t>
            </w:r>
            <w:r>
              <w:rPr>
                <w:color w:val="000000" w:themeColor="text1"/>
                <w:kern w:val="0"/>
                <w:sz w:val="24"/>
                <w:highlight w:val="none"/>
                <w:lang w:bidi="ar"/>
                <w14:textFill>
                  <w14:solidFill>
                    <w14:schemeClr w14:val="tx1"/>
                  </w14:solidFill>
                </w14:textFill>
              </w:rPr>
              <w:t>t/d（</w:t>
            </w:r>
            <w:r>
              <w:rPr>
                <w:rFonts w:hint="eastAsia"/>
                <w:color w:val="000000" w:themeColor="text1"/>
                <w:kern w:val="0"/>
                <w:sz w:val="24"/>
                <w:highlight w:val="none"/>
                <w:lang w:val="en-US" w:eastAsia="zh-CN" w:bidi="ar"/>
                <w14:textFill>
                  <w14:solidFill>
                    <w14:schemeClr w14:val="tx1"/>
                  </w14:solidFill>
                </w14:textFill>
              </w:rPr>
              <w:t>1056</w:t>
            </w:r>
            <w:r>
              <w:rPr>
                <w:color w:val="000000" w:themeColor="text1"/>
                <w:kern w:val="0"/>
                <w:sz w:val="24"/>
                <w:highlight w:val="none"/>
                <w:lang w:bidi="ar"/>
                <w14:textFill>
                  <w14:solidFill>
                    <w14:schemeClr w14:val="tx1"/>
                  </w14:solidFill>
                </w14:textFill>
              </w:rPr>
              <w:t>t/a）</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生活污水依托厂内已建的化粪池处理后进入市政污水管网纳入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color w:val="000000" w:themeColor="text1"/>
                <w:kern w:val="0"/>
                <w:sz w:val="24"/>
                <w:highlight w:val="none"/>
                <w:lang w:val="en-US" w:eastAsia="zh-CN" w:bidi="ar"/>
                <w14:textFill>
                  <w14:solidFill>
                    <w14:schemeClr w14:val="tx1"/>
                  </w14:solidFill>
                </w14:textFill>
              </w:rPr>
              <w:t>集中处理</w:t>
            </w:r>
            <w:r>
              <w:rPr>
                <w:rFonts w:hint="eastAsia"/>
                <w:color w:val="000000" w:themeColor="text1"/>
                <w:kern w:val="0"/>
                <w:sz w:val="24"/>
                <w:highlight w:val="none"/>
                <w:lang w:bidi="ar"/>
                <w14:textFill>
                  <w14:solidFill>
                    <w14:schemeClr w14:val="tx1"/>
                  </w14:solidFill>
                </w14:textFill>
              </w:rPr>
              <w:t>。</w:t>
            </w:r>
          </w:p>
          <w:p w14:paraId="38020C41">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eastAsia="宋体"/>
                <w:b w:val="0"/>
                <w:bCs/>
                <w:color w:val="000000" w:themeColor="text1"/>
                <w:sz w:val="24"/>
                <w:highlight w:val="none"/>
                <w:lang w:val="en-US" w:eastAsia="zh-CN"/>
                <w14:textFill>
                  <w14:solidFill>
                    <w14:schemeClr w14:val="tx1"/>
                  </w14:solidFill>
                </w14:textFill>
              </w:rPr>
            </w:pPr>
            <w:bookmarkStart w:id="42" w:name="_Toc27624"/>
            <w:bookmarkStart w:id="43" w:name="_Toc11791"/>
            <w:r>
              <w:rPr>
                <w:rFonts w:hint="eastAsia"/>
                <w:b w:val="0"/>
                <w:bCs/>
                <w:color w:val="000000" w:themeColor="text1"/>
                <w:sz w:val="24"/>
                <w:highlight w:val="none"/>
                <w14:textFill>
                  <w14:solidFill>
                    <w14:schemeClr w14:val="tx1"/>
                  </w14:solidFill>
                </w14:textFill>
              </w:rPr>
              <w:t>（2）</w:t>
            </w:r>
            <w:r>
              <w:rPr>
                <w:rFonts w:hint="eastAsia"/>
                <w:b w:val="0"/>
                <w:bCs/>
                <w:color w:val="000000" w:themeColor="text1"/>
                <w:sz w:val="24"/>
                <w:highlight w:val="none"/>
                <w:lang w:val="en-US" w:eastAsia="zh-CN"/>
                <w14:textFill>
                  <w14:solidFill>
                    <w14:schemeClr w14:val="tx1"/>
                  </w14:solidFill>
                </w14:textFill>
              </w:rPr>
              <w:t>模具</w:t>
            </w:r>
            <w:r>
              <w:rPr>
                <w:rFonts w:hint="eastAsia"/>
                <w:b w:val="0"/>
                <w:bCs/>
                <w:color w:val="000000" w:themeColor="text1"/>
                <w:sz w:val="24"/>
                <w:highlight w:val="none"/>
                <w14:textFill>
                  <w14:solidFill>
                    <w14:schemeClr w14:val="tx1"/>
                  </w14:solidFill>
                </w14:textFill>
              </w:rPr>
              <w:t>冷却水</w:t>
            </w:r>
            <w:bookmarkEnd w:id="42"/>
            <w:r>
              <w:rPr>
                <w:rFonts w:hint="eastAsia"/>
                <w:b w:val="0"/>
                <w:bCs/>
                <w:color w:val="000000" w:themeColor="text1"/>
                <w:sz w:val="24"/>
                <w:highlight w:val="none"/>
                <w:lang w:val="en-US" w:eastAsia="zh-CN"/>
                <w14:textFill>
                  <w14:solidFill>
                    <w14:schemeClr w14:val="tx1"/>
                  </w14:solidFill>
                </w14:textFill>
              </w:rPr>
              <w:t>及蒸气冷凝水</w:t>
            </w:r>
          </w:p>
          <w:p w14:paraId="3C2B75D5">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color w:val="auto"/>
                <w:sz w:val="24"/>
                <w:highlight w:val="none"/>
              </w:rPr>
            </w:pPr>
            <w:r>
              <w:rPr>
                <w:rFonts w:hint="eastAsia"/>
                <w:color w:val="000000" w:themeColor="text1"/>
                <w:sz w:val="24"/>
                <w:highlight w:val="none"/>
                <w14:textFill>
                  <w14:solidFill>
                    <w14:schemeClr w14:val="tx1"/>
                  </w14:solidFill>
                </w14:textFill>
              </w:rPr>
              <w:t>项目生产废水主要是模具冷却水及蒸汽冷凝水，生产废水经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olor w:val="auto"/>
                <w:sz w:val="24"/>
                <w:highlight w:val="none"/>
              </w:rPr>
              <w:t>处理后回用于模具冷却，</w:t>
            </w:r>
            <w:r>
              <w:rPr>
                <w:rFonts w:hint="eastAsia"/>
                <w:color w:val="auto"/>
                <w:sz w:val="24"/>
                <w:highlight w:val="none"/>
                <w:lang w:val="en-US" w:eastAsia="zh-CN"/>
              </w:rPr>
              <w:t>根据业主提供实现情况，现有项目年产1800吨包装泡沫时</w:t>
            </w:r>
            <w:r>
              <w:rPr>
                <w:rFonts w:hint="eastAsia"/>
                <w:color w:val="auto"/>
                <w:sz w:val="24"/>
                <w:highlight w:val="none"/>
              </w:rPr>
              <w:t>冷却用水需要补充新鲜用水1.0t</w:t>
            </w:r>
            <w:r>
              <w:rPr>
                <w:rFonts w:hint="eastAsia"/>
                <w:color w:val="auto"/>
                <w:sz w:val="24"/>
                <w:highlight w:val="none"/>
                <w:lang w:val="en-US" w:eastAsia="zh-CN"/>
              </w:rPr>
              <w:t>/</w:t>
            </w:r>
            <w:r>
              <w:rPr>
                <w:rFonts w:hint="eastAsia"/>
                <w:color w:val="auto"/>
                <w:sz w:val="24"/>
                <w:highlight w:val="none"/>
              </w:rPr>
              <w:t>d(330ta</w:t>
            </w:r>
            <w:r>
              <w:rPr>
                <w:rFonts w:hint="eastAsia"/>
                <w:color w:val="auto"/>
                <w:sz w:val="24"/>
                <w:highlight w:val="none"/>
                <w:lang w:eastAsia="zh-CN"/>
              </w:rPr>
              <w:t>）</w:t>
            </w:r>
            <w:r>
              <w:rPr>
                <w:rFonts w:hint="eastAsia"/>
                <w:color w:val="auto"/>
                <w:sz w:val="24"/>
                <w:highlight w:val="none"/>
              </w:rPr>
              <w:t>，</w:t>
            </w:r>
            <w:r>
              <w:rPr>
                <w:rFonts w:hint="eastAsia"/>
                <w:color w:val="auto"/>
                <w:sz w:val="24"/>
                <w:highlight w:val="none"/>
                <w:lang w:val="en-US" w:eastAsia="zh-CN"/>
              </w:rPr>
              <w:t>本次扩建工程新增EPS包装泡沫6000吨、EPP包装泡沫900吨、EPP包装泡沫1200吨，冷却水所需补充新鲜用水量为1t/d÷1800t×（6000+900+1200）t=4.5t/d（1.485t/a）。结合现有项目用水量，本项目建成后全厂年生产EPS包装泡沫7800吨、EPP包装泡沫900吨、EPP包装泡沫1200吨，全厂冷却水需补充新鲜用水1t/d÷1800t×9900t=5.5t/d（1815t/a），</w:t>
            </w:r>
            <w:r>
              <w:rPr>
                <w:rFonts w:hint="eastAsia"/>
                <w:color w:val="auto"/>
                <w:sz w:val="24"/>
                <w:highlight w:val="none"/>
              </w:rPr>
              <w:t>生产废水循环使用，不外排。</w:t>
            </w:r>
          </w:p>
          <w:p w14:paraId="56FBD0FA">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项目水平衡图详见图2.1-1。</w:t>
            </w:r>
            <w:bookmarkEnd w:id="43"/>
          </w:p>
          <w:p w14:paraId="03F20EB7">
            <w:pPr>
              <w:pStyle w:val="40"/>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drawing>
                <wp:inline distT="0" distB="0" distL="114300" distR="114300">
                  <wp:extent cx="5489575" cy="7002780"/>
                  <wp:effectExtent l="0" t="0" r="15875" b="7620"/>
                  <wp:docPr id="38" name="F360BE8B-6686-4F3D-AEAF-501FE73E4058-1" descr="C:/Users/AA/AppData/Local/Temp/大松水平衡(6).png大松水平衡(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360BE8B-6686-4F3D-AEAF-501FE73E4058-1" descr="C:/Users/AA/AppData/Local/Temp/大松水平衡(6).png大松水平衡(6)"/>
                          <pic:cNvPicPr>
                            <a:picLocks noChangeAspect="1"/>
                          </pic:cNvPicPr>
                        </pic:nvPicPr>
                        <pic:blipFill>
                          <a:blip r:embed="rId8"/>
                          <a:stretch>
                            <a:fillRect/>
                          </a:stretch>
                        </pic:blipFill>
                        <pic:spPr>
                          <a:xfrm>
                            <a:off x="0" y="0"/>
                            <a:ext cx="5489575" cy="7002780"/>
                          </a:xfrm>
                          <a:prstGeom prst="rect">
                            <a:avLst/>
                          </a:prstGeom>
                        </pic:spPr>
                      </pic:pic>
                    </a:graphicData>
                  </a:graphic>
                </wp:inline>
              </w:drawing>
            </w:r>
          </w:p>
          <w:p w14:paraId="34ADA5CE">
            <w:pPr>
              <w:pStyle w:val="40"/>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bookmarkStart w:id="44" w:name="_Toc7512"/>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图2.1-1项目水平衡图（单位：t/d）</w:t>
            </w:r>
            <w:bookmarkEnd w:id="44"/>
          </w:p>
          <w:p w14:paraId="1B5356E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45" w:name="_Toc13719"/>
            <w:bookmarkStart w:id="46" w:name="_Toc13052"/>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2.2.8项目平面布置合理性分析</w:t>
            </w:r>
            <w:bookmarkEnd w:id="45"/>
            <w:bookmarkEnd w:id="46"/>
          </w:p>
          <w:p w14:paraId="6425DB95">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本次扩建项目</w:t>
            </w:r>
            <w:r>
              <w:rPr>
                <w:rFonts w:hint="eastAsia" w:cs="Times New Roman"/>
                <w:color w:val="000000" w:themeColor="text1"/>
                <w:sz w:val="24"/>
                <w:szCs w:val="24"/>
                <w:highlight w:val="none"/>
                <w:lang w:val="en-US" w:eastAsia="zh-CN"/>
                <w14:textFill>
                  <w14:solidFill>
                    <w14:schemeClr w14:val="tx1"/>
                  </w14:solidFill>
                </w14:textFill>
              </w:rPr>
              <w:t>拟建设于1#组装车间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内东侧闲置区域</w:t>
            </w:r>
            <w:r>
              <w:rPr>
                <w:rFonts w:hint="eastAsia" w:cs="Times New Roman"/>
                <w:color w:val="000000" w:themeColor="text1"/>
                <w:sz w:val="24"/>
                <w:szCs w:val="24"/>
                <w:highlight w:val="none"/>
                <w:lang w:val="en-US" w:eastAsia="zh-CN"/>
                <w14:textFill>
                  <w14:solidFill>
                    <w14:schemeClr w14:val="tx1"/>
                  </w14:solidFill>
                </w14:textFill>
              </w:rPr>
              <w:t>（1024m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，新增成型机、发料机、烘干</w:t>
            </w:r>
            <w:r>
              <w:rPr>
                <w:rFonts w:hint="eastAsia" w:ascii="Times New Roman" w:hAnsi="Times New Roman" w:eastAsia="宋体" w:cs="Times New Roman"/>
                <w:color w:val="auto"/>
                <w:sz w:val="24"/>
                <w:szCs w:val="24"/>
                <w:highlight w:val="none"/>
                <w:lang w:val="en-US" w:eastAsia="zh-CN"/>
              </w:rPr>
              <w:t>机、干燥机等设备。扩建3条生产线（</w:t>
            </w:r>
            <w:r>
              <w:rPr>
                <w:rFonts w:hint="eastAsia" w:cs="Times New Roman"/>
                <w:color w:val="auto"/>
                <w:sz w:val="24"/>
                <w:szCs w:val="24"/>
                <w:u w:val="none"/>
                <w:lang w:eastAsia="zh-CN"/>
              </w:rPr>
              <w:t>EPS包装泡沫</w:t>
            </w:r>
            <w:r>
              <w:rPr>
                <w:rFonts w:hint="eastAsia" w:cs="Times New Roman"/>
                <w:color w:val="auto"/>
                <w:sz w:val="24"/>
                <w:szCs w:val="24"/>
                <w:u w:val="none"/>
                <w:lang w:val="en-US" w:eastAsia="zh-CN"/>
              </w:rPr>
              <w:t>生产线</w:t>
            </w:r>
            <w:r>
              <w:rPr>
                <w:rFonts w:hint="eastAsia" w:cs="Times New Roman"/>
                <w:color w:val="auto"/>
                <w:sz w:val="24"/>
                <w:szCs w:val="24"/>
                <w:u w:val="none"/>
                <w:lang w:eastAsia="zh-CN"/>
              </w:rPr>
              <w:t>、EPO包装泡沫</w:t>
            </w:r>
            <w:r>
              <w:rPr>
                <w:rFonts w:hint="eastAsia" w:cs="Times New Roman"/>
                <w:color w:val="auto"/>
                <w:sz w:val="24"/>
                <w:szCs w:val="24"/>
                <w:u w:val="none"/>
                <w:lang w:val="en-US" w:eastAsia="zh-CN"/>
              </w:rPr>
              <w:t>生产线</w:t>
            </w:r>
            <w:r>
              <w:rPr>
                <w:rFonts w:hint="eastAsia" w:cs="Times New Roman"/>
                <w:color w:val="auto"/>
                <w:sz w:val="24"/>
                <w:szCs w:val="24"/>
                <w:u w:val="none"/>
                <w:lang w:eastAsia="zh-CN"/>
              </w:rPr>
              <w:t>、EPP包装泡</w:t>
            </w:r>
            <w:r>
              <w:rPr>
                <w:rFonts w:hint="eastAsia" w:cs="Times New Roman"/>
                <w:color w:val="auto"/>
                <w:sz w:val="24"/>
                <w:szCs w:val="24"/>
                <w:u w:val="none"/>
                <w:lang w:val="en-US" w:eastAsia="zh-CN"/>
              </w:rPr>
              <w:t>生产线</w:t>
            </w:r>
            <w:r>
              <w:rPr>
                <w:rFonts w:hint="eastAsia" w:ascii="Times New Roman" w:hAnsi="Times New Roman" w:eastAsia="宋体" w:cs="Times New Roman"/>
                <w:color w:val="auto"/>
                <w:sz w:val="24"/>
                <w:szCs w:val="24"/>
                <w:highlight w:val="none"/>
                <w:lang w:val="en-US" w:eastAsia="zh-CN"/>
              </w:rPr>
              <w:t>），本项目新增设备均建设在租赁厂房内，</w:t>
            </w:r>
            <w:r>
              <w:rPr>
                <w:rFonts w:hint="eastAsia" w:cs="Times New Roman"/>
                <w:color w:val="auto"/>
                <w:sz w:val="24"/>
                <w:szCs w:val="24"/>
                <w:highlight w:val="none"/>
                <w:lang w:val="en-US" w:eastAsia="zh-CN"/>
              </w:rPr>
              <w:t>2#金属配件车间（6045m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）作为仓库使用，冷却水</w:t>
            </w:r>
            <w:r>
              <w:rPr>
                <w:rFonts w:hint="eastAsia"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原环评内容将产生少量废气无组织排放，本次扩建拟在1#车间西侧外新增一台活性炭吸附装置将废气收集并处理后达标排放。由于现有项目未产生危险废物，本次扩建后新增活性炭处理设施所产生废活性炭，拟在1#厂房西侧外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r>
              <w:rPr>
                <w:rFonts w:hint="eastAsia" w:cs="Times New Roman"/>
                <w:color w:val="auto"/>
                <w:sz w:val="24"/>
                <w:szCs w:val="24"/>
                <w:highlight w:val="none"/>
                <w:lang w:val="en-US" w:eastAsia="zh-CN"/>
              </w:rPr>
              <w:t>生活污水通过污水管网流入厂区内化粪池处理后纳入市政污水管网。</w:t>
            </w:r>
            <w:r>
              <w:rPr>
                <w:rFonts w:hint="default" w:ascii="Times New Roman" w:hAnsi="Times New Roman" w:eastAsia="宋体" w:cs="Times New Roman"/>
                <w:color w:val="auto"/>
                <w:sz w:val="24"/>
                <w:szCs w:val="24"/>
                <w:highlight w:val="none"/>
              </w:rPr>
              <w:t>各功能分区明确，生产车间内平面布置基本上根据生产工艺需</w:t>
            </w:r>
            <w:r>
              <w:rPr>
                <w:rFonts w:hint="default" w:ascii="Times New Roman" w:hAnsi="Times New Roman" w:eastAsia="宋体" w:cs="Times New Roman"/>
                <w:color w:val="000000" w:themeColor="text1"/>
                <w:sz w:val="24"/>
                <w:szCs w:val="24"/>
                <w:highlight w:val="none"/>
                <w14:textFill>
                  <w14:solidFill>
                    <w14:schemeClr w14:val="tx1"/>
                  </w14:solidFill>
                </w14:textFill>
              </w:rPr>
              <w:t>要和物料流向，各工序布置间距较近，便于生产操作，同时也避免物料来回运输消耗能源，</w:t>
            </w:r>
            <w:r>
              <w:rPr>
                <w:color w:val="000000" w:themeColor="text1"/>
                <w:sz w:val="24"/>
                <w:highlight w:val="none"/>
                <w14:textFill>
                  <w14:solidFill>
                    <w14:schemeClr w14:val="tx1"/>
                  </w14:solidFill>
                </w14:textFill>
              </w:rPr>
              <w:t>在满足生产条件要求的前提下，充分利用厂区空间进行设备布置，布局紧凑，生产流程比较流畅，布局基本合理。</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项目平面布置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图</w:t>
            </w:r>
            <w:r>
              <w:rPr>
                <w:rFonts w:hint="eastAsia" w:cs="Times New Roman"/>
                <w:color w:val="000000" w:themeColor="text1"/>
                <w:sz w:val="24"/>
                <w:szCs w:val="24"/>
                <w:highlight w:val="none"/>
                <w:lang w:val="en-US" w:eastAsia="zh-CN"/>
                <w14:textFill>
                  <w14:solidFill>
                    <w14:schemeClr w14:val="tx1"/>
                  </w14:solidFill>
                </w14:textFill>
              </w:rPr>
              <w:t>详见</w:t>
            </w:r>
            <w:r>
              <w:rPr>
                <w:rFonts w:hint="eastAsia" w:cs="Times New Roman"/>
                <w:b/>
                <w:bCs/>
                <w:color w:val="000000" w:themeColor="text1"/>
                <w:sz w:val="24"/>
                <w:szCs w:val="24"/>
                <w:highlight w:val="none"/>
                <w:lang w:val="en-US" w:eastAsia="zh-CN"/>
                <w14:textFill>
                  <w14:solidFill>
                    <w14:schemeClr w14:val="tx1"/>
                  </w14:solidFill>
                </w14:textFill>
              </w:rPr>
              <w:t>附图八</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46F922F">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当地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常年主导风向为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东北侧</w:t>
            </w:r>
            <w:r>
              <w:rPr>
                <w:rFonts w:hint="default" w:ascii="Times New Roman" w:hAnsi="Times New Roman" w:eastAsia="宋体" w:cs="Times New Roman"/>
                <w:color w:val="000000" w:themeColor="text1"/>
                <w:sz w:val="24"/>
                <w:szCs w:val="24"/>
                <w:highlight w:val="none"/>
                <w14:textFill>
                  <w14:solidFill>
                    <w14:schemeClr w14:val="tx1"/>
                  </w14:solidFill>
                </w14:textFill>
              </w:rPr>
              <w:t>，说明其下风向</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西南侧</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受污染</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的概率</w:t>
            </w:r>
            <w:r>
              <w:rPr>
                <w:rFonts w:hint="default" w:ascii="Times New Roman" w:hAnsi="Times New Roman" w:eastAsia="宋体" w:cs="Times New Roman"/>
                <w:color w:val="000000" w:themeColor="text1"/>
                <w:sz w:val="24"/>
                <w:szCs w:val="24"/>
                <w:highlight w:val="none"/>
                <w14:textFill>
                  <w14:solidFill>
                    <w14:schemeClr w14:val="tx1"/>
                  </w14:solidFill>
                </w14:textFill>
              </w:rPr>
              <w:t>最高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将</w:t>
            </w:r>
            <w:r>
              <w:rPr>
                <w:rFonts w:hint="eastAsia" w:cs="Times New Roman"/>
                <w:color w:val="000000" w:themeColor="text1"/>
                <w:sz w:val="24"/>
                <w:szCs w:val="24"/>
                <w:highlight w:val="none"/>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排气</w:t>
            </w:r>
            <w:r>
              <w:rPr>
                <w:rFonts w:hint="default" w:ascii="Times New Roman" w:hAnsi="Times New Roman" w:eastAsia="宋体" w:cs="Times New Roman"/>
                <w:color w:val="auto"/>
                <w:sz w:val="24"/>
                <w:szCs w:val="24"/>
                <w:highlight w:val="none"/>
                <w:lang w:eastAsia="zh-CN"/>
              </w:rPr>
              <w:t>筒设置</w:t>
            </w:r>
            <w:r>
              <w:rPr>
                <w:rFonts w:hint="eastAsia" w:ascii="Times New Roman" w:hAnsi="Times New Roman" w:eastAsia="宋体" w:cs="Times New Roman"/>
                <w:color w:val="auto"/>
                <w:sz w:val="24"/>
                <w:szCs w:val="24"/>
                <w:highlight w:val="none"/>
                <w:lang w:val="en-US" w:eastAsia="zh-CN"/>
              </w:rPr>
              <w:t>在厂房</w:t>
            </w:r>
            <w:r>
              <w:rPr>
                <w:rFonts w:hint="default" w:ascii="Times New Roman" w:hAnsi="Times New Roman" w:eastAsia="宋体" w:cs="Times New Roman"/>
                <w:color w:val="auto"/>
                <w:sz w:val="24"/>
                <w:szCs w:val="24"/>
                <w:highlight w:val="none"/>
                <w:lang w:eastAsia="zh-CN"/>
              </w:rPr>
              <w:t>屋顶</w:t>
            </w:r>
            <w:r>
              <w:rPr>
                <w:rFonts w:hint="eastAsia" w:cs="Times New Roman"/>
                <w:color w:val="auto"/>
                <w:sz w:val="24"/>
                <w:szCs w:val="24"/>
                <w:highlight w:val="none"/>
                <w:lang w:val="en-US" w:eastAsia="zh-CN"/>
              </w:rPr>
              <w:t>西</w:t>
            </w:r>
            <w:r>
              <w:rPr>
                <w:rFonts w:hint="eastAsia" w:ascii="Times New Roman" w:hAnsi="Times New Roman" w:eastAsia="宋体" w:cs="Times New Roman"/>
                <w:color w:val="auto"/>
                <w:sz w:val="24"/>
                <w:szCs w:val="24"/>
                <w:highlight w:val="none"/>
                <w:lang w:val="en-US" w:eastAsia="zh-CN"/>
              </w:rPr>
              <w:t>侧区域</w:t>
            </w:r>
            <w:r>
              <w:rPr>
                <w:rFonts w:hint="eastAsia" w:ascii="Times New Roman" w:hAnsi="Times New Roman" w:eastAsia="宋体" w:cs="Times New Roman"/>
                <w:color w:val="auto"/>
                <w:sz w:val="24"/>
                <w:szCs w:val="24"/>
                <w:highlight w:val="none"/>
                <w:lang w:eastAsia="zh-CN"/>
              </w:rPr>
              <w:t>，排放口朝内</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不位于</w:t>
            </w:r>
            <w:r>
              <w:rPr>
                <w:rFonts w:hint="default" w:ascii="Times New Roman" w:hAnsi="Times New Roman" w:eastAsia="宋体" w:cs="Times New Roman"/>
                <w:color w:val="auto"/>
                <w:sz w:val="24"/>
                <w:szCs w:val="24"/>
                <w:highlight w:val="none"/>
                <w:lang w:eastAsia="zh-CN"/>
              </w:rPr>
              <w:t>常年主导风向</w:t>
            </w:r>
            <w:r>
              <w:rPr>
                <w:rFonts w:hint="eastAsia" w:ascii="Times New Roman" w:hAnsi="Times New Roman" w:eastAsia="宋体" w:cs="Times New Roman"/>
                <w:color w:val="auto"/>
                <w:sz w:val="24"/>
                <w:szCs w:val="24"/>
                <w:highlight w:val="none"/>
                <w:lang w:val="en-US" w:eastAsia="zh-CN"/>
              </w:rPr>
              <w:t>上风向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拟</w:t>
            </w:r>
            <w:r>
              <w:rPr>
                <w:rFonts w:hint="eastAsia" w:cs="Times New Roman"/>
                <w:color w:val="auto"/>
                <w:sz w:val="24"/>
                <w:szCs w:val="24"/>
                <w:highlight w:val="none"/>
                <w:lang w:val="en-US" w:eastAsia="zh-CN"/>
              </w:rPr>
              <w:t>将</w:t>
            </w:r>
            <w:r>
              <w:rPr>
                <w:rFonts w:hint="default" w:ascii="Times New Roman" w:hAnsi="Times New Roman" w:eastAsia="宋体" w:cs="Times New Roman"/>
                <w:color w:val="auto"/>
                <w:sz w:val="24"/>
                <w:szCs w:val="24"/>
                <w:highlight w:val="none"/>
                <w:lang w:eastAsia="zh-CN"/>
              </w:rPr>
              <w:t>危险废物暂存</w:t>
            </w:r>
            <w:r>
              <w:rPr>
                <w:rFonts w:hint="eastAsia" w:cs="Times New Roman"/>
                <w:color w:val="auto"/>
                <w:sz w:val="24"/>
                <w:szCs w:val="24"/>
                <w:highlight w:val="none"/>
                <w:lang w:val="en-US" w:eastAsia="zh-CN"/>
              </w:rPr>
              <w:t>间设置于项目1#车间外，面积约为2-3m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方便危险废物的分类收集，</w:t>
            </w:r>
            <w:r>
              <w:rPr>
                <w:rFonts w:hint="eastAsia" w:ascii="Times New Roman" w:hAnsi="Times New Roman"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eastAsia="zh-CN"/>
              </w:rPr>
              <w:t>可以</w:t>
            </w:r>
            <w:r>
              <w:rPr>
                <w:rFonts w:hint="eastAsia" w:ascii="Times New Roman" w:hAnsi="Times New Roman" w:eastAsia="宋体" w:cs="Times New Roman"/>
                <w:color w:val="auto"/>
                <w:sz w:val="24"/>
                <w:szCs w:val="24"/>
                <w:highlight w:val="none"/>
                <w:lang w:eastAsia="zh-CN"/>
              </w:rPr>
              <w:t>得到有效的</w:t>
            </w:r>
            <w:r>
              <w:rPr>
                <w:rFonts w:hint="default" w:ascii="Times New Roman" w:hAnsi="Times New Roman" w:eastAsia="宋体" w:cs="Times New Roman"/>
                <w:color w:val="auto"/>
                <w:sz w:val="24"/>
                <w:szCs w:val="24"/>
                <w:highlight w:val="none"/>
                <w:lang w:eastAsia="zh-CN"/>
              </w:rPr>
              <w:t>处理处置，可避免造成二次污染</w:t>
            </w:r>
            <w:r>
              <w:rPr>
                <w:rFonts w:hint="eastAsia" w:cs="Times New Roman"/>
                <w:color w:val="auto"/>
                <w:sz w:val="24"/>
                <w:szCs w:val="24"/>
                <w:highlight w:val="none"/>
                <w:lang w:eastAsia="zh-CN"/>
              </w:rPr>
              <w:t>，</w:t>
            </w:r>
            <w:r>
              <w:rPr>
                <w:rFonts w:hint="eastAsia" w:cs="Times New Roman"/>
                <w:color w:val="auto"/>
                <w:sz w:val="24"/>
                <w:szCs w:val="24"/>
                <w:highlight w:val="none"/>
                <w:u w:val="none"/>
                <w:lang w:val="en-US" w:eastAsia="zh-CN"/>
              </w:rPr>
              <w:t>属于厂区内常年主导风向的下风向，该建设位置已采用水泥进行地面硬化，危险废物贮存间内部涂有环氧树脂，符合危险废物贮存间建设标准。</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eastAsia="zh-CN"/>
              </w:rPr>
              <w:t>设备噪声经</w:t>
            </w:r>
            <w:r>
              <w:rPr>
                <w:rFonts w:hint="default" w:ascii="Times New Roman" w:hAnsi="Times New Roman" w:eastAsia="宋体" w:cs="Times New Roman"/>
                <w:color w:val="auto"/>
                <w:sz w:val="24"/>
                <w:szCs w:val="24"/>
                <w:highlight w:val="none"/>
                <w:lang w:eastAsia="zh-CN"/>
              </w:rPr>
              <w:t>基础减振、厂房墙体隔声等综合降噪措施后，可实现噪声达标排放。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综上所述，本项目的布置基本合理。</w:t>
            </w:r>
          </w:p>
        </w:tc>
      </w:tr>
      <w:tr w14:paraId="5C45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1" w:hRule="atLeast"/>
        </w:trPr>
        <w:tc>
          <w:tcPr>
            <w:tcW w:w="449" w:type="dxa"/>
            <w:vAlign w:val="center"/>
          </w:tcPr>
          <w:p w14:paraId="5CD2992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工艺流程和产排污环节</w:t>
            </w:r>
          </w:p>
        </w:tc>
        <w:tc>
          <w:tcPr>
            <w:tcW w:w="8833" w:type="dxa"/>
            <w:vAlign w:val="top"/>
          </w:tcPr>
          <w:p w14:paraId="1D118158">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000000" w:themeColor="text1"/>
                <w:sz w:val="28"/>
                <w:szCs w:val="28"/>
                <w:u w:val="none"/>
                <w:lang w:val="en-US" w:eastAsia="zh-CN"/>
                <w14:textFill>
                  <w14:solidFill>
                    <w14:schemeClr w14:val="tx1"/>
                  </w14:solidFill>
                </w14:textFill>
              </w:rPr>
            </w:pPr>
            <w:bookmarkStart w:id="47" w:name="_Toc28289"/>
            <w:bookmarkStart w:id="48" w:name="_Toc32596"/>
            <w:r>
              <w:rPr>
                <w:rFonts w:hint="eastAsia" w:ascii="Times New Roman" w:hAnsi="Times New Roman" w:eastAsia="宋体" w:cs="Times New Roman"/>
                <w:color w:val="000000" w:themeColor="text1"/>
                <w:sz w:val="28"/>
                <w:szCs w:val="28"/>
                <w:u w:val="none"/>
                <w:lang w:val="en-US" w:eastAsia="zh-CN"/>
                <w14:textFill>
                  <w14:solidFill>
                    <w14:schemeClr w14:val="tx1"/>
                  </w14:solidFill>
                </w14:textFill>
              </w:rPr>
              <w:t>2.3</w:t>
            </w:r>
            <w:r>
              <w:rPr>
                <w:rFonts w:hint="eastAsia" w:ascii="Times New Roman" w:hAnsi="Times New Roman" w:cs="Times New Roman"/>
                <w:color w:val="000000" w:themeColor="text1"/>
                <w:sz w:val="28"/>
                <w:szCs w:val="28"/>
                <w:u w:val="none"/>
                <w:lang w:val="en-US" w:eastAsia="zh-CN"/>
                <w14:textFill>
                  <w14:solidFill>
                    <w14:schemeClr w14:val="tx1"/>
                  </w14:solidFill>
                </w14:textFill>
              </w:rPr>
              <w:t>扩建项目</w:t>
            </w:r>
            <w:r>
              <w:rPr>
                <w:rFonts w:hint="eastAsia" w:ascii="Times New Roman" w:hAnsi="Times New Roman" w:eastAsia="宋体" w:cs="Times New Roman"/>
                <w:color w:val="000000" w:themeColor="text1"/>
                <w:sz w:val="28"/>
                <w:szCs w:val="28"/>
                <w:u w:val="none"/>
                <w:lang w:val="en-US" w:eastAsia="zh-CN"/>
                <w14:textFill>
                  <w14:solidFill>
                    <w14:schemeClr w14:val="tx1"/>
                  </w14:solidFill>
                </w14:textFill>
              </w:rPr>
              <w:t>生产工艺</w:t>
            </w:r>
            <w:r>
              <w:rPr>
                <w:rFonts w:hint="eastAsia" w:ascii="Times New Roman" w:hAnsi="Times New Roman" w:cs="Times New Roman"/>
                <w:color w:val="000000" w:themeColor="text1"/>
                <w:sz w:val="28"/>
                <w:szCs w:val="28"/>
                <w:u w:val="none"/>
                <w:lang w:val="en-US" w:eastAsia="zh-CN"/>
                <w14:textFill>
                  <w14:solidFill>
                    <w14:schemeClr w14:val="tx1"/>
                  </w14:solidFill>
                </w14:textFill>
              </w:rPr>
              <w:t>流程及产污环节</w:t>
            </w:r>
            <w:bookmarkEnd w:id="47"/>
            <w:bookmarkEnd w:id="48"/>
          </w:p>
          <w:p w14:paraId="788BD9B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bookmarkStart w:id="49" w:name="_Toc966"/>
            <w:bookmarkStart w:id="50" w:name="_Toc16602"/>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2.3.1项目工艺流程及工艺介绍</w:t>
            </w:r>
            <w:bookmarkEnd w:id="49"/>
            <w:bookmarkEnd w:id="50"/>
          </w:p>
          <w:p w14:paraId="55D38F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本次扩</w:t>
            </w:r>
            <w:r>
              <w:rPr>
                <w:rFonts w:hint="eastAsia" w:cs="Times New Roman"/>
                <w:color w:val="000000" w:themeColor="text1"/>
                <w:sz w:val="24"/>
                <w:szCs w:val="24"/>
                <w:highlight w:val="none"/>
                <w:lang w:val="en-US" w:eastAsia="zh-CN"/>
                <w14:textFill>
                  <w14:solidFill>
                    <w14:schemeClr w14:val="tx1"/>
                  </w14:solidFill>
                </w14:textFill>
              </w:rPr>
              <w:t>建</w:t>
            </w:r>
            <w:bookmarkStart w:id="254" w:name="_GoBack"/>
            <w:bookmarkEnd w:id="254"/>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项目在原有项目的基础上新增了EPO包装泡沫、EPP包装泡沫</w:t>
            </w:r>
            <w:r>
              <w:rPr>
                <w:rFonts w:hint="eastAsia" w:cs="Times New Roman"/>
                <w:color w:val="000000" w:themeColor="text1"/>
                <w:sz w:val="24"/>
                <w:szCs w:val="24"/>
                <w:highlight w:val="none"/>
                <w:lang w:val="en-US" w:eastAsia="zh-CN"/>
                <w14:textFill>
                  <w14:solidFill>
                    <w14:schemeClr w14:val="tx1"/>
                  </w14:solidFill>
                </w14:textFill>
              </w:rPr>
              <w:t>两种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产品</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并对原有EPS包装泡沫进行扩建，三种产品工艺流程基本一致，EPP</w:t>
            </w:r>
            <w:r>
              <w:rPr>
                <w:rFonts w:hint="eastAsia" w:cs="Times New Roman"/>
                <w:color w:val="000000" w:themeColor="text1"/>
                <w:sz w:val="24"/>
                <w:szCs w:val="24"/>
                <w:highlight w:val="none"/>
                <w:lang w:val="en-US" w:eastAsia="zh-CN"/>
                <w14:textFill>
                  <w14:solidFill>
                    <w14:schemeClr w14:val="tx1"/>
                  </w14:solidFill>
                </w14:textFill>
              </w:rPr>
              <w:t>购买预发好的产品进行加工，无需进行预发和熟化。EPP</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、EPO、EPP生产工艺流程及产污环节详见图2.3-1。</w:t>
            </w:r>
          </w:p>
          <w:p w14:paraId="480516B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drawing>
                <wp:inline distT="0" distB="0" distL="114300" distR="114300">
                  <wp:extent cx="5469890" cy="4362450"/>
                  <wp:effectExtent l="0" t="0" r="16510" b="0"/>
                  <wp:docPr id="152" name="F360BE8B-6686-4F3D-AEAF-501FE73E4058-2" descr="福建恒润包装有限公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360BE8B-6686-4F3D-AEAF-501FE73E4058-2" descr="福建恒润包装有限公司(1)"/>
                          <pic:cNvPicPr>
                            <a:picLocks noChangeAspect="1"/>
                          </pic:cNvPicPr>
                        </pic:nvPicPr>
                        <pic:blipFill>
                          <a:blip r:embed="rId9"/>
                          <a:stretch>
                            <a:fillRect/>
                          </a:stretch>
                        </pic:blipFill>
                        <pic:spPr>
                          <a:xfrm>
                            <a:off x="0" y="0"/>
                            <a:ext cx="5469890" cy="4362450"/>
                          </a:xfrm>
                          <a:prstGeom prst="rect">
                            <a:avLst/>
                          </a:prstGeom>
                        </pic:spPr>
                      </pic:pic>
                    </a:graphicData>
                  </a:graphic>
                </wp:inline>
              </w:drawing>
            </w:r>
          </w:p>
          <w:p w14:paraId="70D9DA96">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bookmarkStart w:id="51" w:name="_Toc5034"/>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图2.3-1</w:t>
            </w:r>
            <w:r>
              <w:rPr>
                <w:rFonts w:hint="eastAsia" w:cs="Times New Roman"/>
                <w:b/>
                <w:bCs w:val="0"/>
                <w:color w:val="000000" w:themeColor="text1"/>
                <w:sz w:val="24"/>
                <w:szCs w:val="24"/>
                <w:highlight w:val="none"/>
                <w:lang w:val="en-US" w:eastAsia="zh-CN"/>
                <w14:textFill>
                  <w14:solidFill>
                    <w14:schemeClr w14:val="tx1"/>
                  </w14:solidFill>
                </w14:textFill>
              </w:rPr>
              <w:t>EPS、EPO、EPP</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生产工艺流程图</w:t>
            </w:r>
            <w:bookmarkEnd w:id="51"/>
          </w:p>
          <w:p w14:paraId="3A035BD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工艺说明：</w:t>
            </w:r>
          </w:p>
          <w:p w14:paraId="1C926F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bookmarkStart w:id="52" w:name="_Toc27658"/>
            <w:r>
              <w:rPr>
                <w:rFonts w:hint="eastAsia" w:cs="Times New Roman"/>
                <w:b w:val="0"/>
                <w:bCs w:val="0"/>
                <w:color w:val="000000" w:themeColor="text1"/>
                <w:sz w:val="24"/>
                <w:szCs w:val="24"/>
                <w:highlight w:val="none"/>
                <w:lang w:val="en-US" w:eastAsia="zh-CN"/>
                <w14:textFill>
                  <w14:solidFill>
                    <w14:schemeClr w14:val="tx1"/>
                  </w14:solidFill>
                </w14:textFill>
              </w:rPr>
              <w:t>项目主要原料为发泡聚苯乙烯（EPS）粒径0.25-2.5mm、发泡聚苯乙烯聚乙烯混合体（EPO）粒径0.25-2.5mm、发泡聚丙烯（EPP）粒径2-7mm，生产流程主要包括：预发、熟化、成型、真空冷却、烘干、检验等。</w:t>
            </w:r>
            <w:bookmarkEnd w:id="52"/>
          </w:p>
          <w:p w14:paraId="640B08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bookmarkStart w:id="53" w:name="_Toc12834"/>
            <w:r>
              <w:rPr>
                <w:rFonts w:hint="eastAsia" w:cs="Times New Roman"/>
                <w:b w:val="0"/>
                <w:bCs w:val="0"/>
                <w:color w:val="auto"/>
                <w:sz w:val="24"/>
                <w:szCs w:val="24"/>
                <w:highlight w:val="none"/>
                <w:lang w:val="en-US" w:eastAsia="zh-CN"/>
              </w:rPr>
              <w:t>①预发阶段：根据不同产品将原料（EPS或EPO）加入发泡机中（由于本项目所使用原料颗粒物较大，在投料过程中不产生投料粉尘且发泡机设置单独封闭式发泡车间，定期对车间内地面进行清扫），通入蒸汽加热，促使原料中EPS、EPO中所含有的发泡剂（戊烷）受热汽化，而使珠粒体积不断增大。发泡后进料仓熟化。预发温度一般控制在95~99℃。此工序加工过程会产生有机废气、蒸汽、噪声。</w:t>
            </w:r>
            <w:bookmarkEnd w:id="53"/>
          </w:p>
          <w:p w14:paraId="6AB0EC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bookmarkStart w:id="54" w:name="_Toc22963"/>
            <w:r>
              <w:rPr>
                <w:rFonts w:hint="eastAsia" w:cs="Times New Roman"/>
                <w:b w:val="0"/>
                <w:bCs w:val="0"/>
                <w:color w:val="auto"/>
                <w:sz w:val="24"/>
                <w:szCs w:val="24"/>
                <w:highlight w:val="none"/>
                <w:lang w:val="en-US" w:eastAsia="zh-CN"/>
              </w:rPr>
              <w:t>2、熟化阶段：将刚出发泡机的颗粒置于料仓内，一方面使其干燥冷却，另一方面使空气通过泡孔膜渗透到泡孔内部，使泡孔内的压力与外界压力相平衡，以免泡孔塌瘪，从而使泡沫颗粒经一定时间的干燥、冷却和泡孔压力稳定而熟化成具有闭孔结构特征、有弹性泡沫颗粒。当颗粒冷却后，泡孔内剩余蒸汽大多冷凝成液体而形成部分真空。料仓采用密闭的料仓进行，此工序不产生污染物。</w:t>
            </w:r>
            <w:bookmarkEnd w:id="54"/>
          </w:p>
          <w:p w14:paraId="55661E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bookmarkStart w:id="55" w:name="_Toc20578"/>
            <w:r>
              <w:rPr>
                <w:rFonts w:hint="eastAsia" w:cs="Times New Roman"/>
                <w:b w:val="0"/>
                <w:bCs w:val="0"/>
                <w:color w:val="auto"/>
                <w:sz w:val="24"/>
                <w:szCs w:val="24"/>
                <w:highlight w:val="none"/>
                <w:lang w:val="en-US" w:eastAsia="zh-CN"/>
              </w:rPr>
              <w:t>3、成型阶段：利用全自动成型机及ESP泡塑模具，将充满粒料的模腔密闭并用蒸汽加热（温度100~105℃），珠粒受热软化，使泡孔膨胀，珠粒发泡膨胀至填满相互间的空隙，并黏结成均匀的泡沫体。</w:t>
            </w:r>
            <w:bookmarkEnd w:id="55"/>
          </w:p>
          <w:p w14:paraId="63EC83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bookmarkStart w:id="56" w:name="_Toc21343"/>
            <w:r>
              <w:rPr>
                <w:rFonts w:hint="eastAsia" w:cs="Times New Roman"/>
                <w:b w:val="0"/>
                <w:bCs w:val="0"/>
                <w:color w:val="auto"/>
                <w:sz w:val="24"/>
                <w:szCs w:val="24"/>
                <w:highlight w:val="none"/>
                <w:lang w:val="en-US" w:eastAsia="zh-CN"/>
              </w:rPr>
              <w:t>4、真空冷却：加热成型后的泡沫体，经真空冷却定型后启模取出，即可得到泡沫塑料成型制品。此工序冷却水经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s="Times New Roman"/>
                <w:b w:val="0"/>
                <w:bCs w:val="0"/>
                <w:color w:val="auto"/>
                <w:sz w:val="24"/>
                <w:szCs w:val="24"/>
                <w:highlight w:val="none"/>
                <w:lang w:val="en-US" w:eastAsia="zh-CN"/>
              </w:rPr>
              <w:t>处理后再经冷却塔冷却回用于此工序，冷却水循环使用不外排。</w:t>
            </w:r>
            <w:bookmarkEnd w:id="56"/>
          </w:p>
          <w:p w14:paraId="3B1159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bookmarkStart w:id="57" w:name="_Toc18364"/>
            <w:r>
              <w:rPr>
                <w:rFonts w:hint="eastAsia" w:cs="Times New Roman"/>
                <w:b w:val="0"/>
                <w:bCs w:val="0"/>
                <w:color w:val="auto"/>
                <w:sz w:val="24"/>
                <w:szCs w:val="24"/>
                <w:highlight w:val="none"/>
                <w:lang w:val="en-US" w:eastAsia="zh-CN"/>
              </w:rPr>
              <w:t>4、烘干：由于产品从成型机中出来，存在一定的水分，需要对产品进行烘干（使用蒸汽，温度55~65℃）。此工序仅产品表面水分蒸发，不产生污染物。</w:t>
            </w:r>
            <w:bookmarkEnd w:id="57"/>
          </w:p>
          <w:p w14:paraId="6F8361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bookmarkStart w:id="58" w:name="_Toc7005"/>
            <w:r>
              <w:rPr>
                <w:rFonts w:hint="eastAsia" w:cs="Times New Roman"/>
                <w:b w:val="0"/>
                <w:bCs w:val="0"/>
                <w:color w:val="auto"/>
                <w:sz w:val="24"/>
                <w:szCs w:val="24"/>
                <w:highlight w:val="none"/>
                <w:lang w:val="en-US" w:eastAsia="zh-CN"/>
              </w:rPr>
              <w:t>5、检验：烘干后的产品经检验后即可包装入库。</w:t>
            </w:r>
            <w:bookmarkEnd w:id="58"/>
          </w:p>
          <w:p w14:paraId="124C28A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59" w:name="_Toc13788"/>
            <w:bookmarkStart w:id="60" w:name="_Toc20557"/>
            <w:r>
              <w:rPr>
                <w:rFonts w:hint="eastAsia" w:ascii="Times New Roman" w:hAnsi="Times New Roman" w:eastAsia="宋体" w:cs="Times New Roman"/>
                <w:b/>
                <w:bCs/>
                <w:color w:val="auto"/>
                <w:sz w:val="24"/>
                <w:szCs w:val="24"/>
                <w:u w:val="none"/>
                <w:lang w:val="en-US" w:eastAsia="zh-CN"/>
              </w:rPr>
              <w:t>2.3.2产污环节分析</w:t>
            </w:r>
            <w:bookmarkEnd w:id="59"/>
            <w:bookmarkEnd w:id="60"/>
          </w:p>
          <w:p w14:paraId="1CC4FFE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val="0"/>
                <w:bCs w:val="0"/>
                <w:color w:val="auto"/>
                <w:kern w:val="0"/>
                <w:sz w:val="24"/>
                <w:szCs w:val="24"/>
                <w:highlight w:val="none"/>
                <w:u w:val="none"/>
                <w:lang w:val="en-US" w:eastAsia="zh-CN" w:bidi="ar-SA"/>
              </w:rPr>
              <w:t>项目产污环节</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分析情况一览表详见表2.3-1</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w:t>
            </w:r>
          </w:p>
          <w:p w14:paraId="0F5DEBD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表2.3-1项目产污环节分析一览表</w:t>
            </w:r>
          </w:p>
          <w:tbl>
            <w:tblPr>
              <w:tblStyle w:val="24"/>
              <w:tblW w:w="86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
              <w:gridCol w:w="426"/>
              <w:gridCol w:w="1599"/>
              <w:gridCol w:w="1476"/>
              <w:gridCol w:w="643"/>
              <w:gridCol w:w="4041"/>
            </w:tblGrid>
            <w:tr w14:paraId="692C6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dxa"/>
                  <w:tcBorders>
                    <w:tl2br w:val="nil"/>
                    <w:tr2bl w:val="nil"/>
                  </w:tcBorders>
                  <w:vAlign w:val="center"/>
                </w:tcPr>
                <w:p w14:paraId="7A0D0AF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序号</w:t>
                  </w:r>
                </w:p>
              </w:tc>
              <w:tc>
                <w:tcPr>
                  <w:tcW w:w="426" w:type="dxa"/>
                  <w:tcBorders>
                    <w:tl2br w:val="nil"/>
                    <w:tr2bl w:val="nil"/>
                  </w:tcBorders>
                  <w:vAlign w:val="center"/>
                </w:tcPr>
                <w:p w14:paraId="2EED8D6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类别</w:t>
                  </w:r>
                </w:p>
              </w:tc>
              <w:tc>
                <w:tcPr>
                  <w:tcW w:w="1599" w:type="dxa"/>
                  <w:tcBorders>
                    <w:tl2br w:val="nil"/>
                    <w:tr2bl w:val="nil"/>
                  </w:tcBorders>
                  <w:vAlign w:val="center"/>
                </w:tcPr>
                <w:p w14:paraId="677AD75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污染源/污染工段</w:t>
                  </w:r>
                </w:p>
              </w:tc>
              <w:tc>
                <w:tcPr>
                  <w:tcW w:w="1476" w:type="dxa"/>
                  <w:tcBorders>
                    <w:tl2br w:val="nil"/>
                    <w:tr2bl w:val="nil"/>
                  </w:tcBorders>
                  <w:vAlign w:val="center"/>
                </w:tcPr>
                <w:p w14:paraId="44EE4EE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主要污染物</w:t>
                  </w:r>
                </w:p>
              </w:tc>
              <w:tc>
                <w:tcPr>
                  <w:tcW w:w="643" w:type="dxa"/>
                  <w:tcBorders>
                    <w:tl2br w:val="nil"/>
                    <w:tr2bl w:val="nil"/>
                  </w:tcBorders>
                  <w:vAlign w:val="center"/>
                </w:tcPr>
                <w:p w14:paraId="1ED359E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排放周期</w:t>
                  </w:r>
                </w:p>
              </w:tc>
              <w:tc>
                <w:tcPr>
                  <w:tcW w:w="4041" w:type="dxa"/>
                  <w:tcBorders>
                    <w:tl2br w:val="nil"/>
                    <w:tr2bl w:val="nil"/>
                  </w:tcBorders>
                  <w:vAlign w:val="center"/>
                </w:tcPr>
                <w:p w14:paraId="343722F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环保措施</w:t>
                  </w:r>
                </w:p>
              </w:tc>
            </w:tr>
            <w:tr w14:paraId="553CC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Merge w:val="restart"/>
                  <w:tcBorders>
                    <w:tl2br w:val="nil"/>
                    <w:tr2bl w:val="nil"/>
                  </w:tcBorders>
                  <w:vAlign w:val="center"/>
                </w:tcPr>
                <w:p w14:paraId="2628BF7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1</w:t>
                  </w:r>
                </w:p>
              </w:tc>
              <w:tc>
                <w:tcPr>
                  <w:tcW w:w="426" w:type="dxa"/>
                  <w:vMerge w:val="restart"/>
                  <w:tcBorders>
                    <w:tl2br w:val="nil"/>
                    <w:tr2bl w:val="nil"/>
                  </w:tcBorders>
                  <w:vAlign w:val="center"/>
                </w:tcPr>
                <w:p w14:paraId="11BC616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废水</w:t>
                  </w:r>
                </w:p>
              </w:tc>
              <w:tc>
                <w:tcPr>
                  <w:tcW w:w="1599" w:type="dxa"/>
                  <w:tcBorders>
                    <w:tl2br w:val="nil"/>
                    <w:tr2bl w:val="nil"/>
                  </w:tcBorders>
                  <w:vAlign w:val="center"/>
                </w:tcPr>
                <w:p w14:paraId="611E3B9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真空冷却工</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序</w:t>
                  </w: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（直接冷却）</w:t>
                  </w:r>
                </w:p>
              </w:tc>
              <w:tc>
                <w:tcPr>
                  <w:tcW w:w="1476" w:type="dxa"/>
                  <w:tcBorders>
                    <w:tl2br w:val="nil"/>
                    <w:tr2bl w:val="nil"/>
                  </w:tcBorders>
                  <w:vAlign w:val="center"/>
                </w:tcPr>
                <w:p w14:paraId="77C7BAD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w:t>
                  </w:r>
                </w:p>
              </w:tc>
              <w:tc>
                <w:tcPr>
                  <w:tcW w:w="643" w:type="dxa"/>
                  <w:tcBorders>
                    <w:tl2br w:val="nil"/>
                    <w:tr2bl w:val="nil"/>
                  </w:tcBorders>
                  <w:vAlign w:val="center"/>
                </w:tcPr>
                <w:p w14:paraId="3C5C969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041" w:type="dxa"/>
                  <w:tcBorders>
                    <w:tl2br w:val="nil"/>
                    <w:tr2bl w:val="nil"/>
                  </w:tcBorders>
                  <w:vAlign w:val="center"/>
                </w:tcPr>
                <w:p w14:paraId="7CBBCBB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冷却水经“冷却水循环沉淀池+冷却塔”处理后循环使用不外排</w:t>
                  </w:r>
                </w:p>
              </w:tc>
            </w:tr>
            <w:tr w14:paraId="27A07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Merge w:val="continue"/>
                  <w:tcBorders>
                    <w:tl2br w:val="nil"/>
                    <w:tr2bl w:val="nil"/>
                  </w:tcBorders>
                  <w:vAlign w:val="center"/>
                </w:tcPr>
                <w:p w14:paraId="3D9CCF5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426" w:type="dxa"/>
                  <w:vMerge w:val="continue"/>
                  <w:tcBorders>
                    <w:tl2br w:val="nil"/>
                    <w:tr2bl w:val="nil"/>
                  </w:tcBorders>
                  <w:vAlign w:val="center"/>
                </w:tcPr>
                <w:p w14:paraId="3D92BAD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1599" w:type="dxa"/>
                  <w:tcBorders>
                    <w:tl2br w:val="nil"/>
                    <w:tr2bl w:val="nil"/>
                  </w:tcBorders>
                  <w:vAlign w:val="center"/>
                </w:tcPr>
                <w:p w14:paraId="63EA70B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生活用水</w:t>
                  </w:r>
                </w:p>
              </w:tc>
              <w:tc>
                <w:tcPr>
                  <w:tcW w:w="1476" w:type="dxa"/>
                  <w:tcBorders>
                    <w:tl2br w:val="nil"/>
                    <w:tr2bl w:val="nil"/>
                  </w:tcBorders>
                  <w:vAlign w:val="center"/>
                </w:tcPr>
                <w:p w14:paraId="5142A23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pH、COD、BOD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、SS、NH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TP</w:t>
                  </w:r>
                </w:p>
              </w:tc>
              <w:tc>
                <w:tcPr>
                  <w:tcW w:w="643" w:type="dxa"/>
                  <w:tcBorders>
                    <w:tl2br w:val="nil"/>
                    <w:tr2bl w:val="nil"/>
                  </w:tcBorders>
                  <w:vAlign w:val="center"/>
                </w:tcPr>
                <w:p w14:paraId="7824A2E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4041" w:type="dxa"/>
                  <w:tcBorders>
                    <w:tl2br w:val="nil"/>
                    <w:tr2bl w:val="nil"/>
                  </w:tcBorders>
                  <w:vAlign w:val="center"/>
                </w:tcPr>
                <w:p w14:paraId="33E01A8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经化粪池预处理后接入市政污水管网排入</w:t>
                  </w:r>
                  <w:r>
                    <w:rPr>
                      <w:rFonts w:hint="eastAsia" w:ascii="Times New Roman" w:hAnsi="Times New Roman" w:eastAsia="宋体" w:cs="Times New Roman"/>
                      <w:b w:val="0"/>
                      <w:bCs/>
                      <w:color w:val="000000"/>
                      <w:kern w:val="0"/>
                      <w:sz w:val="21"/>
                      <w:szCs w:val="21"/>
                      <w:highlight w:val="none"/>
                      <w:lang w:val="en-US" w:eastAsia="zh-CN"/>
                    </w:rPr>
                    <w:t>江阴污水处理厂（江阴港城经济区污水处理厂）</w:t>
                  </w:r>
                  <w:r>
                    <w:rPr>
                      <w:rFonts w:hint="default" w:ascii="Times New Roman" w:hAnsi="Times New Roman" w:eastAsia="宋体" w:cs="Times New Roman"/>
                      <w:bCs/>
                      <w:color w:val="000000" w:themeColor="text1"/>
                      <w:sz w:val="21"/>
                      <w:szCs w:val="21"/>
                      <w14:textFill>
                        <w14:solidFill>
                          <w14:schemeClr w14:val="tx1"/>
                        </w14:solidFill>
                      </w14:textFill>
                    </w:rPr>
                    <w:t>集中处理</w:t>
                  </w:r>
                </w:p>
              </w:tc>
            </w:tr>
            <w:tr w14:paraId="3C798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3" w:type="dxa"/>
                  <w:vMerge w:val="restart"/>
                  <w:tcBorders>
                    <w:tl2br w:val="nil"/>
                    <w:tr2bl w:val="nil"/>
                  </w:tcBorders>
                  <w:vAlign w:val="center"/>
                </w:tcPr>
                <w:p w14:paraId="7848E41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2</w:t>
                  </w:r>
                </w:p>
              </w:tc>
              <w:tc>
                <w:tcPr>
                  <w:tcW w:w="426" w:type="dxa"/>
                  <w:vMerge w:val="restart"/>
                  <w:tcBorders>
                    <w:tl2br w:val="nil"/>
                    <w:tr2bl w:val="nil"/>
                  </w:tcBorders>
                  <w:vAlign w:val="center"/>
                </w:tcPr>
                <w:p w14:paraId="1DAB353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废气</w:t>
                  </w:r>
                </w:p>
              </w:tc>
              <w:tc>
                <w:tcPr>
                  <w:tcW w:w="1599" w:type="dxa"/>
                  <w:tcBorders>
                    <w:tl2br w:val="nil"/>
                    <w:tr2bl w:val="nil"/>
                  </w:tcBorders>
                  <w:shd w:val="clear" w:color="auto" w:fill="auto"/>
                  <w:vAlign w:val="center"/>
                </w:tcPr>
                <w:p w14:paraId="68C68D7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预发</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废气</w:t>
                  </w:r>
                </w:p>
              </w:tc>
              <w:tc>
                <w:tcPr>
                  <w:tcW w:w="1476" w:type="dxa"/>
                  <w:vMerge w:val="restart"/>
                  <w:tcBorders>
                    <w:tl2br w:val="nil"/>
                    <w:tr2bl w:val="nil"/>
                  </w:tcBorders>
                  <w:shd w:val="clear" w:color="auto" w:fill="auto"/>
                  <w:vAlign w:val="center"/>
                </w:tcPr>
                <w:p w14:paraId="4F936E5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VOCs、苯乙烯、甲苯、乙苯、臭气浓度</w:t>
                  </w:r>
                </w:p>
              </w:tc>
              <w:tc>
                <w:tcPr>
                  <w:tcW w:w="643" w:type="dxa"/>
                  <w:vMerge w:val="restart"/>
                  <w:tcBorders>
                    <w:tl2br w:val="nil"/>
                    <w:tr2bl w:val="nil"/>
                  </w:tcBorders>
                  <w:shd w:val="clear" w:color="auto" w:fill="auto"/>
                  <w:vAlign w:val="center"/>
                </w:tcPr>
                <w:p w14:paraId="0583380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连续</w:t>
                  </w:r>
                </w:p>
              </w:tc>
              <w:tc>
                <w:tcPr>
                  <w:tcW w:w="4041" w:type="dxa"/>
                  <w:vMerge w:val="restart"/>
                  <w:tcBorders>
                    <w:tl2br w:val="nil"/>
                    <w:tr2bl w:val="nil"/>
                  </w:tcBorders>
                  <w:shd w:val="clear" w:color="auto" w:fill="auto"/>
                  <w:vAlign w:val="center"/>
                </w:tcPr>
                <w:p w14:paraId="5D2177D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预发与成型工序所</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产生废气通过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“集气罩收集</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+活性炭吸附装置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处理后，通过1根15m高排气筒（DA001）排放</w:t>
                  </w:r>
                </w:p>
              </w:tc>
            </w:tr>
            <w:tr w14:paraId="51F55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423" w:type="dxa"/>
                  <w:vMerge w:val="continue"/>
                  <w:tcBorders>
                    <w:tl2br w:val="nil"/>
                    <w:tr2bl w:val="nil"/>
                  </w:tcBorders>
                  <w:vAlign w:val="center"/>
                </w:tcPr>
                <w:p w14:paraId="77D3838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426" w:type="dxa"/>
                  <w:vMerge w:val="continue"/>
                  <w:tcBorders>
                    <w:tl2br w:val="nil"/>
                    <w:tr2bl w:val="nil"/>
                  </w:tcBorders>
                  <w:vAlign w:val="center"/>
                </w:tcPr>
                <w:p w14:paraId="539FF61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1599" w:type="dxa"/>
                  <w:tcBorders>
                    <w:tl2br w:val="nil"/>
                    <w:tr2bl w:val="nil"/>
                  </w:tcBorders>
                  <w:shd w:val="clear" w:color="auto" w:fill="auto"/>
                  <w:vAlign w:val="center"/>
                </w:tcPr>
                <w:p w14:paraId="54E4D17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成型</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废气</w:t>
                  </w:r>
                </w:p>
              </w:tc>
              <w:tc>
                <w:tcPr>
                  <w:tcW w:w="1476" w:type="dxa"/>
                  <w:vMerge w:val="continue"/>
                  <w:tcBorders>
                    <w:tl2br w:val="nil"/>
                    <w:tr2bl w:val="nil"/>
                  </w:tcBorders>
                  <w:shd w:val="clear" w:color="auto" w:fill="auto"/>
                  <w:vAlign w:val="center"/>
                </w:tcPr>
                <w:p w14:paraId="03210AB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43" w:type="dxa"/>
                  <w:vMerge w:val="continue"/>
                  <w:tcBorders>
                    <w:tl2br w:val="nil"/>
                    <w:tr2bl w:val="nil"/>
                  </w:tcBorders>
                  <w:shd w:val="clear" w:color="auto" w:fill="auto"/>
                  <w:vAlign w:val="center"/>
                </w:tcPr>
                <w:p w14:paraId="779F806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4041" w:type="dxa"/>
                  <w:vMerge w:val="continue"/>
                  <w:tcBorders>
                    <w:tl2br w:val="nil"/>
                    <w:tr2bl w:val="nil"/>
                  </w:tcBorders>
                  <w:shd w:val="clear" w:color="auto" w:fill="auto"/>
                  <w:vAlign w:val="center"/>
                </w:tcPr>
                <w:p w14:paraId="5E51134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31CB0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Merge w:val="continue"/>
                  <w:tcBorders>
                    <w:tl2br w:val="nil"/>
                    <w:tr2bl w:val="nil"/>
                  </w:tcBorders>
                  <w:vAlign w:val="center"/>
                </w:tcPr>
                <w:p w14:paraId="5B586DA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426" w:type="dxa"/>
                  <w:vMerge w:val="continue"/>
                  <w:tcBorders>
                    <w:tl2br w:val="nil"/>
                    <w:tr2bl w:val="nil"/>
                  </w:tcBorders>
                  <w:vAlign w:val="center"/>
                </w:tcPr>
                <w:p w14:paraId="0EB62BB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1599" w:type="dxa"/>
                  <w:tcBorders>
                    <w:tl2br w:val="nil"/>
                    <w:tr2bl w:val="nil"/>
                  </w:tcBorders>
                  <w:shd w:val="clear" w:color="auto" w:fill="auto"/>
                  <w:vAlign w:val="center"/>
                </w:tcPr>
                <w:p w14:paraId="35558D3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烘干废气</w:t>
                  </w:r>
                </w:p>
                <w:p w14:paraId="1BF8B38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（水蒸气）</w:t>
                  </w:r>
                </w:p>
              </w:tc>
              <w:tc>
                <w:tcPr>
                  <w:tcW w:w="1476" w:type="dxa"/>
                  <w:tcBorders>
                    <w:tl2br w:val="nil"/>
                    <w:tr2bl w:val="nil"/>
                  </w:tcBorders>
                  <w:shd w:val="clear" w:color="auto" w:fill="auto"/>
                  <w:vAlign w:val="center"/>
                </w:tcPr>
                <w:p w14:paraId="719B914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643" w:type="dxa"/>
                  <w:tcBorders>
                    <w:tl2br w:val="nil"/>
                    <w:tr2bl w:val="nil"/>
                  </w:tcBorders>
                  <w:shd w:val="clear" w:color="auto" w:fill="auto"/>
                  <w:vAlign w:val="center"/>
                </w:tcPr>
                <w:p w14:paraId="290DFA7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连续</w:t>
                  </w:r>
                </w:p>
              </w:tc>
              <w:tc>
                <w:tcPr>
                  <w:tcW w:w="4041" w:type="dxa"/>
                  <w:tcBorders>
                    <w:tl2br w:val="nil"/>
                    <w:tr2bl w:val="nil"/>
                  </w:tcBorders>
                  <w:shd w:val="clear" w:color="auto" w:fill="auto"/>
                  <w:vAlign w:val="center"/>
                </w:tcPr>
                <w:p w14:paraId="4194275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r>
            <w:tr w14:paraId="77C17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Merge w:val="restart"/>
                  <w:tcBorders>
                    <w:tl2br w:val="nil"/>
                    <w:tr2bl w:val="nil"/>
                  </w:tcBorders>
                  <w:vAlign w:val="center"/>
                </w:tcPr>
                <w:p w14:paraId="6A9AD27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3</w:t>
                  </w:r>
                </w:p>
              </w:tc>
              <w:tc>
                <w:tcPr>
                  <w:tcW w:w="426" w:type="dxa"/>
                  <w:vMerge w:val="restart"/>
                  <w:tcBorders>
                    <w:tl2br w:val="nil"/>
                    <w:tr2bl w:val="nil"/>
                  </w:tcBorders>
                  <w:vAlign w:val="center"/>
                </w:tcPr>
                <w:p w14:paraId="5A56FBB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固废</w:t>
                  </w:r>
                </w:p>
              </w:tc>
              <w:tc>
                <w:tcPr>
                  <w:tcW w:w="1599" w:type="dxa"/>
                  <w:tcBorders>
                    <w:tl2br w:val="nil"/>
                    <w:tr2bl w:val="nil"/>
                  </w:tcBorders>
                  <w:shd w:val="clear" w:color="auto" w:fill="auto"/>
                  <w:vAlign w:val="center"/>
                </w:tcPr>
                <w:p w14:paraId="7F833A4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生活垃圾</w:t>
                  </w:r>
                </w:p>
              </w:tc>
              <w:tc>
                <w:tcPr>
                  <w:tcW w:w="1476" w:type="dxa"/>
                  <w:tcBorders>
                    <w:tl2br w:val="nil"/>
                    <w:tr2bl w:val="nil"/>
                  </w:tcBorders>
                  <w:shd w:val="clear" w:color="auto" w:fill="auto"/>
                  <w:vAlign w:val="center"/>
                </w:tcPr>
                <w:p w14:paraId="795FAB2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纸屑、塑料袋等</w:t>
                  </w:r>
                </w:p>
              </w:tc>
              <w:tc>
                <w:tcPr>
                  <w:tcW w:w="643" w:type="dxa"/>
                  <w:tcBorders>
                    <w:tl2br w:val="nil"/>
                    <w:tr2bl w:val="nil"/>
                  </w:tcBorders>
                  <w:shd w:val="clear" w:color="auto" w:fill="auto"/>
                  <w:vAlign w:val="center"/>
                </w:tcPr>
                <w:p w14:paraId="6A35D19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4041" w:type="dxa"/>
                  <w:tcBorders>
                    <w:tl2br w:val="nil"/>
                    <w:tr2bl w:val="nil"/>
                  </w:tcBorders>
                  <w:shd w:val="clear" w:color="auto" w:fill="auto"/>
                  <w:vAlign w:val="center"/>
                </w:tcPr>
                <w:p w14:paraId="4F9616A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eastAsia="zh-CN"/>
                      <w14:textFill>
                        <w14:solidFill>
                          <w14:schemeClr w14:val="tx1"/>
                        </w14:solidFill>
                      </w14:textFill>
                    </w:rPr>
                    <w:t>厂区内设置生活垃圾桶，分类收集后委托环卫部门每日清运处置</w:t>
                  </w:r>
                </w:p>
              </w:tc>
            </w:tr>
            <w:tr w14:paraId="59F1A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Merge w:val="continue"/>
                  <w:vAlign w:val="center"/>
                </w:tcPr>
                <w:p w14:paraId="2C68A8E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426" w:type="dxa"/>
                  <w:vMerge w:val="continue"/>
                  <w:vAlign w:val="center"/>
                </w:tcPr>
                <w:p w14:paraId="26E7CCC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1599" w:type="dxa"/>
                  <w:shd w:val="clear" w:color="auto" w:fill="auto"/>
                  <w:vAlign w:val="center"/>
                </w:tcPr>
                <w:p w14:paraId="26C6443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产品检验</w:t>
                  </w:r>
                </w:p>
              </w:tc>
              <w:tc>
                <w:tcPr>
                  <w:tcW w:w="1476" w:type="dxa"/>
                  <w:shd w:val="clear" w:color="auto" w:fill="auto"/>
                  <w:vAlign w:val="center"/>
                </w:tcPr>
                <w:p w14:paraId="1308F43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不合格产品</w:t>
                  </w:r>
                </w:p>
              </w:tc>
              <w:tc>
                <w:tcPr>
                  <w:tcW w:w="643" w:type="dxa"/>
                  <w:shd w:val="clear" w:color="auto" w:fill="auto"/>
                  <w:vAlign w:val="center"/>
                </w:tcPr>
                <w:p w14:paraId="046EEF6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4041" w:type="dxa"/>
                  <w:shd w:val="clear" w:color="auto" w:fill="auto"/>
                  <w:vAlign w:val="center"/>
                </w:tcPr>
                <w:p w14:paraId="78E92C3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本项目加工生产时所产生的不合格产品，统一收集后外售综合利用</w:t>
                  </w:r>
                </w:p>
              </w:tc>
            </w:tr>
            <w:tr w14:paraId="12EDB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Merge w:val="continue"/>
                  <w:vAlign w:val="center"/>
                </w:tcPr>
                <w:p w14:paraId="5EF97EA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6" w:type="dxa"/>
                  <w:vMerge w:val="continue"/>
                  <w:vAlign w:val="center"/>
                </w:tcPr>
                <w:p w14:paraId="4E3E7EB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9" w:type="dxa"/>
                  <w:shd w:val="clear" w:color="auto" w:fill="auto"/>
                  <w:vAlign w:val="center"/>
                </w:tcPr>
                <w:p w14:paraId="539CF02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废气处理</w:t>
                  </w:r>
                </w:p>
              </w:tc>
              <w:tc>
                <w:tcPr>
                  <w:tcW w:w="1476" w:type="dxa"/>
                  <w:shd w:val="clear" w:color="auto" w:fill="auto"/>
                  <w:vAlign w:val="center"/>
                </w:tcPr>
                <w:p w14:paraId="0849B11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废活性炭</w:t>
                  </w:r>
                </w:p>
              </w:tc>
              <w:tc>
                <w:tcPr>
                  <w:tcW w:w="643" w:type="dxa"/>
                  <w:shd w:val="clear" w:color="auto" w:fill="auto"/>
                  <w:vAlign w:val="center"/>
                </w:tcPr>
                <w:p w14:paraId="588853D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间歇</w:t>
                  </w:r>
                </w:p>
              </w:tc>
              <w:tc>
                <w:tcPr>
                  <w:tcW w:w="4041" w:type="dxa"/>
                  <w:vMerge w:val="restart"/>
                  <w:shd w:val="clear" w:color="auto" w:fill="auto"/>
                  <w:vAlign w:val="center"/>
                </w:tcPr>
                <w:p w14:paraId="5634F48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按照规范要求设置一间危险废物贮存库，面积约</w:t>
                  </w:r>
                  <w:r>
                    <w:rPr>
                      <w:rFonts w:hint="eastAsia" w:cs="Times New Roman"/>
                      <w:color w:val="auto"/>
                      <w:sz w:val="21"/>
                      <w:szCs w:val="21"/>
                      <w:highlight w:val="none"/>
                      <w:vertAlign w:val="baseline"/>
                      <w:lang w:val="en-US" w:eastAsia="zh-CN"/>
                    </w:rPr>
                    <w:t>2-3</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，存放废活性炭、废</w:t>
                  </w:r>
                  <w:r>
                    <w:rPr>
                      <w:rFonts w:hint="eastAsia" w:cs="Times New Roman"/>
                      <w:color w:val="auto"/>
                      <w:sz w:val="21"/>
                      <w:szCs w:val="21"/>
                      <w:highlight w:val="none"/>
                      <w:vertAlign w:val="baseline"/>
                      <w:lang w:val="en-US" w:eastAsia="zh-CN"/>
                    </w:rPr>
                    <w:t>液压油、污泥</w:t>
                  </w:r>
                  <w:r>
                    <w:rPr>
                      <w:rFonts w:hint="default" w:ascii="Times New Roman" w:hAnsi="Times New Roman" w:eastAsia="宋体" w:cs="Times New Roman"/>
                      <w:color w:val="auto"/>
                      <w:sz w:val="21"/>
                      <w:szCs w:val="21"/>
                      <w:highlight w:val="none"/>
                      <w:vertAlign w:val="baseline"/>
                      <w:lang w:val="en-US" w:eastAsia="zh-CN"/>
                    </w:rPr>
                    <w:t>等危险废物。贮存间内张贴明显警示标志并设置围堰及导流沟，地面刷环氧树脂漆。并与有资质的单位签署危废委托协调</w:t>
                  </w:r>
                </w:p>
              </w:tc>
            </w:tr>
            <w:tr w14:paraId="68662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Merge w:val="continue"/>
                  <w:vAlign w:val="center"/>
                </w:tcPr>
                <w:p w14:paraId="7E21A3C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6" w:type="dxa"/>
                  <w:vMerge w:val="continue"/>
                  <w:vAlign w:val="center"/>
                </w:tcPr>
                <w:p w14:paraId="25FC26C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9" w:type="dxa"/>
                  <w:shd w:val="clear" w:color="auto" w:fill="auto"/>
                  <w:vAlign w:val="center"/>
                </w:tcPr>
                <w:p w14:paraId="39EA310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设备维护保养</w:t>
                  </w:r>
                </w:p>
              </w:tc>
              <w:tc>
                <w:tcPr>
                  <w:tcW w:w="1476" w:type="dxa"/>
                  <w:shd w:val="clear" w:color="auto" w:fill="auto"/>
                  <w:vAlign w:val="center"/>
                </w:tcPr>
                <w:p w14:paraId="5987C43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废液压油</w:t>
                  </w:r>
                </w:p>
              </w:tc>
              <w:tc>
                <w:tcPr>
                  <w:tcW w:w="643" w:type="dxa"/>
                  <w:shd w:val="clear" w:color="auto" w:fill="auto"/>
                  <w:vAlign w:val="center"/>
                </w:tcPr>
                <w:p w14:paraId="796D528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间歇</w:t>
                  </w:r>
                </w:p>
              </w:tc>
              <w:tc>
                <w:tcPr>
                  <w:tcW w:w="4041" w:type="dxa"/>
                  <w:vMerge w:val="continue"/>
                  <w:shd w:val="clear" w:color="auto" w:fill="auto"/>
                  <w:vAlign w:val="center"/>
                </w:tcPr>
                <w:p w14:paraId="21A5E33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FF0000"/>
                      <w:sz w:val="21"/>
                      <w:szCs w:val="21"/>
                      <w:highlight w:val="none"/>
                      <w:vertAlign w:val="baseline"/>
                      <w:lang w:val="en-US" w:eastAsia="zh-CN"/>
                    </w:rPr>
                  </w:pPr>
                </w:p>
              </w:tc>
            </w:tr>
            <w:tr w14:paraId="1AB3D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Merge w:val="continue"/>
                  <w:vAlign w:val="center"/>
                </w:tcPr>
                <w:p w14:paraId="4C97436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6" w:type="dxa"/>
                  <w:vMerge w:val="continue"/>
                  <w:vAlign w:val="center"/>
                </w:tcPr>
                <w:p w14:paraId="60CAAC1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9" w:type="dxa"/>
                  <w:shd w:val="clear" w:color="auto" w:fill="auto"/>
                  <w:vAlign w:val="center"/>
                </w:tcPr>
                <w:p w14:paraId="7202BCF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冷却水循环沉淀池</w:t>
                  </w:r>
                </w:p>
              </w:tc>
              <w:tc>
                <w:tcPr>
                  <w:tcW w:w="1476" w:type="dxa"/>
                  <w:shd w:val="clear" w:color="auto" w:fill="auto"/>
                  <w:vAlign w:val="center"/>
                </w:tcPr>
                <w:p w14:paraId="0098595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污泥</w:t>
                  </w:r>
                </w:p>
                <w:p w14:paraId="5671915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（含有机物）</w:t>
                  </w:r>
                </w:p>
              </w:tc>
              <w:tc>
                <w:tcPr>
                  <w:tcW w:w="643" w:type="dxa"/>
                  <w:shd w:val="clear" w:color="auto" w:fill="auto"/>
                  <w:vAlign w:val="center"/>
                </w:tcPr>
                <w:p w14:paraId="26D685D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间歇</w:t>
                  </w:r>
                </w:p>
              </w:tc>
              <w:tc>
                <w:tcPr>
                  <w:tcW w:w="4041" w:type="dxa"/>
                  <w:vMerge w:val="continue"/>
                  <w:shd w:val="clear" w:color="auto" w:fill="auto"/>
                  <w:vAlign w:val="center"/>
                </w:tcPr>
                <w:p w14:paraId="6C7A2C5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DDEB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vAlign w:val="center"/>
                </w:tcPr>
                <w:p w14:paraId="32DADFD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4</w:t>
                  </w:r>
                </w:p>
              </w:tc>
              <w:tc>
                <w:tcPr>
                  <w:tcW w:w="426" w:type="dxa"/>
                  <w:vAlign w:val="center"/>
                </w:tcPr>
                <w:p w14:paraId="6B45B6A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噪声</w:t>
                  </w:r>
                </w:p>
              </w:tc>
              <w:tc>
                <w:tcPr>
                  <w:tcW w:w="1599" w:type="dxa"/>
                  <w:shd w:val="clear" w:color="auto" w:fill="auto"/>
                  <w:vAlign w:val="center"/>
                </w:tcPr>
                <w:p w14:paraId="11DC3CB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生产设备</w:t>
                  </w:r>
                </w:p>
              </w:tc>
              <w:tc>
                <w:tcPr>
                  <w:tcW w:w="1476" w:type="dxa"/>
                  <w:shd w:val="clear" w:color="auto" w:fill="auto"/>
                  <w:vAlign w:val="center"/>
                </w:tcPr>
                <w:p w14:paraId="12437D3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Leq</w:t>
                  </w:r>
                </w:p>
              </w:tc>
              <w:tc>
                <w:tcPr>
                  <w:tcW w:w="643" w:type="dxa"/>
                  <w:shd w:val="clear" w:color="auto" w:fill="auto"/>
                  <w:vAlign w:val="center"/>
                </w:tcPr>
                <w:p w14:paraId="11A43B8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连续</w:t>
                  </w:r>
                </w:p>
              </w:tc>
              <w:tc>
                <w:tcPr>
                  <w:tcW w:w="4041" w:type="dxa"/>
                  <w:shd w:val="clear" w:color="auto" w:fill="auto"/>
                  <w:vAlign w:val="center"/>
                </w:tcPr>
                <w:p w14:paraId="76D176F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厂房隔声、设备基础减振等综合降噪措施</w:t>
                  </w:r>
                </w:p>
              </w:tc>
            </w:tr>
          </w:tbl>
          <w:p w14:paraId="65144DA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p>
        </w:tc>
      </w:tr>
      <w:tr w14:paraId="79F6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7" w:hRule="atLeast"/>
        </w:trPr>
        <w:tc>
          <w:tcPr>
            <w:tcW w:w="449" w:type="dxa"/>
            <w:vAlign w:val="center"/>
          </w:tcPr>
          <w:p w14:paraId="50F1F1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ascii="Times New Roman" w:hAnsi="Times New Roman"/>
                <w:bCs/>
                <w:color w:val="000000" w:themeColor="text1"/>
                <w:kern w:val="2"/>
                <w:sz w:val="24"/>
                <w:szCs w:val="24"/>
                <w14:textFill>
                  <w14:solidFill>
                    <w14:schemeClr w14:val="tx1"/>
                  </w14:solidFill>
                </w14:textFill>
              </w:rPr>
              <w:t>与项目有关的原有环境污染问题</w:t>
            </w:r>
          </w:p>
        </w:tc>
        <w:tc>
          <w:tcPr>
            <w:tcW w:w="8833" w:type="dxa"/>
            <w:vAlign w:val="center"/>
          </w:tcPr>
          <w:p w14:paraId="3F6A16D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61" w:name="_Toc3794"/>
            <w:r>
              <w:rPr>
                <w:rFonts w:hint="eastAsia" w:ascii="Times New Roman" w:hAnsi="Times New Roman" w:eastAsia="宋体" w:cs="Times New Roman"/>
                <w:color w:val="auto"/>
                <w:sz w:val="28"/>
                <w:szCs w:val="28"/>
                <w:u w:val="none"/>
                <w:lang w:val="en-US" w:eastAsia="zh-CN"/>
              </w:rPr>
              <w:t>2.4现有项目概况和污染源分析</w:t>
            </w:r>
            <w:bookmarkEnd w:id="61"/>
          </w:p>
          <w:p w14:paraId="77FE460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bookmarkStart w:id="62" w:name="_Toc4566"/>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2.4.1现有项目环保手续基本情况</w:t>
            </w:r>
            <w:bookmarkEnd w:id="62"/>
          </w:p>
          <w:p w14:paraId="6F296B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福建恒润包装有限公司成立于2015年4月9日，统一社会信用代码为91</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5W</w:t>
            </w:r>
            <w:r>
              <w:rPr>
                <w:rFonts w:hint="default" w:ascii="Times New Roman" w:hAnsi="Times New Roman" w:eastAsia="宋体" w:cs="Times New Roman"/>
                <w:color w:val="auto"/>
                <w:sz w:val="24"/>
                <w:szCs w:val="24"/>
                <w:highlight w:val="none"/>
                <w:u w:val="none"/>
                <w:lang w:val="en-US" w:eastAsia="zh-CN"/>
              </w:rPr>
              <w:t>，法人是</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营业执照</w:t>
            </w:r>
            <w:r>
              <w:rPr>
                <w:rFonts w:hint="eastAsia" w:ascii="Times New Roman" w:hAnsi="Times New Roman" w:eastAsia="宋体" w:cs="Times New Roman"/>
                <w:color w:val="auto"/>
                <w:sz w:val="24"/>
                <w:szCs w:val="24"/>
                <w:highlight w:val="none"/>
                <w:u w:val="none"/>
                <w:lang w:val="en-US" w:eastAsia="zh-CN"/>
              </w:rPr>
              <w:t>详见</w:t>
            </w:r>
            <w:r>
              <w:rPr>
                <w:rFonts w:hint="eastAsia" w:ascii="Times New Roman" w:hAnsi="Times New Roman" w:eastAsia="宋体" w:cs="Times New Roman"/>
                <w:b/>
                <w:bCs/>
                <w:color w:val="auto"/>
                <w:sz w:val="24"/>
                <w:szCs w:val="24"/>
                <w:highlight w:val="none"/>
                <w:u w:val="none"/>
                <w:lang w:val="en-US" w:eastAsia="zh-CN"/>
              </w:rPr>
              <w:t>附件二</w:t>
            </w:r>
            <w:r>
              <w:rPr>
                <w:rFonts w:hint="eastAsia" w:ascii="Times New Roman" w:hAnsi="Times New Roman" w:eastAsia="宋体" w:cs="Times New Roman"/>
                <w:color w:val="auto"/>
                <w:sz w:val="24"/>
                <w:szCs w:val="24"/>
                <w:highlight w:val="none"/>
                <w:u w:val="none"/>
                <w:lang w:val="en-US" w:eastAsia="zh-CN"/>
              </w:rPr>
              <w:t>及</w:t>
            </w:r>
            <w:r>
              <w:rPr>
                <w:rFonts w:hint="default" w:ascii="Times New Roman" w:hAnsi="Times New Roman" w:eastAsia="宋体" w:cs="Times New Roman"/>
                <w:color w:val="auto"/>
                <w:sz w:val="24"/>
                <w:szCs w:val="24"/>
                <w:highlight w:val="none"/>
                <w:u w:val="none"/>
                <w:lang w:val="en-US" w:eastAsia="zh-CN"/>
              </w:rPr>
              <w:t>法人身份证</w:t>
            </w:r>
            <w:r>
              <w:rPr>
                <w:rFonts w:hint="eastAsia" w:ascii="Times New Roman" w:hAnsi="Times New Roman" w:eastAsia="宋体" w:cs="Times New Roman"/>
                <w:color w:val="auto"/>
                <w:sz w:val="24"/>
                <w:szCs w:val="24"/>
                <w:highlight w:val="none"/>
                <w:u w:val="none"/>
                <w:lang w:val="en-US" w:eastAsia="zh-CN"/>
              </w:rPr>
              <w:t>复印件</w:t>
            </w:r>
            <w:r>
              <w:rPr>
                <w:rFonts w:hint="default" w:ascii="Times New Roman" w:hAnsi="Times New Roman" w:eastAsia="宋体" w:cs="Times New Roman"/>
                <w:color w:val="auto"/>
                <w:sz w:val="24"/>
                <w:szCs w:val="24"/>
                <w:highlight w:val="none"/>
                <w:u w:val="none"/>
                <w:lang w:val="en-US" w:eastAsia="zh-CN"/>
              </w:rPr>
              <w:t>见</w:t>
            </w:r>
            <w:r>
              <w:rPr>
                <w:rFonts w:hint="default" w:ascii="Times New Roman" w:hAnsi="Times New Roman" w:eastAsia="宋体" w:cs="Times New Roman"/>
                <w:b/>
                <w:bCs/>
                <w:color w:val="auto"/>
                <w:sz w:val="24"/>
                <w:szCs w:val="24"/>
                <w:highlight w:val="none"/>
                <w:u w:val="none"/>
                <w:lang w:val="en-US" w:eastAsia="zh-CN"/>
              </w:rPr>
              <w:t>附件</w:t>
            </w:r>
            <w:r>
              <w:rPr>
                <w:rFonts w:hint="eastAsia" w:ascii="Times New Roman" w:hAnsi="Times New Roman" w:eastAsia="宋体" w:cs="Times New Roman"/>
                <w:b/>
                <w:bCs/>
                <w:color w:val="auto"/>
                <w:sz w:val="24"/>
                <w:szCs w:val="24"/>
                <w:highlight w:val="none"/>
                <w:u w:val="none"/>
                <w:lang w:val="en-US" w:eastAsia="zh-CN"/>
              </w:rPr>
              <w:t>三</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w:t>
            </w:r>
          </w:p>
          <w:p w14:paraId="19BF59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u w:val="none"/>
                <w:lang w:val="en-US" w:eastAsia="zh-CN"/>
              </w:rPr>
              <w:t>福建恒润包装有限公司</w:t>
            </w:r>
            <w:r>
              <w:rPr>
                <w:rFonts w:hint="default" w:ascii="Times New Roman" w:hAnsi="Times New Roman" w:eastAsia="宋体" w:cs="Times New Roman"/>
                <w:b w:val="0"/>
                <w:bCs w:val="0"/>
                <w:color w:val="auto"/>
                <w:kern w:val="2"/>
                <w:sz w:val="24"/>
                <w:szCs w:val="24"/>
                <w:highlight w:val="none"/>
                <w:lang w:val="en-US" w:eastAsia="zh-CN" w:bidi="ar-SA"/>
              </w:rPr>
              <w:t>现有项目于20</w:t>
            </w:r>
            <w:r>
              <w:rPr>
                <w:rFonts w:hint="eastAsia" w:ascii="Times New Roman" w:hAnsi="Times New Roman" w:eastAsia="宋体" w:cs="Times New Roman"/>
                <w:b w:val="0"/>
                <w:bCs w:val="0"/>
                <w:color w:val="auto"/>
                <w:kern w:val="2"/>
                <w:sz w:val="24"/>
                <w:szCs w:val="24"/>
                <w:highlight w:val="none"/>
                <w:lang w:val="en-US" w:eastAsia="zh-CN" w:bidi="ar-SA"/>
              </w:rPr>
              <w:t>15</w:t>
            </w:r>
            <w:r>
              <w:rPr>
                <w:rFonts w:hint="default" w:ascii="Times New Roman" w:hAnsi="Times New Roman" w:eastAsia="宋体" w:cs="Times New Roman"/>
                <w:b w:val="0"/>
                <w:bCs w:val="0"/>
                <w:color w:val="auto"/>
                <w:kern w:val="2"/>
                <w:sz w:val="24"/>
                <w:szCs w:val="24"/>
                <w:highlight w:val="none"/>
                <w:lang w:val="en-US" w:eastAsia="zh-CN" w:bidi="ar-SA"/>
              </w:rPr>
              <w:t>年</w:t>
            </w:r>
            <w:r>
              <w:rPr>
                <w:rFonts w:hint="eastAsia" w:ascii="Times New Roman" w:hAnsi="Times New Roman" w:eastAsia="宋体" w:cs="Times New Roman"/>
                <w:b w:val="0"/>
                <w:bCs w:val="0"/>
                <w:color w:val="auto"/>
                <w:kern w:val="2"/>
                <w:sz w:val="24"/>
                <w:szCs w:val="24"/>
                <w:highlight w:val="none"/>
                <w:lang w:val="en-US" w:eastAsia="zh-CN" w:bidi="ar-SA"/>
              </w:rPr>
              <w:t>12</w:t>
            </w:r>
            <w:r>
              <w:rPr>
                <w:rFonts w:hint="default" w:ascii="Times New Roman" w:hAnsi="Times New Roman" w:eastAsia="宋体" w:cs="Times New Roman"/>
                <w:b w:val="0"/>
                <w:bCs w:val="0"/>
                <w:color w:val="auto"/>
                <w:kern w:val="2"/>
                <w:sz w:val="24"/>
                <w:szCs w:val="24"/>
                <w:highlight w:val="none"/>
                <w:lang w:val="en-US" w:eastAsia="zh-CN" w:bidi="ar-SA"/>
              </w:rPr>
              <w:t>月</w:t>
            </w:r>
            <w:r>
              <w:rPr>
                <w:rFonts w:hint="eastAsia" w:ascii="Times New Roman" w:hAnsi="Times New Roman" w:eastAsia="宋体" w:cs="Times New Roman"/>
                <w:b w:val="0"/>
                <w:bCs w:val="0"/>
                <w:color w:val="auto"/>
                <w:kern w:val="2"/>
                <w:sz w:val="24"/>
                <w:szCs w:val="24"/>
                <w:highlight w:val="none"/>
                <w:lang w:val="en-US" w:eastAsia="zh-CN" w:bidi="ar-SA"/>
              </w:rPr>
              <w:t>投入试生产，</w:t>
            </w:r>
            <w:r>
              <w:rPr>
                <w:rFonts w:hint="default" w:ascii="Times New Roman" w:hAnsi="Times New Roman" w:eastAsia="宋体" w:cs="Times New Roman"/>
                <w:sz w:val="24"/>
                <w:szCs w:val="24"/>
                <w:lang w:val="en-US" w:eastAsia="zh-CN"/>
              </w:rPr>
              <w:t>于2016年11月委托北京中企安信环境科技有限公司编制了《</w:t>
            </w:r>
            <w:r>
              <w:rPr>
                <w:rFonts w:hint="eastAsia" w:cs="Times New Roman"/>
                <w:sz w:val="24"/>
                <w:szCs w:val="24"/>
                <w:lang w:val="en-US" w:eastAsia="zh-CN"/>
              </w:rPr>
              <w:t>福建恒润包装有限公司</w:t>
            </w:r>
            <w:r>
              <w:rPr>
                <w:rFonts w:hint="default" w:ascii="Times New Roman" w:hAnsi="Times New Roman" w:eastAsia="宋体" w:cs="Times New Roman"/>
                <w:sz w:val="24"/>
                <w:szCs w:val="24"/>
                <w:lang w:val="en-US" w:eastAsia="zh-CN"/>
              </w:rPr>
              <w:t>年产1800吨EPS包装泡沫环境影响评价报告表》，并于</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月取得</w:t>
            </w:r>
            <w:r>
              <w:rPr>
                <w:rFonts w:hint="eastAsia" w:ascii="Times New Roman" w:hAnsi="Times New Roman" w:eastAsia="宋体" w:cs="Times New Roman"/>
                <w:sz w:val="24"/>
                <w:szCs w:val="24"/>
                <w:highlight w:val="none"/>
                <w:lang w:val="en-US" w:eastAsia="zh-CN"/>
              </w:rPr>
              <w:t>福清市</w:t>
            </w:r>
            <w:r>
              <w:rPr>
                <w:rFonts w:hint="eastAsia" w:cs="Times New Roman"/>
                <w:sz w:val="24"/>
                <w:szCs w:val="24"/>
                <w:highlight w:val="none"/>
                <w:lang w:val="en-US" w:eastAsia="zh-CN"/>
              </w:rPr>
              <w:t>生态环境局</w:t>
            </w:r>
            <w:r>
              <w:rPr>
                <w:rFonts w:hint="eastAsia" w:ascii="Times New Roman" w:hAnsi="Times New Roman" w:eastAsia="宋体" w:cs="Times New Roman"/>
                <w:sz w:val="24"/>
                <w:szCs w:val="24"/>
                <w:highlight w:val="none"/>
                <w:lang w:val="en-US" w:eastAsia="zh-CN"/>
              </w:rPr>
              <w:t>的</w:t>
            </w:r>
            <w:r>
              <w:rPr>
                <w:rFonts w:hint="default" w:ascii="Times New Roman" w:hAnsi="Times New Roman" w:eastAsia="宋体" w:cs="Times New Roman"/>
                <w:sz w:val="24"/>
                <w:szCs w:val="24"/>
                <w:highlight w:val="none"/>
                <w:lang w:val="en-US" w:eastAsia="zh-CN"/>
              </w:rPr>
              <w:t>审批意见</w:t>
            </w:r>
            <w:r>
              <w:rPr>
                <w:rFonts w:hint="default" w:ascii="Times New Roman" w:hAnsi="Times New Roman" w:eastAsia="宋体" w:cs="Times New Roman"/>
                <w:b w:val="0"/>
                <w:bCs w:val="0"/>
                <w:color w:val="auto"/>
                <w:kern w:val="2"/>
                <w:sz w:val="24"/>
                <w:szCs w:val="24"/>
                <w:highlight w:val="none"/>
                <w:lang w:val="en-US" w:eastAsia="zh-CN" w:bidi="ar-SA"/>
              </w:rPr>
              <w:t>（批复文</w:t>
            </w:r>
            <w:r>
              <w:rPr>
                <w:rFonts w:hint="eastAsia" w:ascii="Times New Roman" w:hAnsi="Times New Roman" w:eastAsia="宋体" w:cs="Times New Roman"/>
                <w:b w:val="0"/>
                <w:bCs w:val="0"/>
                <w:color w:val="auto"/>
                <w:kern w:val="2"/>
                <w:sz w:val="24"/>
                <w:szCs w:val="24"/>
                <w:highlight w:val="none"/>
                <w:lang w:val="en-US" w:eastAsia="zh-CN" w:bidi="ar-SA"/>
              </w:rPr>
              <w:t>号：</w:t>
            </w:r>
            <w:r>
              <w:rPr>
                <w:rFonts w:hint="eastAsia" w:cs="Times New Roman"/>
                <w:b w:val="0"/>
                <w:bCs w:val="0"/>
                <w:color w:val="auto"/>
                <w:kern w:val="2"/>
                <w:sz w:val="24"/>
                <w:szCs w:val="24"/>
                <w:highlight w:val="none"/>
                <w:lang w:val="en-US" w:eastAsia="zh-CN" w:bidi="ar-SA"/>
              </w:rPr>
              <w:t>融环评表</w:t>
            </w:r>
            <w:r>
              <w:rPr>
                <w:rFonts w:hint="eastAsia" w:ascii="宋体" w:hAnsi="宋体" w:eastAsia="宋体" w:cs="宋体"/>
                <w:b w:val="0"/>
                <w:bCs w:val="0"/>
                <w:color w:val="auto"/>
                <w:kern w:val="2"/>
                <w:sz w:val="24"/>
                <w:szCs w:val="24"/>
                <w:highlight w:val="none"/>
                <w:lang w:val="en-US" w:eastAsia="zh-CN" w:bidi="ar-SA"/>
              </w:rPr>
              <w:t>〔2017〕26号</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详见</w:t>
            </w:r>
            <w:r>
              <w:rPr>
                <w:rFonts w:hint="default" w:ascii="Times New Roman" w:hAnsi="Times New Roman" w:eastAsia="宋体" w:cs="Times New Roman"/>
                <w:b/>
                <w:bCs/>
                <w:color w:val="auto"/>
                <w:kern w:val="2"/>
                <w:sz w:val="24"/>
                <w:szCs w:val="24"/>
                <w:highlight w:val="none"/>
                <w:lang w:val="en-US" w:eastAsia="zh-CN" w:bidi="ar-SA"/>
              </w:rPr>
              <w:t>附件</w:t>
            </w:r>
            <w:r>
              <w:rPr>
                <w:rFonts w:hint="eastAsia" w:cs="Times New Roman"/>
                <w:b/>
                <w:bCs/>
                <w:color w:val="auto"/>
                <w:kern w:val="2"/>
                <w:sz w:val="24"/>
                <w:szCs w:val="24"/>
                <w:highlight w:val="none"/>
                <w:lang w:val="en-US" w:eastAsia="zh-CN" w:bidi="ar-SA"/>
              </w:rPr>
              <w:t>九</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。福清市环境监测站</w:t>
            </w:r>
            <w:r>
              <w:rPr>
                <w:rFonts w:hint="default" w:ascii="Times New Roman" w:hAnsi="Times New Roman" w:eastAsia="宋体" w:cs="Times New Roman"/>
                <w:b w:val="0"/>
                <w:bCs w:val="0"/>
                <w:color w:val="auto"/>
                <w:kern w:val="2"/>
                <w:sz w:val="24"/>
                <w:szCs w:val="24"/>
                <w:highlight w:val="none"/>
                <w:lang w:val="en-US" w:eastAsia="zh-CN" w:bidi="ar-SA"/>
              </w:rPr>
              <w:t>于20</w:t>
            </w:r>
            <w:r>
              <w:rPr>
                <w:rFonts w:hint="eastAsia" w:ascii="Times New Roman" w:hAnsi="Times New Roman" w:eastAsia="宋体" w:cs="Times New Roman"/>
                <w:b w:val="0"/>
                <w:bCs w:val="0"/>
                <w:color w:val="auto"/>
                <w:kern w:val="2"/>
                <w:sz w:val="24"/>
                <w:szCs w:val="24"/>
                <w:highlight w:val="none"/>
                <w:lang w:val="en-US" w:eastAsia="zh-CN" w:bidi="ar-SA"/>
              </w:rPr>
              <w:t>17</w:t>
            </w:r>
            <w:r>
              <w:rPr>
                <w:rFonts w:hint="default" w:ascii="Times New Roman" w:hAnsi="Times New Roman" w:eastAsia="宋体" w:cs="Times New Roman"/>
                <w:b w:val="0"/>
                <w:bCs w:val="0"/>
                <w:color w:val="auto"/>
                <w:kern w:val="2"/>
                <w:sz w:val="24"/>
                <w:szCs w:val="24"/>
                <w:highlight w:val="none"/>
                <w:lang w:val="en-US" w:eastAsia="zh-CN" w:bidi="ar-SA"/>
              </w:rPr>
              <w:t>年</w:t>
            </w:r>
            <w:r>
              <w:rPr>
                <w:rFonts w:hint="eastAsia" w:ascii="Times New Roman" w:hAnsi="Times New Roman" w:eastAsia="宋体" w:cs="Times New Roman"/>
                <w:b w:val="0"/>
                <w:bCs w:val="0"/>
                <w:color w:val="auto"/>
                <w:kern w:val="2"/>
                <w:sz w:val="24"/>
                <w:szCs w:val="24"/>
                <w:highlight w:val="none"/>
                <w:lang w:val="en-US" w:eastAsia="zh-CN" w:bidi="ar-SA"/>
              </w:rPr>
              <w:t>7月</w:t>
            </w:r>
            <w:r>
              <w:rPr>
                <w:rFonts w:hint="default" w:ascii="Times New Roman" w:hAnsi="Times New Roman" w:eastAsia="宋体" w:cs="Times New Roman"/>
                <w:b w:val="0"/>
                <w:bCs w:val="0"/>
                <w:color w:val="auto"/>
                <w:kern w:val="2"/>
                <w:sz w:val="24"/>
                <w:szCs w:val="24"/>
                <w:highlight w:val="none"/>
                <w:lang w:val="en-US" w:eastAsia="zh-CN" w:bidi="ar-SA"/>
              </w:rPr>
              <w:t>完成《</w:t>
            </w:r>
            <w:r>
              <w:rPr>
                <w:rFonts w:hint="eastAsia" w:ascii="Times New Roman" w:hAnsi="Times New Roman" w:eastAsia="宋体" w:cs="Times New Roman"/>
                <w:color w:val="auto"/>
                <w:sz w:val="24"/>
                <w:szCs w:val="24"/>
                <w:highlight w:val="none"/>
                <w:u w:val="none"/>
                <w:lang w:val="en-US" w:eastAsia="zh-CN"/>
              </w:rPr>
              <w:t>年产1800吨EPS包装泡沫项目</w:t>
            </w:r>
            <w:r>
              <w:rPr>
                <w:rFonts w:hint="default" w:ascii="Times New Roman" w:hAnsi="Times New Roman" w:eastAsia="宋体" w:cs="Times New Roman"/>
                <w:b w:val="0"/>
                <w:bCs w:val="0"/>
                <w:color w:val="auto"/>
                <w:kern w:val="2"/>
                <w:sz w:val="24"/>
                <w:szCs w:val="24"/>
                <w:highlight w:val="none"/>
                <w:lang w:val="en-US" w:eastAsia="zh-CN" w:bidi="ar-SA"/>
              </w:rPr>
              <w:t>竣工环境保护验收监测》</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建设单位项目竣工环境保护验收监测表</w:t>
            </w:r>
            <w:r>
              <w:rPr>
                <w:rFonts w:hint="default" w:ascii="Times New Roman" w:hAnsi="Times New Roman" w:eastAsia="宋体" w:cs="Times New Roman"/>
                <w:color w:val="000000"/>
                <w:sz w:val="24"/>
                <w:szCs w:val="24"/>
                <w:highlight w:val="none"/>
                <w:lang w:val="en-US" w:eastAsia="zh-CN"/>
              </w:rPr>
              <w:t>详见</w:t>
            </w:r>
            <w:r>
              <w:rPr>
                <w:rFonts w:hint="default" w:ascii="Times New Roman" w:hAnsi="Times New Roman" w:eastAsia="宋体" w:cs="Times New Roman"/>
                <w:b/>
                <w:bCs/>
                <w:color w:val="000000"/>
                <w:sz w:val="24"/>
                <w:szCs w:val="24"/>
                <w:highlight w:val="none"/>
                <w:lang w:val="en-US" w:eastAsia="zh-CN"/>
              </w:rPr>
              <w:t>附件</w:t>
            </w:r>
            <w:r>
              <w:rPr>
                <w:rFonts w:hint="eastAsia" w:cs="Times New Roman"/>
                <w:b/>
                <w:bCs/>
                <w:color w:val="000000"/>
                <w:sz w:val="24"/>
                <w:szCs w:val="24"/>
                <w:highlight w:val="none"/>
                <w:lang w:val="en-US" w:eastAsia="zh-CN"/>
              </w:rPr>
              <w:t>十</w:t>
            </w:r>
            <w:r>
              <w:rPr>
                <w:rFonts w:hint="default"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于202</w:t>
            </w:r>
            <w:r>
              <w:rPr>
                <w:rFonts w:hint="eastAsia"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年</w:t>
            </w:r>
            <w:r>
              <w:rPr>
                <w:rFonts w:hint="eastAsia"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val="en-US" w:eastAsia="zh-CN"/>
              </w:rPr>
              <w:t>月</w:t>
            </w:r>
            <w:r>
              <w:rPr>
                <w:rFonts w:hint="eastAsia"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lang w:val="en-US" w:eastAsia="zh-CN"/>
              </w:rPr>
              <w:t>日在</w:t>
            </w:r>
            <w:r>
              <w:rPr>
                <w:rFonts w:hint="default" w:ascii="Times New Roman" w:hAnsi="Times New Roman" w:eastAsia="宋体" w:cs="Times New Roman"/>
                <w:color w:val="auto"/>
                <w:sz w:val="24"/>
                <w:szCs w:val="24"/>
                <w:highlight w:val="none"/>
                <w:lang w:val="en-US" w:eastAsia="zh-CN"/>
              </w:rPr>
              <w:t>全国排污许可证管理信息平台获得固定污染源排污登记回执（</w:t>
            </w:r>
            <w:r>
              <w:rPr>
                <w:rFonts w:hint="eastAsia" w:cs="Times New Roman"/>
                <w:color w:val="auto"/>
                <w:sz w:val="24"/>
                <w:szCs w:val="24"/>
                <w:highlight w:val="none"/>
                <w:lang w:val="en-US" w:eastAsia="zh-CN"/>
              </w:rPr>
              <w:t>登记编号：91350181337537655W001X，</w:t>
            </w:r>
            <w:r>
              <w:rPr>
                <w:rFonts w:hint="default" w:ascii="Times New Roman" w:hAnsi="Times New Roman" w:eastAsia="宋体" w:cs="Times New Roman"/>
                <w:color w:val="auto"/>
                <w:sz w:val="24"/>
                <w:szCs w:val="24"/>
                <w:highlight w:val="none"/>
                <w:lang w:val="en-US" w:eastAsia="zh-CN"/>
              </w:rPr>
              <w:t>排污</w:t>
            </w:r>
            <w:r>
              <w:rPr>
                <w:rFonts w:hint="eastAsia" w:cs="Times New Roman"/>
                <w:color w:val="auto"/>
                <w:sz w:val="24"/>
                <w:szCs w:val="24"/>
                <w:highlight w:val="none"/>
                <w:lang w:val="en-US" w:eastAsia="zh-CN"/>
              </w:rPr>
              <w:t>登记回执</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十一</w:t>
            </w:r>
            <w:r>
              <w:rPr>
                <w:rFonts w:hint="default" w:ascii="Times New Roman" w:hAnsi="Times New Roman" w:eastAsia="宋体" w:cs="Times New Roman"/>
                <w:color w:val="auto"/>
                <w:sz w:val="24"/>
                <w:szCs w:val="24"/>
                <w:highlight w:val="none"/>
                <w:lang w:val="en-US" w:eastAsia="zh-CN"/>
              </w:rPr>
              <w:t>）。</w:t>
            </w:r>
          </w:p>
          <w:p w14:paraId="78B0E3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现有工程规模及环境影响评价、环保（阶段性）竣工验收情况表详见表2.</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14:paraId="12254572">
            <w:pPr>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rPr>
              <w:t>2.</w:t>
            </w:r>
            <w:r>
              <w:rPr>
                <w:rFonts w:hint="eastAsia"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rPr>
              <w:t>-</w:t>
            </w:r>
            <w:r>
              <w:rPr>
                <w:rFonts w:hint="eastAsia"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rPr>
              <w:t>现有项目工程规模及环评、竣工环保验收信息</w:t>
            </w:r>
            <w:r>
              <w:rPr>
                <w:rFonts w:hint="default" w:ascii="Times New Roman" w:hAnsi="Times New Roman" w:eastAsia="宋体" w:cs="Times New Roman"/>
                <w:b/>
                <w:bCs/>
                <w:color w:val="auto"/>
                <w:sz w:val="24"/>
                <w:szCs w:val="24"/>
                <w:highlight w:val="none"/>
              </w:rPr>
              <w:t>一览表</w:t>
            </w:r>
          </w:p>
          <w:tbl>
            <w:tblPr>
              <w:tblStyle w:val="23"/>
              <w:tblW w:w="861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6"/>
              <w:gridCol w:w="2484"/>
              <w:gridCol w:w="1229"/>
              <w:gridCol w:w="2339"/>
              <w:gridCol w:w="1786"/>
            </w:tblGrid>
            <w:tr w14:paraId="54784F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776" w:type="dxa"/>
                  <w:vAlign w:val="center"/>
                </w:tcPr>
                <w:p w14:paraId="6B014215">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kern w:val="0"/>
                      <w:sz w:val="21"/>
                      <w:szCs w:val="21"/>
                    </w:rPr>
                    <w:t>性质</w:t>
                  </w:r>
                </w:p>
              </w:tc>
              <w:tc>
                <w:tcPr>
                  <w:tcW w:w="2484" w:type="dxa"/>
                  <w:vAlign w:val="center"/>
                </w:tcPr>
                <w:p w14:paraId="15B70E38">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环评文件</w:t>
                  </w:r>
                </w:p>
              </w:tc>
              <w:tc>
                <w:tcPr>
                  <w:tcW w:w="1229" w:type="dxa"/>
                  <w:vAlign w:val="center"/>
                </w:tcPr>
                <w:p w14:paraId="171DE77E">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产品方案</w:t>
                  </w:r>
                </w:p>
              </w:tc>
              <w:tc>
                <w:tcPr>
                  <w:tcW w:w="2339" w:type="dxa"/>
                  <w:vAlign w:val="center"/>
                </w:tcPr>
                <w:p w14:paraId="03C5A3B1">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环评审批</w:t>
                  </w:r>
                </w:p>
                <w:p w14:paraId="5B47F29D">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/审查时间</w:t>
                  </w:r>
                </w:p>
              </w:tc>
              <w:tc>
                <w:tcPr>
                  <w:tcW w:w="1786" w:type="dxa"/>
                  <w:vAlign w:val="center"/>
                </w:tcPr>
                <w:p w14:paraId="6C85EDE5">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验收时间</w:t>
                  </w:r>
                </w:p>
              </w:tc>
            </w:tr>
            <w:tr w14:paraId="7E4B25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3" w:hRule="atLeast"/>
              </w:trPr>
              <w:tc>
                <w:tcPr>
                  <w:tcW w:w="776" w:type="dxa"/>
                  <w:vAlign w:val="center"/>
                </w:tcPr>
                <w:p w14:paraId="62A5350B">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现有工程</w:t>
                  </w:r>
                </w:p>
              </w:tc>
              <w:tc>
                <w:tcPr>
                  <w:tcW w:w="2484" w:type="dxa"/>
                  <w:vAlign w:val="center"/>
                </w:tcPr>
                <w:p w14:paraId="104EC5A7">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福建恒润包装有限公司年产1800吨EPS包装泡沫项目环境影响报告表</w:t>
                  </w:r>
                </w:p>
              </w:tc>
              <w:tc>
                <w:tcPr>
                  <w:tcW w:w="1229" w:type="dxa"/>
                  <w:vAlign w:val="center"/>
                </w:tcPr>
                <w:p w14:paraId="3B63DF33">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highlight w:val="none"/>
                      <w:lang w:val="en-US" w:eastAsia="zh-CN"/>
                    </w:rPr>
                    <w:t>年产</w:t>
                  </w:r>
                  <w:r>
                    <w:rPr>
                      <w:rFonts w:hint="eastAsia" w:cs="Times New Roman"/>
                      <w:color w:val="000000"/>
                      <w:sz w:val="21"/>
                      <w:szCs w:val="21"/>
                      <w:highlight w:val="none"/>
                      <w:lang w:val="en-US" w:eastAsia="zh-CN"/>
                    </w:rPr>
                    <w:t>1800</w:t>
                  </w:r>
                  <w:r>
                    <w:rPr>
                      <w:rFonts w:hint="default" w:ascii="Times New Roman" w:hAnsi="Times New Roman" w:eastAsia="宋体" w:cs="Times New Roman"/>
                      <w:color w:val="000000"/>
                      <w:sz w:val="21"/>
                      <w:szCs w:val="21"/>
                      <w:highlight w:val="none"/>
                      <w:lang w:val="en-US" w:eastAsia="zh-CN"/>
                    </w:rPr>
                    <w:t>吨</w:t>
                  </w:r>
                  <w:r>
                    <w:rPr>
                      <w:rFonts w:hint="eastAsia" w:cs="Times New Roman"/>
                      <w:color w:val="000000"/>
                      <w:sz w:val="21"/>
                      <w:szCs w:val="21"/>
                      <w:highlight w:val="none"/>
                      <w:lang w:val="en-US" w:eastAsia="zh-CN"/>
                    </w:rPr>
                    <w:t>EPS包装泡沫</w:t>
                  </w:r>
                </w:p>
              </w:tc>
              <w:tc>
                <w:tcPr>
                  <w:tcW w:w="2339" w:type="dxa"/>
                  <w:vAlign w:val="center"/>
                </w:tcPr>
                <w:p w14:paraId="2455FBD5">
                  <w:pPr>
                    <w:keepLines w:val="0"/>
                    <w:pageBreakBefore w:val="0"/>
                    <w:widowControl w:val="0"/>
                    <w:kinsoku/>
                    <w:wordWrap/>
                    <w:topLinePunct w:val="0"/>
                    <w:autoSpaceDE/>
                    <w:autoSpaceDN/>
                    <w:bidi w:val="0"/>
                    <w:spacing w:line="240" w:lineRule="auto"/>
                    <w:jc w:val="center"/>
                    <w:textAlignment w:val="auto"/>
                    <w:outlineLvl w:val="9"/>
                    <w:rPr>
                      <w:rFonts w:hint="eastAsia" w:ascii="宋体" w:hAnsi="宋体" w:eastAsia="宋体" w:cs="宋体"/>
                      <w:color w:val="000000"/>
                      <w:sz w:val="21"/>
                      <w:szCs w:val="21"/>
                      <w:lang w:val="en-US" w:eastAsia="zh-CN"/>
                    </w:rPr>
                  </w:pPr>
                  <w:r>
                    <w:rPr>
                      <w:rFonts w:hint="eastAsia" w:cs="Times New Roman"/>
                      <w:color w:val="000000"/>
                      <w:sz w:val="21"/>
                      <w:szCs w:val="21"/>
                      <w:lang w:val="en-US" w:eastAsia="zh-CN"/>
                    </w:rPr>
                    <w:t>融环评表</w:t>
                  </w:r>
                  <w:r>
                    <w:rPr>
                      <w:rFonts w:hint="eastAsia" w:ascii="宋体" w:hAnsi="宋体" w:eastAsia="宋体" w:cs="宋体"/>
                      <w:color w:val="000000"/>
                      <w:sz w:val="21"/>
                      <w:szCs w:val="21"/>
                      <w:lang w:val="en-US" w:eastAsia="zh-CN"/>
                    </w:rPr>
                    <w:t>〔2017〕26号</w:t>
                  </w:r>
                </w:p>
                <w:p w14:paraId="12EF77ED">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福清市生态环境局</w:t>
                  </w:r>
                </w:p>
                <w:p w14:paraId="47F2A09C">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w:t>
                  </w:r>
                  <w:r>
                    <w:rPr>
                      <w:rFonts w:hint="eastAsia" w:cs="Times New Roman"/>
                      <w:color w:val="000000"/>
                      <w:sz w:val="21"/>
                      <w:szCs w:val="21"/>
                      <w:lang w:val="en-US" w:eastAsia="zh-CN"/>
                    </w:rPr>
                    <w:t>17</w:t>
                  </w:r>
                  <w:r>
                    <w:rPr>
                      <w:rFonts w:hint="default" w:ascii="Times New Roman" w:hAnsi="Times New Roman" w:eastAsia="宋体" w:cs="Times New Roman"/>
                      <w:color w:val="000000"/>
                      <w:sz w:val="21"/>
                      <w:szCs w:val="21"/>
                    </w:rPr>
                    <w:t>年</w:t>
                  </w:r>
                  <w:r>
                    <w:rPr>
                      <w:rFonts w:hint="eastAsia" w:cs="Times New Roman"/>
                      <w:color w:val="000000"/>
                      <w:sz w:val="21"/>
                      <w:szCs w:val="21"/>
                      <w:lang w:val="en-US" w:eastAsia="zh-CN"/>
                    </w:rPr>
                    <w:t>3</w:t>
                  </w:r>
                  <w:r>
                    <w:rPr>
                      <w:rFonts w:hint="default" w:ascii="Times New Roman" w:hAnsi="Times New Roman" w:eastAsia="宋体" w:cs="Times New Roman"/>
                      <w:color w:val="000000"/>
                      <w:sz w:val="21"/>
                      <w:szCs w:val="21"/>
                    </w:rPr>
                    <w:t>月</w:t>
                  </w:r>
                  <w:r>
                    <w:rPr>
                      <w:rFonts w:hint="eastAsia" w:cs="Times New Roman"/>
                      <w:color w:val="000000"/>
                      <w:sz w:val="21"/>
                      <w:szCs w:val="21"/>
                      <w:lang w:val="en-US" w:eastAsia="zh-CN"/>
                    </w:rPr>
                    <w:t>27</w:t>
                  </w:r>
                  <w:r>
                    <w:rPr>
                      <w:rFonts w:hint="default" w:ascii="Times New Roman" w:hAnsi="Times New Roman" w:eastAsia="宋体" w:cs="Times New Roman"/>
                      <w:color w:val="000000"/>
                      <w:sz w:val="21"/>
                      <w:szCs w:val="21"/>
                    </w:rPr>
                    <w:t>日</w:t>
                  </w:r>
                </w:p>
              </w:tc>
              <w:tc>
                <w:tcPr>
                  <w:tcW w:w="1786" w:type="dxa"/>
                  <w:vAlign w:val="center"/>
                </w:tcPr>
                <w:p w14:paraId="34FFF25E">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w:t>
                  </w:r>
                  <w:r>
                    <w:rPr>
                      <w:rFonts w:hint="eastAsia" w:cs="Times New Roman"/>
                      <w:color w:val="000000"/>
                      <w:sz w:val="21"/>
                      <w:szCs w:val="21"/>
                      <w:lang w:val="en-US" w:eastAsia="zh-CN"/>
                    </w:rPr>
                    <w:t>17</w:t>
                  </w:r>
                  <w:r>
                    <w:rPr>
                      <w:rFonts w:hint="default" w:ascii="Times New Roman" w:hAnsi="Times New Roman" w:eastAsia="宋体" w:cs="Times New Roman"/>
                      <w:color w:val="000000"/>
                      <w:sz w:val="21"/>
                      <w:szCs w:val="21"/>
                    </w:rPr>
                    <w:t>年</w:t>
                  </w:r>
                  <w:r>
                    <w:rPr>
                      <w:rFonts w:hint="eastAsia" w:cs="Times New Roman"/>
                      <w:color w:val="000000"/>
                      <w:sz w:val="21"/>
                      <w:szCs w:val="21"/>
                      <w:lang w:val="en-US" w:eastAsia="zh-CN"/>
                    </w:rPr>
                    <w:t>7</w:t>
                  </w:r>
                  <w:r>
                    <w:rPr>
                      <w:rFonts w:hint="default" w:ascii="Times New Roman" w:hAnsi="Times New Roman" w:eastAsia="宋体" w:cs="Times New Roman"/>
                      <w:color w:val="000000"/>
                      <w:sz w:val="21"/>
                      <w:szCs w:val="21"/>
                    </w:rPr>
                    <w:t>月</w:t>
                  </w:r>
                </w:p>
              </w:tc>
            </w:tr>
          </w:tbl>
          <w:p w14:paraId="774FD7FA">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000000"/>
                <w:sz w:val="24"/>
                <w:szCs w:val="24"/>
                <w:lang w:val="en-US" w:eastAsia="zh-CN"/>
              </w:rPr>
            </w:pPr>
            <w:bookmarkStart w:id="63" w:name="_Toc32133"/>
            <w:r>
              <w:rPr>
                <w:rFonts w:hint="eastAsia" w:ascii="Times New Roman" w:hAnsi="Times New Roman" w:eastAsia="宋体" w:cs="Times New Roman"/>
                <w:b/>
                <w:bCs/>
                <w:color w:val="000000"/>
                <w:sz w:val="24"/>
                <w:szCs w:val="24"/>
                <w:lang w:val="en-US" w:eastAsia="zh-CN"/>
              </w:rPr>
              <w:t>2.4.2现有项目基本概况</w:t>
            </w:r>
            <w:bookmarkEnd w:id="63"/>
          </w:p>
          <w:p w14:paraId="442EF442">
            <w:pPr>
              <w:pStyle w:val="80"/>
              <w:numPr>
                <w:ilvl w:val="0"/>
                <w:numId w:val="9"/>
              </w:numPr>
              <w:rPr>
                <w:rFonts w:hint="eastAsia"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highlight w:val="none"/>
              </w:rPr>
              <w:t>项目名称：</w:t>
            </w:r>
            <w:r>
              <w:rPr>
                <w:rFonts w:hint="eastAsia" w:cs="Times New Roman"/>
                <w:sz w:val="24"/>
                <w:szCs w:val="24"/>
                <w:lang w:val="en-US" w:eastAsia="zh-CN"/>
              </w:rPr>
              <w:t>福建恒润包装有限公司</w:t>
            </w:r>
            <w:r>
              <w:rPr>
                <w:rFonts w:hint="default" w:ascii="Times New Roman" w:hAnsi="Times New Roman" w:eastAsia="宋体" w:cs="Times New Roman"/>
                <w:sz w:val="24"/>
                <w:szCs w:val="24"/>
                <w:lang w:val="en-US" w:eastAsia="zh-CN"/>
              </w:rPr>
              <w:t>年产1800吨EPS包装泡沫</w:t>
            </w:r>
            <w:r>
              <w:rPr>
                <w:rFonts w:hint="eastAsia" w:ascii="Times New Roman" w:hAnsi="Times New Roman" w:eastAsia="宋体" w:cs="Times New Roman"/>
                <w:color w:val="auto"/>
                <w:sz w:val="24"/>
                <w:szCs w:val="24"/>
                <w:highlight w:val="none"/>
                <w:lang w:eastAsia="zh-CN"/>
              </w:rPr>
              <w:t>项目</w:t>
            </w:r>
          </w:p>
          <w:p w14:paraId="1E2B1A46">
            <w:pPr>
              <w:pStyle w:val="80"/>
              <w:numPr>
                <w:ilvl w:val="0"/>
                <w:numId w:val="0"/>
              </w:numPr>
              <w:ind w:firstLine="48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（2）建设单位：</w:t>
            </w:r>
            <w:r>
              <w:rPr>
                <w:rFonts w:hint="eastAsia" w:cs="Times New Roman"/>
                <w:sz w:val="24"/>
                <w:szCs w:val="24"/>
                <w:lang w:val="en-US" w:eastAsia="zh-CN"/>
              </w:rPr>
              <w:t>福建恒润包装有限公司</w:t>
            </w:r>
          </w:p>
          <w:p w14:paraId="2693AE0E">
            <w:pPr>
              <w:pStyle w:val="80"/>
              <w:rPr>
                <w:rFonts w:hint="default" w:ascii="Times New Roman" w:hAnsi="Times New Roman" w:eastAsia="宋体" w:cs="Times New Roman"/>
                <w:color w:val="auto"/>
                <w:sz w:val="24"/>
                <w:szCs w:val="24"/>
                <w:highlight w:val="none"/>
                <w:lang w:val="en-US"/>
              </w:rPr>
            </w:pPr>
            <w:r>
              <w:rPr>
                <w:rFonts w:ascii="Times New Roman" w:hAnsi="Times New Roman" w:eastAsia="宋体" w:cs="Times New Roman"/>
                <w:color w:val="auto"/>
                <w:highlight w:val="none"/>
              </w:rPr>
              <w:t>（3）建设地点：</w:t>
            </w:r>
            <w:r>
              <w:rPr>
                <w:rFonts w:hint="eastAsia" w:cs="Times New Roman"/>
                <w:color w:val="auto"/>
                <w:sz w:val="24"/>
                <w:szCs w:val="24"/>
                <w:highlight w:val="none"/>
                <w:u w:val="none"/>
                <w:lang w:val="en-US" w:eastAsia="zh-CN"/>
              </w:rPr>
              <w:t>福建省福州市福清市新厝镇双屿500-22号（江阴港城经济区新厝区块）</w:t>
            </w:r>
          </w:p>
          <w:p w14:paraId="2154E98A">
            <w:pPr>
              <w:pStyle w:val="80"/>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4</w:t>
            </w:r>
            <w:r>
              <w:rPr>
                <w:rFonts w:ascii="Times New Roman" w:hAnsi="Times New Roman" w:eastAsia="宋体" w:cs="Times New Roman"/>
                <w:color w:val="auto"/>
                <w:highlight w:val="none"/>
              </w:rPr>
              <w:t>）总投资：</w:t>
            </w:r>
            <w:r>
              <w:rPr>
                <w:rFonts w:hint="eastAsia" w:ascii="Times New Roman" w:hAnsi="Times New Roman" w:eastAsia="宋体" w:cs="Times New Roman"/>
                <w:color w:val="auto"/>
                <w:highlight w:val="none"/>
                <w:lang w:val="en-US" w:eastAsia="zh-CN"/>
              </w:rPr>
              <w:t>1000</w:t>
            </w:r>
            <w:r>
              <w:rPr>
                <w:rFonts w:ascii="Times New Roman" w:hAnsi="Times New Roman" w:eastAsia="宋体" w:cs="Times New Roman"/>
                <w:color w:val="auto"/>
                <w:highlight w:val="none"/>
              </w:rPr>
              <w:t>万元</w:t>
            </w:r>
          </w:p>
          <w:p w14:paraId="639A9BEC">
            <w:pPr>
              <w:pStyle w:val="80"/>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工程</w:t>
            </w:r>
            <w:r>
              <w:rPr>
                <w:rFonts w:ascii="Times New Roman" w:hAnsi="Times New Roman" w:eastAsia="宋体" w:cs="Times New Roman"/>
                <w:color w:val="auto"/>
                <w:highlight w:val="none"/>
              </w:rPr>
              <w:t>规模：</w:t>
            </w:r>
            <w:r>
              <w:rPr>
                <w:rFonts w:hint="eastAsia" w:ascii="Times New Roman" w:hAnsi="Times New Roman" w:eastAsia="宋体" w:cs="Times New Roman"/>
                <w:color w:val="auto"/>
                <w:highlight w:val="none"/>
                <w:lang w:val="en-US" w:eastAsia="zh-CN"/>
              </w:rPr>
              <w:t>占地面积3086m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，建筑面积3086m</w:t>
            </w:r>
            <w:r>
              <w:rPr>
                <w:rFonts w:hint="eastAsia" w:ascii="Times New Roman" w:hAnsi="Times New Roman" w:eastAsia="宋体" w:cs="Times New Roman"/>
                <w:color w:val="auto"/>
                <w:highlight w:val="none"/>
                <w:vertAlign w:val="superscript"/>
                <w:lang w:val="en-US" w:eastAsia="zh-CN"/>
              </w:rPr>
              <w:t>2</w:t>
            </w:r>
          </w:p>
          <w:p w14:paraId="04D83B85">
            <w:pPr>
              <w:pStyle w:val="80"/>
              <w:rPr>
                <w:rFonts w:hint="default" w:eastAsia="宋体"/>
                <w:color w:val="auto"/>
                <w:highlight w:val="none"/>
                <w:lang w:val="en-US" w:eastAsia="zh-CN"/>
              </w:rPr>
            </w:pPr>
            <w:r>
              <w:rPr>
                <w:color w:val="auto"/>
                <w:highlight w:val="none"/>
              </w:rPr>
              <w:t>（</w:t>
            </w:r>
            <w:r>
              <w:rPr>
                <w:rFonts w:hint="eastAsia"/>
                <w:color w:val="auto"/>
                <w:highlight w:val="none"/>
                <w:lang w:val="en-US" w:eastAsia="zh-CN"/>
              </w:rPr>
              <w:t>6</w:t>
            </w:r>
            <w:r>
              <w:rPr>
                <w:color w:val="auto"/>
                <w:highlight w:val="none"/>
              </w:rPr>
              <w:t>）生产规模：</w:t>
            </w:r>
            <w:r>
              <w:rPr>
                <w:rFonts w:hint="eastAsia" w:ascii="Times New Roman" w:hAnsi="Times New Roman" w:eastAsia="宋体" w:cs="Times New Roman"/>
                <w:color w:val="auto"/>
                <w:sz w:val="24"/>
                <w:highlight w:val="none"/>
                <w:lang w:val="zh-CN"/>
              </w:rPr>
              <w:t>建设</w:t>
            </w:r>
            <w:r>
              <w:rPr>
                <w:rFonts w:hint="eastAsia" w:ascii="Times New Roman" w:hAnsi="Times New Roman" w:eastAsia="宋体" w:cs="Times New Roman"/>
                <w:color w:val="auto"/>
                <w:sz w:val="24"/>
                <w:highlight w:val="none"/>
                <w:lang w:val="en-US" w:eastAsia="zh-CN"/>
              </w:rPr>
              <w:t>EPS包装泡沫</w:t>
            </w:r>
            <w:r>
              <w:rPr>
                <w:rFonts w:hint="eastAsia" w:ascii="Times New Roman" w:hAnsi="Times New Roman" w:eastAsia="宋体" w:cs="Times New Roman"/>
                <w:color w:val="auto"/>
                <w:sz w:val="24"/>
                <w:highlight w:val="none"/>
                <w:lang w:val="zh-CN"/>
              </w:rPr>
              <w:t>生产线</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zh-CN"/>
              </w:rPr>
              <w:t>条，年产</w:t>
            </w:r>
            <w:r>
              <w:rPr>
                <w:rFonts w:hint="eastAsia" w:ascii="Times New Roman" w:hAnsi="Times New Roman" w:eastAsia="宋体" w:cs="Times New Roman"/>
                <w:color w:val="auto"/>
                <w:sz w:val="24"/>
                <w:highlight w:val="none"/>
                <w:lang w:val="en-US" w:eastAsia="zh-CN"/>
              </w:rPr>
              <w:t>1800</w:t>
            </w:r>
            <w:r>
              <w:rPr>
                <w:rFonts w:hint="eastAsia" w:ascii="Times New Roman" w:hAnsi="Times New Roman" w:eastAsia="宋体" w:cs="Times New Roman"/>
                <w:color w:val="auto"/>
                <w:sz w:val="24"/>
                <w:highlight w:val="none"/>
                <w:lang w:val="zh-CN"/>
              </w:rPr>
              <w:t>吨</w:t>
            </w:r>
            <w:r>
              <w:rPr>
                <w:rFonts w:hint="eastAsia" w:ascii="Times New Roman" w:hAnsi="Times New Roman" w:eastAsia="宋体" w:cs="Times New Roman"/>
                <w:color w:val="auto"/>
                <w:sz w:val="24"/>
                <w:highlight w:val="none"/>
                <w:lang w:val="en-US" w:eastAsia="zh-CN"/>
              </w:rPr>
              <w:t>EPS包装泡沫</w:t>
            </w:r>
            <w:r>
              <w:rPr>
                <w:rFonts w:hint="eastAsia" w:ascii="Times New Roman" w:hAnsi="Times New Roman" w:eastAsia="宋体" w:cs="Times New Roman"/>
                <w:color w:val="auto"/>
                <w:sz w:val="24"/>
                <w:highlight w:val="none"/>
                <w:lang w:val="zh-CN"/>
              </w:rPr>
              <w:t>。</w:t>
            </w:r>
          </w:p>
          <w:p w14:paraId="293DAA98">
            <w:pPr>
              <w:pStyle w:val="80"/>
              <w:rPr>
                <w:color w:val="auto"/>
                <w:highlight w:val="none"/>
              </w:rPr>
            </w:pPr>
            <w:r>
              <w:rPr>
                <w:color w:val="auto"/>
                <w:highlight w:val="none"/>
              </w:rPr>
              <w:t>（</w:t>
            </w:r>
            <w:r>
              <w:rPr>
                <w:rFonts w:hint="eastAsia"/>
                <w:color w:val="auto"/>
                <w:highlight w:val="none"/>
                <w:lang w:val="en-US" w:eastAsia="zh-CN"/>
              </w:rPr>
              <w:t>7</w:t>
            </w:r>
            <w:r>
              <w:rPr>
                <w:color w:val="auto"/>
                <w:highlight w:val="none"/>
              </w:rPr>
              <w:t>）生产定员：员工</w:t>
            </w:r>
            <w:r>
              <w:rPr>
                <w:rFonts w:hint="eastAsia"/>
                <w:color w:val="auto"/>
                <w:highlight w:val="none"/>
                <w:lang w:val="en-US" w:eastAsia="zh-CN"/>
              </w:rPr>
              <w:t>70</w:t>
            </w:r>
            <w:r>
              <w:rPr>
                <w:color w:val="auto"/>
                <w:highlight w:val="none"/>
              </w:rPr>
              <w:t>人（均</w:t>
            </w:r>
            <w:r>
              <w:rPr>
                <w:rFonts w:hint="eastAsia"/>
                <w:color w:val="auto"/>
                <w:highlight w:val="none"/>
                <w:lang w:eastAsia="zh-CN"/>
              </w:rPr>
              <w:t>不</w:t>
            </w:r>
            <w:r>
              <w:rPr>
                <w:color w:val="auto"/>
                <w:highlight w:val="none"/>
              </w:rPr>
              <w:t>住厂）</w:t>
            </w:r>
          </w:p>
          <w:p w14:paraId="750FF02C">
            <w:pPr>
              <w:pStyle w:val="44"/>
              <w:ind w:firstLine="480"/>
              <w:rPr>
                <w:rFonts w:hint="default" w:ascii="Times New Roman" w:hAnsi="Times New Roman" w:eastAsia="宋体" w:cs="Times New Roman"/>
                <w:color w:val="auto"/>
                <w:sz w:val="24"/>
                <w:szCs w:val="24"/>
                <w:highlight w:val="none"/>
                <w:lang w:val="en-US" w:eastAsia="zh-CN"/>
              </w:rPr>
            </w:pPr>
            <w:r>
              <w:rPr>
                <w:color w:val="auto"/>
                <w:highlight w:val="none"/>
              </w:rPr>
              <w:t>（</w:t>
            </w:r>
            <w:r>
              <w:rPr>
                <w:rFonts w:hint="eastAsia"/>
                <w:color w:val="auto"/>
                <w:highlight w:val="none"/>
                <w:lang w:val="en-US" w:eastAsia="zh-CN"/>
              </w:rPr>
              <w:t>8</w:t>
            </w:r>
            <w:r>
              <w:rPr>
                <w:color w:val="auto"/>
                <w:highlight w:val="none"/>
              </w:rPr>
              <w:t>）工作制度：</w:t>
            </w:r>
            <w:r>
              <w:rPr>
                <w:rFonts w:hint="default" w:ascii="Times New Roman" w:hAnsi="Times New Roman" w:eastAsia="宋体" w:cs="Times New Roman"/>
                <w:color w:val="auto"/>
                <w:sz w:val="24"/>
                <w:szCs w:val="24"/>
                <w:highlight w:val="none"/>
              </w:rPr>
              <w:t>年工作日</w:t>
            </w:r>
            <w:r>
              <w:rPr>
                <w:rFonts w:hint="eastAsia" w:ascii="Times New Roman" w:hAnsi="Times New Roman" w:eastAsia="宋体" w:cs="Times New Roman"/>
                <w:color w:val="auto"/>
                <w:sz w:val="24"/>
                <w:szCs w:val="24"/>
                <w:highlight w:val="none"/>
                <w:lang w:val="en-US" w:eastAsia="zh-CN"/>
              </w:rPr>
              <w:t>330</w:t>
            </w:r>
            <w:r>
              <w:rPr>
                <w:rFonts w:hint="default" w:ascii="Times New Roman" w:hAnsi="Times New Roman" w:eastAsia="宋体" w:cs="Times New Roman"/>
                <w:color w:val="auto"/>
                <w:sz w:val="24"/>
                <w:szCs w:val="24"/>
                <w:highlight w:val="none"/>
              </w:rPr>
              <w:t>天，实行</w:t>
            </w:r>
            <w:r>
              <w:rPr>
                <w:rFonts w:hint="eastAsia"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班制，工作时间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eastAsia" w:ascii="Times New Roman" w:hAnsi="Times New Roman" w:eastAsia="宋体" w:cs="Times New Roman"/>
                <w:color w:val="auto"/>
                <w:sz w:val="24"/>
                <w:szCs w:val="24"/>
                <w:highlight w:val="none"/>
                <w:lang w:val="en-US" w:eastAsia="zh-CN"/>
              </w:rPr>
              <w:t>/天</w:t>
            </w:r>
          </w:p>
          <w:p w14:paraId="6E5838FE">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000000"/>
                <w:sz w:val="24"/>
                <w:szCs w:val="24"/>
                <w:lang w:val="en-US" w:eastAsia="zh-CN"/>
              </w:rPr>
            </w:pPr>
            <w:bookmarkStart w:id="64" w:name="_Toc2804"/>
            <w:r>
              <w:rPr>
                <w:rFonts w:hint="eastAsia" w:ascii="Times New Roman" w:hAnsi="Times New Roman" w:eastAsia="宋体" w:cs="Times New Roman"/>
                <w:b/>
                <w:bCs/>
                <w:color w:val="000000"/>
                <w:sz w:val="24"/>
                <w:szCs w:val="24"/>
                <w:lang w:val="en-US" w:eastAsia="zh-CN"/>
              </w:rPr>
              <w:t>2.4.3现有项目组成及建设内容</w:t>
            </w:r>
            <w:bookmarkEnd w:id="64"/>
          </w:p>
          <w:p w14:paraId="6F71A3BB">
            <w:pPr>
              <w:pStyle w:val="80"/>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现有工程项目组成及建设内容详见表2.4-</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w:t>
            </w:r>
          </w:p>
          <w:p w14:paraId="22D644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表2.4-</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项目组成一览表</w:t>
            </w:r>
          </w:p>
          <w:tbl>
            <w:tblPr>
              <w:tblStyle w:val="23"/>
              <w:tblW w:w="83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31"/>
              <w:gridCol w:w="1578"/>
              <w:gridCol w:w="5534"/>
            </w:tblGrid>
            <w:tr w14:paraId="656E7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5" w:hRule="atLeast"/>
                <w:jc w:val="center"/>
              </w:trPr>
              <w:tc>
                <w:tcPr>
                  <w:tcW w:w="1231" w:type="dxa"/>
                  <w:tcBorders>
                    <w:left w:val="nil"/>
                  </w:tcBorders>
                  <w:vAlign w:val="center"/>
                </w:tcPr>
                <w:p w14:paraId="7AA34EAB">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snapToGrid w:val="0"/>
                      <w:color w:val="auto"/>
                      <w:kern w:val="18"/>
                      <w:sz w:val="21"/>
                      <w:szCs w:val="21"/>
                      <w:highlight w:val="none"/>
                      <w:lang w:val="en-US" w:eastAsia="zh-CN"/>
                    </w:rPr>
                  </w:pPr>
                  <w:r>
                    <w:rPr>
                      <w:rFonts w:hint="default" w:ascii="Times New Roman" w:hAnsi="Times New Roman" w:eastAsia="宋体" w:cs="Times New Roman"/>
                      <w:b w:val="0"/>
                      <w:bCs w:val="0"/>
                      <w:snapToGrid w:val="0"/>
                      <w:color w:val="auto"/>
                      <w:kern w:val="18"/>
                      <w:sz w:val="21"/>
                      <w:szCs w:val="21"/>
                      <w:highlight w:val="none"/>
                      <w:lang w:val="en-US" w:eastAsia="zh-CN"/>
                    </w:rPr>
                    <w:t>分类</w:t>
                  </w:r>
                </w:p>
              </w:tc>
              <w:tc>
                <w:tcPr>
                  <w:tcW w:w="1578" w:type="dxa"/>
                  <w:tcBorders>
                    <w:left w:val="nil"/>
                  </w:tcBorders>
                  <w:vAlign w:val="center"/>
                </w:tcPr>
                <w:p w14:paraId="072F2A31">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项目组成</w:t>
                  </w:r>
                </w:p>
              </w:tc>
              <w:tc>
                <w:tcPr>
                  <w:tcW w:w="5534" w:type="dxa"/>
                  <w:tcBorders>
                    <w:right w:val="nil"/>
                  </w:tcBorders>
                  <w:vAlign w:val="center"/>
                </w:tcPr>
                <w:p w14:paraId="5011139C">
                  <w:pPr>
                    <w:pStyle w:val="8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验收现状功能布局</w:t>
                  </w:r>
                </w:p>
              </w:tc>
            </w:tr>
            <w:tr w14:paraId="21602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31" w:type="dxa"/>
                  <w:tcBorders>
                    <w:left w:val="nil"/>
                  </w:tcBorders>
                  <w:vAlign w:val="center"/>
                </w:tcPr>
                <w:p w14:paraId="1493EB71">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主体工程</w:t>
                  </w:r>
                </w:p>
              </w:tc>
              <w:tc>
                <w:tcPr>
                  <w:tcW w:w="1578" w:type="dxa"/>
                  <w:vAlign w:val="center"/>
                </w:tcPr>
                <w:p w14:paraId="6A704157">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厂房</w:t>
                  </w:r>
                </w:p>
              </w:tc>
              <w:tc>
                <w:tcPr>
                  <w:tcW w:w="5534" w:type="dxa"/>
                  <w:tcBorders>
                    <w:right w:val="nil"/>
                  </w:tcBorders>
                  <w:vAlign w:val="center"/>
                </w:tcPr>
                <w:p w14:paraId="25819B4F">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占地3086m</w:t>
                  </w:r>
                  <w:r>
                    <w:rPr>
                      <w:rFonts w:hint="eastAsia" w:ascii="Times New Roman" w:hAnsi="Times New Roman" w:eastAsia="宋体" w:cs="Times New Roman"/>
                      <w:b w:val="0"/>
                      <w:bCs w:val="0"/>
                      <w:color w:val="auto"/>
                      <w:kern w:val="0"/>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0"/>
                      <w:sz w:val="21"/>
                      <w:szCs w:val="21"/>
                      <w:highlight w:val="none"/>
                      <w:lang w:val="en-US" w:eastAsia="zh-CN" w:bidi="ar-SA"/>
                    </w:rPr>
                    <w:t>，建筑面积3086m</w:t>
                  </w:r>
                  <w:r>
                    <w:rPr>
                      <w:rFonts w:hint="eastAsia" w:ascii="Times New Roman" w:hAnsi="Times New Roman" w:eastAsia="宋体" w:cs="Times New Roman"/>
                      <w:b w:val="0"/>
                      <w:bCs w:val="0"/>
                      <w:color w:val="auto"/>
                      <w:kern w:val="0"/>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0"/>
                      <w:sz w:val="21"/>
                      <w:szCs w:val="21"/>
                      <w:highlight w:val="none"/>
                      <w:lang w:val="en-US" w:eastAsia="zh-CN" w:bidi="ar-SA"/>
                    </w:rPr>
                    <w:t>，钢构，层高9米，共一层</w:t>
                  </w:r>
                </w:p>
              </w:tc>
            </w:tr>
            <w:tr w14:paraId="3B4FA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31" w:type="dxa"/>
                  <w:vMerge w:val="restart"/>
                  <w:tcBorders>
                    <w:left w:val="nil"/>
                  </w:tcBorders>
                  <w:vAlign w:val="center"/>
                </w:tcPr>
                <w:p w14:paraId="0EEA49C0">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公用工程</w:t>
                  </w:r>
                </w:p>
              </w:tc>
              <w:tc>
                <w:tcPr>
                  <w:tcW w:w="1578" w:type="dxa"/>
                  <w:vAlign w:val="center"/>
                </w:tcPr>
                <w:p w14:paraId="62E52938">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供电系统</w:t>
                  </w:r>
                </w:p>
              </w:tc>
              <w:tc>
                <w:tcPr>
                  <w:tcW w:w="5534" w:type="dxa"/>
                  <w:tcBorders>
                    <w:right w:val="nil"/>
                  </w:tcBorders>
                  <w:vAlign w:val="center"/>
                </w:tcPr>
                <w:p w14:paraId="3D65BAEE">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市政供电</w:t>
                  </w:r>
                </w:p>
              </w:tc>
            </w:tr>
            <w:tr w14:paraId="4E013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31" w:type="dxa"/>
                  <w:vMerge w:val="continue"/>
                  <w:tcBorders>
                    <w:left w:val="nil"/>
                  </w:tcBorders>
                  <w:vAlign w:val="center"/>
                </w:tcPr>
                <w:p w14:paraId="394229C8">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1578" w:type="dxa"/>
                  <w:vAlign w:val="center"/>
                </w:tcPr>
                <w:p w14:paraId="33319038">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给水系统</w:t>
                  </w:r>
                </w:p>
              </w:tc>
              <w:tc>
                <w:tcPr>
                  <w:tcW w:w="5534" w:type="dxa"/>
                  <w:tcBorders>
                    <w:right w:val="nil"/>
                  </w:tcBorders>
                  <w:vAlign w:val="center"/>
                </w:tcPr>
                <w:p w14:paraId="5919A3C4">
                  <w:pPr>
                    <w:pStyle w:val="85"/>
                    <w:keepNext w:val="0"/>
                    <w:keepLines w:val="0"/>
                    <w:pageBreakBefore w:val="0"/>
                    <w:kinsoku/>
                    <w:wordWrap/>
                    <w:overflowPunct/>
                    <w:topLinePunct w:val="0"/>
                    <w:bidi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由市政给水管网供给</w:t>
                  </w:r>
                </w:p>
              </w:tc>
            </w:tr>
            <w:tr w14:paraId="61585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31" w:type="dxa"/>
                  <w:vMerge w:val="continue"/>
                  <w:tcBorders>
                    <w:left w:val="nil"/>
                  </w:tcBorders>
                  <w:vAlign w:val="center"/>
                </w:tcPr>
                <w:p w14:paraId="3AB11601">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1578" w:type="dxa"/>
                  <w:vAlign w:val="center"/>
                </w:tcPr>
                <w:p w14:paraId="2CEE1CEA">
                  <w:pPr>
                    <w:pStyle w:val="84"/>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供气</w:t>
                  </w:r>
                </w:p>
              </w:tc>
              <w:tc>
                <w:tcPr>
                  <w:tcW w:w="5534" w:type="dxa"/>
                  <w:tcBorders>
                    <w:right w:val="nil"/>
                  </w:tcBorders>
                  <w:vAlign w:val="center"/>
                </w:tcPr>
                <w:p w14:paraId="651D6CFC">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蒸汽由国电福州发电有限公司供应，年供应1300吨，以管道方式输送，正常流量3t/h</w:t>
                  </w:r>
                </w:p>
              </w:tc>
            </w:tr>
            <w:tr w14:paraId="601FA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31" w:type="dxa"/>
                  <w:tcBorders>
                    <w:left w:val="nil"/>
                  </w:tcBorders>
                  <w:vAlign w:val="center"/>
                </w:tcPr>
                <w:p w14:paraId="607B0CE4">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环保工程</w:t>
                  </w:r>
                </w:p>
              </w:tc>
              <w:tc>
                <w:tcPr>
                  <w:tcW w:w="1578" w:type="dxa"/>
                  <w:vAlign w:val="center"/>
                </w:tcPr>
                <w:p w14:paraId="56A82DB7">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循环沉淀池</w:t>
                  </w:r>
                </w:p>
              </w:tc>
              <w:tc>
                <w:tcPr>
                  <w:tcW w:w="5534" w:type="dxa"/>
                  <w:tcBorders>
                    <w:right w:val="nil"/>
                  </w:tcBorders>
                  <w:vAlign w:val="center"/>
                </w:tcPr>
                <w:p w14:paraId="683DA227">
                  <w:pPr>
                    <w:pStyle w:val="84"/>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冷却水循环沉淀池（长×宽×高：17m×4m×3m）</w:t>
                  </w:r>
                </w:p>
              </w:tc>
            </w:tr>
          </w:tbl>
          <w:p w14:paraId="42E07417">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000000"/>
                <w:sz w:val="24"/>
                <w:szCs w:val="24"/>
                <w:lang w:val="en-US" w:eastAsia="zh-CN"/>
              </w:rPr>
            </w:pPr>
            <w:bookmarkStart w:id="65" w:name="_Toc9506"/>
            <w:r>
              <w:rPr>
                <w:rFonts w:hint="eastAsia" w:ascii="Times New Roman" w:hAnsi="Times New Roman" w:eastAsia="宋体" w:cs="Times New Roman"/>
                <w:b/>
                <w:bCs/>
                <w:color w:val="000000"/>
                <w:sz w:val="24"/>
                <w:szCs w:val="24"/>
                <w:lang w:val="en-US" w:eastAsia="zh-CN"/>
              </w:rPr>
              <w:t>2.4.4现有</w:t>
            </w:r>
            <w:r>
              <w:rPr>
                <w:rFonts w:hint="default" w:ascii="Times New Roman" w:hAnsi="Times New Roman" w:eastAsia="宋体" w:cs="Times New Roman"/>
                <w:b/>
                <w:bCs/>
                <w:color w:val="000000"/>
                <w:sz w:val="24"/>
                <w:szCs w:val="24"/>
                <w:lang w:val="en-US" w:eastAsia="zh-CN"/>
              </w:rPr>
              <w:t>产品方案和主要原辅材料、能源消耗</w:t>
            </w:r>
            <w:bookmarkEnd w:id="65"/>
          </w:p>
          <w:p w14:paraId="0E1F6C5D">
            <w:pPr>
              <w:pStyle w:val="4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sz w:val="24"/>
                <w:szCs w:val="24"/>
                <w:highlight w:val="none"/>
                <w:lang w:eastAsia="zh-CN"/>
              </w:rPr>
            </w:pPr>
            <w:r>
              <w:rPr>
                <w:rFonts w:hint="eastAsia"/>
                <w:color w:val="000000"/>
                <w:lang w:val="en-US" w:eastAsia="zh-CN"/>
              </w:rPr>
              <w:t>（1）现有项目产品方案见表2.4-2。</w:t>
            </w:r>
          </w:p>
          <w:p w14:paraId="4FCF97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现有</w:t>
            </w:r>
            <w:r>
              <w:rPr>
                <w:rFonts w:hint="default" w:ascii="Times New Roman" w:hAnsi="Times New Roman" w:eastAsia="宋体" w:cs="Times New Roman"/>
                <w:b/>
                <w:bCs/>
                <w:color w:val="auto"/>
                <w:sz w:val="24"/>
                <w:szCs w:val="24"/>
                <w:highlight w:val="none"/>
                <w:lang w:eastAsia="zh-CN"/>
              </w:rPr>
              <w:t>项目产品方案情况一览表</w:t>
            </w:r>
          </w:p>
          <w:tbl>
            <w:tblPr>
              <w:tblStyle w:val="23"/>
              <w:tblW w:w="83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2"/>
              <w:gridCol w:w="1689"/>
              <w:gridCol w:w="1202"/>
              <w:gridCol w:w="4842"/>
            </w:tblGrid>
            <w:tr w14:paraId="7EF9CF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662" w:type="dxa"/>
                  <w:tcBorders>
                    <w:left w:val="nil"/>
                  </w:tcBorders>
                  <w:vAlign w:val="center"/>
                </w:tcPr>
                <w:p w14:paraId="73429991">
                  <w:pPr>
                    <w:pStyle w:val="86"/>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89" w:type="dxa"/>
                  <w:vAlign w:val="center"/>
                </w:tcPr>
                <w:p w14:paraId="0BF01EDB">
                  <w:pPr>
                    <w:pStyle w:val="86"/>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产品</w:t>
                  </w:r>
                  <w:r>
                    <w:rPr>
                      <w:rFonts w:hint="default" w:ascii="Times New Roman" w:hAnsi="Times New Roman" w:eastAsia="宋体" w:cs="Times New Roman"/>
                      <w:color w:val="auto"/>
                      <w:sz w:val="21"/>
                      <w:szCs w:val="21"/>
                      <w:highlight w:val="none"/>
                      <w:lang w:val="en-US" w:eastAsia="zh-CN"/>
                    </w:rPr>
                    <w:t>名称</w:t>
                  </w:r>
                </w:p>
              </w:tc>
              <w:tc>
                <w:tcPr>
                  <w:tcW w:w="1202" w:type="dxa"/>
                  <w:tcBorders>
                    <w:right w:val="nil"/>
                  </w:tcBorders>
                  <w:vAlign w:val="center"/>
                </w:tcPr>
                <w:p w14:paraId="52B8B550">
                  <w:pPr>
                    <w:pStyle w:val="86"/>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年产量</w:t>
                  </w:r>
                </w:p>
              </w:tc>
              <w:tc>
                <w:tcPr>
                  <w:tcW w:w="4842" w:type="dxa"/>
                  <w:tcBorders>
                    <w:right w:val="nil"/>
                  </w:tcBorders>
                  <w:vAlign w:val="center"/>
                </w:tcPr>
                <w:p w14:paraId="56E0B9F1">
                  <w:pPr>
                    <w:pStyle w:val="86"/>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产品用途</w:t>
                  </w:r>
                </w:p>
              </w:tc>
            </w:tr>
            <w:tr w14:paraId="592FC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6" w:hRule="atLeast"/>
                <w:jc w:val="center"/>
              </w:trPr>
              <w:tc>
                <w:tcPr>
                  <w:tcW w:w="662" w:type="dxa"/>
                  <w:tcBorders>
                    <w:left w:val="nil"/>
                  </w:tcBorders>
                  <w:vAlign w:val="center"/>
                </w:tcPr>
                <w:p w14:paraId="4AACC280">
                  <w:pPr>
                    <w:pStyle w:val="86"/>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89" w:type="dxa"/>
                  <w:vAlign w:val="center"/>
                </w:tcPr>
                <w:p w14:paraId="7203B457">
                  <w:pPr>
                    <w:pStyle w:val="86"/>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EPS包装泡沫</w:t>
                  </w:r>
                </w:p>
              </w:tc>
              <w:tc>
                <w:tcPr>
                  <w:tcW w:w="1202" w:type="dxa"/>
                  <w:tcBorders>
                    <w:right w:val="nil"/>
                  </w:tcBorders>
                  <w:vAlign w:val="center"/>
                </w:tcPr>
                <w:p w14:paraId="0C7ADEA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1800</w:t>
                  </w:r>
                  <w:r>
                    <w:rPr>
                      <w:rFonts w:hint="default" w:ascii="Times New Roman" w:hAnsi="Times New Roman" w:eastAsia="宋体" w:cs="Times New Roman"/>
                      <w:color w:val="auto"/>
                      <w:sz w:val="21"/>
                      <w:szCs w:val="21"/>
                      <w:highlight w:val="none"/>
                      <w:lang w:val="en-US" w:eastAsia="zh-CN"/>
                    </w:rPr>
                    <w:t>t</w:t>
                  </w:r>
                </w:p>
              </w:tc>
              <w:tc>
                <w:tcPr>
                  <w:tcW w:w="4842" w:type="dxa"/>
                  <w:tcBorders>
                    <w:right w:val="nil"/>
                  </w:tcBorders>
                  <w:vAlign w:val="center"/>
                </w:tcPr>
                <w:p w14:paraId="1F1EAFE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外售用于保温、包装防护材料</w:t>
                  </w:r>
                </w:p>
              </w:tc>
            </w:tr>
          </w:tbl>
          <w:p w14:paraId="00AE3110">
            <w:pPr>
              <w:pStyle w:val="46"/>
              <w:bidi w:val="0"/>
              <w:ind w:firstLine="480" w:firstLineChars="200"/>
              <w:rPr>
                <w:rFonts w:hint="default" w:ascii="Times New Roman" w:hAnsi="Times New Roman" w:eastAsia="宋体" w:cs="宋体"/>
                <w:color w:val="000000"/>
                <w:lang w:val="en-US" w:eastAsia="zh-CN"/>
              </w:rPr>
            </w:pPr>
            <w:r>
              <w:rPr>
                <w:rFonts w:hint="eastAsia" w:ascii="Times New Roman" w:hAnsi="Times New Roman" w:eastAsia="宋体" w:cs="宋体"/>
                <w:color w:val="000000"/>
                <w:lang w:val="en-US" w:eastAsia="zh-CN"/>
              </w:rPr>
              <w:t>（2）现有项目主要原辅材料、能源消耗</w:t>
            </w:r>
          </w:p>
          <w:p w14:paraId="3E8BD143">
            <w:pPr>
              <w:pStyle w:val="44"/>
              <w:ind w:firstLine="480"/>
              <w:rPr>
                <w:color w:val="auto"/>
                <w:highlight w:val="none"/>
              </w:rPr>
            </w:pPr>
            <w:r>
              <w:rPr>
                <w:color w:val="auto"/>
                <w:highlight w:val="none"/>
              </w:rPr>
              <w:t>本项目主要原辅材料详见表2.</w:t>
            </w:r>
            <w:r>
              <w:rPr>
                <w:rFonts w:hint="eastAsia"/>
                <w:color w:val="auto"/>
                <w:highlight w:val="none"/>
                <w:lang w:val="en-US" w:eastAsia="zh-CN"/>
              </w:rPr>
              <w:t>4-3</w:t>
            </w:r>
            <w:r>
              <w:rPr>
                <w:color w:val="auto"/>
                <w:highlight w:val="none"/>
              </w:rPr>
              <w:t>。</w:t>
            </w:r>
          </w:p>
          <w:p w14:paraId="3B0BA5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3现有</w:t>
            </w:r>
            <w:r>
              <w:rPr>
                <w:rFonts w:hint="eastAsia" w:ascii="Times New Roman" w:hAnsi="Times New Roman" w:eastAsia="宋体" w:cs="Times New Roman"/>
                <w:b/>
                <w:bCs/>
                <w:color w:val="auto"/>
                <w:sz w:val="24"/>
                <w:szCs w:val="24"/>
                <w:highlight w:val="none"/>
                <w:lang w:eastAsia="zh-CN"/>
              </w:rPr>
              <w:t>项目主要原辅材料一览表</w:t>
            </w:r>
          </w:p>
          <w:tbl>
            <w:tblPr>
              <w:tblStyle w:val="23"/>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51"/>
              <w:gridCol w:w="2270"/>
              <w:gridCol w:w="2270"/>
              <w:gridCol w:w="2728"/>
            </w:tblGrid>
            <w:tr w14:paraId="712155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1251" w:type="dxa"/>
                  <w:tcBorders>
                    <w:left w:val="nil"/>
                  </w:tcBorders>
                  <w:vAlign w:val="center"/>
                </w:tcPr>
                <w:p w14:paraId="35A40E17">
                  <w:pPr>
                    <w:pStyle w:val="86"/>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270" w:type="dxa"/>
                  <w:vAlign w:val="center"/>
                </w:tcPr>
                <w:p w14:paraId="4F18E8B1">
                  <w:pPr>
                    <w:pStyle w:val="87"/>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材料/能源</w:t>
                  </w:r>
                </w:p>
              </w:tc>
              <w:tc>
                <w:tcPr>
                  <w:tcW w:w="2270" w:type="dxa"/>
                  <w:vAlign w:val="center"/>
                </w:tcPr>
                <w:p w14:paraId="765F9E82">
                  <w:pPr>
                    <w:pStyle w:val="87"/>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单位</w:t>
                  </w:r>
                </w:p>
              </w:tc>
              <w:tc>
                <w:tcPr>
                  <w:tcW w:w="2728" w:type="dxa"/>
                  <w:tcBorders>
                    <w:right w:val="nil"/>
                  </w:tcBorders>
                  <w:vAlign w:val="center"/>
                </w:tcPr>
                <w:p w14:paraId="4AEC2AE6">
                  <w:pPr>
                    <w:pStyle w:val="86"/>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用量</w:t>
                  </w:r>
                </w:p>
              </w:tc>
            </w:tr>
            <w:tr w14:paraId="72A71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1251" w:type="dxa"/>
                  <w:tcBorders>
                    <w:left w:val="nil"/>
                  </w:tcBorders>
                  <w:vAlign w:val="center"/>
                </w:tcPr>
                <w:p w14:paraId="69EE87CA">
                  <w:pPr>
                    <w:pStyle w:val="8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270" w:type="dxa"/>
                  <w:vAlign w:val="center"/>
                </w:tcPr>
                <w:p w14:paraId="7F7C1901">
                  <w:pPr>
                    <w:pStyle w:val="86"/>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EPS（聚苯乙烯）</w:t>
                  </w:r>
                </w:p>
              </w:tc>
              <w:tc>
                <w:tcPr>
                  <w:tcW w:w="2270" w:type="dxa"/>
                  <w:vAlign w:val="center"/>
                </w:tcPr>
                <w:p w14:paraId="37DB465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2728" w:type="dxa"/>
                  <w:tcBorders>
                    <w:right w:val="nil"/>
                  </w:tcBorders>
                  <w:vAlign w:val="center"/>
                </w:tcPr>
                <w:p w14:paraId="4D2BC1D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1880</w:t>
                  </w:r>
                </w:p>
              </w:tc>
            </w:tr>
            <w:tr w14:paraId="28081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1251" w:type="dxa"/>
                  <w:tcBorders>
                    <w:left w:val="nil"/>
                  </w:tcBorders>
                  <w:vAlign w:val="center"/>
                </w:tcPr>
                <w:p w14:paraId="31DEB13B">
                  <w:pPr>
                    <w:pStyle w:val="86"/>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270" w:type="dxa"/>
                  <w:vAlign w:val="center"/>
                </w:tcPr>
                <w:p w14:paraId="4B6A34A6">
                  <w:pPr>
                    <w:pStyle w:val="86"/>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w:t>
                  </w:r>
                </w:p>
              </w:tc>
              <w:tc>
                <w:tcPr>
                  <w:tcW w:w="2270" w:type="dxa"/>
                  <w:vAlign w:val="center"/>
                </w:tcPr>
                <w:p w14:paraId="3522E790">
                  <w:pPr>
                    <w:jc w:val="center"/>
                    <w:rPr>
                      <w:rFonts w:hint="default"/>
                      <w:lang w:val="en-US" w:eastAsia="zh-CN"/>
                    </w:rPr>
                  </w:pPr>
                  <w:r>
                    <w:rPr>
                      <w:rFonts w:hint="eastAsia" w:ascii="Times New Roman" w:hAnsi="Times New Roman" w:eastAsia="宋体" w:cs="Times New Roman"/>
                      <w:color w:val="auto"/>
                      <w:sz w:val="21"/>
                      <w:szCs w:val="21"/>
                      <w:highlight w:val="none"/>
                      <w:lang w:val="en-US" w:eastAsia="zh-CN"/>
                    </w:rPr>
                    <w:t>t/a</w:t>
                  </w:r>
                </w:p>
              </w:tc>
              <w:tc>
                <w:tcPr>
                  <w:tcW w:w="2728" w:type="dxa"/>
                  <w:tcBorders>
                    <w:right w:val="nil"/>
                  </w:tcBorders>
                  <w:vAlign w:val="center"/>
                </w:tcPr>
                <w:p w14:paraId="32A185B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1485</w:t>
                  </w:r>
                </w:p>
              </w:tc>
            </w:tr>
            <w:tr w14:paraId="70CA3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1251" w:type="dxa"/>
                  <w:tcBorders>
                    <w:left w:val="nil"/>
                  </w:tcBorders>
                  <w:vAlign w:val="center"/>
                </w:tcPr>
                <w:p w14:paraId="65956841">
                  <w:pPr>
                    <w:pStyle w:val="86"/>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2270" w:type="dxa"/>
                  <w:vAlign w:val="center"/>
                </w:tcPr>
                <w:p w14:paraId="7B9306DF">
                  <w:pPr>
                    <w:pStyle w:val="86"/>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w:t>
                  </w:r>
                </w:p>
              </w:tc>
              <w:tc>
                <w:tcPr>
                  <w:tcW w:w="2270" w:type="dxa"/>
                  <w:vAlign w:val="center"/>
                </w:tcPr>
                <w:p w14:paraId="57D4686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Kwh/a</w:t>
                  </w:r>
                </w:p>
              </w:tc>
              <w:tc>
                <w:tcPr>
                  <w:tcW w:w="2728" w:type="dxa"/>
                  <w:tcBorders>
                    <w:right w:val="nil"/>
                  </w:tcBorders>
                  <w:vAlign w:val="center"/>
                </w:tcPr>
                <w:p w14:paraId="35E5CB0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500000</w:t>
                  </w:r>
                </w:p>
              </w:tc>
            </w:tr>
            <w:tr w14:paraId="2A227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1251" w:type="dxa"/>
                  <w:tcBorders>
                    <w:left w:val="nil"/>
                  </w:tcBorders>
                  <w:vAlign w:val="center"/>
                </w:tcPr>
                <w:p w14:paraId="53097A04">
                  <w:pPr>
                    <w:pStyle w:val="86"/>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2270" w:type="dxa"/>
                  <w:vAlign w:val="center"/>
                </w:tcPr>
                <w:p w14:paraId="7E64D56A">
                  <w:pPr>
                    <w:pStyle w:val="86"/>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蒸汽</w:t>
                  </w:r>
                </w:p>
              </w:tc>
              <w:tc>
                <w:tcPr>
                  <w:tcW w:w="2270" w:type="dxa"/>
                  <w:vAlign w:val="center"/>
                </w:tcPr>
                <w:p w14:paraId="20A2387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2728" w:type="dxa"/>
                  <w:tcBorders>
                    <w:right w:val="nil"/>
                  </w:tcBorders>
                  <w:vAlign w:val="center"/>
                </w:tcPr>
                <w:p w14:paraId="7338AF1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23760</w:t>
                  </w:r>
                </w:p>
              </w:tc>
            </w:tr>
          </w:tbl>
          <w:p w14:paraId="16DF511A">
            <w:pPr>
              <w:pStyle w:val="44"/>
              <w:ind w:left="0" w:leftChars="0" w:firstLine="480" w:firstLineChars="200"/>
              <w:rPr>
                <w:rFonts w:hint="eastAsia"/>
                <w:color w:val="auto"/>
                <w:highlight w:val="none"/>
                <w:lang w:eastAsia="zh-CN"/>
              </w:rPr>
            </w:pPr>
          </w:p>
          <w:p w14:paraId="034C407B">
            <w:pPr>
              <w:pStyle w:val="44"/>
              <w:ind w:left="0" w:leftChars="0" w:firstLine="480" w:firstLineChars="200"/>
              <w:rPr>
                <w:rFonts w:hint="eastAsia"/>
                <w:color w:val="auto"/>
                <w:highlight w:val="none"/>
                <w:lang w:eastAsia="zh-CN"/>
              </w:rPr>
            </w:pPr>
          </w:p>
          <w:p w14:paraId="6A1ECF5D">
            <w:pPr>
              <w:pStyle w:val="44"/>
              <w:ind w:left="0" w:leftChars="0" w:firstLine="480" w:firstLineChars="200"/>
              <w:rPr>
                <w:rFonts w:hint="eastAsia"/>
                <w:color w:val="auto"/>
                <w:highlight w:val="none"/>
                <w:lang w:eastAsia="zh-CN"/>
              </w:rPr>
            </w:pPr>
          </w:p>
          <w:p w14:paraId="3EEA1DF0">
            <w:pPr>
              <w:pStyle w:val="44"/>
              <w:ind w:left="0" w:leftChars="0"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现有</w:t>
            </w:r>
            <w:r>
              <w:rPr>
                <w:color w:val="auto"/>
                <w:highlight w:val="none"/>
              </w:rPr>
              <w:t>项目主要生产设备见表2.</w:t>
            </w:r>
            <w:r>
              <w:rPr>
                <w:rFonts w:hint="eastAsia"/>
                <w:color w:val="auto"/>
                <w:highlight w:val="none"/>
                <w:lang w:val="en-US" w:eastAsia="zh-CN"/>
              </w:rPr>
              <w:t>4-4</w:t>
            </w:r>
            <w:r>
              <w:rPr>
                <w:color w:val="auto"/>
                <w:highlight w:val="none"/>
              </w:rPr>
              <w:t>。</w:t>
            </w:r>
          </w:p>
          <w:p w14:paraId="0D75E8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4-4</w:t>
            </w:r>
            <w:r>
              <w:rPr>
                <w:rFonts w:hint="eastAsia" w:ascii="Times New Roman" w:hAnsi="Times New Roman" w:eastAsia="宋体" w:cs="Times New Roman"/>
                <w:b/>
                <w:bCs/>
                <w:color w:val="auto"/>
                <w:sz w:val="24"/>
                <w:szCs w:val="24"/>
                <w:highlight w:val="none"/>
                <w:lang w:eastAsia="zh-CN"/>
              </w:rPr>
              <w:t>主要生产设备一览表</w:t>
            </w:r>
          </w:p>
          <w:tbl>
            <w:tblPr>
              <w:tblStyle w:val="23"/>
              <w:tblW w:w="84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798"/>
              <w:gridCol w:w="2210"/>
              <w:gridCol w:w="2244"/>
            </w:tblGrid>
            <w:tr w14:paraId="5239D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7EEAFD64">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798" w:type="dxa"/>
                  <w:vAlign w:val="center"/>
                </w:tcPr>
                <w:p w14:paraId="0458D02C">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设备名称</w:t>
                  </w:r>
                </w:p>
              </w:tc>
              <w:tc>
                <w:tcPr>
                  <w:tcW w:w="2210" w:type="dxa"/>
                  <w:tcBorders>
                    <w:right w:val="nil"/>
                  </w:tcBorders>
                  <w:vAlign w:val="center"/>
                </w:tcPr>
                <w:p w14:paraId="3CE0E1C9">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型号</w:t>
                  </w:r>
                </w:p>
              </w:tc>
              <w:tc>
                <w:tcPr>
                  <w:tcW w:w="2244" w:type="dxa"/>
                  <w:tcBorders>
                    <w:right w:val="nil"/>
                  </w:tcBorders>
                  <w:vAlign w:val="center"/>
                </w:tcPr>
                <w:p w14:paraId="22E85FFE">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数量</w:t>
                  </w:r>
                </w:p>
              </w:tc>
            </w:tr>
            <w:tr w14:paraId="4D90D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7F426844">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2798" w:type="dxa"/>
                  <w:vAlign w:val="center"/>
                </w:tcPr>
                <w:p w14:paraId="749565A0">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全自动泡沫成型机</w:t>
                  </w:r>
                </w:p>
              </w:tc>
              <w:tc>
                <w:tcPr>
                  <w:tcW w:w="2210" w:type="dxa"/>
                  <w:tcBorders>
                    <w:right w:val="nil"/>
                  </w:tcBorders>
                  <w:vAlign w:val="center"/>
                </w:tcPr>
                <w:p w14:paraId="761DB4D4">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17.5E型</w:t>
                  </w:r>
                </w:p>
              </w:tc>
              <w:tc>
                <w:tcPr>
                  <w:tcW w:w="2244" w:type="dxa"/>
                  <w:tcBorders>
                    <w:right w:val="nil"/>
                  </w:tcBorders>
                  <w:vAlign w:val="center"/>
                </w:tcPr>
                <w:p w14:paraId="2CEE3E2A">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5台</w:t>
                  </w:r>
                </w:p>
              </w:tc>
            </w:tr>
            <w:tr w14:paraId="43D1C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05BFDA45">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798" w:type="dxa"/>
                  <w:vAlign w:val="center"/>
                </w:tcPr>
                <w:p w14:paraId="75730A2D">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全自动泡沫成型机</w:t>
                  </w:r>
                </w:p>
              </w:tc>
              <w:tc>
                <w:tcPr>
                  <w:tcW w:w="2210" w:type="dxa"/>
                  <w:tcBorders>
                    <w:right w:val="nil"/>
                  </w:tcBorders>
                  <w:vAlign w:val="center"/>
                </w:tcPr>
                <w:p w14:paraId="45BD1862">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15.3E型</w:t>
                  </w:r>
                </w:p>
              </w:tc>
              <w:tc>
                <w:tcPr>
                  <w:tcW w:w="2244" w:type="dxa"/>
                  <w:tcBorders>
                    <w:right w:val="nil"/>
                  </w:tcBorders>
                  <w:vAlign w:val="center"/>
                </w:tcPr>
                <w:p w14:paraId="30309E9B">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5台</w:t>
                  </w:r>
                </w:p>
              </w:tc>
            </w:tr>
            <w:tr w14:paraId="6B1DB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09A7D403">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2798" w:type="dxa"/>
                  <w:vAlign w:val="center"/>
                </w:tcPr>
                <w:p w14:paraId="50DB317B">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德国艾伦空压机</w:t>
                  </w:r>
                </w:p>
              </w:tc>
              <w:tc>
                <w:tcPr>
                  <w:tcW w:w="2210" w:type="dxa"/>
                  <w:tcBorders>
                    <w:right w:val="nil"/>
                  </w:tcBorders>
                  <w:vAlign w:val="center"/>
                </w:tcPr>
                <w:p w14:paraId="7A4D49FA">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ascii="Times New Roman" w:hAnsi="Times New Roman" w:eastAsia="宋体" w:cs="Times New Roman"/>
                      <w:color w:val="auto"/>
                      <w:sz w:val="21"/>
                      <w:szCs w:val="21"/>
                      <w:highlight w:val="none"/>
                      <w:lang w:val="en-US" w:eastAsia="zh-CN"/>
                    </w:rPr>
                    <w:t>75kg、37kg</w:t>
                  </w:r>
                </w:p>
              </w:tc>
              <w:tc>
                <w:tcPr>
                  <w:tcW w:w="2244" w:type="dxa"/>
                  <w:tcBorders>
                    <w:right w:val="nil"/>
                  </w:tcBorders>
                  <w:vAlign w:val="center"/>
                </w:tcPr>
                <w:p w14:paraId="13B2F3FE">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各1台</w:t>
                  </w:r>
                </w:p>
              </w:tc>
            </w:tr>
            <w:tr w14:paraId="01ACD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21D4B020">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2798" w:type="dxa"/>
                  <w:vAlign w:val="center"/>
                </w:tcPr>
                <w:p w14:paraId="69044B50">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真空机</w:t>
                  </w:r>
                </w:p>
              </w:tc>
              <w:tc>
                <w:tcPr>
                  <w:tcW w:w="2210" w:type="dxa"/>
                  <w:tcBorders>
                    <w:right w:val="nil"/>
                  </w:tcBorders>
                  <w:vAlign w:val="center"/>
                </w:tcPr>
                <w:p w14:paraId="2B0DA731">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卧式</w:t>
                  </w:r>
                </w:p>
              </w:tc>
              <w:tc>
                <w:tcPr>
                  <w:tcW w:w="2244" w:type="dxa"/>
                  <w:tcBorders>
                    <w:right w:val="nil"/>
                  </w:tcBorders>
                  <w:vAlign w:val="center"/>
                </w:tcPr>
                <w:p w14:paraId="36142BA8">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2A35A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3B5687C3">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798" w:type="dxa"/>
                  <w:vAlign w:val="center"/>
                </w:tcPr>
                <w:p w14:paraId="5B0370F0">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蒸汽储能罐</w:t>
                  </w:r>
                </w:p>
              </w:tc>
              <w:tc>
                <w:tcPr>
                  <w:tcW w:w="2210" w:type="dxa"/>
                  <w:tcBorders>
                    <w:right w:val="nil"/>
                  </w:tcBorders>
                  <w:vAlign w:val="center"/>
                </w:tcPr>
                <w:p w14:paraId="614D2AA9">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20m</w:t>
                  </w:r>
                  <w:r>
                    <w:rPr>
                      <w:rFonts w:hint="eastAsia" w:ascii="Times New Roman" w:hAnsi="Times New Roman" w:eastAsia="宋体" w:cs="Times New Roman"/>
                      <w:color w:val="auto"/>
                      <w:sz w:val="21"/>
                      <w:szCs w:val="21"/>
                      <w:highlight w:val="none"/>
                      <w:vertAlign w:val="superscript"/>
                      <w:lang w:val="en-US" w:eastAsia="zh-CN"/>
                    </w:rPr>
                    <w:t>3</w:t>
                  </w:r>
                </w:p>
              </w:tc>
              <w:tc>
                <w:tcPr>
                  <w:tcW w:w="2244" w:type="dxa"/>
                  <w:tcBorders>
                    <w:right w:val="nil"/>
                  </w:tcBorders>
                  <w:vAlign w:val="center"/>
                </w:tcPr>
                <w:p w14:paraId="67CCC5D7">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68B4E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412E0D24">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2798" w:type="dxa"/>
                  <w:vAlign w:val="center"/>
                </w:tcPr>
                <w:p w14:paraId="19DCA40B">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水泵</w:t>
                  </w:r>
                </w:p>
              </w:tc>
              <w:tc>
                <w:tcPr>
                  <w:tcW w:w="2210" w:type="dxa"/>
                  <w:tcBorders>
                    <w:right w:val="nil"/>
                  </w:tcBorders>
                  <w:vAlign w:val="center"/>
                </w:tcPr>
                <w:p w14:paraId="474A0C5A">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244" w:type="dxa"/>
                  <w:tcBorders>
                    <w:right w:val="nil"/>
                  </w:tcBorders>
                  <w:vAlign w:val="center"/>
                </w:tcPr>
                <w:p w14:paraId="2538A843">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4台（2备2用）</w:t>
                  </w:r>
                </w:p>
              </w:tc>
            </w:tr>
            <w:tr w14:paraId="68685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52AC9472">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2798" w:type="dxa"/>
                  <w:vAlign w:val="center"/>
                </w:tcPr>
                <w:p w14:paraId="48AB1154">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空气储能罐</w:t>
                  </w:r>
                </w:p>
              </w:tc>
              <w:tc>
                <w:tcPr>
                  <w:tcW w:w="2210" w:type="dxa"/>
                  <w:tcBorders>
                    <w:right w:val="nil"/>
                  </w:tcBorders>
                  <w:vAlign w:val="center"/>
                </w:tcPr>
                <w:p w14:paraId="531AD24F">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244" w:type="dxa"/>
                  <w:tcBorders>
                    <w:right w:val="nil"/>
                  </w:tcBorders>
                  <w:vAlign w:val="center"/>
                </w:tcPr>
                <w:p w14:paraId="1B6BDE51">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2台</w:t>
                  </w:r>
                </w:p>
              </w:tc>
            </w:tr>
            <w:tr w14:paraId="41148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18ED1FC4">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2798" w:type="dxa"/>
                  <w:vAlign w:val="center"/>
                </w:tcPr>
                <w:p w14:paraId="6B87E2A3">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悬挂系统</w:t>
                  </w:r>
                </w:p>
              </w:tc>
              <w:tc>
                <w:tcPr>
                  <w:tcW w:w="2210" w:type="dxa"/>
                  <w:tcBorders>
                    <w:right w:val="nil"/>
                  </w:tcBorders>
                  <w:vAlign w:val="center"/>
                </w:tcPr>
                <w:p w14:paraId="6311F871">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244" w:type="dxa"/>
                  <w:tcBorders>
                    <w:right w:val="nil"/>
                  </w:tcBorders>
                  <w:vAlign w:val="center"/>
                </w:tcPr>
                <w:p w14:paraId="0C7F9E05">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338m</w:t>
                  </w:r>
                </w:p>
              </w:tc>
            </w:tr>
            <w:tr w14:paraId="5B3A4599">
              <w:tblPrEx>
                <w:tblCellMar>
                  <w:top w:w="0" w:type="dxa"/>
                  <w:left w:w="108" w:type="dxa"/>
                  <w:bottom w:w="0" w:type="dxa"/>
                  <w:right w:w="108" w:type="dxa"/>
                </w:tblCellMar>
              </w:tblPrEx>
              <w:trPr>
                <w:trHeight w:val="482" w:hRule="atLeast"/>
                <w:jc w:val="center"/>
              </w:trPr>
              <w:tc>
                <w:tcPr>
                  <w:tcW w:w="1176" w:type="dxa"/>
                  <w:tcBorders>
                    <w:left w:val="nil"/>
                  </w:tcBorders>
                  <w:vAlign w:val="center"/>
                </w:tcPr>
                <w:p w14:paraId="6666A071">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2798" w:type="dxa"/>
                  <w:vAlign w:val="center"/>
                </w:tcPr>
                <w:p w14:paraId="7D9CE567">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冷却塔</w:t>
                  </w:r>
                </w:p>
              </w:tc>
              <w:tc>
                <w:tcPr>
                  <w:tcW w:w="2210" w:type="dxa"/>
                  <w:tcBorders>
                    <w:right w:val="nil"/>
                  </w:tcBorders>
                  <w:vAlign w:val="center"/>
                </w:tcPr>
                <w:p w14:paraId="72475A47">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244" w:type="dxa"/>
                  <w:tcBorders>
                    <w:right w:val="nil"/>
                  </w:tcBorders>
                  <w:vAlign w:val="center"/>
                </w:tcPr>
                <w:p w14:paraId="640ADB9E">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2台</w:t>
                  </w:r>
                </w:p>
              </w:tc>
            </w:tr>
            <w:tr w14:paraId="6B217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79C14C3C">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2798" w:type="dxa"/>
                  <w:vAlign w:val="center"/>
                </w:tcPr>
                <w:p w14:paraId="32228DA9">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发泡机</w:t>
                  </w:r>
                </w:p>
              </w:tc>
              <w:tc>
                <w:tcPr>
                  <w:tcW w:w="2210" w:type="dxa"/>
                  <w:tcBorders>
                    <w:right w:val="nil"/>
                  </w:tcBorders>
                  <w:vAlign w:val="center"/>
                </w:tcPr>
                <w:p w14:paraId="3277583C">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1100</w:t>
                  </w:r>
                </w:p>
              </w:tc>
              <w:tc>
                <w:tcPr>
                  <w:tcW w:w="2244" w:type="dxa"/>
                  <w:tcBorders>
                    <w:right w:val="nil"/>
                  </w:tcBorders>
                  <w:vAlign w:val="center"/>
                </w:tcPr>
                <w:p w14:paraId="0491B515">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58AD2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6" w:type="dxa"/>
                  <w:tcBorders>
                    <w:left w:val="nil"/>
                  </w:tcBorders>
                  <w:vAlign w:val="center"/>
                </w:tcPr>
                <w:p w14:paraId="2E8EC008">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2798" w:type="dxa"/>
                  <w:vAlign w:val="center"/>
                </w:tcPr>
                <w:p w14:paraId="504A5130">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发泡机</w:t>
                  </w:r>
                </w:p>
              </w:tc>
              <w:tc>
                <w:tcPr>
                  <w:tcW w:w="2210" w:type="dxa"/>
                  <w:tcBorders>
                    <w:right w:val="nil"/>
                  </w:tcBorders>
                  <w:vAlign w:val="center"/>
                </w:tcPr>
                <w:p w14:paraId="586BA3E7">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750</w:t>
                  </w:r>
                </w:p>
              </w:tc>
              <w:tc>
                <w:tcPr>
                  <w:tcW w:w="2244" w:type="dxa"/>
                  <w:tcBorders>
                    <w:right w:val="nil"/>
                  </w:tcBorders>
                  <w:vAlign w:val="center"/>
                </w:tcPr>
                <w:p w14:paraId="6851CF82">
                  <w:pPr>
                    <w:pStyle w:val="8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bl>
          <w:p w14:paraId="594E910A">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000000"/>
                <w:sz w:val="24"/>
                <w:szCs w:val="24"/>
                <w:lang w:val="en-US" w:eastAsia="zh-CN"/>
              </w:rPr>
            </w:pPr>
            <w:bookmarkStart w:id="66" w:name="_Toc13141"/>
            <w:r>
              <w:rPr>
                <w:rFonts w:hint="eastAsia" w:ascii="Times New Roman" w:hAnsi="Times New Roman" w:eastAsia="宋体" w:cs="Times New Roman"/>
                <w:b/>
                <w:bCs/>
                <w:color w:val="000000"/>
                <w:sz w:val="24"/>
                <w:szCs w:val="24"/>
                <w:lang w:val="en-US" w:eastAsia="zh-CN"/>
              </w:rPr>
              <w:t>2.4.5现有项目工艺流程</w:t>
            </w:r>
            <w:bookmarkEnd w:id="66"/>
          </w:p>
          <w:p w14:paraId="5CDC1B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000000" w:themeColor="text1"/>
                <w:sz w:val="24"/>
                <w:szCs w:val="24"/>
                <w:highlight w:val="none"/>
                <w:lang w:val="en-US" w:eastAsia="zh-CN"/>
                <w14:textFill>
                  <w14:solidFill>
                    <w14:schemeClr w14:val="tx1"/>
                  </w14:solidFill>
                </w14:textFill>
              </w:rPr>
            </w:pPr>
            <w:r>
              <w:rPr>
                <w:rFonts w:hint="default" w:cs="Times New Roman"/>
                <w:b w:val="0"/>
                <w:bCs w:val="0"/>
                <w:color w:val="000000" w:themeColor="text1"/>
                <w:sz w:val="24"/>
                <w:szCs w:val="24"/>
                <w:highlight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lang w:val="en-US" w:eastAsia="zh-CN"/>
                <w14:textFill>
                  <w14:solidFill>
                    <w14:schemeClr w14:val="tx1"/>
                  </w14:solidFill>
                </w14:textFill>
              </w:rPr>
              <w:t>现有工程</w:t>
            </w:r>
            <w:r>
              <w:rPr>
                <w:rFonts w:hint="default" w:cs="Times New Roman"/>
                <w:b w:val="0"/>
                <w:bCs w:val="0"/>
                <w:color w:val="000000" w:themeColor="text1"/>
                <w:sz w:val="24"/>
                <w:szCs w:val="24"/>
                <w:highlight w:val="none"/>
                <w:lang w:val="en-US" w:eastAsia="zh-CN"/>
                <w14:textFill>
                  <w14:solidFill>
                    <w14:schemeClr w14:val="tx1"/>
                  </w14:solidFill>
                </w14:textFill>
              </w:rPr>
              <w:t>生产工艺流程</w:t>
            </w:r>
            <w:r>
              <w:rPr>
                <w:rFonts w:hint="eastAsia" w:cs="Times New Roman"/>
                <w:b w:val="0"/>
                <w:bCs w:val="0"/>
                <w:color w:val="000000" w:themeColor="text1"/>
                <w:sz w:val="24"/>
                <w:szCs w:val="24"/>
                <w:highlight w:val="none"/>
                <w:lang w:val="en-US" w:eastAsia="zh-CN"/>
                <w14:textFill>
                  <w14:solidFill>
                    <w14:schemeClr w14:val="tx1"/>
                  </w14:solidFill>
                </w14:textFill>
              </w:rPr>
              <w:t>与本次扩建项目工艺流程一致，本次扩建新增EPO泡沫塑料、EPP泡沫塑料两种产品，生产工艺与EPS生产工艺一致。具体工艺流程详见2.3扩建项目生产工艺流程及产污环节。</w:t>
            </w:r>
          </w:p>
          <w:p w14:paraId="39780027">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000000"/>
                <w:sz w:val="24"/>
                <w:szCs w:val="24"/>
                <w:lang w:val="en-US" w:eastAsia="zh-CN"/>
              </w:rPr>
            </w:pPr>
            <w:bookmarkStart w:id="67" w:name="_Toc17907"/>
            <w:r>
              <w:rPr>
                <w:rFonts w:hint="eastAsia" w:ascii="Times New Roman" w:hAnsi="Times New Roman" w:eastAsia="宋体" w:cs="Times New Roman"/>
                <w:b/>
                <w:bCs/>
                <w:color w:val="000000"/>
                <w:sz w:val="24"/>
                <w:szCs w:val="24"/>
                <w:lang w:val="en-US" w:eastAsia="zh-CN"/>
              </w:rPr>
              <w:t>2.</w:t>
            </w:r>
            <w:r>
              <w:rPr>
                <w:rFonts w:hint="eastAsia" w:cs="Times New Roman"/>
                <w:b/>
                <w:bCs/>
                <w:color w:val="000000"/>
                <w:sz w:val="24"/>
                <w:szCs w:val="24"/>
                <w:lang w:val="en-US" w:eastAsia="zh-CN"/>
              </w:rPr>
              <w:t>4.6</w:t>
            </w:r>
            <w:r>
              <w:rPr>
                <w:rFonts w:hint="eastAsia" w:ascii="Times New Roman" w:hAnsi="Times New Roman" w:eastAsia="宋体" w:cs="Times New Roman"/>
                <w:b/>
                <w:bCs/>
                <w:color w:val="000000"/>
                <w:sz w:val="24"/>
                <w:szCs w:val="24"/>
                <w:lang w:val="en-US" w:eastAsia="zh-CN"/>
              </w:rPr>
              <w:t>现有项目污染物产排情况和验收情况说明</w:t>
            </w:r>
            <w:bookmarkEnd w:id="67"/>
          </w:p>
          <w:p w14:paraId="61812D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（1）废水</w:t>
            </w:r>
          </w:p>
          <w:p w14:paraId="22C899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bookmarkStart w:id="68" w:name="_Toc10409"/>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现有项目</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废水主要来源于该项目生产废水和生活污水。少量生活污水经化粪池处理后经园区污水管网，进入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处理。生产废水主要是熟化过程产生的模具冷却水和烘干过程产生的蒸汽冷凝水，经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处理后回用，不外排</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bookmarkEnd w:id="68"/>
          </w:p>
          <w:p w14:paraId="44B98A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bookmarkStart w:id="69" w:name="_Toc9275"/>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（2）废气</w:t>
            </w:r>
            <w:bookmarkEnd w:id="69"/>
          </w:p>
          <w:p w14:paraId="16E9D7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bookmarkStart w:id="70" w:name="_Toc27480"/>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现有项目废气主要包括有机废气，</w:t>
            </w:r>
            <w:r>
              <w:rPr>
                <w:rFonts w:hint="eastAsia" w:cs="Times New Roman"/>
                <w:b w:val="0"/>
                <w:bCs w:val="0"/>
                <w:color w:val="000000" w:themeColor="text1"/>
                <w:sz w:val="24"/>
                <w:szCs w:val="24"/>
                <w:highlight w:val="none"/>
                <w:lang w:val="en-US" w:eastAsia="zh-CN"/>
                <w14:textFill>
                  <w14:solidFill>
                    <w14:schemeClr w14:val="tx1"/>
                  </w14:solidFill>
                </w14:textFill>
              </w:rPr>
              <w:t>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项目生产中预发、成型</w:t>
            </w:r>
            <w:r>
              <w:rPr>
                <w:rFonts w:hint="eastAsia" w:cs="Times New Roman"/>
                <w:b w:val="0"/>
                <w:bCs w:val="0"/>
                <w:color w:val="000000" w:themeColor="text1"/>
                <w:sz w:val="24"/>
                <w:szCs w:val="24"/>
                <w:highlight w:val="none"/>
                <w:lang w:val="en-US" w:eastAsia="zh-CN"/>
                <w14:textFill>
                  <w14:solidFill>
                    <w14:schemeClr w14:val="tx1"/>
                  </w14:solidFill>
                </w14:textFill>
              </w:rPr>
              <w:t>等</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工序产生的含苯乙烯和非甲烷总烃等有机废气，经收集后无组织排放。</w:t>
            </w:r>
            <w:r>
              <w:rPr>
                <w:rFonts w:hint="eastAsia" w:ascii="Times New Roman" w:hAnsi="Times New Roman" w:eastAsia="宋体" w:cs="Times New Roman"/>
                <w:color w:val="auto"/>
                <w:sz w:val="24"/>
                <w:szCs w:val="24"/>
                <w:highlight w:val="none"/>
                <w:lang w:val="en-US" w:eastAsia="zh-CN"/>
              </w:rPr>
              <w:t>本项目废气主要为预发泡和成型过程产生的微量有机废气。聚苯乙烯（EPS）珠粒为高分子有机聚合物，为无毒、无害的材料，其裂解温度达到395℃。本项目对聚苯乙烯的加热温度在95~105℃，根据文献《气相色谱质谱法分析聚苯乙烯加热分解产物》（林华影、张伟等.中国卫生检验杂志），聚苯乙烯在120以下加热会有少量甲苯、乙苯等有机物产生，以非甲烷总</w:t>
            </w:r>
            <w:r>
              <w:rPr>
                <w:rFonts w:hint="eastAsia" w:cs="Times New Roman"/>
                <w:color w:val="auto"/>
                <w:sz w:val="24"/>
                <w:szCs w:val="24"/>
                <w:highlight w:val="none"/>
                <w:lang w:val="en-US" w:eastAsia="zh-CN"/>
              </w:rPr>
              <w:t>烃</w:t>
            </w:r>
            <w:r>
              <w:rPr>
                <w:rFonts w:hint="eastAsia" w:ascii="Times New Roman" w:hAnsi="Times New Roman" w:eastAsia="宋体" w:cs="Times New Roman"/>
                <w:color w:val="auto"/>
                <w:sz w:val="24"/>
                <w:szCs w:val="24"/>
                <w:highlight w:val="none"/>
                <w:lang w:val="en-US" w:eastAsia="zh-CN"/>
              </w:rPr>
              <w:t>表示。同时，本项目预发泡及成型过程均在封闭的容器内进行，大部分废气通过容器排水管道进入循环水池再逸散空气中，少量废气在容器打开时逸散至空气中。</w:t>
            </w:r>
            <w:bookmarkEnd w:id="70"/>
          </w:p>
          <w:p w14:paraId="69B767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bookmarkStart w:id="71" w:name="_Toc1080"/>
            <w:r>
              <w:rPr>
                <w:rFonts w:hint="eastAsia" w:ascii="Times New Roman" w:hAnsi="Times New Roman" w:eastAsia="宋体" w:cs="Times New Roman"/>
                <w:color w:val="auto"/>
                <w:sz w:val="24"/>
                <w:szCs w:val="24"/>
                <w:highlight w:val="none"/>
                <w:lang w:val="en-US" w:eastAsia="zh-CN"/>
              </w:rPr>
              <w:t>根据2025年4月11日委托福建省莆阳检测有限公司出具的《福建恒润包装有限公司企业自行监测报告》（莆检</w:t>
            </w:r>
            <w:r>
              <w:rPr>
                <w:rFonts w:hint="eastAsia" w:cs="Times New Roman"/>
                <w:color w:val="auto"/>
                <w:sz w:val="24"/>
                <w:szCs w:val="24"/>
                <w:highlight w:val="none"/>
                <w:lang w:val="en-US" w:eastAsia="zh-CN"/>
              </w:rPr>
              <w:t>〔2025〕</w:t>
            </w:r>
            <w:r>
              <w:rPr>
                <w:rFonts w:hint="eastAsia" w:ascii="Times New Roman" w:hAnsi="Times New Roman" w:eastAsia="宋体" w:cs="Times New Roman"/>
                <w:color w:val="auto"/>
                <w:sz w:val="24"/>
                <w:szCs w:val="24"/>
                <w:highlight w:val="none"/>
                <w:lang w:val="en-US" w:eastAsia="zh-CN"/>
              </w:rPr>
              <w:t>第04036号），项目废气排放均符合排放标准，VOCs排放总量为</w:t>
            </w:r>
            <w:r>
              <w:rPr>
                <w:rFonts w:hint="eastAsia" w:cs="Times New Roman"/>
                <w:color w:val="auto"/>
                <w:sz w:val="24"/>
                <w:szCs w:val="24"/>
                <w:highlight w:val="none"/>
                <w:lang w:val="en-US" w:eastAsia="zh-CN"/>
              </w:rPr>
              <w:t>0.038</w:t>
            </w:r>
            <w:r>
              <w:rPr>
                <w:rFonts w:hint="eastAsia" w:ascii="Times New Roman" w:hAnsi="Times New Roman" w:eastAsia="宋体" w:cs="Times New Roman"/>
                <w:color w:val="auto"/>
                <w:sz w:val="24"/>
                <w:szCs w:val="24"/>
                <w:highlight w:val="none"/>
                <w:lang w:val="en-US" w:eastAsia="zh-CN"/>
              </w:rPr>
              <w:t>t/a。废气排放检测结果详见表2.4-5。（自行检测报告详见</w:t>
            </w:r>
            <w:r>
              <w:rPr>
                <w:rFonts w:hint="eastAsia" w:ascii="Times New Roman" w:hAnsi="Times New Roman" w:eastAsia="宋体" w:cs="Times New Roman"/>
                <w:b/>
                <w:bCs/>
                <w:color w:val="auto"/>
                <w:sz w:val="24"/>
                <w:szCs w:val="24"/>
                <w:highlight w:val="none"/>
                <w:lang w:val="en-US" w:eastAsia="zh-CN"/>
              </w:rPr>
              <w:t>附件十</w:t>
            </w:r>
            <w:r>
              <w:rPr>
                <w:rFonts w:hint="eastAsia" w:cs="Times New Roman"/>
                <w:b/>
                <w:bCs/>
                <w:color w:val="auto"/>
                <w:sz w:val="24"/>
                <w:szCs w:val="24"/>
                <w:highlight w:val="none"/>
                <w:lang w:val="en-US" w:eastAsia="zh-CN"/>
              </w:rPr>
              <w:t>四</w:t>
            </w:r>
            <w:r>
              <w:rPr>
                <w:rFonts w:hint="eastAsia" w:ascii="Times New Roman" w:hAnsi="Times New Roman" w:eastAsia="宋体" w:cs="Times New Roman"/>
                <w:color w:val="auto"/>
                <w:sz w:val="24"/>
                <w:szCs w:val="24"/>
                <w:highlight w:val="none"/>
                <w:lang w:val="en-US" w:eastAsia="zh-CN"/>
              </w:rPr>
              <w:t>）</w:t>
            </w:r>
            <w:bookmarkEnd w:id="71"/>
          </w:p>
          <w:p w14:paraId="69EB9C2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表2.4-5厂界无组织废气检测结果</w:t>
            </w:r>
          </w:p>
          <w:tbl>
            <w:tblPr>
              <w:tblStyle w:val="23"/>
              <w:tblW w:w="86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62"/>
              <w:gridCol w:w="706"/>
              <w:gridCol w:w="2128"/>
              <w:gridCol w:w="702"/>
              <w:gridCol w:w="781"/>
              <w:gridCol w:w="767"/>
              <w:gridCol w:w="712"/>
              <w:gridCol w:w="877"/>
              <w:gridCol w:w="980"/>
            </w:tblGrid>
            <w:tr w14:paraId="7AAF6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0" w:hRule="atLeast"/>
              </w:trPr>
              <w:tc>
                <w:tcPr>
                  <w:tcW w:w="962" w:type="dxa"/>
                  <w:vMerge w:val="restart"/>
                  <w:tcBorders>
                    <w:top w:val="single" w:color="000000" w:sz="12" w:space="0"/>
                    <w:left w:val="single" w:color="000000" w:sz="4" w:space="0"/>
                    <w:bottom w:val="single" w:color="000000" w:sz="2" w:space="0"/>
                    <w:right w:val="single" w:color="000000" w:sz="4" w:space="0"/>
                  </w:tcBorders>
                  <w:vAlign w:val="center"/>
                </w:tcPr>
                <w:p w14:paraId="2275F4B7">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采样日期</w:t>
                  </w:r>
                </w:p>
              </w:tc>
              <w:tc>
                <w:tcPr>
                  <w:tcW w:w="706" w:type="dxa"/>
                  <w:vMerge w:val="restart"/>
                  <w:tcBorders>
                    <w:top w:val="single" w:color="000000" w:sz="12" w:space="0"/>
                    <w:left w:val="single" w:color="000000" w:sz="4" w:space="0"/>
                    <w:bottom w:val="single" w:color="000000" w:sz="4" w:space="0"/>
                    <w:right w:val="single" w:color="000000" w:sz="4" w:space="0"/>
                  </w:tcBorders>
                  <w:vAlign w:val="center"/>
                </w:tcPr>
                <w:p w14:paraId="1139C1A7">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检测项目</w:t>
                  </w:r>
                </w:p>
              </w:tc>
              <w:tc>
                <w:tcPr>
                  <w:tcW w:w="2128" w:type="dxa"/>
                  <w:vMerge w:val="restart"/>
                  <w:tcBorders>
                    <w:top w:val="single" w:color="000000" w:sz="12" w:space="0"/>
                    <w:left w:val="single" w:color="000000" w:sz="4" w:space="0"/>
                    <w:bottom w:val="single" w:color="000000" w:sz="4" w:space="0"/>
                    <w:right w:val="single" w:color="000000" w:sz="4" w:space="0"/>
                  </w:tcBorders>
                  <w:vAlign w:val="center"/>
                </w:tcPr>
                <w:p w14:paraId="55B301CB">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检测点位</w:t>
                  </w:r>
                </w:p>
              </w:tc>
              <w:tc>
                <w:tcPr>
                  <w:tcW w:w="3839" w:type="dxa"/>
                  <w:gridSpan w:val="5"/>
                  <w:tcBorders>
                    <w:top w:val="single" w:color="000000" w:sz="12" w:space="0"/>
                    <w:left w:val="single" w:color="000000" w:sz="4" w:space="0"/>
                    <w:bottom w:val="single" w:color="000000" w:sz="4" w:space="0"/>
                    <w:right w:val="single" w:color="000000" w:sz="4" w:space="0"/>
                  </w:tcBorders>
                  <w:vAlign w:val="center"/>
                </w:tcPr>
                <w:p w14:paraId="0FD95849">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检测频次及结果</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mg/m</w:t>
                  </w:r>
                  <w:r>
                    <w:rPr>
                      <w:rFonts w:hint="default"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superscript"/>
                      <w:lang w:val="en-US" w:eastAsia="zh-CN"/>
                    </w:rPr>
                    <w:t>）</w:t>
                  </w:r>
                </w:p>
              </w:tc>
              <w:tc>
                <w:tcPr>
                  <w:tcW w:w="980" w:type="dxa"/>
                  <w:vMerge w:val="restart"/>
                  <w:tcBorders>
                    <w:top w:val="single" w:color="000000" w:sz="12" w:space="0"/>
                    <w:left w:val="single" w:color="000000" w:sz="4" w:space="0"/>
                    <w:bottom w:val="single" w:color="000000" w:sz="4" w:space="0"/>
                    <w:right w:val="nil"/>
                  </w:tcBorders>
                  <w:vAlign w:val="center"/>
                </w:tcPr>
                <w:p w14:paraId="14C7293B">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标准限值</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mg/m</w:t>
                  </w:r>
                  <w:r>
                    <w:rPr>
                      <w:rFonts w:hint="default"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superscript"/>
                      <w:lang w:val="en-US" w:eastAsia="zh-CN"/>
                    </w:rPr>
                    <w:t>）</w:t>
                  </w:r>
                </w:p>
              </w:tc>
            </w:tr>
            <w:tr w14:paraId="6CAFA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962" w:type="dxa"/>
                  <w:vMerge w:val="continue"/>
                  <w:tcBorders>
                    <w:top w:val="single" w:color="000000" w:sz="2" w:space="0"/>
                    <w:left w:val="nil"/>
                    <w:bottom w:val="single" w:color="000000" w:sz="2" w:space="0"/>
                    <w:right w:val="single" w:color="000000" w:sz="4" w:space="0"/>
                  </w:tcBorders>
                  <w:vAlign w:val="center"/>
                </w:tcPr>
                <w:p w14:paraId="6B979557">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703267D">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2128" w:type="dxa"/>
                  <w:vMerge w:val="continue"/>
                  <w:tcBorders>
                    <w:top w:val="single" w:color="000000" w:sz="4" w:space="0"/>
                    <w:left w:val="single" w:color="000000" w:sz="4" w:space="0"/>
                    <w:bottom w:val="single" w:color="000000" w:sz="4" w:space="0"/>
                    <w:right w:val="single" w:color="000000" w:sz="4" w:space="0"/>
                  </w:tcBorders>
                  <w:vAlign w:val="center"/>
                </w:tcPr>
                <w:p w14:paraId="46640A20">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14:paraId="598CF975">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1</w:t>
                  </w:r>
                </w:p>
              </w:tc>
              <w:tc>
                <w:tcPr>
                  <w:tcW w:w="781" w:type="dxa"/>
                  <w:tcBorders>
                    <w:top w:val="single" w:color="000000" w:sz="4" w:space="0"/>
                    <w:left w:val="single" w:color="000000" w:sz="4" w:space="0"/>
                    <w:bottom w:val="single" w:color="000000" w:sz="4" w:space="0"/>
                    <w:right w:val="single" w:color="000000" w:sz="4" w:space="0"/>
                  </w:tcBorders>
                  <w:vAlign w:val="center"/>
                </w:tcPr>
                <w:p w14:paraId="58DE95D1">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2</w:t>
                  </w:r>
                </w:p>
              </w:tc>
              <w:tc>
                <w:tcPr>
                  <w:tcW w:w="767" w:type="dxa"/>
                  <w:tcBorders>
                    <w:top w:val="single" w:color="000000" w:sz="4" w:space="0"/>
                    <w:left w:val="single" w:color="000000" w:sz="4" w:space="0"/>
                    <w:bottom w:val="single" w:color="000000" w:sz="4" w:space="0"/>
                    <w:right w:val="single" w:color="000000" w:sz="4" w:space="0"/>
                  </w:tcBorders>
                  <w:vAlign w:val="center"/>
                </w:tcPr>
                <w:p w14:paraId="661FE452">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3</w:t>
                  </w:r>
                </w:p>
              </w:tc>
              <w:tc>
                <w:tcPr>
                  <w:tcW w:w="712" w:type="dxa"/>
                  <w:tcBorders>
                    <w:top w:val="single" w:color="000000" w:sz="4" w:space="0"/>
                    <w:left w:val="single" w:color="000000" w:sz="4" w:space="0"/>
                    <w:bottom w:val="single" w:color="000000" w:sz="4" w:space="0"/>
                    <w:right w:val="single" w:color="000000" w:sz="4" w:space="0"/>
                  </w:tcBorders>
                  <w:vAlign w:val="center"/>
                </w:tcPr>
                <w:p w14:paraId="5A672A04">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877" w:type="dxa"/>
                  <w:tcBorders>
                    <w:top w:val="single" w:color="000000" w:sz="4" w:space="0"/>
                    <w:left w:val="single" w:color="000000" w:sz="4" w:space="0"/>
                    <w:bottom w:val="single" w:color="000000" w:sz="4" w:space="0"/>
                    <w:right w:val="single" w:color="000000" w:sz="4" w:space="0"/>
                  </w:tcBorders>
                  <w:vAlign w:val="center"/>
                </w:tcPr>
                <w:p w14:paraId="3695027C">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最大值</w:t>
                  </w:r>
                </w:p>
              </w:tc>
              <w:tc>
                <w:tcPr>
                  <w:tcW w:w="980" w:type="dxa"/>
                  <w:vMerge w:val="continue"/>
                  <w:tcBorders>
                    <w:top w:val="single" w:color="000000" w:sz="4" w:space="0"/>
                    <w:left w:val="single" w:color="000000" w:sz="4" w:space="0"/>
                    <w:bottom w:val="single" w:color="000000" w:sz="4" w:space="0"/>
                    <w:right w:val="nil"/>
                  </w:tcBorders>
                  <w:vAlign w:val="center"/>
                </w:tcPr>
                <w:p w14:paraId="247CEA0A">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r>
            <w:tr w14:paraId="5A76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962" w:type="dxa"/>
                  <w:vMerge w:val="restart"/>
                  <w:tcBorders>
                    <w:top w:val="single" w:color="000000" w:sz="2" w:space="0"/>
                    <w:left w:val="nil"/>
                    <w:right w:val="single" w:color="000000" w:sz="4" w:space="0"/>
                  </w:tcBorders>
                  <w:vAlign w:val="center"/>
                </w:tcPr>
                <w:p w14:paraId="041F7DF8">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2024年</w:t>
                  </w:r>
                </w:p>
                <w:p w14:paraId="346449F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auto"/>
                      <w:kern w:val="0"/>
                      <w:sz w:val="21"/>
                      <w:szCs w:val="21"/>
                      <w:u w:val="none"/>
                      <w:lang w:val="en-US" w:eastAsia="zh-CN" w:bidi="ar"/>
                    </w:rPr>
                    <w:t>0</w:t>
                  </w:r>
                  <w:r>
                    <w:rPr>
                      <w:rFonts w:hint="eastAsia" w:ascii="Times New Roman" w:hAnsi="Times New Roman" w:eastAsia="宋体" w:cs="Times New Roman"/>
                      <w:i w:val="0"/>
                      <w:color w:val="auto"/>
                      <w:kern w:val="0"/>
                      <w:sz w:val="21"/>
                      <w:szCs w:val="21"/>
                      <w:u w:val="none"/>
                      <w:lang w:val="en-US" w:eastAsia="zh-CN" w:bidi="ar"/>
                    </w:rPr>
                    <w:t>4</w:t>
                  </w:r>
                  <w:r>
                    <w:rPr>
                      <w:rFonts w:hint="default" w:ascii="Times New Roman" w:hAnsi="Times New Roman" w:eastAsia="宋体" w:cs="Times New Roman"/>
                      <w:i w:val="0"/>
                      <w:color w:val="auto"/>
                      <w:kern w:val="0"/>
                      <w:sz w:val="21"/>
                      <w:szCs w:val="21"/>
                      <w:u w:val="none"/>
                      <w:lang w:val="en-US" w:eastAsia="zh-CN" w:bidi="ar"/>
                    </w:rPr>
                    <w:t>月1</w:t>
                  </w:r>
                  <w:r>
                    <w:rPr>
                      <w:rFonts w:hint="eastAsia" w:ascii="Times New Roman" w:hAnsi="Times New Roman" w:eastAsia="宋体" w:cs="Times New Roman"/>
                      <w:i w:val="0"/>
                      <w:color w:val="auto"/>
                      <w:kern w:val="0"/>
                      <w:sz w:val="21"/>
                      <w:szCs w:val="21"/>
                      <w:u w:val="none"/>
                      <w:lang w:val="en-US" w:eastAsia="zh-CN" w:bidi="ar"/>
                    </w:rPr>
                    <w:t>0</w:t>
                  </w:r>
                  <w:r>
                    <w:rPr>
                      <w:rFonts w:hint="default" w:ascii="Times New Roman" w:hAnsi="Times New Roman" w:eastAsia="宋体" w:cs="Times New Roman"/>
                      <w:i w:val="0"/>
                      <w:color w:val="auto"/>
                      <w:kern w:val="0"/>
                      <w:sz w:val="21"/>
                      <w:szCs w:val="21"/>
                      <w:u w:val="none"/>
                      <w:lang w:val="en-US" w:eastAsia="zh-CN" w:bidi="ar"/>
                    </w:rPr>
                    <w:t>日</w:t>
                  </w:r>
                </w:p>
              </w:tc>
              <w:tc>
                <w:tcPr>
                  <w:tcW w:w="706" w:type="dxa"/>
                  <w:vMerge w:val="restart"/>
                  <w:tcBorders>
                    <w:top w:val="single" w:color="000000" w:sz="4" w:space="0"/>
                    <w:left w:val="single" w:color="000000" w:sz="4" w:space="0"/>
                    <w:right w:val="single" w:color="000000" w:sz="4" w:space="0"/>
                  </w:tcBorders>
                  <w:vAlign w:val="center"/>
                </w:tcPr>
                <w:p w14:paraId="13BFB801">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非甲烷总烃</w:t>
                  </w:r>
                </w:p>
              </w:tc>
              <w:tc>
                <w:tcPr>
                  <w:tcW w:w="2128" w:type="dxa"/>
                  <w:tcBorders>
                    <w:top w:val="single" w:color="000000" w:sz="4" w:space="0"/>
                    <w:left w:val="single" w:color="000000" w:sz="4" w:space="0"/>
                    <w:bottom w:val="single" w:color="000000" w:sz="4" w:space="0"/>
                    <w:right w:val="single" w:color="000000" w:sz="4" w:space="0"/>
                  </w:tcBorders>
                  <w:vAlign w:val="center"/>
                </w:tcPr>
                <w:p w14:paraId="64FB4567">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厂界上风向Q1</w:t>
                  </w:r>
                </w:p>
              </w:tc>
              <w:tc>
                <w:tcPr>
                  <w:tcW w:w="702" w:type="dxa"/>
                  <w:tcBorders>
                    <w:top w:val="single" w:color="000000" w:sz="4" w:space="0"/>
                    <w:left w:val="single" w:color="000000" w:sz="4" w:space="0"/>
                    <w:bottom w:val="single" w:color="000000" w:sz="4" w:space="0"/>
                    <w:right w:val="single" w:color="000000" w:sz="4" w:space="0"/>
                  </w:tcBorders>
                  <w:vAlign w:val="center"/>
                </w:tcPr>
                <w:p w14:paraId="12274DB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0.40</w:t>
                  </w:r>
                </w:p>
              </w:tc>
              <w:tc>
                <w:tcPr>
                  <w:tcW w:w="781" w:type="dxa"/>
                  <w:tcBorders>
                    <w:top w:val="single" w:color="000000" w:sz="4" w:space="0"/>
                    <w:left w:val="single" w:color="000000" w:sz="4" w:space="0"/>
                    <w:bottom w:val="single" w:color="000000" w:sz="4" w:space="0"/>
                    <w:right w:val="single" w:color="000000" w:sz="4" w:space="0"/>
                  </w:tcBorders>
                  <w:vAlign w:val="center"/>
                </w:tcPr>
                <w:p w14:paraId="79DCE8BE">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0.35</w:t>
                  </w:r>
                </w:p>
              </w:tc>
              <w:tc>
                <w:tcPr>
                  <w:tcW w:w="767" w:type="dxa"/>
                  <w:tcBorders>
                    <w:top w:val="single" w:color="000000" w:sz="4" w:space="0"/>
                    <w:left w:val="single" w:color="000000" w:sz="4" w:space="0"/>
                    <w:bottom w:val="single" w:color="000000" w:sz="4" w:space="0"/>
                    <w:right w:val="single" w:color="000000" w:sz="4" w:space="0"/>
                  </w:tcBorders>
                  <w:vAlign w:val="center"/>
                </w:tcPr>
                <w:p w14:paraId="6E676847">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0.34</w:t>
                  </w:r>
                </w:p>
              </w:tc>
              <w:tc>
                <w:tcPr>
                  <w:tcW w:w="712" w:type="dxa"/>
                  <w:tcBorders>
                    <w:top w:val="single" w:color="000000" w:sz="4" w:space="0"/>
                    <w:left w:val="single" w:color="000000" w:sz="4" w:space="0"/>
                    <w:bottom w:val="single" w:color="000000" w:sz="4" w:space="0"/>
                    <w:right w:val="single" w:color="000000" w:sz="4" w:space="0"/>
                  </w:tcBorders>
                  <w:vAlign w:val="center"/>
                </w:tcPr>
                <w:p w14:paraId="08EC15D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0.36</w:t>
                  </w:r>
                </w:p>
              </w:tc>
              <w:tc>
                <w:tcPr>
                  <w:tcW w:w="877" w:type="dxa"/>
                  <w:vMerge w:val="restart"/>
                  <w:tcBorders>
                    <w:top w:val="single" w:color="000000" w:sz="4" w:space="0"/>
                    <w:left w:val="single" w:color="000000" w:sz="4" w:space="0"/>
                    <w:right w:val="single" w:color="000000" w:sz="4" w:space="0"/>
                  </w:tcBorders>
                  <w:vAlign w:val="center"/>
                </w:tcPr>
                <w:p w14:paraId="33B97C24">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0.56</w:t>
                  </w:r>
                </w:p>
              </w:tc>
              <w:tc>
                <w:tcPr>
                  <w:tcW w:w="980" w:type="dxa"/>
                  <w:vMerge w:val="restart"/>
                  <w:tcBorders>
                    <w:top w:val="single" w:color="000000" w:sz="4" w:space="0"/>
                    <w:left w:val="single" w:color="000000" w:sz="4" w:space="0"/>
                    <w:right w:val="nil"/>
                  </w:tcBorders>
                  <w:vAlign w:val="center"/>
                </w:tcPr>
                <w:p w14:paraId="287721FF">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.0</w:t>
                  </w:r>
                </w:p>
              </w:tc>
            </w:tr>
            <w:tr w14:paraId="4D0B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962" w:type="dxa"/>
                  <w:vMerge w:val="continue"/>
                  <w:tcBorders>
                    <w:left w:val="nil"/>
                    <w:right w:val="single" w:color="000000" w:sz="4" w:space="0"/>
                  </w:tcBorders>
                  <w:vAlign w:val="center"/>
                </w:tcPr>
                <w:p w14:paraId="30F52E7A">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706" w:type="dxa"/>
                  <w:vMerge w:val="continue"/>
                  <w:tcBorders>
                    <w:left w:val="single" w:color="000000" w:sz="4" w:space="0"/>
                    <w:right w:val="single" w:color="000000" w:sz="4" w:space="0"/>
                  </w:tcBorders>
                  <w:vAlign w:val="center"/>
                </w:tcPr>
                <w:p w14:paraId="34D9BB94">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2128" w:type="dxa"/>
                  <w:tcBorders>
                    <w:top w:val="single" w:color="000000" w:sz="4" w:space="0"/>
                    <w:left w:val="single" w:color="000000" w:sz="4" w:space="0"/>
                    <w:bottom w:val="single" w:color="000000" w:sz="4" w:space="0"/>
                    <w:right w:val="single" w:color="000000" w:sz="4" w:space="0"/>
                  </w:tcBorders>
                  <w:vAlign w:val="center"/>
                </w:tcPr>
                <w:p w14:paraId="52E9E8EA">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厂界下风向Q2</w:t>
                  </w:r>
                </w:p>
              </w:tc>
              <w:tc>
                <w:tcPr>
                  <w:tcW w:w="702" w:type="dxa"/>
                  <w:tcBorders>
                    <w:top w:val="single" w:color="000000" w:sz="4" w:space="0"/>
                    <w:left w:val="single" w:color="000000" w:sz="4" w:space="0"/>
                    <w:bottom w:val="single" w:color="000000" w:sz="4" w:space="0"/>
                    <w:right w:val="single" w:color="000000" w:sz="4" w:space="0"/>
                  </w:tcBorders>
                  <w:vAlign w:val="center"/>
                </w:tcPr>
                <w:p w14:paraId="3FD9754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0.30</w:t>
                  </w:r>
                </w:p>
              </w:tc>
              <w:tc>
                <w:tcPr>
                  <w:tcW w:w="781" w:type="dxa"/>
                  <w:tcBorders>
                    <w:top w:val="single" w:color="000000" w:sz="4" w:space="0"/>
                    <w:left w:val="single" w:color="000000" w:sz="4" w:space="0"/>
                    <w:bottom w:val="single" w:color="000000" w:sz="4" w:space="0"/>
                    <w:right w:val="single" w:color="000000" w:sz="4" w:space="0"/>
                  </w:tcBorders>
                  <w:vAlign w:val="center"/>
                </w:tcPr>
                <w:p w14:paraId="1E1BDD3F">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0.30</w:t>
                  </w:r>
                </w:p>
              </w:tc>
              <w:tc>
                <w:tcPr>
                  <w:tcW w:w="767" w:type="dxa"/>
                  <w:tcBorders>
                    <w:top w:val="single" w:color="000000" w:sz="4" w:space="0"/>
                    <w:left w:val="single" w:color="000000" w:sz="4" w:space="0"/>
                    <w:bottom w:val="single" w:color="000000" w:sz="4" w:space="0"/>
                    <w:right w:val="single" w:color="000000" w:sz="4" w:space="0"/>
                  </w:tcBorders>
                  <w:vAlign w:val="center"/>
                </w:tcPr>
                <w:p w14:paraId="3965C65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0.28</w:t>
                  </w:r>
                </w:p>
              </w:tc>
              <w:tc>
                <w:tcPr>
                  <w:tcW w:w="712" w:type="dxa"/>
                  <w:tcBorders>
                    <w:top w:val="single" w:color="000000" w:sz="4" w:space="0"/>
                    <w:left w:val="single" w:color="000000" w:sz="4" w:space="0"/>
                    <w:bottom w:val="single" w:color="000000" w:sz="4" w:space="0"/>
                    <w:right w:val="single" w:color="000000" w:sz="4" w:space="0"/>
                  </w:tcBorders>
                  <w:vAlign w:val="center"/>
                </w:tcPr>
                <w:p w14:paraId="21BE086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0.25</w:t>
                  </w:r>
                </w:p>
              </w:tc>
              <w:tc>
                <w:tcPr>
                  <w:tcW w:w="877" w:type="dxa"/>
                  <w:vMerge w:val="continue"/>
                  <w:tcBorders>
                    <w:left w:val="single" w:color="000000" w:sz="4" w:space="0"/>
                    <w:right w:val="single" w:color="000000" w:sz="4" w:space="0"/>
                  </w:tcBorders>
                  <w:vAlign w:val="center"/>
                </w:tcPr>
                <w:p w14:paraId="1FB590ED">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980" w:type="dxa"/>
                  <w:vMerge w:val="continue"/>
                  <w:tcBorders>
                    <w:left w:val="single" w:color="000000" w:sz="4" w:space="0"/>
                    <w:right w:val="nil"/>
                  </w:tcBorders>
                  <w:vAlign w:val="center"/>
                </w:tcPr>
                <w:p w14:paraId="5CBC1760">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r>
            <w:tr w14:paraId="51672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962" w:type="dxa"/>
                  <w:vMerge w:val="continue"/>
                  <w:tcBorders>
                    <w:left w:val="nil"/>
                    <w:right w:val="single" w:color="000000" w:sz="4" w:space="0"/>
                  </w:tcBorders>
                  <w:vAlign w:val="center"/>
                </w:tcPr>
                <w:p w14:paraId="567EE3CA">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706" w:type="dxa"/>
                  <w:vMerge w:val="continue"/>
                  <w:tcBorders>
                    <w:left w:val="single" w:color="000000" w:sz="4" w:space="0"/>
                    <w:right w:val="single" w:color="000000" w:sz="4" w:space="0"/>
                  </w:tcBorders>
                  <w:vAlign w:val="center"/>
                </w:tcPr>
                <w:p w14:paraId="42D6B703">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2128" w:type="dxa"/>
                  <w:tcBorders>
                    <w:top w:val="single" w:color="000000" w:sz="4" w:space="0"/>
                    <w:left w:val="single" w:color="000000" w:sz="4" w:space="0"/>
                    <w:bottom w:val="single" w:color="000000" w:sz="4" w:space="0"/>
                    <w:right w:val="single" w:color="000000" w:sz="4" w:space="0"/>
                  </w:tcBorders>
                  <w:vAlign w:val="center"/>
                </w:tcPr>
                <w:p w14:paraId="7231993A">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厂界下风向Q3</w:t>
                  </w:r>
                </w:p>
              </w:tc>
              <w:tc>
                <w:tcPr>
                  <w:tcW w:w="702" w:type="dxa"/>
                  <w:tcBorders>
                    <w:top w:val="single" w:color="000000" w:sz="4" w:space="0"/>
                    <w:left w:val="single" w:color="000000" w:sz="4" w:space="0"/>
                    <w:bottom w:val="single" w:color="000000" w:sz="4" w:space="0"/>
                    <w:right w:val="single" w:color="000000" w:sz="4" w:space="0"/>
                  </w:tcBorders>
                  <w:vAlign w:val="center"/>
                </w:tcPr>
                <w:p w14:paraId="5ECD440A">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0.31</w:t>
                  </w:r>
                </w:p>
              </w:tc>
              <w:tc>
                <w:tcPr>
                  <w:tcW w:w="781" w:type="dxa"/>
                  <w:tcBorders>
                    <w:top w:val="single" w:color="000000" w:sz="4" w:space="0"/>
                    <w:left w:val="single" w:color="000000" w:sz="4" w:space="0"/>
                    <w:bottom w:val="single" w:color="000000" w:sz="4" w:space="0"/>
                    <w:right w:val="single" w:color="000000" w:sz="4" w:space="0"/>
                  </w:tcBorders>
                  <w:vAlign w:val="center"/>
                </w:tcPr>
                <w:p w14:paraId="32B1D752">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0.24</w:t>
                  </w:r>
                </w:p>
              </w:tc>
              <w:tc>
                <w:tcPr>
                  <w:tcW w:w="767" w:type="dxa"/>
                  <w:tcBorders>
                    <w:top w:val="single" w:color="000000" w:sz="4" w:space="0"/>
                    <w:left w:val="single" w:color="000000" w:sz="4" w:space="0"/>
                    <w:bottom w:val="single" w:color="000000" w:sz="4" w:space="0"/>
                    <w:right w:val="single" w:color="000000" w:sz="4" w:space="0"/>
                  </w:tcBorders>
                  <w:vAlign w:val="center"/>
                </w:tcPr>
                <w:p w14:paraId="471947CC">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0.37</w:t>
                  </w:r>
                </w:p>
              </w:tc>
              <w:tc>
                <w:tcPr>
                  <w:tcW w:w="712" w:type="dxa"/>
                  <w:tcBorders>
                    <w:top w:val="single" w:color="000000" w:sz="4" w:space="0"/>
                    <w:left w:val="single" w:color="000000" w:sz="4" w:space="0"/>
                    <w:bottom w:val="single" w:color="000000" w:sz="4" w:space="0"/>
                    <w:right w:val="single" w:color="000000" w:sz="4" w:space="0"/>
                  </w:tcBorders>
                  <w:vAlign w:val="center"/>
                </w:tcPr>
                <w:p w14:paraId="4D49CA8E">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0.32</w:t>
                  </w:r>
                </w:p>
              </w:tc>
              <w:tc>
                <w:tcPr>
                  <w:tcW w:w="877" w:type="dxa"/>
                  <w:vMerge w:val="continue"/>
                  <w:tcBorders>
                    <w:left w:val="single" w:color="000000" w:sz="4" w:space="0"/>
                    <w:right w:val="single" w:color="000000" w:sz="4" w:space="0"/>
                  </w:tcBorders>
                  <w:vAlign w:val="center"/>
                </w:tcPr>
                <w:p w14:paraId="7D847C61">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980" w:type="dxa"/>
                  <w:vMerge w:val="continue"/>
                  <w:tcBorders>
                    <w:left w:val="single" w:color="000000" w:sz="4" w:space="0"/>
                    <w:right w:val="nil"/>
                  </w:tcBorders>
                  <w:vAlign w:val="center"/>
                </w:tcPr>
                <w:p w14:paraId="5216A5A1">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r>
            <w:tr w14:paraId="40771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962" w:type="dxa"/>
                  <w:vMerge w:val="continue"/>
                  <w:tcBorders>
                    <w:left w:val="nil"/>
                    <w:right w:val="single" w:color="000000" w:sz="4" w:space="0"/>
                  </w:tcBorders>
                  <w:vAlign w:val="center"/>
                </w:tcPr>
                <w:p w14:paraId="02486EE3">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706" w:type="dxa"/>
                  <w:vMerge w:val="continue"/>
                  <w:tcBorders>
                    <w:left w:val="single" w:color="000000" w:sz="4" w:space="0"/>
                    <w:bottom w:val="single" w:color="000000" w:sz="4" w:space="0"/>
                    <w:right w:val="single" w:color="000000" w:sz="4" w:space="0"/>
                  </w:tcBorders>
                  <w:vAlign w:val="center"/>
                </w:tcPr>
                <w:p w14:paraId="4F150080">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2128" w:type="dxa"/>
                  <w:tcBorders>
                    <w:top w:val="single" w:color="000000" w:sz="4" w:space="0"/>
                    <w:left w:val="single" w:color="000000" w:sz="4" w:space="0"/>
                    <w:bottom w:val="single" w:color="000000" w:sz="4" w:space="0"/>
                    <w:right w:val="single" w:color="000000" w:sz="4" w:space="0"/>
                  </w:tcBorders>
                  <w:vAlign w:val="center"/>
                </w:tcPr>
                <w:p w14:paraId="0B9BF601">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w:t>
                  </w:r>
                  <w:r>
                    <w:rPr>
                      <w:rFonts w:hint="eastAsia" w:ascii="Times New Roman" w:hAnsi="Times New Roman" w:eastAsia="宋体" w:cs="Times New Roman"/>
                      <w:i w:val="0"/>
                      <w:color w:val="auto"/>
                      <w:kern w:val="0"/>
                      <w:sz w:val="21"/>
                      <w:szCs w:val="21"/>
                      <w:u w:val="none"/>
                      <w:lang w:val="en-US" w:eastAsia="zh-CN" w:bidi="ar"/>
                    </w:rPr>
                    <w:t>4</w:t>
                  </w:r>
                </w:p>
              </w:tc>
              <w:tc>
                <w:tcPr>
                  <w:tcW w:w="702" w:type="dxa"/>
                  <w:tcBorders>
                    <w:top w:val="single" w:color="000000" w:sz="4" w:space="0"/>
                    <w:left w:val="single" w:color="000000" w:sz="4" w:space="0"/>
                    <w:bottom w:val="single" w:color="000000" w:sz="4" w:space="0"/>
                    <w:right w:val="single" w:color="000000" w:sz="4" w:space="0"/>
                  </w:tcBorders>
                  <w:vAlign w:val="center"/>
                </w:tcPr>
                <w:p w14:paraId="30DCBAA2">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lang w:val="en-US" w:eastAsia="zh-CN"/>
                    </w:rPr>
                  </w:pPr>
                  <w:r>
                    <w:rPr>
                      <w:rFonts w:hint="eastAsia" w:ascii="Times New Roman" w:hAnsi="Times New Roman" w:eastAsia="宋体" w:cs="Times New Roman"/>
                      <w:i w:val="0"/>
                      <w:color w:val="auto"/>
                      <w:kern w:val="0"/>
                      <w:sz w:val="21"/>
                      <w:szCs w:val="21"/>
                      <w:u w:val="none"/>
                      <w:lang w:val="en-US" w:eastAsia="zh-CN" w:bidi="ar"/>
                    </w:rPr>
                    <w:t>0.50</w:t>
                  </w:r>
                </w:p>
              </w:tc>
              <w:tc>
                <w:tcPr>
                  <w:tcW w:w="781" w:type="dxa"/>
                  <w:tcBorders>
                    <w:top w:val="single" w:color="000000" w:sz="4" w:space="0"/>
                    <w:left w:val="single" w:color="000000" w:sz="4" w:space="0"/>
                    <w:bottom w:val="single" w:color="000000" w:sz="4" w:space="0"/>
                    <w:right w:val="single" w:color="000000" w:sz="4" w:space="0"/>
                  </w:tcBorders>
                  <w:vAlign w:val="center"/>
                </w:tcPr>
                <w:p w14:paraId="1382AFDE">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0.49</w:t>
                  </w:r>
                </w:p>
              </w:tc>
              <w:tc>
                <w:tcPr>
                  <w:tcW w:w="767" w:type="dxa"/>
                  <w:tcBorders>
                    <w:top w:val="single" w:color="000000" w:sz="4" w:space="0"/>
                    <w:left w:val="single" w:color="000000" w:sz="4" w:space="0"/>
                    <w:bottom w:val="single" w:color="000000" w:sz="4" w:space="0"/>
                    <w:right w:val="single" w:color="000000" w:sz="4" w:space="0"/>
                  </w:tcBorders>
                  <w:vAlign w:val="center"/>
                </w:tcPr>
                <w:p w14:paraId="472E5B8B">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0.56</w:t>
                  </w:r>
                </w:p>
              </w:tc>
              <w:tc>
                <w:tcPr>
                  <w:tcW w:w="712" w:type="dxa"/>
                  <w:tcBorders>
                    <w:top w:val="single" w:color="000000" w:sz="4" w:space="0"/>
                    <w:left w:val="single" w:color="000000" w:sz="4" w:space="0"/>
                    <w:bottom w:val="single" w:color="000000" w:sz="4" w:space="0"/>
                    <w:right w:val="single" w:color="000000" w:sz="4" w:space="0"/>
                  </w:tcBorders>
                  <w:vAlign w:val="center"/>
                </w:tcPr>
                <w:p w14:paraId="5895F1EF">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0.53</w:t>
                  </w:r>
                </w:p>
              </w:tc>
              <w:tc>
                <w:tcPr>
                  <w:tcW w:w="877" w:type="dxa"/>
                  <w:vMerge w:val="continue"/>
                  <w:tcBorders>
                    <w:left w:val="single" w:color="000000" w:sz="4" w:space="0"/>
                    <w:bottom w:val="single" w:color="000000" w:sz="4" w:space="0"/>
                    <w:right w:val="single" w:color="000000" w:sz="4" w:space="0"/>
                  </w:tcBorders>
                  <w:vAlign w:val="center"/>
                </w:tcPr>
                <w:p w14:paraId="3F1F8C8F">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980" w:type="dxa"/>
                  <w:vMerge w:val="continue"/>
                  <w:tcBorders>
                    <w:left w:val="single" w:color="000000" w:sz="4" w:space="0"/>
                    <w:bottom w:val="single" w:color="000000" w:sz="4" w:space="0"/>
                    <w:right w:val="nil"/>
                  </w:tcBorders>
                  <w:vAlign w:val="center"/>
                </w:tcPr>
                <w:p w14:paraId="4D686BDE">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r>
            <w:tr w14:paraId="1C521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962" w:type="dxa"/>
                  <w:vMerge w:val="continue"/>
                  <w:tcBorders>
                    <w:left w:val="nil"/>
                    <w:right w:val="single" w:color="000000" w:sz="4" w:space="0"/>
                  </w:tcBorders>
                  <w:vAlign w:val="center"/>
                </w:tcPr>
                <w:p w14:paraId="44ACC957">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color w:val="000000"/>
                      <w:sz w:val="21"/>
                      <w:szCs w:val="21"/>
                    </w:rPr>
                  </w:pPr>
                </w:p>
              </w:tc>
              <w:tc>
                <w:tcPr>
                  <w:tcW w:w="706" w:type="dxa"/>
                  <w:vMerge w:val="restart"/>
                  <w:tcBorders>
                    <w:top w:val="single" w:color="000000" w:sz="4" w:space="0"/>
                    <w:left w:val="single" w:color="000000" w:sz="4" w:space="0"/>
                    <w:bottom w:val="single" w:color="000000" w:sz="4" w:space="0"/>
                    <w:right w:val="single" w:color="000000" w:sz="4" w:space="0"/>
                  </w:tcBorders>
                  <w:vAlign w:val="center"/>
                </w:tcPr>
                <w:p w14:paraId="2796E400">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非甲烷总烃</w:t>
                  </w:r>
                </w:p>
              </w:tc>
              <w:tc>
                <w:tcPr>
                  <w:tcW w:w="2128" w:type="dxa"/>
                  <w:tcBorders>
                    <w:top w:val="single" w:color="000000" w:sz="4" w:space="0"/>
                    <w:left w:val="single" w:color="000000" w:sz="4" w:space="0"/>
                    <w:bottom w:val="single" w:color="000000" w:sz="4" w:space="0"/>
                    <w:right w:val="single" w:color="000000" w:sz="4" w:space="0"/>
                  </w:tcBorders>
                  <w:vAlign w:val="center"/>
                </w:tcPr>
                <w:p w14:paraId="675149B2">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5</w:t>
                  </w:r>
                </w:p>
              </w:tc>
              <w:tc>
                <w:tcPr>
                  <w:tcW w:w="702" w:type="dxa"/>
                  <w:tcBorders>
                    <w:top w:val="single" w:color="000000" w:sz="4" w:space="0"/>
                    <w:left w:val="single" w:color="000000" w:sz="4" w:space="0"/>
                    <w:bottom w:val="single" w:color="000000" w:sz="4" w:space="0"/>
                    <w:right w:val="single" w:color="000000" w:sz="4" w:space="0"/>
                  </w:tcBorders>
                  <w:vAlign w:val="center"/>
                </w:tcPr>
                <w:p w14:paraId="2337069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0.68</w:t>
                  </w:r>
                </w:p>
              </w:tc>
              <w:tc>
                <w:tcPr>
                  <w:tcW w:w="781" w:type="dxa"/>
                  <w:tcBorders>
                    <w:top w:val="single" w:color="000000" w:sz="4" w:space="0"/>
                    <w:left w:val="single" w:color="000000" w:sz="4" w:space="0"/>
                    <w:bottom w:val="single" w:color="000000" w:sz="4" w:space="0"/>
                    <w:right w:val="single" w:color="000000" w:sz="4" w:space="0"/>
                  </w:tcBorders>
                  <w:vAlign w:val="center"/>
                </w:tcPr>
                <w:p w14:paraId="06358920">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0.56</w:t>
                  </w:r>
                </w:p>
              </w:tc>
              <w:tc>
                <w:tcPr>
                  <w:tcW w:w="767" w:type="dxa"/>
                  <w:tcBorders>
                    <w:top w:val="single" w:color="000000" w:sz="4" w:space="0"/>
                    <w:left w:val="single" w:color="000000" w:sz="4" w:space="0"/>
                    <w:bottom w:val="single" w:color="000000" w:sz="4" w:space="0"/>
                    <w:right w:val="single" w:color="000000" w:sz="4" w:space="0"/>
                  </w:tcBorders>
                  <w:vAlign w:val="center"/>
                </w:tcPr>
                <w:p w14:paraId="2C541DCC">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0.53</w:t>
                  </w:r>
                </w:p>
              </w:tc>
              <w:tc>
                <w:tcPr>
                  <w:tcW w:w="712" w:type="dxa"/>
                  <w:tcBorders>
                    <w:top w:val="single" w:color="000000" w:sz="4" w:space="0"/>
                    <w:left w:val="single" w:color="000000" w:sz="4" w:space="0"/>
                    <w:bottom w:val="single" w:color="000000" w:sz="4" w:space="0"/>
                    <w:right w:val="single" w:color="000000" w:sz="4" w:space="0"/>
                  </w:tcBorders>
                  <w:vAlign w:val="center"/>
                </w:tcPr>
                <w:p w14:paraId="7BDE412C">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877" w:type="dxa"/>
                  <w:vMerge w:val="restart"/>
                  <w:tcBorders>
                    <w:top w:val="single" w:color="000000" w:sz="4" w:space="0"/>
                    <w:left w:val="single" w:color="000000" w:sz="4" w:space="0"/>
                    <w:bottom w:val="single" w:color="000000" w:sz="4" w:space="0"/>
                    <w:right w:val="single" w:color="000000" w:sz="4" w:space="0"/>
                  </w:tcBorders>
                  <w:vAlign w:val="center"/>
                </w:tcPr>
                <w:p w14:paraId="379DE2A2">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2.39</w:t>
                  </w:r>
                </w:p>
              </w:tc>
              <w:tc>
                <w:tcPr>
                  <w:tcW w:w="980" w:type="dxa"/>
                  <w:vMerge w:val="restart"/>
                  <w:tcBorders>
                    <w:top w:val="single" w:color="000000" w:sz="4" w:space="0"/>
                    <w:left w:val="single" w:color="000000" w:sz="4" w:space="0"/>
                    <w:bottom w:val="single" w:color="000000" w:sz="4" w:space="0"/>
                    <w:right w:val="nil"/>
                  </w:tcBorders>
                  <w:vAlign w:val="center"/>
                </w:tcPr>
                <w:p w14:paraId="77ECE624">
                  <w:pPr>
                    <w:pStyle w:val="53"/>
                    <w:keepNext w:val="0"/>
                    <w:keepLines w:val="0"/>
                    <w:pageBreakBefore w:val="0"/>
                    <w:kinsoku/>
                    <w:wordWrap/>
                    <w:overflowPunct/>
                    <w:topLinePunct w:val="0"/>
                    <w:autoSpaceDE/>
                    <w:autoSpaceDN/>
                    <w:bidi w:val="0"/>
                    <w:spacing w:before="0" w:beforeLines="0" w:after="0" w:afterLines="0"/>
                    <w:outlineLvl w:val="9"/>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w:t>
                  </w:r>
                </w:p>
              </w:tc>
            </w:tr>
            <w:tr w14:paraId="246AB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962" w:type="dxa"/>
                  <w:vMerge w:val="continue"/>
                  <w:tcBorders>
                    <w:left w:val="nil"/>
                    <w:right w:val="single" w:color="000000" w:sz="4" w:space="0"/>
                  </w:tcBorders>
                  <w:vAlign w:val="center"/>
                </w:tcPr>
                <w:p w14:paraId="4330F2A7">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FBA0338">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2128" w:type="dxa"/>
                  <w:tcBorders>
                    <w:top w:val="single" w:color="000000" w:sz="4" w:space="0"/>
                    <w:left w:val="single" w:color="000000" w:sz="4" w:space="0"/>
                    <w:bottom w:val="single" w:color="000000" w:sz="4" w:space="0"/>
                    <w:right w:val="single" w:color="000000" w:sz="4" w:space="0"/>
                  </w:tcBorders>
                  <w:vAlign w:val="center"/>
                </w:tcPr>
                <w:p w14:paraId="3802858A">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6</w:t>
                  </w:r>
                </w:p>
              </w:tc>
              <w:tc>
                <w:tcPr>
                  <w:tcW w:w="702" w:type="dxa"/>
                  <w:tcBorders>
                    <w:top w:val="single" w:color="000000" w:sz="4" w:space="0"/>
                    <w:left w:val="single" w:color="000000" w:sz="4" w:space="0"/>
                    <w:bottom w:val="single" w:color="000000" w:sz="4" w:space="0"/>
                    <w:right w:val="single" w:color="000000" w:sz="4" w:space="0"/>
                  </w:tcBorders>
                  <w:vAlign w:val="center"/>
                </w:tcPr>
                <w:p w14:paraId="246674AE">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1.49</w:t>
                  </w:r>
                </w:p>
              </w:tc>
              <w:tc>
                <w:tcPr>
                  <w:tcW w:w="781" w:type="dxa"/>
                  <w:tcBorders>
                    <w:top w:val="single" w:color="000000" w:sz="4" w:space="0"/>
                    <w:left w:val="single" w:color="000000" w:sz="4" w:space="0"/>
                    <w:bottom w:val="single" w:color="000000" w:sz="4" w:space="0"/>
                    <w:right w:val="single" w:color="000000" w:sz="4" w:space="0"/>
                  </w:tcBorders>
                  <w:vAlign w:val="center"/>
                </w:tcPr>
                <w:p w14:paraId="174C835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1.59</w:t>
                  </w:r>
                </w:p>
              </w:tc>
              <w:tc>
                <w:tcPr>
                  <w:tcW w:w="767" w:type="dxa"/>
                  <w:tcBorders>
                    <w:top w:val="single" w:color="000000" w:sz="4" w:space="0"/>
                    <w:left w:val="single" w:color="000000" w:sz="4" w:space="0"/>
                    <w:bottom w:val="single" w:color="000000" w:sz="4" w:space="0"/>
                    <w:right w:val="single" w:color="000000" w:sz="4" w:space="0"/>
                  </w:tcBorders>
                  <w:vAlign w:val="center"/>
                </w:tcPr>
                <w:p w14:paraId="16E7EF92">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1.60</w:t>
                  </w:r>
                </w:p>
              </w:tc>
              <w:tc>
                <w:tcPr>
                  <w:tcW w:w="712" w:type="dxa"/>
                  <w:tcBorders>
                    <w:top w:val="single" w:color="000000" w:sz="4" w:space="0"/>
                    <w:left w:val="single" w:color="000000" w:sz="4" w:space="0"/>
                    <w:bottom w:val="single" w:color="000000" w:sz="4" w:space="0"/>
                    <w:right w:val="single" w:color="000000" w:sz="4" w:space="0"/>
                  </w:tcBorders>
                  <w:vAlign w:val="center"/>
                </w:tcPr>
                <w:p w14:paraId="0AE165F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877" w:type="dxa"/>
                  <w:vMerge w:val="continue"/>
                  <w:tcBorders>
                    <w:top w:val="single" w:color="000000" w:sz="4" w:space="0"/>
                    <w:left w:val="single" w:color="000000" w:sz="4" w:space="0"/>
                    <w:bottom w:val="single" w:color="000000" w:sz="4" w:space="0"/>
                    <w:right w:val="single" w:color="000000" w:sz="4" w:space="0"/>
                  </w:tcBorders>
                  <w:vAlign w:val="center"/>
                </w:tcPr>
                <w:p w14:paraId="4EA77808">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980" w:type="dxa"/>
                  <w:vMerge w:val="continue"/>
                  <w:tcBorders>
                    <w:top w:val="single" w:color="000000" w:sz="4" w:space="0"/>
                    <w:left w:val="single" w:color="000000" w:sz="4" w:space="0"/>
                    <w:bottom w:val="single" w:color="000000" w:sz="4" w:space="0"/>
                    <w:right w:val="nil"/>
                  </w:tcBorders>
                  <w:vAlign w:val="center"/>
                </w:tcPr>
                <w:p w14:paraId="6E1D5880">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r>
            <w:tr w14:paraId="31643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962" w:type="dxa"/>
                  <w:vMerge w:val="continue"/>
                  <w:tcBorders>
                    <w:left w:val="nil"/>
                    <w:bottom w:val="single" w:color="000000" w:sz="2" w:space="0"/>
                    <w:right w:val="single" w:color="000000" w:sz="4" w:space="0"/>
                  </w:tcBorders>
                  <w:vAlign w:val="center"/>
                </w:tcPr>
                <w:p w14:paraId="388B9CDA">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A859C2B">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2128" w:type="dxa"/>
                  <w:tcBorders>
                    <w:top w:val="single" w:color="000000" w:sz="4" w:space="0"/>
                    <w:left w:val="single" w:color="000000" w:sz="4" w:space="0"/>
                    <w:bottom w:val="single" w:color="000000" w:sz="4" w:space="0"/>
                    <w:right w:val="single" w:color="000000" w:sz="4" w:space="0"/>
                  </w:tcBorders>
                  <w:vAlign w:val="center"/>
                </w:tcPr>
                <w:p w14:paraId="7EF3831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7</w:t>
                  </w:r>
                </w:p>
              </w:tc>
              <w:tc>
                <w:tcPr>
                  <w:tcW w:w="702" w:type="dxa"/>
                  <w:tcBorders>
                    <w:top w:val="single" w:color="000000" w:sz="4" w:space="0"/>
                    <w:left w:val="single" w:color="000000" w:sz="4" w:space="0"/>
                    <w:bottom w:val="single" w:color="000000" w:sz="4" w:space="0"/>
                    <w:right w:val="single" w:color="000000" w:sz="4" w:space="0"/>
                  </w:tcBorders>
                  <w:vAlign w:val="center"/>
                </w:tcPr>
                <w:p w14:paraId="79D7FB79">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2.44</w:t>
                  </w:r>
                </w:p>
              </w:tc>
              <w:tc>
                <w:tcPr>
                  <w:tcW w:w="781" w:type="dxa"/>
                  <w:tcBorders>
                    <w:top w:val="single" w:color="000000" w:sz="4" w:space="0"/>
                    <w:left w:val="single" w:color="000000" w:sz="4" w:space="0"/>
                    <w:bottom w:val="single" w:color="000000" w:sz="4" w:space="0"/>
                    <w:right w:val="single" w:color="000000" w:sz="4" w:space="0"/>
                  </w:tcBorders>
                  <w:vAlign w:val="center"/>
                </w:tcPr>
                <w:p w14:paraId="2B8581B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2.34</w:t>
                  </w:r>
                </w:p>
              </w:tc>
              <w:tc>
                <w:tcPr>
                  <w:tcW w:w="767" w:type="dxa"/>
                  <w:tcBorders>
                    <w:top w:val="single" w:color="000000" w:sz="4" w:space="0"/>
                    <w:left w:val="single" w:color="000000" w:sz="4" w:space="0"/>
                    <w:bottom w:val="single" w:color="000000" w:sz="4" w:space="0"/>
                    <w:right w:val="single" w:color="000000" w:sz="4" w:space="0"/>
                  </w:tcBorders>
                  <w:vAlign w:val="center"/>
                </w:tcPr>
                <w:p w14:paraId="6F97DF3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2.39</w:t>
                  </w:r>
                </w:p>
              </w:tc>
              <w:tc>
                <w:tcPr>
                  <w:tcW w:w="712" w:type="dxa"/>
                  <w:tcBorders>
                    <w:top w:val="single" w:color="000000" w:sz="4" w:space="0"/>
                    <w:left w:val="single" w:color="000000" w:sz="4" w:space="0"/>
                    <w:bottom w:val="single" w:color="000000" w:sz="4" w:space="0"/>
                    <w:right w:val="single" w:color="000000" w:sz="4" w:space="0"/>
                  </w:tcBorders>
                  <w:vAlign w:val="center"/>
                </w:tcPr>
                <w:p w14:paraId="20ED5DBE">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877" w:type="dxa"/>
                  <w:vMerge w:val="continue"/>
                  <w:tcBorders>
                    <w:top w:val="single" w:color="000000" w:sz="4" w:space="0"/>
                    <w:left w:val="single" w:color="000000" w:sz="4" w:space="0"/>
                    <w:bottom w:val="single" w:color="000000" w:sz="4" w:space="0"/>
                    <w:right w:val="single" w:color="000000" w:sz="4" w:space="0"/>
                  </w:tcBorders>
                  <w:vAlign w:val="center"/>
                </w:tcPr>
                <w:p w14:paraId="3B3497B5">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c>
                <w:tcPr>
                  <w:tcW w:w="980" w:type="dxa"/>
                  <w:vMerge w:val="continue"/>
                  <w:tcBorders>
                    <w:top w:val="single" w:color="000000" w:sz="4" w:space="0"/>
                    <w:left w:val="single" w:color="000000" w:sz="4" w:space="0"/>
                    <w:bottom w:val="single" w:color="000000" w:sz="4" w:space="0"/>
                    <w:right w:val="nil"/>
                  </w:tcBorders>
                  <w:vAlign w:val="center"/>
                </w:tcPr>
                <w:p w14:paraId="18CC1978">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p>
              </w:tc>
            </w:tr>
            <w:tr w14:paraId="67D40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17" w:hRule="atLeast"/>
              </w:trPr>
              <w:tc>
                <w:tcPr>
                  <w:tcW w:w="962" w:type="dxa"/>
                  <w:tcBorders>
                    <w:top w:val="single" w:color="000000" w:sz="2" w:space="0"/>
                    <w:left w:val="nil"/>
                    <w:bottom w:val="single" w:color="000000" w:sz="12" w:space="0"/>
                    <w:right w:val="single" w:color="000000" w:sz="4" w:space="0"/>
                  </w:tcBorders>
                  <w:vAlign w:val="center"/>
                </w:tcPr>
                <w:p w14:paraId="056156C4">
                  <w:pPr>
                    <w:pStyle w:val="53"/>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备注</w:t>
                  </w:r>
                </w:p>
              </w:tc>
              <w:tc>
                <w:tcPr>
                  <w:tcW w:w="7653" w:type="dxa"/>
                  <w:gridSpan w:val="8"/>
                  <w:tcBorders>
                    <w:top w:val="single" w:color="000000" w:sz="4" w:space="0"/>
                    <w:left w:val="single" w:color="000000" w:sz="4" w:space="0"/>
                    <w:bottom w:val="single" w:color="000000" w:sz="12" w:space="0"/>
                    <w:right w:val="nil"/>
                  </w:tcBorders>
                  <w:vAlign w:val="center"/>
                </w:tcPr>
                <w:p w14:paraId="5019E52E">
                  <w:pPr>
                    <w:pStyle w:val="53"/>
                    <w:keepNext w:val="0"/>
                    <w:keepLines w:val="0"/>
                    <w:pageBreakBefore w:val="0"/>
                    <w:kinsoku/>
                    <w:wordWrap/>
                    <w:overflowPunct/>
                    <w:topLinePunct w:val="0"/>
                    <w:autoSpaceDE/>
                    <w:autoSpaceDN/>
                    <w:bidi w:val="0"/>
                    <w:spacing w:before="0" w:beforeLines="0" w:after="0" w:afterLines="0"/>
                    <w:jc w:val="left"/>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参照标准限值《大气污染物综合排放标准》（GB16297-1996）表2中无组织排放监控浓度限值</w:t>
                  </w:r>
                  <w:r>
                    <w:rPr>
                      <w:rFonts w:hint="eastAsia" w:cs="Times New Roman"/>
                      <w:color w:val="000000"/>
                      <w:sz w:val="21"/>
                      <w:szCs w:val="21"/>
                      <w:lang w:val="en-US" w:eastAsia="zh-CN"/>
                    </w:rPr>
                    <w:t>，并符合《合成树脂工业污染物排放标》（GB31572-2015（含2024修单））表9企业边界大气污染物浓度限值（非甲烷总烃</w:t>
                  </w:r>
                  <w:r>
                    <w:rPr>
                      <w:rFonts w:hint="default" w:ascii="Arial" w:hAnsi="Arial" w:cs="Arial"/>
                      <w:color w:val="000000"/>
                      <w:sz w:val="21"/>
                      <w:szCs w:val="21"/>
                      <w:lang w:val="en-US" w:eastAsia="zh-CN"/>
                    </w:rPr>
                    <w:t>≤</w:t>
                  </w:r>
                  <w:r>
                    <w:rPr>
                      <w:rFonts w:hint="eastAsia" w:cs="Times New Roman"/>
                      <w:color w:val="000000"/>
                      <w:sz w:val="21"/>
                      <w:szCs w:val="21"/>
                      <w:lang w:val="en-US" w:eastAsia="zh-CN"/>
                    </w:rPr>
                    <w:t>4.0mg/m</w:t>
                  </w:r>
                  <w:r>
                    <w:rPr>
                      <w:rFonts w:hint="eastAsia" w:cs="Times New Roman"/>
                      <w:color w:val="000000"/>
                      <w:sz w:val="21"/>
                      <w:szCs w:val="21"/>
                      <w:vertAlign w:val="superscript"/>
                      <w:lang w:val="en-US" w:eastAsia="zh-CN"/>
                    </w:rPr>
                    <w:t>3</w:t>
                  </w:r>
                  <w:r>
                    <w:rPr>
                      <w:rFonts w:hint="eastAsia" w:cs="Times New Roman"/>
                      <w:color w:val="000000"/>
                      <w:sz w:val="21"/>
                      <w:szCs w:val="21"/>
                      <w:lang w:val="en-US" w:eastAsia="zh-CN"/>
                    </w:rPr>
                    <w:t>）、《挥发性有机物无组织排放控制标准》（GB37822-2019）附录A中表A.1厂区内VOCs无组织特别排放限值（监控点处1h平均浓度值</w:t>
                  </w:r>
                  <w:r>
                    <w:rPr>
                      <w:rFonts w:hint="default" w:ascii="Arial" w:hAnsi="Arial" w:cs="Arial"/>
                      <w:color w:val="000000"/>
                      <w:sz w:val="21"/>
                      <w:szCs w:val="21"/>
                      <w:lang w:val="en-US" w:eastAsia="zh-CN"/>
                    </w:rPr>
                    <w:t>≤</w:t>
                  </w:r>
                  <w:r>
                    <w:rPr>
                      <w:rFonts w:hint="eastAsia" w:ascii="Arial" w:hAnsi="Arial" w:cs="Arial"/>
                      <w:color w:val="000000"/>
                      <w:sz w:val="21"/>
                      <w:szCs w:val="21"/>
                      <w:lang w:val="en-US" w:eastAsia="zh-CN"/>
                    </w:rPr>
                    <w:t>6mg/m</w:t>
                  </w:r>
                  <w:r>
                    <w:rPr>
                      <w:rFonts w:hint="eastAsia" w:ascii="Arial" w:hAnsi="Arial" w:cs="Arial"/>
                      <w:color w:val="000000"/>
                      <w:sz w:val="21"/>
                      <w:szCs w:val="21"/>
                      <w:vertAlign w:val="superscript"/>
                      <w:lang w:val="en-US" w:eastAsia="zh-CN"/>
                    </w:rPr>
                    <w:t>3</w:t>
                  </w:r>
                  <w:r>
                    <w:rPr>
                      <w:rFonts w:hint="eastAsia" w:ascii="Arial" w:hAnsi="Arial" w:cs="Arial"/>
                      <w:color w:val="000000"/>
                      <w:sz w:val="21"/>
                      <w:szCs w:val="21"/>
                      <w:lang w:val="en-US" w:eastAsia="zh-CN"/>
                    </w:rPr>
                    <w:t>；监控点处任意一次浓度值</w:t>
                  </w:r>
                  <w:r>
                    <w:rPr>
                      <w:rFonts w:hint="default" w:ascii="Arial" w:hAnsi="Arial" w:cs="Arial"/>
                      <w:color w:val="000000"/>
                      <w:sz w:val="21"/>
                      <w:szCs w:val="21"/>
                      <w:lang w:val="en-US" w:eastAsia="zh-CN"/>
                    </w:rPr>
                    <w:t>≤</w:t>
                  </w:r>
                  <w:r>
                    <w:rPr>
                      <w:rFonts w:hint="eastAsia" w:ascii="Arial" w:hAnsi="Arial" w:cs="Arial"/>
                      <w:color w:val="000000"/>
                      <w:sz w:val="21"/>
                      <w:szCs w:val="21"/>
                      <w:lang w:val="en-US" w:eastAsia="zh-CN"/>
                    </w:rPr>
                    <w:t>20mg/m</w:t>
                  </w:r>
                  <w:r>
                    <w:rPr>
                      <w:rFonts w:hint="eastAsia" w:ascii="Arial" w:hAnsi="Arial" w:cs="Arial"/>
                      <w:color w:val="000000"/>
                      <w:sz w:val="21"/>
                      <w:szCs w:val="21"/>
                      <w:vertAlign w:val="superscript"/>
                      <w:lang w:val="en-US" w:eastAsia="zh-CN"/>
                    </w:rPr>
                    <w:t>3</w:t>
                  </w:r>
                  <w:r>
                    <w:rPr>
                      <w:rFonts w:hint="eastAsia" w:cs="Times New Roman"/>
                      <w:color w:val="000000"/>
                      <w:sz w:val="21"/>
                      <w:szCs w:val="21"/>
                      <w:lang w:val="en-US" w:eastAsia="zh-CN"/>
                    </w:rPr>
                    <w:t>）</w:t>
                  </w:r>
                </w:p>
              </w:tc>
            </w:tr>
          </w:tbl>
          <w:p w14:paraId="59326E76">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000000"/>
                <w:sz w:val="24"/>
                <w:szCs w:val="24"/>
                <w:lang w:val="en-US" w:eastAsia="zh-CN"/>
              </w:rPr>
            </w:pPr>
            <w:bookmarkStart w:id="72" w:name="_Toc7208"/>
            <w:r>
              <w:rPr>
                <w:rFonts w:hint="eastAsia" w:ascii="Times New Roman" w:hAnsi="Times New Roman" w:eastAsia="宋体" w:cs="Times New Roman"/>
                <w:b/>
                <w:bCs/>
                <w:color w:val="000000"/>
                <w:sz w:val="24"/>
                <w:szCs w:val="24"/>
                <w:lang w:val="en-US" w:eastAsia="zh-CN"/>
              </w:rPr>
              <w:t>2.4.7原有工程的环保投诉情况、事故和处罚情况</w:t>
            </w:r>
            <w:bookmarkEnd w:id="72"/>
          </w:p>
          <w:p w14:paraId="5665E3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US" w:eastAsia="zh-CN"/>
              </w:rPr>
              <w:t>根据建设单位了解的情况和网络查询，项目投产以来，未收到周边居民及企业的环境污染投诉事件，也未受到生态环境行政主管部门的处罚，未发生环境风险事故等</w:t>
            </w:r>
            <w:r>
              <w:rPr>
                <w:rFonts w:hint="default" w:ascii="Times New Roman" w:hAnsi="Times New Roman" w:eastAsia="宋体" w:cs="Times New Roman"/>
                <w:color w:val="000000"/>
                <w:sz w:val="24"/>
                <w:szCs w:val="24"/>
                <w:lang w:val="en-GB" w:eastAsia="zh-CN"/>
              </w:rPr>
              <w:t>。</w:t>
            </w:r>
          </w:p>
          <w:p w14:paraId="69511C12">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000000"/>
                <w:sz w:val="24"/>
                <w:szCs w:val="24"/>
                <w:lang w:val="en-US" w:eastAsia="zh-CN"/>
              </w:rPr>
            </w:pPr>
            <w:bookmarkStart w:id="73" w:name="_Toc24139"/>
            <w:r>
              <w:rPr>
                <w:rFonts w:hint="eastAsia" w:ascii="Times New Roman" w:hAnsi="Times New Roman" w:eastAsia="宋体" w:cs="Times New Roman"/>
                <w:b/>
                <w:bCs/>
                <w:color w:val="000000"/>
                <w:sz w:val="24"/>
                <w:szCs w:val="24"/>
                <w:lang w:val="en-US" w:eastAsia="zh-CN"/>
              </w:rPr>
              <w:t>2.4.8现有项目和环评批复落实情况存在的问题</w:t>
            </w:r>
            <w:bookmarkEnd w:id="73"/>
          </w:p>
          <w:p w14:paraId="0AC17B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根据原环评报告、环评批复及竣工验收检测报告表，结合现场实际勘查，具体问题详见下表2.</w:t>
            </w:r>
            <w:r>
              <w:rPr>
                <w:rFonts w:hint="eastAsia" w:ascii="Times New Roman" w:hAnsi="Times New Roman" w:eastAsia="宋体" w:cs="Times New Roman"/>
                <w:color w:val="000000"/>
                <w:sz w:val="24"/>
                <w:szCs w:val="24"/>
                <w:lang w:val="en-US" w:eastAsia="zh-CN"/>
              </w:rPr>
              <w:t>3-12</w:t>
            </w:r>
            <w:r>
              <w:rPr>
                <w:rFonts w:hint="default" w:ascii="Times New Roman" w:hAnsi="Times New Roman" w:eastAsia="宋体" w:cs="Times New Roman"/>
                <w:color w:val="000000"/>
                <w:sz w:val="24"/>
                <w:szCs w:val="24"/>
                <w:lang w:val="en-US" w:eastAsia="zh-CN"/>
              </w:rPr>
              <w:t>。</w:t>
            </w:r>
          </w:p>
          <w:p w14:paraId="00902E1A">
            <w:pPr>
              <w:pStyle w:val="42"/>
              <w:spacing w:before="120" w:after="0"/>
              <w:rPr>
                <w:rFonts w:hint="default"/>
                <w:lang w:val="en-US" w:eastAsia="zh-CN"/>
              </w:rPr>
            </w:pPr>
            <w:r>
              <w:t>表2.</w:t>
            </w:r>
            <w:r>
              <w:rPr>
                <w:rFonts w:hint="eastAsia"/>
                <w:lang w:val="en-US" w:eastAsia="zh-CN"/>
              </w:rPr>
              <w:t>4-6</w:t>
            </w:r>
            <w:r>
              <w:t>项目和环评批复落实情况一览表</w:t>
            </w:r>
          </w:p>
          <w:tbl>
            <w:tblPr>
              <w:tblStyle w:val="23"/>
              <w:tblW w:w="843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87"/>
              <w:gridCol w:w="3689"/>
              <w:gridCol w:w="3145"/>
              <w:gridCol w:w="1010"/>
            </w:tblGrid>
            <w:tr w14:paraId="3C8CF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829" w:hRule="atLeast"/>
                <w:jc w:val="center"/>
              </w:trPr>
              <w:tc>
                <w:tcPr>
                  <w:tcW w:w="587" w:type="dxa"/>
                  <w:vAlign w:val="center"/>
                </w:tcPr>
                <w:p w14:paraId="74F5ACF0">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序号</w:t>
                  </w:r>
                </w:p>
              </w:tc>
              <w:tc>
                <w:tcPr>
                  <w:tcW w:w="3689" w:type="dxa"/>
                  <w:tcMar>
                    <w:left w:w="85" w:type="dxa"/>
                    <w:right w:w="85" w:type="dxa"/>
                  </w:tcMar>
                  <w:vAlign w:val="center"/>
                </w:tcPr>
                <w:p w14:paraId="5E1D3DA8">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环评批复要求</w:t>
                  </w:r>
                </w:p>
              </w:tc>
              <w:tc>
                <w:tcPr>
                  <w:tcW w:w="3145" w:type="dxa"/>
                  <w:tcMar>
                    <w:left w:w="85" w:type="dxa"/>
                    <w:right w:w="85" w:type="dxa"/>
                  </w:tcMar>
                  <w:vAlign w:val="center"/>
                </w:tcPr>
                <w:p w14:paraId="562A56BF">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实际落实情况</w:t>
                  </w:r>
                </w:p>
              </w:tc>
              <w:tc>
                <w:tcPr>
                  <w:tcW w:w="1010" w:type="dxa"/>
                  <w:vAlign w:val="center"/>
                </w:tcPr>
                <w:p w14:paraId="43E4144E">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是否落实环评要求</w:t>
                  </w:r>
                </w:p>
              </w:tc>
            </w:tr>
            <w:tr w14:paraId="764511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878" w:hRule="atLeast"/>
                <w:jc w:val="center"/>
              </w:trPr>
              <w:tc>
                <w:tcPr>
                  <w:tcW w:w="587" w:type="dxa"/>
                  <w:vAlign w:val="center"/>
                </w:tcPr>
                <w:p w14:paraId="6E8A19BA">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1</w:t>
                  </w:r>
                </w:p>
              </w:tc>
              <w:tc>
                <w:tcPr>
                  <w:tcW w:w="3689" w:type="dxa"/>
                  <w:tcMar>
                    <w:left w:w="85" w:type="dxa"/>
                    <w:right w:w="85" w:type="dxa"/>
                  </w:tcMar>
                  <w:vAlign w:val="center"/>
                </w:tcPr>
                <w:p w14:paraId="51CF4AC5">
                  <w:pPr>
                    <w:spacing w:line="320" w:lineRule="exact"/>
                    <w:jc w:val="center"/>
                    <w:rPr>
                      <w:rFonts w:hint="default" w:ascii="Times New Roman" w:hAnsi="Times New Roman" w:eastAsia="宋体" w:cs="Times New Roman"/>
                      <w:snapToGrid w:val="0"/>
                      <w:kern w:val="18"/>
                      <w:sz w:val="21"/>
                      <w:szCs w:val="21"/>
                      <w:lang w:val="en-US" w:eastAsia="zh-CN"/>
                    </w:rPr>
                  </w:pPr>
                  <w:r>
                    <w:rPr>
                      <w:rFonts w:hint="eastAsia" w:ascii="Times New Roman" w:hAnsi="Times New Roman" w:eastAsia="宋体" w:cs="Times New Roman"/>
                      <w:snapToGrid w:val="0"/>
                      <w:kern w:val="18"/>
                      <w:sz w:val="21"/>
                      <w:szCs w:val="21"/>
                      <w:lang w:val="en-US" w:eastAsia="zh-CN"/>
                    </w:rPr>
                    <w:t>雨、污水应分流，模具冷却水及蒸汽冷凝水经沉淀处理后回用，不得外排；生活污水经化粪池处理后排入</w:t>
                  </w:r>
                  <w:r>
                    <w:rPr>
                      <w:rFonts w:hint="eastAsia" w:cs="Times New Roman"/>
                      <w:snapToGrid w:val="0"/>
                      <w:kern w:val="18"/>
                      <w:sz w:val="21"/>
                      <w:szCs w:val="21"/>
                      <w:lang w:val="en-US" w:eastAsia="zh-CN"/>
                    </w:rPr>
                    <w:t>污水厂</w:t>
                  </w:r>
                  <w:r>
                    <w:rPr>
                      <w:rFonts w:hint="eastAsia" w:ascii="Times New Roman" w:hAnsi="Times New Roman" w:eastAsia="宋体" w:cs="Times New Roman"/>
                      <w:snapToGrid w:val="0"/>
                      <w:kern w:val="18"/>
                      <w:sz w:val="21"/>
                      <w:szCs w:val="21"/>
                      <w:lang w:val="en-US" w:eastAsia="zh-CN"/>
                    </w:rPr>
                    <w:t>集中处理，雨水排入市政雨水管网</w:t>
                  </w:r>
                </w:p>
              </w:tc>
              <w:tc>
                <w:tcPr>
                  <w:tcW w:w="3145" w:type="dxa"/>
                  <w:tcMar>
                    <w:left w:w="85" w:type="dxa"/>
                    <w:right w:w="85" w:type="dxa"/>
                  </w:tcMar>
                  <w:vAlign w:val="center"/>
                </w:tcPr>
                <w:p w14:paraId="2527B72E">
                  <w:pPr>
                    <w:spacing w:line="320" w:lineRule="exact"/>
                    <w:jc w:val="center"/>
                    <w:rPr>
                      <w:rFonts w:hint="default" w:ascii="Times New Roman" w:hAnsi="Times New Roman" w:eastAsia="宋体" w:cs="Times New Roman"/>
                      <w:snapToGrid w:val="0"/>
                      <w:kern w:val="18"/>
                      <w:sz w:val="21"/>
                      <w:szCs w:val="21"/>
                      <w:lang w:val="en-US" w:eastAsia="zh-CN"/>
                    </w:rPr>
                  </w:pPr>
                  <w:r>
                    <w:rPr>
                      <w:rFonts w:hint="eastAsia" w:ascii="Times New Roman" w:hAnsi="Times New Roman" w:eastAsia="宋体" w:cs="Times New Roman"/>
                      <w:snapToGrid w:val="0"/>
                      <w:kern w:val="18"/>
                      <w:sz w:val="21"/>
                      <w:szCs w:val="21"/>
                      <w:lang w:val="en-US" w:eastAsia="zh-CN"/>
                    </w:rPr>
                    <w:t>项目模具冷却水及蒸汽冷凝水经沉淀处理后回用，生活污水经化粪池处理后排入</w:t>
                  </w:r>
                  <w:r>
                    <w:rPr>
                      <w:rFonts w:hint="eastAsia" w:ascii="Times New Roman" w:hAnsi="Times New Roman" w:eastAsia="宋体" w:cs="Times New Roman"/>
                      <w:b w:val="0"/>
                      <w:bCs/>
                      <w:color w:val="000000"/>
                      <w:kern w:val="0"/>
                      <w:sz w:val="21"/>
                      <w:szCs w:val="21"/>
                      <w:highlight w:val="none"/>
                      <w:lang w:val="en-US" w:eastAsia="zh-CN"/>
                    </w:rPr>
                    <w:t>江阴污水处理厂（江阴港城经济区污水处理厂）</w:t>
                  </w:r>
                  <w:r>
                    <w:rPr>
                      <w:rFonts w:hint="eastAsia" w:ascii="Times New Roman" w:hAnsi="Times New Roman" w:eastAsia="宋体" w:cs="Times New Roman"/>
                      <w:snapToGrid w:val="0"/>
                      <w:kern w:val="18"/>
                      <w:sz w:val="21"/>
                      <w:szCs w:val="21"/>
                      <w:lang w:val="en-US" w:eastAsia="zh-CN"/>
                    </w:rPr>
                    <w:t>集中处理，雨水排入市政雨水管网</w:t>
                  </w:r>
                </w:p>
              </w:tc>
              <w:tc>
                <w:tcPr>
                  <w:tcW w:w="1010" w:type="dxa"/>
                  <w:vAlign w:val="center"/>
                </w:tcPr>
                <w:p w14:paraId="63A18D17">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已落实</w:t>
                  </w:r>
                </w:p>
              </w:tc>
            </w:tr>
            <w:tr w14:paraId="3D2036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28" w:hRule="atLeast"/>
                <w:jc w:val="center"/>
              </w:trPr>
              <w:tc>
                <w:tcPr>
                  <w:tcW w:w="587" w:type="dxa"/>
                  <w:vAlign w:val="center"/>
                </w:tcPr>
                <w:p w14:paraId="33BA27D9">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2</w:t>
                  </w:r>
                </w:p>
              </w:tc>
              <w:tc>
                <w:tcPr>
                  <w:tcW w:w="3689" w:type="dxa"/>
                  <w:tcMar>
                    <w:left w:w="85" w:type="dxa"/>
                    <w:right w:w="85" w:type="dxa"/>
                  </w:tcMar>
                  <w:vAlign w:val="center"/>
                </w:tcPr>
                <w:p w14:paraId="019FA76D">
                  <w:pPr>
                    <w:spacing w:line="320" w:lineRule="exact"/>
                    <w:jc w:val="center"/>
                    <w:rPr>
                      <w:rFonts w:hint="default" w:ascii="Times New Roman" w:hAnsi="Times New Roman" w:eastAsia="宋体" w:cs="Times New Roman"/>
                      <w:snapToGrid w:val="0"/>
                      <w:kern w:val="18"/>
                      <w:sz w:val="21"/>
                      <w:szCs w:val="21"/>
                      <w:lang w:val="en-US" w:eastAsia="zh-CN"/>
                    </w:rPr>
                  </w:pPr>
                  <w:r>
                    <w:rPr>
                      <w:rFonts w:hint="default" w:ascii="Times New Roman" w:hAnsi="Times New Roman" w:eastAsia="宋体" w:cs="Times New Roman"/>
                      <w:snapToGrid w:val="0"/>
                      <w:kern w:val="18"/>
                      <w:sz w:val="21"/>
                      <w:szCs w:val="21"/>
                      <w:lang w:val="en-US" w:eastAsia="zh-CN"/>
                    </w:rPr>
                    <w:t>工艺废气应落实《报告表》提出防治措施。本项目卫生防护距离为车间外延50米范围，建设单位应将此卫生防护距离要求报告市规划部门与当地政府管理部门，在此卫生防护距离范围内不得新建学校、村居等环境敏感建筑物。</w:t>
                  </w:r>
                </w:p>
              </w:tc>
              <w:tc>
                <w:tcPr>
                  <w:tcW w:w="3145" w:type="dxa"/>
                  <w:tcMar>
                    <w:left w:w="85" w:type="dxa"/>
                    <w:right w:w="85" w:type="dxa"/>
                  </w:tcMar>
                  <w:vAlign w:val="center"/>
                </w:tcPr>
                <w:p w14:paraId="25B9D3F1">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本项目预发泡及成型过程均在封闭的容器内进行，大部分废气通过容器排水管道进入循环水池再逸散空气中，少量废气在容器打开时逸散至空气中。50m</w:t>
                  </w:r>
                  <w:r>
                    <w:rPr>
                      <w:rFonts w:hint="eastAsia" w:cs="Times New Roman"/>
                      <w:snapToGrid w:val="0"/>
                      <w:color w:val="auto"/>
                      <w:kern w:val="18"/>
                      <w:sz w:val="21"/>
                      <w:szCs w:val="21"/>
                      <w:lang w:val="en-US" w:eastAsia="zh-CN"/>
                    </w:rPr>
                    <w:t>防护距离</w:t>
                  </w:r>
                  <w:r>
                    <w:rPr>
                      <w:rFonts w:hint="eastAsia" w:ascii="Times New Roman" w:hAnsi="Times New Roman" w:eastAsia="宋体" w:cs="Times New Roman"/>
                      <w:snapToGrid w:val="0"/>
                      <w:color w:val="auto"/>
                      <w:kern w:val="18"/>
                      <w:sz w:val="21"/>
                      <w:szCs w:val="21"/>
                      <w:lang w:val="en-US" w:eastAsia="zh-CN"/>
                    </w:rPr>
                    <w:t>范围内</w:t>
                  </w:r>
                  <w:r>
                    <w:rPr>
                      <w:rFonts w:hint="eastAsia" w:cs="Times New Roman"/>
                      <w:snapToGrid w:val="0"/>
                      <w:color w:val="auto"/>
                      <w:kern w:val="18"/>
                      <w:sz w:val="21"/>
                      <w:szCs w:val="21"/>
                      <w:lang w:val="en-US" w:eastAsia="zh-CN"/>
                    </w:rPr>
                    <w:t>现状</w:t>
                  </w:r>
                  <w:r>
                    <w:rPr>
                      <w:rFonts w:hint="eastAsia" w:ascii="Times New Roman" w:hAnsi="Times New Roman" w:eastAsia="宋体" w:cs="Times New Roman"/>
                      <w:snapToGrid w:val="0"/>
                      <w:color w:val="auto"/>
                      <w:kern w:val="18"/>
                      <w:sz w:val="21"/>
                      <w:szCs w:val="21"/>
                      <w:lang w:val="en-US" w:eastAsia="zh-CN"/>
                    </w:rPr>
                    <w:t>无</w:t>
                  </w:r>
                  <w:r>
                    <w:rPr>
                      <w:rFonts w:hint="default" w:ascii="Times New Roman" w:hAnsi="Times New Roman" w:eastAsia="宋体" w:cs="Times New Roman"/>
                      <w:snapToGrid w:val="0"/>
                      <w:color w:val="auto"/>
                      <w:kern w:val="18"/>
                      <w:sz w:val="21"/>
                      <w:szCs w:val="21"/>
                      <w:lang w:val="en-US" w:eastAsia="zh-CN"/>
                    </w:rPr>
                    <w:t>学校、村居等环境敏感建筑物。</w:t>
                  </w:r>
                </w:p>
              </w:tc>
              <w:tc>
                <w:tcPr>
                  <w:tcW w:w="1010" w:type="dxa"/>
                  <w:vAlign w:val="center"/>
                </w:tcPr>
                <w:p w14:paraId="0F5B575F">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已落实</w:t>
                  </w:r>
                </w:p>
              </w:tc>
            </w:tr>
            <w:tr w14:paraId="061639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56" w:hRule="atLeast"/>
                <w:jc w:val="center"/>
              </w:trPr>
              <w:tc>
                <w:tcPr>
                  <w:tcW w:w="587" w:type="dxa"/>
                  <w:vAlign w:val="center"/>
                </w:tcPr>
                <w:p w14:paraId="303B66E6">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3</w:t>
                  </w:r>
                </w:p>
              </w:tc>
              <w:tc>
                <w:tcPr>
                  <w:tcW w:w="3689" w:type="dxa"/>
                  <w:tcMar>
                    <w:left w:w="85" w:type="dxa"/>
                    <w:right w:w="85" w:type="dxa"/>
                  </w:tcMar>
                  <w:vAlign w:val="center"/>
                </w:tcPr>
                <w:p w14:paraId="03A2A478">
                  <w:pPr>
                    <w:spacing w:line="320" w:lineRule="exact"/>
                    <w:jc w:val="center"/>
                    <w:rPr>
                      <w:rFonts w:hint="default" w:ascii="Times New Roman" w:hAnsi="Times New Roman" w:eastAsia="宋体" w:cs="Times New Roman"/>
                      <w:snapToGrid w:val="0"/>
                      <w:kern w:val="18"/>
                      <w:sz w:val="21"/>
                      <w:szCs w:val="21"/>
                      <w:lang w:val="en-US" w:eastAsia="zh-CN"/>
                    </w:rPr>
                  </w:pPr>
                  <w:r>
                    <w:rPr>
                      <w:rFonts w:hint="default" w:ascii="Times New Roman" w:hAnsi="Times New Roman" w:eastAsia="宋体" w:cs="Times New Roman"/>
                      <w:snapToGrid w:val="0"/>
                      <w:kern w:val="18"/>
                      <w:sz w:val="21"/>
                      <w:szCs w:val="21"/>
                      <w:lang w:val="en-US" w:eastAsia="zh-CN"/>
                    </w:rPr>
                    <w:t>应选用低噪声型设备，并采取隔音、减</w:t>
                  </w:r>
                  <w:r>
                    <w:rPr>
                      <w:rFonts w:hint="eastAsia" w:cs="Times New Roman"/>
                      <w:snapToGrid w:val="0"/>
                      <w:kern w:val="18"/>
                      <w:sz w:val="21"/>
                      <w:szCs w:val="21"/>
                      <w:lang w:val="en-US" w:eastAsia="zh-CN"/>
                    </w:rPr>
                    <w:t>振</w:t>
                  </w:r>
                  <w:r>
                    <w:rPr>
                      <w:rFonts w:hint="default" w:ascii="Times New Roman" w:hAnsi="Times New Roman" w:eastAsia="宋体" w:cs="Times New Roman"/>
                      <w:snapToGrid w:val="0"/>
                      <w:kern w:val="18"/>
                      <w:sz w:val="21"/>
                      <w:szCs w:val="21"/>
                      <w:lang w:val="en-US" w:eastAsia="zh-CN"/>
                    </w:rPr>
                    <w:t>等处理，厂界噪声应达标。</w:t>
                  </w:r>
                </w:p>
              </w:tc>
              <w:tc>
                <w:tcPr>
                  <w:tcW w:w="3145" w:type="dxa"/>
                  <w:tcMar>
                    <w:left w:w="85" w:type="dxa"/>
                    <w:right w:w="85" w:type="dxa"/>
                  </w:tcMar>
                  <w:vAlign w:val="center"/>
                </w:tcPr>
                <w:p w14:paraId="14527991">
                  <w:pPr>
                    <w:spacing w:line="320" w:lineRule="exact"/>
                    <w:jc w:val="center"/>
                    <w:rPr>
                      <w:rFonts w:hint="default" w:ascii="Times New Roman" w:hAnsi="Times New Roman" w:eastAsia="宋体" w:cs="Times New Roman"/>
                      <w:snapToGrid w:val="0"/>
                      <w:color w:val="auto"/>
                      <w:kern w:val="18"/>
                      <w:sz w:val="21"/>
                      <w:szCs w:val="21"/>
                    </w:rPr>
                  </w:pPr>
                  <w:r>
                    <w:rPr>
                      <w:rFonts w:hint="eastAsia" w:cs="Times New Roman"/>
                      <w:color w:val="auto"/>
                      <w:sz w:val="21"/>
                      <w:szCs w:val="21"/>
                      <w:lang w:val="en-US" w:eastAsia="zh-CN"/>
                    </w:rPr>
                    <w:t>已</w:t>
                  </w:r>
                  <w:r>
                    <w:rPr>
                      <w:rFonts w:hint="default" w:ascii="Times New Roman" w:hAnsi="Times New Roman" w:eastAsia="宋体" w:cs="Times New Roman"/>
                      <w:color w:val="auto"/>
                      <w:sz w:val="21"/>
                      <w:szCs w:val="21"/>
                    </w:rPr>
                    <w:t>选用低噪声型设备，并采取隔声、减震等综合措施</w:t>
                  </w:r>
                </w:p>
              </w:tc>
              <w:tc>
                <w:tcPr>
                  <w:tcW w:w="1010" w:type="dxa"/>
                  <w:vAlign w:val="center"/>
                </w:tcPr>
                <w:p w14:paraId="4229C1A8">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已落实</w:t>
                  </w:r>
                </w:p>
              </w:tc>
            </w:tr>
            <w:tr w14:paraId="4A3914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87" w:type="dxa"/>
                  <w:vAlign w:val="center"/>
                </w:tcPr>
                <w:p w14:paraId="57F54F4B">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4</w:t>
                  </w:r>
                </w:p>
              </w:tc>
              <w:tc>
                <w:tcPr>
                  <w:tcW w:w="3689" w:type="dxa"/>
                  <w:tcMar>
                    <w:left w:w="85" w:type="dxa"/>
                    <w:right w:w="85" w:type="dxa"/>
                  </w:tcMar>
                  <w:vAlign w:val="center"/>
                </w:tcPr>
                <w:p w14:paraId="63C2FCE8">
                  <w:pPr>
                    <w:spacing w:line="320" w:lineRule="exact"/>
                    <w:jc w:val="center"/>
                    <w:rPr>
                      <w:rFonts w:hint="default" w:ascii="Times New Roman" w:hAnsi="Times New Roman" w:eastAsia="宋体" w:cs="Times New Roman"/>
                      <w:snapToGrid w:val="0"/>
                      <w:kern w:val="18"/>
                      <w:sz w:val="21"/>
                      <w:szCs w:val="21"/>
                      <w:lang w:val="en-US" w:eastAsia="zh-CN"/>
                    </w:rPr>
                  </w:pPr>
                  <w:r>
                    <w:rPr>
                      <w:rFonts w:hint="default" w:ascii="Times New Roman" w:hAnsi="Times New Roman" w:eastAsia="宋体" w:cs="Times New Roman"/>
                      <w:snapToGrid w:val="0"/>
                      <w:kern w:val="18"/>
                      <w:sz w:val="21"/>
                      <w:szCs w:val="21"/>
                      <w:lang w:val="en-US" w:eastAsia="zh-CN"/>
                    </w:rPr>
                    <w:t>固体废物应分类管理。一般工业固体废物应建设规范场所进行贮存，回用或外运综合利用</w:t>
                  </w:r>
                  <w:r>
                    <w:rPr>
                      <w:rFonts w:hint="eastAsia" w:cs="Times New Roman"/>
                      <w:snapToGrid w:val="0"/>
                      <w:kern w:val="18"/>
                      <w:sz w:val="21"/>
                      <w:szCs w:val="21"/>
                      <w:lang w:val="en-US" w:eastAsia="zh-CN"/>
                    </w:rPr>
                    <w:t>；</w:t>
                  </w:r>
                  <w:r>
                    <w:rPr>
                      <w:rFonts w:hint="default" w:ascii="Times New Roman" w:hAnsi="Times New Roman" w:eastAsia="宋体" w:cs="Times New Roman"/>
                      <w:snapToGrid w:val="0"/>
                      <w:kern w:val="18"/>
                      <w:sz w:val="21"/>
                      <w:szCs w:val="21"/>
                      <w:lang w:val="en-US" w:eastAsia="zh-CN"/>
                    </w:rPr>
                    <w:t>生活垃圾定期委托环卫部门清运。</w:t>
                  </w:r>
                </w:p>
              </w:tc>
              <w:tc>
                <w:tcPr>
                  <w:tcW w:w="3145" w:type="dxa"/>
                  <w:tcMar>
                    <w:left w:w="85" w:type="dxa"/>
                    <w:right w:w="85" w:type="dxa"/>
                  </w:tcMar>
                  <w:vAlign w:val="center"/>
                </w:tcPr>
                <w:p w14:paraId="62ED2E5A">
                  <w:pPr>
                    <w:spacing w:line="320" w:lineRule="exact"/>
                    <w:jc w:val="center"/>
                    <w:rPr>
                      <w:rFonts w:hint="default" w:ascii="Times New Roman" w:hAnsi="Times New Roman" w:eastAsia="宋体" w:cs="Times New Roman"/>
                      <w:snapToGrid w:val="0"/>
                      <w:kern w:val="18"/>
                      <w:sz w:val="21"/>
                      <w:szCs w:val="21"/>
                    </w:rPr>
                  </w:pPr>
                  <w:r>
                    <w:rPr>
                      <w:rFonts w:hint="eastAsia" w:cs="Times New Roman"/>
                      <w:color w:val="000000"/>
                      <w:sz w:val="21"/>
                      <w:szCs w:val="21"/>
                      <w:lang w:val="en-US" w:eastAsia="zh-CN"/>
                    </w:rPr>
                    <w:t>已建设</w:t>
                  </w:r>
                  <w:r>
                    <w:rPr>
                      <w:rFonts w:hint="default" w:ascii="Times New Roman" w:hAnsi="Times New Roman" w:eastAsia="宋体" w:cs="Times New Roman"/>
                      <w:color w:val="000000"/>
                      <w:sz w:val="21"/>
                      <w:szCs w:val="21"/>
                    </w:rPr>
                    <w:t>一般固废全部外售给</w:t>
                  </w:r>
                  <w:r>
                    <w:rPr>
                      <w:rFonts w:hint="default" w:ascii="Times New Roman" w:hAnsi="Times New Roman" w:eastAsia="宋体" w:cs="Times New Roman"/>
                      <w:color w:val="000000"/>
                      <w:sz w:val="21"/>
                      <w:szCs w:val="21"/>
                      <w:lang w:val="en-US" w:eastAsia="zh-CN"/>
                    </w:rPr>
                    <w:t>其他</w:t>
                  </w:r>
                  <w:r>
                    <w:rPr>
                      <w:rFonts w:hint="default" w:ascii="Times New Roman" w:hAnsi="Times New Roman" w:eastAsia="宋体" w:cs="Times New Roman"/>
                      <w:color w:val="000000"/>
                      <w:sz w:val="21"/>
                      <w:szCs w:val="21"/>
                    </w:rPr>
                    <w:t>企业综合利用；生活垃圾委托环卫部门外运填埋统一处</w:t>
                  </w:r>
                  <w:r>
                    <w:rPr>
                      <w:rFonts w:hint="default" w:ascii="Times New Roman" w:hAnsi="Times New Roman" w:eastAsia="宋体" w:cs="Times New Roman"/>
                      <w:sz w:val="21"/>
                      <w:szCs w:val="21"/>
                    </w:rPr>
                    <w:t>置；</w:t>
                  </w:r>
                </w:p>
              </w:tc>
              <w:tc>
                <w:tcPr>
                  <w:tcW w:w="1010" w:type="dxa"/>
                  <w:vAlign w:val="center"/>
                </w:tcPr>
                <w:p w14:paraId="6AF98C73">
                  <w:pPr>
                    <w:spacing w:line="320" w:lineRule="exact"/>
                    <w:jc w:val="center"/>
                    <w:rPr>
                      <w:rFonts w:hint="default" w:ascii="Times New Roman" w:hAnsi="Times New Roman" w:eastAsia="宋体" w:cs="Times New Roman"/>
                      <w:snapToGrid w:val="0"/>
                      <w:kern w:val="18"/>
                      <w:sz w:val="21"/>
                      <w:szCs w:val="21"/>
                    </w:rPr>
                  </w:pPr>
                  <w:r>
                    <w:rPr>
                      <w:rFonts w:hint="default" w:ascii="Times New Roman" w:hAnsi="Times New Roman" w:eastAsia="宋体" w:cs="Times New Roman"/>
                      <w:snapToGrid w:val="0"/>
                      <w:kern w:val="18"/>
                      <w:sz w:val="21"/>
                      <w:szCs w:val="21"/>
                    </w:rPr>
                    <w:t>已落实</w:t>
                  </w:r>
                </w:p>
              </w:tc>
            </w:tr>
          </w:tbl>
          <w:p w14:paraId="6F4DD10C">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000000"/>
                <w:sz w:val="24"/>
                <w:szCs w:val="24"/>
                <w:lang w:val="en-US" w:eastAsia="zh-CN"/>
              </w:rPr>
            </w:pPr>
            <w:bookmarkStart w:id="74" w:name="_Toc15561"/>
            <w:r>
              <w:rPr>
                <w:rFonts w:hint="eastAsia" w:ascii="Times New Roman" w:hAnsi="Times New Roman" w:eastAsia="宋体" w:cs="Times New Roman"/>
                <w:b/>
                <w:bCs/>
                <w:color w:val="000000"/>
                <w:sz w:val="24"/>
                <w:szCs w:val="24"/>
                <w:lang w:val="en-US" w:eastAsia="zh-CN"/>
              </w:rPr>
              <w:t>2.</w:t>
            </w:r>
            <w:r>
              <w:rPr>
                <w:rFonts w:hint="eastAsia" w:cs="Times New Roman"/>
                <w:b/>
                <w:bCs/>
                <w:color w:val="000000"/>
                <w:sz w:val="24"/>
                <w:szCs w:val="24"/>
                <w:lang w:val="en-US" w:eastAsia="zh-CN"/>
              </w:rPr>
              <w:t>4</w:t>
            </w:r>
            <w:r>
              <w:rPr>
                <w:rFonts w:hint="eastAsia" w:ascii="Times New Roman" w:hAnsi="Times New Roman" w:eastAsia="宋体" w:cs="Times New Roman"/>
                <w:b/>
                <w:bCs/>
                <w:color w:val="000000"/>
                <w:sz w:val="24"/>
                <w:szCs w:val="24"/>
                <w:lang w:val="en-US" w:eastAsia="zh-CN"/>
              </w:rPr>
              <w:t>.</w:t>
            </w:r>
            <w:r>
              <w:rPr>
                <w:rFonts w:hint="eastAsia" w:cs="Times New Roman"/>
                <w:b/>
                <w:bCs/>
                <w:color w:val="000000"/>
                <w:sz w:val="24"/>
                <w:szCs w:val="24"/>
                <w:lang w:val="en-US" w:eastAsia="zh-CN"/>
              </w:rPr>
              <w:t>9</w:t>
            </w:r>
            <w:r>
              <w:rPr>
                <w:rFonts w:hint="eastAsia" w:ascii="Times New Roman" w:hAnsi="Times New Roman" w:eastAsia="宋体" w:cs="Times New Roman"/>
                <w:b/>
                <w:bCs/>
                <w:color w:val="000000"/>
                <w:sz w:val="24"/>
                <w:szCs w:val="24"/>
                <w:lang w:val="en-US" w:eastAsia="zh-CN"/>
              </w:rPr>
              <w:t>现有项目存在问题</w:t>
            </w:r>
            <w:bookmarkEnd w:id="74"/>
          </w:p>
          <w:p w14:paraId="1D28BC2B">
            <w:pPr>
              <w:keepNext w:val="0"/>
              <w:keepLines w:val="0"/>
              <w:pageBreakBefore w:val="0"/>
              <w:kinsoku/>
              <w:wordWrap/>
              <w:overflowPunct/>
              <w:topLinePunct w:val="0"/>
              <w:autoSpaceDE/>
              <w:autoSpaceDN/>
              <w:bidi w:val="0"/>
              <w:snapToGrid/>
              <w:spacing w:line="360" w:lineRule="auto"/>
              <w:ind w:left="0" w:right="0" w:firstLine="480" w:firstLineChars="200"/>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pP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根据企业现场实际情况，</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现有</w:t>
            </w:r>
            <w:r>
              <w:rPr>
                <w:rFonts w:hint="eastAsia" w:cs="Times New Roman"/>
                <w:b w:val="0"/>
                <w:bCs w:val="0"/>
                <w:color w:val="auto"/>
                <w:kern w:val="2"/>
                <w:sz w:val="24"/>
                <w:szCs w:val="24"/>
                <w:highlight w:val="none"/>
                <w:shd w:val="clear" w:color="auto" w:fill="auto"/>
                <w:lang w:val="en-US" w:eastAsia="zh-CN" w:bidi="ar-SA"/>
              </w:rPr>
              <w:t>项目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于2017年3月通过环评审批（榕环评表〔2017〕26号），2017年7月完成竣工验收。由于还发布</w:t>
            </w:r>
            <w:r>
              <w:rPr>
                <w:rFonts w:hint="eastAsia" w:cs="Times New Roman"/>
                <w:b w:val="0"/>
                <w:bCs w:val="0"/>
                <w:color w:val="auto"/>
                <w:kern w:val="2"/>
                <w:sz w:val="24"/>
                <w:szCs w:val="24"/>
                <w:highlight w:val="none"/>
                <w:shd w:val="clear" w:color="auto" w:fill="auto"/>
                <w:lang w:val="en-US" w:eastAsia="zh-CN" w:bidi="ar-SA"/>
              </w:rPr>
              <w:t>VOCs相关排放</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政策。现有项目所产生的废气污染物VOCs未安装环保设备，无组织排放。本次扩建将把现有项目产生废气与拟扩建项目产生废气一并收集处理。</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现有项目产生时所产生的危险废物</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（废液压油</w:t>
            </w:r>
            <w:r>
              <w:rPr>
                <w:rFonts w:hint="eastAsia" w:cs="Times New Roman"/>
                <w:b w:val="0"/>
                <w:bCs w:val="0"/>
                <w:color w:val="auto"/>
                <w:kern w:val="2"/>
                <w:sz w:val="24"/>
                <w:szCs w:val="24"/>
                <w:highlight w:val="none"/>
                <w:shd w:val="clear" w:color="auto" w:fill="auto"/>
                <w:lang w:val="en-US" w:eastAsia="zh-CN" w:bidi="ar-SA"/>
              </w:rPr>
              <w:t>、污泥（含有机物）</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未放置在危险废物暂存间。企业应当按照</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《危险废物贮存污染控制标准》</w:t>
            </w:r>
            <w:r>
              <w:rPr>
                <w:rFonts w:hint="eastAsia" w:cs="Times New Roman"/>
                <w:b w:val="0"/>
                <w:bCs w:val="0"/>
                <w:color w:val="auto"/>
                <w:kern w:val="2"/>
                <w:sz w:val="24"/>
                <w:szCs w:val="24"/>
                <w:highlight w:val="none"/>
                <w:shd w:val="clear" w:color="auto" w:fill="auto"/>
                <w:lang w:val="en-US" w:eastAsia="zh-CN" w:bidi="ar-SA"/>
              </w:rPr>
              <w:t>（</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GB18597-2023</w:t>
            </w:r>
            <w:r>
              <w:rPr>
                <w:rFonts w:hint="eastAsia" w:cs="Times New Roman"/>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中的规定规范设置危废间。</w:t>
            </w:r>
            <w:r>
              <w:rPr>
                <w:rFonts w:hint="eastAsia" w:cs="Times New Roman"/>
                <w:b w:val="0"/>
                <w:bCs w:val="0"/>
                <w:color w:val="auto"/>
                <w:kern w:val="2"/>
                <w:sz w:val="24"/>
                <w:szCs w:val="24"/>
                <w:highlight w:val="none"/>
                <w:shd w:val="clear" w:color="auto" w:fill="auto"/>
                <w:lang w:val="en-US" w:eastAsia="zh-CN" w:bidi="ar-SA"/>
              </w:rPr>
              <w:t>此外，</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目前</w:t>
            </w:r>
            <w:r>
              <w:rPr>
                <w:rFonts w:hint="eastAsia" w:cs="Times New Roman"/>
                <w:b w:val="0"/>
                <w:bCs w:val="0"/>
                <w:color w:val="auto"/>
                <w:kern w:val="2"/>
                <w:sz w:val="24"/>
                <w:szCs w:val="24"/>
                <w:highlight w:val="none"/>
                <w:shd w:val="clear" w:color="auto" w:fill="auto"/>
                <w:lang w:val="en-US" w:eastAsia="zh-CN" w:bidi="ar-SA"/>
              </w:rPr>
              <w:t>未签订</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危险废物</w:t>
            </w:r>
            <w:r>
              <w:rPr>
                <w:rFonts w:hint="eastAsia" w:cs="Times New Roman"/>
                <w:b w:val="0"/>
                <w:bCs w:val="0"/>
                <w:color w:val="auto"/>
                <w:kern w:val="2"/>
                <w:sz w:val="24"/>
                <w:szCs w:val="24"/>
                <w:highlight w:val="none"/>
                <w:shd w:val="clear" w:color="auto" w:fill="auto"/>
                <w:lang w:val="en-US" w:eastAsia="zh-CN" w:bidi="ar-SA"/>
              </w:rPr>
              <w:t>委托处置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协议，需要签订危废</w:t>
            </w:r>
            <w:r>
              <w:rPr>
                <w:rFonts w:hint="eastAsia" w:cs="Times New Roman"/>
                <w:b w:val="0"/>
                <w:bCs w:val="0"/>
                <w:color w:val="auto"/>
                <w:kern w:val="2"/>
                <w:sz w:val="24"/>
                <w:szCs w:val="24"/>
                <w:highlight w:val="none"/>
                <w:shd w:val="clear" w:color="auto" w:fill="auto"/>
                <w:lang w:val="en-US" w:eastAsia="zh-CN" w:bidi="ar-SA"/>
              </w:rPr>
              <w:t>委托处置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协议。</w:t>
            </w:r>
          </w:p>
          <w:p w14:paraId="72378933">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75" w:name="_Toc6411"/>
            <w:r>
              <w:rPr>
                <w:rFonts w:hint="eastAsia" w:ascii="Times New Roman" w:hAnsi="Times New Roman" w:eastAsia="宋体" w:cs="Times New Roman"/>
                <w:color w:val="auto"/>
                <w:sz w:val="28"/>
                <w:szCs w:val="28"/>
                <w:u w:val="none"/>
                <w:lang w:val="en-US" w:eastAsia="zh-CN"/>
              </w:rPr>
              <w:t>2.5</w:t>
            </w:r>
            <w:r>
              <w:rPr>
                <w:rFonts w:hint="eastAsia" w:ascii="Times New Roman" w:hAnsi="Times New Roman" w:cs="Times New Roman"/>
                <w:color w:val="auto"/>
                <w:sz w:val="28"/>
                <w:szCs w:val="28"/>
                <w:u w:val="none"/>
                <w:lang w:val="en-US" w:eastAsia="zh-CN"/>
              </w:rPr>
              <w:t>项目“三本账”分析</w:t>
            </w:r>
            <w:bookmarkEnd w:id="75"/>
          </w:p>
          <w:p w14:paraId="72BBC16E">
            <w:pPr>
              <w:keepNext w:val="0"/>
              <w:keepLines w:val="0"/>
              <w:pageBreakBefore w:val="0"/>
              <w:kinsoku/>
              <w:wordWrap/>
              <w:overflowPunct/>
              <w:topLinePunct w:val="0"/>
              <w:autoSpaceDE/>
              <w:autoSpaceDN/>
              <w:bidi w:val="0"/>
              <w:snapToGrid/>
              <w:spacing w:line="360" w:lineRule="auto"/>
              <w:ind w:left="0" w:right="0" w:firstLine="480" w:firstLineChars="200"/>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本项目扩建前后“三本账”分析见表2.5-1。</w:t>
            </w:r>
          </w:p>
          <w:p w14:paraId="04DD483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表2.5-1三本账一览表</w:t>
            </w:r>
          </w:p>
          <w:tbl>
            <w:tblPr>
              <w:tblStyle w:val="24"/>
              <w:tblW w:w="86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4"/>
              <w:gridCol w:w="1084"/>
              <w:gridCol w:w="1161"/>
              <w:gridCol w:w="1259"/>
              <w:gridCol w:w="1166"/>
              <w:gridCol w:w="991"/>
              <w:gridCol w:w="1084"/>
              <w:gridCol w:w="1084"/>
            </w:tblGrid>
            <w:tr w14:paraId="5135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Align w:val="center"/>
                </w:tcPr>
                <w:p w14:paraId="33E97E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污染物类别</w:t>
                  </w:r>
                </w:p>
              </w:tc>
              <w:tc>
                <w:tcPr>
                  <w:tcW w:w="1084" w:type="dxa"/>
                  <w:vAlign w:val="center"/>
                </w:tcPr>
                <w:p w14:paraId="6DD7FC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污染物因子</w:t>
                  </w:r>
                </w:p>
              </w:tc>
              <w:tc>
                <w:tcPr>
                  <w:tcW w:w="1161" w:type="dxa"/>
                  <w:vAlign w:val="center"/>
                </w:tcPr>
                <w:p w14:paraId="6C2A6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highlight w:val="none"/>
                      <w:lang w:val="en-US" w:eastAsia="zh-CN"/>
                    </w:rPr>
                    <w:t>①</w:t>
                  </w:r>
                  <w:r>
                    <w:rPr>
                      <w:rFonts w:hint="eastAsia" w:ascii="Times New Roman" w:hAnsi="Times New Roman" w:eastAsia="宋体" w:cs="Times New Roman"/>
                      <w:color w:val="auto"/>
                      <w:kern w:val="2"/>
                      <w:sz w:val="21"/>
                      <w:szCs w:val="21"/>
                      <w:highlight w:val="none"/>
                      <w:lang w:val="en-US" w:eastAsia="zh-CN"/>
                    </w:rPr>
                    <w:t>现有项目已建工程</w:t>
                  </w:r>
                  <w:r>
                    <w:rPr>
                      <w:rFonts w:hint="default" w:ascii="Times New Roman" w:hAnsi="Times New Roman" w:eastAsia="宋体" w:cs="Times New Roman"/>
                      <w:color w:val="auto"/>
                      <w:kern w:val="2"/>
                      <w:sz w:val="21"/>
                      <w:szCs w:val="21"/>
                      <w:highlight w:val="none"/>
                    </w:rPr>
                    <w:t>排放量</w:t>
                  </w:r>
                  <w:r>
                    <w:rPr>
                      <w:rFonts w:hint="eastAsia" w:ascii="Times New Roman" w:hAnsi="Times New Roman" w:eastAsia="宋体" w:cs="Times New Roman"/>
                      <w:color w:val="auto"/>
                      <w:sz w:val="21"/>
                      <w:szCs w:val="21"/>
                      <w:highlight w:val="none"/>
                      <w:lang w:val="en-US" w:eastAsia="zh-CN"/>
                    </w:rPr>
                    <w:t>t/a</w:t>
                  </w:r>
                </w:p>
              </w:tc>
              <w:tc>
                <w:tcPr>
                  <w:tcW w:w="1259" w:type="dxa"/>
                  <w:vAlign w:val="center"/>
                </w:tcPr>
                <w:p w14:paraId="4E8E78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highlight w:val="none"/>
                      <w:lang w:val="en-US" w:eastAsia="zh-CN"/>
                    </w:rPr>
                    <w:t>②</w:t>
                  </w:r>
                  <w:r>
                    <w:rPr>
                      <w:rFonts w:hint="eastAsia" w:ascii="Times New Roman" w:hAnsi="Times New Roman" w:eastAsia="宋体" w:cs="Times New Roman"/>
                      <w:color w:val="auto"/>
                      <w:kern w:val="2"/>
                      <w:sz w:val="21"/>
                      <w:szCs w:val="21"/>
                      <w:highlight w:val="none"/>
                      <w:lang w:val="en-US" w:eastAsia="zh-CN"/>
                    </w:rPr>
                    <w:t>已批在建工程排放量</w:t>
                  </w:r>
                  <w:r>
                    <w:rPr>
                      <w:rFonts w:hint="eastAsia" w:ascii="Times New Roman" w:hAnsi="Times New Roman" w:eastAsia="宋体" w:cs="Times New Roman"/>
                      <w:color w:val="auto"/>
                      <w:sz w:val="21"/>
                      <w:szCs w:val="21"/>
                      <w:highlight w:val="none"/>
                      <w:lang w:val="en-US" w:eastAsia="zh-CN"/>
                    </w:rPr>
                    <w:t>t/a</w:t>
                  </w:r>
                </w:p>
              </w:tc>
              <w:tc>
                <w:tcPr>
                  <w:tcW w:w="1166" w:type="dxa"/>
                  <w:vAlign w:val="center"/>
                </w:tcPr>
                <w:p w14:paraId="240BA17A">
                  <w:pPr>
                    <w:pStyle w:val="53"/>
                    <w:bidi w:val="0"/>
                    <w:rPr>
                      <w:rFonts w:hint="eastAsia"/>
                      <w:color w:val="auto"/>
                      <w:lang w:val="en-US" w:eastAsia="zh-CN"/>
                    </w:rPr>
                  </w:pPr>
                  <w:r>
                    <w:rPr>
                      <w:rFonts w:hint="eastAsia"/>
                      <w:color w:val="auto"/>
                      <w:lang w:val="en-US" w:eastAsia="zh-CN"/>
                    </w:rPr>
                    <w:t>③本次扩建项目排放量</w:t>
                  </w:r>
                </w:p>
                <w:p w14:paraId="22AE3FBA">
                  <w:pPr>
                    <w:pStyle w:val="53"/>
                    <w:bidi w:val="0"/>
                    <w:rPr>
                      <w:rFonts w:hint="default"/>
                      <w:color w:val="auto"/>
                      <w:lang w:val="en-US" w:eastAsia="zh-CN"/>
                    </w:rPr>
                  </w:pPr>
                  <w:r>
                    <w:rPr>
                      <w:rFonts w:hint="eastAsia"/>
                      <w:color w:val="auto"/>
                      <w:lang w:val="en-US" w:eastAsia="zh-CN"/>
                    </w:rPr>
                    <w:t>t/a</w:t>
                  </w:r>
                </w:p>
              </w:tc>
              <w:tc>
                <w:tcPr>
                  <w:tcW w:w="991" w:type="dxa"/>
                  <w:vAlign w:val="center"/>
                </w:tcPr>
                <w:p w14:paraId="17483568">
                  <w:pPr>
                    <w:pStyle w:val="53"/>
                    <w:bidi w:val="0"/>
                    <w:rPr>
                      <w:rFonts w:hint="eastAsia"/>
                      <w:color w:val="auto"/>
                      <w:lang w:val="en-US" w:eastAsia="zh-CN"/>
                    </w:rPr>
                  </w:pPr>
                  <w:r>
                    <w:rPr>
                      <w:rFonts w:hint="eastAsia"/>
                      <w:color w:val="auto"/>
                      <w:lang w:val="en-US" w:eastAsia="zh-CN"/>
                    </w:rPr>
                    <w:t>④以新带老削减量</w:t>
                  </w:r>
                </w:p>
                <w:p w14:paraId="59B3D2EC">
                  <w:pPr>
                    <w:pStyle w:val="53"/>
                    <w:bidi w:val="0"/>
                    <w:rPr>
                      <w:rFonts w:hint="default"/>
                      <w:color w:val="auto"/>
                      <w:lang w:val="en-US" w:eastAsia="zh-CN"/>
                    </w:rPr>
                  </w:pPr>
                  <w:r>
                    <w:rPr>
                      <w:rFonts w:hint="eastAsia"/>
                      <w:color w:val="auto"/>
                      <w:lang w:val="en-US" w:eastAsia="zh-CN"/>
                    </w:rPr>
                    <w:t>t/a</w:t>
                  </w:r>
                </w:p>
              </w:tc>
              <w:tc>
                <w:tcPr>
                  <w:tcW w:w="1084" w:type="dxa"/>
                  <w:vAlign w:val="center"/>
                </w:tcPr>
                <w:p w14:paraId="39EDE258">
                  <w:pPr>
                    <w:pStyle w:val="53"/>
                    <w:bidi w:val="0"/>
                    <w:rPr>
                      <w:rFonts w:hint="eastAsia"/>
                      <w:color w:val="auto"/>
                      <w:lang w:val="en-US" w:eastAsia="zh-CN"/>
                    </w:rPr>
                  </w:pPr>
                  <w:r>
                    <w:rPr>
                      <w:rFonts w:hint="eastAsia"/>
                      <w:color w:val="auto"/>
                      <w:lang w:val="en-US" w:eastAsia="zh-CN"/>
                    </w:rPr>
                    <w:t>⑤总体工程排放量</w:t>
                  </w:r>
                </w:p>
                <w:p w14:paraId="3FF71E78">
                  <w:pPr>
                    <w:pStyle w:val="53"/>
                    <w:bidi w:val="0"/>
                    <w:rPr>
                      <w:rFonts w:hint="default"/>
                      <w:color w:val="auto"/>
                      <w:lang w:val="en-US" w:eastAsia="zh-CN"/>
                    </w:rPr>
                  </w:pPr>
                  <w:r>
                    <w:rPr>
                      <w:rFonts w:hint="eastAsia"/>
                      <w:color w:val="auto"/>
                      <w:lang w:val="en-US" w:eastAsia="zh-CN"/>
                    </w:rPr>
                    <w:t>t/a</w:t>
                  </w:r>
                </w:p>
              </w:tc>
              <w:tc>
                <w:tcPr>
                  <w:tcW w:w="1084" w:type="dxa"/>
                  <w:vAlign w:val="center"/>
                </w:tcPr>
                <w:p w14:paraId="61E78703">
                  <w:pPr>
                    <w:pStyle w:val="53"/>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增减量</w:t>
                  </w:r>
                </w:p>
                <w:p w14:paraId="5A384ABF">
                  <w:pPr>
                    <w:pStyle w:val="53"/>
                    <w:bidi w:val="0"/>
                    <w:rPr>
                      <w:rFonts w:hint="eastAsia"/>
                      <w:color w:val="auto"/>
                      <w:lang w:val="en-US" w:eastAsia="zh-CN"/>
                    </w:rPr>
                  </w:pPr>
                  <w:r>
                    <w:rPr>
                      <w:rFonts w:hint="eastAsia" w:ascii="Times New Roman" w:hAnsi="Times New Roman" w:eastAsia="宋体" w:cs="Times New Roman"/>
                      <w:color w:val="auto"/>
                      <w:sz w:val="21"/>
                      <w:szCs w:val="21"/>
                      <w:highlight w:val="none"/>
                      <w:lang w:val="en-US" w:eastAsia="zh-CN"/>
                    </w:rPr>
                    <w:t>t/a</w:t>
                  </w:r>
                </w:p>
              </w:tc>
            </w:tr>
            <w:tr w14:paraId="60F5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restart"/>
                  <w:vAlign w:val="center"/>
                </w:tcPr>
                <w:p w14:paraId="0E3786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废水</w:t>
                  </w:r>
                </w:p>
              </w:tc>
              <w:tc>
                <w:tcPr>
                  <w:tcW w:w="1084" w:type="dxa"/>
                  <w:vAlign w:val="center"/>
                </w:tcPr>
                <w:p w14:paraId="4B6619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废水量</w:t>
                  </w:r>
                </w:p>
              </w:tc>
              <w:tc>
                <w:tcPr>
                  <w:tcW w:w="1161" w:type="dxa"/>
                  <w:vAlign w:val="center"/>
                </w:tcPr>
                <w:p w14:paraId="6FF514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924</w:t>
                  </w:r>
                </w:p>
              </w:tc>
              <w:tc>
                <w:tcPr>
                  <w:tcW w:w="1259" w:type="dxa"/>
                  <w:vAlign w:val="center"/>
                </w:tcPr>
                <w:p w14:paraId="15882F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0C2B2B45">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132</w:t>
                  </w:r>
                </w:p>
              </w:tc>
              <w:tc>
                <w:tcPr>
                  <w:tcW w:w="991" w:type="dxa"/>
                  <w:vAlign w:val="center"/>
                </w:tcPr>
                <w:p w14:paraId="4FCFA048">
                  <w:pPr>
                    <w:pStyle w:val="53"/>
                    <w:bidi w:val="0"/>
                    <w:rPr>
                      <w:rFonts w:hint="default"/>
                      <w:color w:val="auto"/>
                      <w:lang w:val="en-US" w:eastAsia="zh-CN"/>
                    </w:rPr>
                  </w:pPr>
                  <w:r>
                    <w:rPr>
                      <w:rFonts w:hint="eastAsia"/>
                      <w:color w:val="auto"/>
                      <w:lang w:val="en-US" w:eastAsia="zh-CN"/>
                    </w:rPr>
                    <w:t>/</w:t>
                  </w:r>
                </w:p>
              </w:tc>
              <w:tc>
                <w:tcPr>
                  <w:tcW w:w="1084" w:type="dxa"/>
                  <w:vAlign w:val="center"/>
                </w:tcPr>
                <w:p w14:paraId="1F8536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1056</w:t>
                  </w:r>
                </w:p>
              </w:tc>
              <w:tc>
                <w:tcPr>
                  <w:tcW w:w="1084" w:type="dxa"/>
                  <w:vAlign w:val="center"/>
                </w:tcPr>
                <w:p w14:paraId="694C1D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+132</w:t>
                  </w:r>
                </w:p>
              </w:tc>
            </w:tr>
            <w:tr w14:paraId="5203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3275EE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051C1F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161" w:type="dxa"/>
                  <w:vAlign w:val="center"/>
                </w:tcPr>
                <w:p w14:paraId="03CCEC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0.28</w:t>
                  </w:r>
                </w:p>
              </w:tc>
              <w:tc>
                <w:tcPr>
                  <w:tcW w:w="1259" w:type="dxa"/>
                  <w:vAlign w:val="center"/>
                </w:tcPr>
                <w:p w14:paraId="6E9DE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4ACE99EB">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0.03</w:t>
                  </w:r>
                </w:p>
              </w:tc>
              <w:tc>
                <w:tcPr>
                  <w:tcW w:w="991" w:type="dxa"/>
                  <w:vAlign w:val="center"/>
                </w:tcPr>
                <w:p w14:paraId="0FB603C3">
                  <w:pPr>
                    <w:pStyle w:val="53"/>
                    <w:bidi w:val="0"/>
                    <w:rPr>
                      <w:rFonts w:hint="default"/>
                      <w:color w:val="auto"/>
                      <w:lang w:val="en-US" w:eastAsia="zh-CN"/>
                    </w:rPr>
                  </w:pPr>
                  <w:r>
                    <w:rPr>
                      <w:rFonts w:hint="eastAsia"/>
                      <w:color w:val="auto"/>
                      <w:lang w:val="en-US" w:eastAsia="zh-CN"/>
                    </w:rPr>
                    <w:t>0.1</w:t>
                  </w:r>
                </w:p>
              </w:tc>
              <w:tc>
                <w:tcPr>
                  <w:tcW w:w="1084" w:type="dxa"/>
                  <w:vAlign w:val="center"/>
                </w:tcPr>
                <w:p w14:paraId="7FBC9B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0.21</w:t>
                  </w:r>
                </w:p>
              </w:tc>
              <w:tc>
                <w:tcPr>
                  <w:tcW w:w="1084" w:type="dxa"/>
                  <w:vAlign w:val="center"/>
                </w:tcPr>
                <w:p w14:paraId="55273F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r>
            <w:tr w14:paraId="0CC1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1E04C5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16E407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161" w:type="dxa"/>
                  <w:vAlign w:val="center"/>
                </w:tcPr>
                <w:p w14:paraId="10222F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w:t>
                  </w:r>
                </w:p>
              </w:tc>
              <w:tc>
                <w:tcPr>
                  <w:tcW w:w="1259" w:type="dxa"/>
                  <w:vAlign w:val="center"/>
                </w:tcPr>
                <w:p w14:paraId="48BF95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215B9D0A">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0.01</w:t>
                  </w:r>
                </w:p>
              </w:tc>
              <w:tc>
                <w:tcPr>
                  <w:tcW w:w="991" w:type="dxa"/>
                  <w:vAlign w:val="center"/>
                </w:tcPr>
                <w:p w14:paraId="2504E2F6">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0.11</w:t>
                  </w:r>
                </w:p>
              </w:tc>
              <w:tc>
                <w:tcPr>
                  <w:tcW w:w="1084" w:type="dxa"/>
                  <w:vAlign w:val="center"/>
                </w:tcPr>
                <w:p w14:paraId="4BA759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0.10</w:t>
                  </w:r>
                </w:p>
              </w:tc>
              <w:tc>
                <w:tcPr>
                  <w:tcW w:w="1084" w:type="dxa"/>
                  <w:vAlign w:val="center"/>
                </w:tcPr>
                <w:p w14:paraId="3E3C06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w:t>
                  </w:r>
                </w:p>
              </w:tc>
            </w:tr>
            <w:tr w14:paraId="2071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0F240E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098B1D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161" w:type="dxa"/>
                  <w:vAlign w:val="center"/>
                </w:tcPr>
                <w:p w14:paraId="5B8557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14</w:t>
                  </w:r>
                </w:p>
              </w:tc>
              <w:tc>
                <w:tcPr>
                  <w:tcW w:w="1259" w:type="dxa"/>
                  <w:vAlign w:val="center"/>
                </w:tcPr>
                <w:p w14:paraId="35F98B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6CDD2C78">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0.01</w:t>
                  </w:r>
                </w:p>
              </w:tc>
              <w:tc>
                <w:tcPr>
                  <w:tcW w:w="991" w:type="dxa"/>
                  <w:vAlign w:val="center"/>
                </w:tcPr>
                <w:p w14:paraId="5E2A47B5">
                  <w:pPr>
                    <w:keepNext w:val="0"/>
                    <w:keepLines w:val="0"/>
                    <w:widowControl/>
                    <w:suppressLineNumbers w:val="0"/>
                    <w:jc w:val="center"/>
                    <w:textAlignment w:val="center"/>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0.08</w:t>
                  </w:r>
                </w:p>
              </w:tc>
              <w:tc>
                <w:tcPr>
                  <w:tcW w:w="1084" w:type="dxa"/>
                  <w:vAlign w:val="center"/>
                </w:tcPr>
                <w:p w14:paraId="05D5FA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c>
                <w:tcPr>
                  <w:tcW w:w="1084" w:type="dxa"/>
                  <w:vAlign w:val="center"/>
                </w:tcPr>
                <w:p w14:paraId="09A7CB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r>
            <w:tr w14:paraId="03E7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218F48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6DC800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氨氮</w:t>
                  </w:r>
                </w:p>
              </w:tc>
              <w:tc>
                <w:tcPr>
                  <w:tcW w:w="1161" w:type="dxa"/>
                  <w:vAlign w:val="center"/>
                </w:tcPr>
                <w:p w14:paraId="7E4BAE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03</w:t>
                  </w:r>
                </w:p>
              </w:tc>
              <w:tc>
                <w:tcPr>
                  <w:tcW w:w="1259" w:type="dxa"/>
                  <w:vAlign w:val="center"/>
                </w:tcPr>
                <w:p w14:paraId="301384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1C8D7D1A">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0.003</w:t>
                  </w:r>
                </w:p>
              </w:tc>
              <w:tc>
                <w:tcPr>
                  <w:tcW w:w="991" w:type="dxa"/>
                  <w:vAlign w:val="center"/>
                </w:tcPr>
                <w:p w14:paraId="62017C71">
                  <w:pPr>
                    <w:pStyle w:val="53"/>
                    <w:bidi w:val="0"/>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w:t>
                  </w:r>
                </w:p>
              </w:tc>
              <w:tc>
                <w:tcPr>
                  <w:tcW w:w="1084" w:type="dxa"/>
                  <w:vAlign w:val="center"/>
                </w:tcPr>
                <w:p w14:paraId="16C4DC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w:t>
                  </w:r>
                </w:p>
              </w:tc>
              <w:tc>
                <w:tcPr>
                  <w:tcW w:w="1084" w:type="dxa"/>
                  <w:vAlign w:val="center"/>
                </w:tcPr>
                <w:p w14:paraId="59E336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748F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restart"/>
                  <w:vAlign w:val="center"/>
                </w:tcPr>
                <w:p w14:paraId="560319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废气</w:t>
                  </w:r>
                </w:p>
              </w:tc>
              <w:tc>
                <w:tcPr>
                  <w:tcW w:w="1084" w:type="dxa"/>
                  <w:vAlign w:val="center"/>
                </w:tcPr>
                <w:p w14:paraId="7E649B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非甲烷总烃</w:t>
                  </w:r>
                </w:p>
              </w:tc>
              <w:tc>
                <w:tcPr>
                  <w:tcW w:w="1161" w:type="dxa"/>
                  <w:vAlign w:val="center"/>
                </w:tcPr>
                <w:p w14:paraId="4D5931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0.038</w:t>
                  </w:r>
                </w:p>
              </w:tc>
              <w:tc>
                <w:tcPr>
                  <w:tcW w:w="1259" w:type="dxa"/>
                  <w:vAlign w:val="center"/>
                </w:tcPr>
                <w:p w14:paraId="31EC7E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249BB289">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1.1578</w:t>
                  </w:r>
                </w:p>
              </w:tc>
              <w:tc>
                <w:tcPr>
                  <w:tcW w:w="991" w:type="dxa"/>
                  <w:vAlign w:val="center"/>
                </w:tcPr>
                <w:p w14:paraId="00247F9E">
                  <w:pPr>
                    <w:pStyle w:val="53"/>
                    <w:bidi w:val="0"/>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0.029</w:t>
                  </w:r>
                </w:p>
              </w:tc>
              <w:tc>
                <w:tcPr>
                  <w:tcW w:w="1084" w:type="dxa"/>
                  <w:vAlign w:val="center"/>
                </w:tcPr>
                <w:p w14:paraId="52D93E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1.1668</w:t>
                  </w:r>
                </w:p>
              </w:tc>
              <w:tc>
                <w:tcPr>
                  <w:tcW w:w="1084" w:type="dxa"/>
                  <w:vAlign w:val="center"/>
                </w:tcPr>
                <w:p w14:paraId="4C251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+1.1288</w:t>
                  </w:r>
                </w:p>
              </w:tc>
            </w:tr>
            <w:tr w14:paraId="3DC0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3AC3550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11A7A6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苯乙烯</w:t>
                  </w:r>
                </w:p>
              </w:tc>
              <w:tc>
                <w:tcPr>
                  <w:tcW w:w="1161" w:type="dxa"/>
                  <w:vAlign w:val="center"/>
                </w:tcPr>
                <w:p w14:paraId="785B3F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259" w:type="dxa"/>
                  <w:vAlign w:val="center"/>
                </w:tcPr>
                <w:p w14:paraId="5EDCE8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628EFF71">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0.3374</w:t>
                  </w:r>
                </w:p>
              </w:tc>
              <w:tc>
                <w:tcPr>
                  <w:tcW w:w="991" w:type="dxa"/>
                  <w:vAlign w:val="center"/>
                </w:tcPr>
                <w:p w14:paraId="06200076">
                  <w:pPr>
                    <w:pStyle w:val="53"/>
                    <w:bidi w:val="0"/>
                    <w:rPr>
                      <w:rFonts w:hint="default"/>
                      <w:color w:val="auto"/>
                      <w:lang w:val="en-US" w:eastAsia="zh-CN"/>
                    </w:rPr>
                  </w:pPr>
                  <w:r>
                    <w:rPr>
                      <w:rFonts w:hint="eastAsia"/>
                      <w:color w:val="auto"/>
                      <w:lang w:val="en-US" w:eastAsia="zh-CN"/>
                    </w:rPr>
                    <w:t>/</w:t>
                  </w:r>
                </w:p>
              </w:tc>
              <w:tc>
                <w:tcPr>
                  <w:tcW w:w="1084" w:type="dxa"/>
                  <w:vAlign w:val="center"/>
                </w:tcPr>
                <w:p w14:paraId="55795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0.3374</w:t>
                  </w:r>
                </w:p>
              </w:tc>
              <w:tc>
                <w:tcPr>
                  <w:tcW w:w="1084" w:type="dxa"/>
                  <w:vAlign w:val="center"/>
                </w:tcPr>
                <w:p w14:paraId="7F73F7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+0.3374</w:t>
                  </w:r>
                </w:p>
              </w:tc>
            </w:tr>
            <w:tr w14:paraId="0AA8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restart"/>
                  <w:vAlign w:val="center"/>
                </w:tcPr>
                <w:p w14:paraId="6FD89D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固体废物</w:t>
                  </w:r>
                </w:p>
              </w:tc>
              <w:tc>
                <w:tcPr>
                  <w:tcW w:w="1084" w:type="dxa"/>
                  <w:vAlign w:val="center"/>
                </w:tcPr>
                <w:p w14:paraId="08AE82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生活垃圾</w:t>
                  </w:r>
                </w:p>
              </w:tc>
              <w:tc>
                <w:tcPr>
                  <w:tcW w:w="1161" w:type="dxa"/>
                  <w:vAlign w:val="center"/>
                </w:tcPr>
                <w:p w14:paraId="46FE43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11.55</w:t>
                  </w:r>
                </w:p>
              </w:tc>
              <w:tc>
                <w:tcPr>
                  <w:tcW w:w="1259" w:type="dxa"/>
                  <w:vAlign w:val="center"/>
                </w:tcPr>
                <w:p w14:paraId="517C0E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45CD4B74">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1.65</w:t>
                  </w:r>
                </w:p>
              </w:tc>
              <w:tc>
                <w:tcPr>
                  <w:tcW w:w="991" w:type="dxa"/>
                  <w:vAlign w:val="center"/>
                </w:tcPr>
                <w:p w14:paraId="38D92ED8">
                  <w:pPr>
                    <w:pStyle w:val="53"/>
                    <w:bidi w:val="0"/>
                    <w:rPr>
                      <w:rFonts w:hint="default"/>
                      <w:color w:val="auto"/>
                      <w:lang w:val="en-US" w:eastAsia="zh-CN"/>
                    </w:rPr>
                  </w:pPr>
                  <w:r>
                    <w:rPr>
                      <w:rFonts w:hint="eastAsia"/>
                      <w:color w:val="auto"/>
                      <w:lang w:val="en-US" w:eastAsia="zh-CN"/>
                    </w:rPr>
                    <w:t>0.05</w:t>
                  </w:r>
                </w:p>
              </w:tc>
              <w:tc>
                <w:tcPr>
                  <w:tcW w:w="1084" w:type="dxa"/>
                  <w:vAlign w:val="center"/>
                </w:tcPr>
                <w:p w14:paraId="7A4EB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13.2</w:t>
                  </w:r>
                </w:p>
              </w:tc>
              <w:tc>
                <w:tcPr>
                  <w:tcW w:w="1084" w:type="dxa"/>
                  <w:vAlign w:val="center"/>
                </w:tcPr>
                <w:p w14:paraId="72EE82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+1.7</w:t>
                  </w:r>
                </w:p>
              </w:tc>
            </w:tr>
            <w:tr w14:paraId="3BA8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7192B4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6ADBBD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不合格品</w:t>
                  </w:r>
                </w:p>
              </w:tc>
              <w:tc>
                <w:tcPr>
                  <w:tcW w:w="1161" w:type="dxa"/>
                  <w:vAlign w:val="center"/>
                </w:tcPr>
                <w:p w14:paraId="0F98EF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1259" w:type="dxa"/>
                  <w:vAlign w:val="center"/>
                </w:tcPr>
                <w:p w14:paraId="19F5C9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7AFC9B62">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356</w:t>
                  </w:r>
                </w:p>
              </w:tc>
              <w:tc>
                <w:tcPr>
                  <w:tcW w:w="991" w:type="dxa"/>
                  <w:vAlign w:val="center"/>
                </w:tcPr>
                <w:p w14:paraId="63481FCB">
                  <w:pPr>
                    <w:pStyle w:val="53"/>
                    <w:bidi w:val="0"/>
                    <w:rPr>
                      <w:rFonts w:hint="default"/>
                      <w:color w:val="auto"/>
                      <w:lang w:val="en-US" w:eastAsia="zh-CN"/>
                    </w:rPr>
                  </w:pPr>
                  <w:r>
                    <w:rPr>
                      <w:rFonts w:hint="eastAsia"/>
                      <w:color w:val="auto"/>
                      <w:lang w:val="en-US" w:eastAsia="zh-CN"/>
                    </w:rPr>
                    <w:t>3</w:t>
                  </w:r>
                </w:p>
              </w:tc>
              <w:tc>
                <w:tcPr>
                  <w:tcW w:w="1084" w:type="dxa"/>
                  <w:vAlign w:val="center"/>
                </w:tcPr>
                <w:p w14:paraId="758A4F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428</w:t>
                  </w:r>
                </w:p>
              </w:tc>
              <w:tc>
                <w:tcPr>
                  <w:tcW w:w="1084" w:type="dxa"/>
                  <w:vAlign w:val="center"/>
                </w:tcPr>
                <w:p w14:paraId="447131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+353</w:t>
                  </w:r>
                </w:p>
              </w:tc>
            </w:tr>
            <w:tr w14:paraId="7684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13BFD8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2E7E4B5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废活性炭</w:t>
                  </w:r>
                </w:p>
              </w:tc>
              <w:tc>
                <w:tcPr>
                  <w:tcW w:w="1161" w:type="dxa"/>
                  <w:vAlign w:val="center"/>
                </w:tcPr>
                <w:p w14:paraId="2D5EBC2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259" w:type="dxa"/>
                  <w:vAlign w:val="center"/>
                </w:tcPr>
                <w:p w14:paraId="7906FF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031E5863">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15.52</w:t>
                  </w:r>
                </w:p>
              </w:tc>
              <w:tc>
                <w:tcPr>
                  <w:tcW w:w="991" w:type="dxa"/>
                  <w:vAlign w:val="center"/>
                </w:tcPr>
                <w:p w14:paraId="34996B81">
                  <w:pPr>
                    <w:pStyle w:val="53"/>
                    <w:bidi w:val="0"/>
                    <w:rPr>
                      <w:rFonts w:hint="default"/>
                      <w:color w:val="auto"/>
                      <w:lang w:val="en-US" w:eastAsia="zh-CN"/>
                    </w:rPr>
                  </w:pPr>
                  <w:r>
                    <w:rPr>
                      <w:rFonts w:hint="eastAsia"/>
                      <w:color w:val="auto"/>
                      <w:lang w:val="en-US" w:eastAsia="zh-CN"/>
                    </w:rPr>
                    <w:t>/</w:t>
                  </w:r>
                </w:p>
              </w:tc>
              <w:tc>
                <w:tcPr>
                  <w:tcW w:w="1084" w:type="dxa"/>
                  <w:vAlign w:val="center"/>
                </w:tcPr>
                <w:p w14:paraId="757F73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15.52</w:t>
                  </w:r>
                </w:p>
              </w:tc>
              <w:tc>
                <w:tcPr>
                  <w:tcW w:w="1084" w:type="dxa"/>
                  <w:vAlign w:val="center"/>
                </w:tcPr>
                <w:p w14:paraId="153F3A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+15.52</w:t>
                  </w:r>
                </w:p>
              </w:tc>
            </w:tr>
            <w:tr w14:paraId="226E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3C4FA4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02215F9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废液压油</w:t>
                  </w:r>
                </w:p>
              </w:tc>
              <w:tc>
                <w:tcPr>
                  <w:tcW w:w="1161" w:type="dxa"/>
                  <w:vAlign w:val="center"/>
                </w:tcPr>
                <w:p w14:paraId="5345595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259" w:type="dxa"/>
                  <w:vAlign w:val="center"/>
                </w:tcPr>
                <w:p w14:paraId="740C0C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66" w:type="dxa"/>
                  <w:vAlign w:val="center"/>
                </w:tcPr>
                <w:p w14:paraId="60981F50">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0.08</w:t>
                  </w:r>
                </w:p>
              </w:tc>
              <w:tc>
                <w:tcPr>
                  <w:tcW w:w="991" w:type="dxa"/>
                  <w:vAlign w:val="center"/>
                </w:tcPr>
                <w:p w14:paraId="1986EAAB">
                  <w:pPr>
                    <w:pStyle w:val="53"/>
                    <w:bidi w:val="0"/>
                    <w:rPr>
                      <w:rFonts w:hint="default"/>
                      <w:color w:val="auto"/>
                      <w:lang w:val="en-US" w:eastAsia="zh-CN"/>
                    </w:rPr>
                  </w:pPr>
                  <w:r>
                    <w:rPr>
                      <w:rFonts w:hint="eastAsia"/>
                      <w:color w:val="auto"/>
                      <w:lang w:val="en-US" w:eastAsia="zh-CN"/>
                    </w:rPr>
                    <w:t>/</w:t>
                  </w:r>
                </w:p>
              </w:tc>
              <w:tc>
                <w:tcPr>
                  <w:tcW w:w="1084" w:type="dxa"/>
                  <w:vAlign w:val="center"/>
                </w:tcPr>
                <w:p w14:paraId="4419E8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c>
                <w:tcPr>
                  <w:tcW w:w="1084" w:type="dxa"/>
                  <w:vAlign w:val="center"/>
                </w:tcPr>
                <w:p w14:paraId="4A4C92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r>
            <w:tr w14:paraId="0B9B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dxa"/>
                  <w:vMerge w:val="continue"/>
                  <w:vAlign w:val="center"/>
                </w:tcPr>
                <w:p w14:paraId="656826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84" w:type="dxa"/>
                  <w:vAlign w:val="center"/>
                </w:tcPr>
                <w:p w14:paraId="2504B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污泥</w:t>
                  </w:r>
                </w:p>
              </w:tc>
              <w:tc>
                <w:tcPr>
                  <w:tcW w:w="1161" w:type="dxa"/>
                  <w:vAlign w:val="center"/>
                </w:tcPr>
                <w:p w14:paraId="4FA27B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259" w:type="dxa"/>
                  <w:vAlign w:val="center"/>
                </w:tcPr>
                <w:p w14:paraId="676357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166" w:type="dxa"/>
                  <w:vAlign w:val="center"/>
                </w:tcPr>
                <w:p w14:paraId="0757DCED">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3.63</w:t>
                  </w:r>
                </w:p>
              </w:tc>
              <w:tc>
                <w:tcPr>
                  <w:tcW w:w="991" w:type="dxa"/>
                  <w:vAlign w:val="center"/>
                </w:tcPr>
                <w:p w14:paraId="1ED9A6A3">
                  <w:pPr>
                    <w:pStyle w:val="53"/>
                    <w:bidi w:val="0"/>
                    <w:rPr>
                      <w:rFonts w:hint="default"/>
                      <w:color w:val="auto"/>
                      <w:lang w:val="en-US" w:eastAsia="zh-CN"/>
                    </w:rPr>
                  </w:pPr>
                  <w:r>
                    <w:rPr>
                      <w:rFonts w:hint="eastAsia"/>
                      <w:color w:val="auto"/>
                      <w:lang w:val="en-US" w:eastAsia="zh-CN"/>
                    </w:rPr>
                    <w:t>/</w:t>
                  </w:r>
                </w:p>
              </w:tc>
              <w:tc>
                <w:tcPr>
                  <w:tcW w:w="1084" w:type="dxa"/>
                  <w:vAlign w:val="center"/>
                </w:tcPr>
                <w:p w14:paraId="41C141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3.63</w:t>
                  </w:r>
                </w:p>
              </w:tc>
              <w:tc>
                <w:tcPr>
                  <w:tcW w:w="1084" w:type="dxa"/>
                  <w:vAlign w:val="center"/>
                </w:tcPr>
                <w:p w14:paraId="22E999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+3.63</w:t>
                  </w:r>
                </w:p>
              </w:tc>
            </w:tr>
            <w:tr w14:paraId="6710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8623" w:type="dxa"/>
                  <w:gridSpan w:val="8"/>
                  <w:vAlign w:val="center"/>
                </w:tcPr>
                <w:p w14:paraId="4751BA5E">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注：</w:t>
                  </w:r>
                </w:p>
                <w:p w14:paraId="2C0A7620">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④=①×污染物去除效率</w:t>
                  </w:r>
                </w:p>
                <w:p w14:paraId="06388DB4">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⑤=①+③-④=0.038t/a+1.1578t/a-0.029t/a=1.1668t/a</w:t>
                  </w:r>
                </w:p>
                <w:p w14:paraId="15D9C14D">
                  <w:pPr>
                    <w:keepNext w:val="0"/>
                    <w:keepLines w:val="0"/>
                    <w:widowControl/>
                    <w:suppressLineNumbers w:val="0"/>
                    <w:jc w:val="left"/>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⑥=⑤-①</w:t>
                  </w:r>
                </w:p>
              </w:tc>
            </w:tr>
          </w:tbl>
          <w:p w14:paraId="2B9AF772">
            <w:pPr>
              <w:pStyle w:val="11"/>
              <w:rPr>
                <w:rFonts w:hint="default"/>
                <w:lang w:eastAsia="zh-CN"/>
              </w:rPr>
            </w:pPr>
          </w:p>
        </w:tc>
      </w:tr>
    </w:tbl>
    <w:p w14:paraId="71689230">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76" w:name="_Toc7756"/>
      <w:bookmarkStart w:id="77" w:name="_Toc10692"/>
      <w:bookmarkStart w:id="78" w:name="_Toc29722"/>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76"/>
      <w:bookmarkEnd w:id="77"/>
      <w:bookmarkEnd w:id="78"/>
    </w:p>
    <w:tbl>
      <w:tblPr>
        <w:tblStyle w:val="24"/>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49"/>
      </w:tblGrid>
      <w:tr w14:paraId="5928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456" w:type="dxa"/>
            <w:vAlign w:val="center"/>
          </w:tcPr>
          <w:p w14:paraId="6C317A8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区域</w:t>
            </w:r>
          </w:p>
          <w:p w14:paraId="08C004F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环境</w:t>
            </w:r>
          </w:p>
          <w:p w14:paraId="04B5633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质量</w:t>
            </w:r>
          </w:p>
          <w:p w14:paraId="4E3DDE17">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ascii="Times New Roman" w:hAnsi="Times New Roman" w:eastAsia="宋体" w:cs="Times New Roman"/>
                <w:bCs/>
                <w:kern w:val="2"/>
                <w:sz w:val="24"/>
                <w:szCs w:val="24"/>
              </w:rPr>
              <w:t>现状</w:t>
            </w:r>
          </w:p>
        </w:tc>
        <w:tc>
          <w:tcPr>
            <w:tcW w:w="8749" w:type="dxa"/>
          </w:tcPr>
          <w:p w14:paraId="1260C99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9" w:name="_Toc8463"/>
            <w:bookmarkStart w:id="80" w:name="_Toc32076"/>
            <w:r>
              <w:rPr>
                <w:rFonts w:hint="eastAsia" w:ascii="Times New Roman" w:hAnsi="Times New Roman" w:eastAsia="宋体" w:cs="Times New Roman"/>
                <w:color w:val="auto"/>
                <w:sz w:val="28"/>
                <w:szCs w:val="28"/>
                <w:u w:val="none"/>
                <w:lang w:val="en-US" w:eastAsia="zh-CN"/>
              </w:rPr>
              <w:t>3.1大气环境质量现状</w:t>
            </w:r>
            <w:bookmarkEnd w:id="79"/>
            <w:bookmarkEnd w:id="80"/>
          </w:p>
          <w:p w14:paraId="56D4C9B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81" w:name="_Toc4517"/>
            <w:bookmarkStart w:id="82" w:name="_Toc12539"/>
            <w:r>
              <w:rPr>
                <w:rFonts w:hint="eastAsia" w:ascii="Times New Roman" w:hAnsi="Times New Roman" w:eastAsia="宋体" w:cs="Times New Roman"/>
                <w:b/>
                <w:bCs/>
                <w:color w:val="auto"/>
                <w:sz w:val="24"/>
                <w:szCs w:val="24"/>
                <w:u w:val="none"/>
                <w:lang w:val="en-US" w:eastAsia="zh-CN"/>
              </w:rPr>
              <w:t>3.1.1环境空气质量功能区划</w:t>
            </w:r>
            <w:bookmarkEnd w:id="81"/>
            <w:bookmarkEnd w:id="82"/>
          </w:p>
          <w:p w14:paraId="1791B67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val="0"/>
                <w:bCs w:val="0"/>
                <w:color w:val="auto"/>
                <w:kern w:val="0"/>
                <w:sz w:val="24"/>
                <w:szCs w:val="24"/>
                <w:highlight w:val="none"/>
                <w:u w:val="none"/>
                <w:lang w:val="en-US" w:eastAsia="zh-CN" w:bidi="ar-SA"/>
              </w:rPr>
            </w:pPr>
            <w:bookmarkStart w:id="83" w:name="_Toc338850492"/>
            <w:bookmarkStart w:id="84" w:name="_Toc339964236"/>
            <w:r>
              <w:rPr>
                <w:rFonts w:hint="default" w:ascii="Times New Roman" w:hAnsi="Times New Roman" w:eastAsia="宋体" w:cs="Times New Roman"/>
                <w:b w:val="0"/>
                <w:bCs w:val="0"/>
                <w:color w:val="auto"/>
                <w:kern w:val="0"/>
                <w:sz w:val="24"/>
                <w:szCs w:val="24"/>
                <w:highlight w:val="none"/>
                <w:u w:val="none"/>
                <w:lang w:val="en-US" w:eastAsia="zh-CN" w:bidi="ar-SA"/>
              </w:rPr>
              <w:t>根据福州市人民政府榕政综</w:t>
            </w:r>
            <w:r>
              <w:rPr>
                <w:rFonts w:hint="eastAsia" w:ascii="Times New Roman" w:hAnsi="Times New Roman" w:eastAsia="宋体" w:cs="Times New Roman"/>
                <w:b w:val="0"/>
                <w:bCs w:val="0"/>
                <w:color w:val="auto"/>
                <w:kern w:val="0"/>
                <w:sz w:val="24"/>
                <w:szCs w:val="24"/>
                <w:highlight w:val="none"/>
                <w:u w:val="none"/>
                <w:lang w:val="en-US" w:eastAsia="zh-CN" w:bidi="ar-SA"/>
              </w:rPr>
              <w:t>〔2014〕30号</w:t>
            </w:r>
            <w:r>
              <w:rPr>
                <w:rFonts w:hint="default" w:ascii="Times New Roman" w:hAnsi="Times New Roman" w:eastAsia="宋体" w:cs="Times New Roman"/>
                <w:b w:val="0"/>
                <w:bCs w:val="0"/>
                <w:color w:val="auto"/>
                <w:kern w:val="0"/>
                <w:sz w:val="24"/>
                <w:szCs w:val="24"/>
                <w:highlight w:val="none"/>
                <w:u w:val="none"/>
                <w:lang w:val="en-US" w:eastAsia="zh-CN" w:bidi="ar-SA"/>
              </w:rPr>
              <w:t>文件正式批准实施《福州市环境空气质量功能区划</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报批稿</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》的规定，项目所在区域环境空气功能规划为二类区，环境空气质量执行《环境空气质量标准》</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GB3095-2012</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及其修改单中的二级标准。项目</w:t>
            </w:r>
            <w:r>
              <w:rPr>
                <w:rFonts w:hint="eastAsia" w:ascii="Times New Roman" w:hAnsi="Times New Roman" w:eastAsia="宋体" w:cs="Times New Roman"/>
                <w:b w:val="0"/>
                <w:bCs w:val="0"/>
                <w:color w:val="auto"/>
                <w:kern w:val="0"/>
                <w:sz w:val="24"/>
                <w:szCs w:val="24"/>
                <w:highlight w:val="none"/>
                <w:u w:val="none"/>
                <w:lang w:val="en-US" w:eastAsia="zh-CN" w:bidi="ar-SA"/>
              </w:rPr>
              <w:t>其他污染因子</w:t>
            </w:r>
            <w:r>
              <w:rPr>
                <w:rFonts w:hint="default" w:ascii="Times New Roman" w:hAnsi="Times New Roman" w:eastAsia="宋体" w:cs="Times New Roman"/>
                <w:b w:val="0"/>
                <w:bCs w:val="0"/>
                <w:color w:val="auto"/>
                <w:kern w:val="0"/>
                <w:sz w:val="24"/>
                <w:szCs w:val="24"/>
                <w:highlight w:val="none"/>
                <w:u w:val="none"/>
                <w:lang w:val="en-US" w:eastAsia="zh-CN" w:bidi="ar-SA"/>
              </w:rPr>
              <w:t>非甲烷总烃参照执行《大气污染物综合排放标准详解》</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国家</w:t>
            </w:r>
            <w:r>
              <w:rPr>
                <w:rFonts w:hint="eastAsia" w:ascii="Times New Roman" w:hAnsi="Times New Roman" w:eastAsia="宋体" w:cs="Times New Roman"/>
                <w:b w:val="0"/>
                <w:bCs w:val="0"/>
                <w:color w:val="auto"/>
                <w:kern w:val="0"/>
                <w:sz w:val="24"/>
                <w:szCs w:val="24"/>
                <w:highlight w:val="none"/>
                <w:u w:val="none"/>
                <w:lang w:val="en-US" w:eastAsia="zh-CN" w:bidi="ar-SA"/>
              </w:rPr>
              <w:t>生态环境局</w:t>
            </w:r>
            <w:r>
              <w:rPr>
                <w:rFonts w:hint="default" w:ascii="Times New Roman" w:hAnsi="Times New Roman" w:eastAsia="宋体" w:cs="Times New Roman"/>
                <w:b w:val="0"/>
                <w:bCs w:val="0"/>
                <w:color w:val="auto"/>
                <w:kern w:val="0"/>
                <w:sz w:val="24"/>
                <w:szCs w:val="24"/>
                <w:highlight w:val="none"/>
                <w:u w:val="none"/>
                <w:lang w:val="en-US" w:eastAsia="zh-CN" w:bidi="ar-SA"/>
              </w:rPr>
              <w:t>科技标准司</w:t>
            </w:r>
            <w:r>
              <w:rPr>
                <w:rFonts w:hint="eastAsia" w:ascii="Times New Roman" w:hAnsi="Times New Roman" w:eastAsia="宋体" w:cs="Times New Roman"/>
                <w:b w:val="0"/>
                <w:bCs w:val="0"/>
                <w:color w:val="auto"/>
                <w:kern w:val="0"/>
                <w:sz w:val="24"/>
                <w:szCs w:val="24"/>
                <w:highlight w:val="none"/>
                <w:u w:val="none"/>
                <w:lang w:val="en-US" w:eastAsia="zh-CN" w:bidi="ar-SA"/>
              </w:rPr>
              <w:t>，1996年8月</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中规定的标准限值，具体详见表3.1-1。</w:t>
            </w:r>
            <w:bookmarkEnd w:id="83"/>
            <w:bookmarkEnd w:id="84"/>
          </w:p>
          <w:p w14:paraId="5D333AF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表3.1-1项目环境空气标准一览表</w:t>
            </w:r>
          </w:p>
          <w:tbl>
            <w:tblPr>
              <w:tblStyle w:val="23"/>
              <w:tblW w:w="8533"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504"/>
              <w:gridCol w:w="1980"/>
              <w:gridCol w:w="1229"/>
              <w:gridCol w:w="3820"/>
            </w:tblGrid>
            <w:tr w14:paraId="25E04B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Align w:val="center"/>
                </w:tcPr>
                <w:p w14:paraId="6D2F348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980" w:type="dxa"/>
                  <w:vAlign w:val="center"/>
                </w:tcPr>
                <w:p w14:paraId="7D84B0B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1229" w:type="dxa"/>
                  <w:vAlign w:val="center"/>
                </w:tcPr>
                <w:p w14:paraId="49E9822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3820" w:type="dxa"/>
                  <w:vAlign w:val="center"/>
                </w:tcPr>
                <w:p w14:paraId="63B2E7D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4204C9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restart"/>
                  <w:vAlign w:val="center"/>
                </w:tcPr>
                <w:p w14:paraId="25C5F1A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980" w:type="dxa"/>
                  <w:vAlign w:val="center"/>
                </w:tcPr>
                <w:p w14:paraId="080BB41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229" w:type="dxa"/>
                  <w:vAlign w:val="center"/>
                </w:tcPr>
                <w:p w14:paraId="6460422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70μg/m</w:t>
                  </w:r>
                  <w:r>
                    <w:rPr>
                      <w:rFonts w:hint="default" w:ascii="Times New Roman" w:hAnsi="Times New Roman" w:eastAsia="宋体" w:cs="Times New Roman"/>
                      <w:color w:val="auto"/>
                      <w:sz w:val="21"/>
                      <w:szCs w:val="21"/>
                      <w:vertAlign w:val="superscript"/>
                    </w:rPr>
                    <w:t>3</w:t>
                  </w:r>
                </w:p>
              </w:tc>
              <w:tc>
                <w:tcPr>
                  <w:tcW w:w="3820" w:type="dxa"/>
                  <w:vMerge w:val="restart"/>
                  <w:vAlign w:val="center"/>
                </w:tcPr>
                <w:p w14:paraId="41115C3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GB309</w:t>
                  </w:r>
                  <w:r>
                    <w:rPr>
                      <w:rFonts w:hint="default" w:ascii="Times New Roman" w:hAnsi="Times New Roman" w:eastAsia="宋体" w:cs="Times New Roman"/>
                      <w:color w:val="auto"/>
                      <w:sz w:val="21"/>
                      <w:szCs w:val="21"/>
                      <w:lang w:eastAsia="zh-CN"/>
                    </w:rPr>
                    <w:t>6-2</w:t>
                  </w:r>
                  <w:r>
                    <w:rPr>
                      <w:rFonts w:hint="default" w:ascii="Times New Roman" w:hAnsi="Times New Roman" w:eastAsia="宋体" w:cs="Times New Roman"/>
                      <w:color w:val="auto"/>
                      <w:sz w:val="21"/>
                      <w:szCs w:val="21"/>
                    </w:rPr>
                    <w:t>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及其修改单中的二级标准</w:t>
                  </w:r>
                </w:p>
              </w:tc>
            </w:tr>
            <w:tr w14:paraId="48FC9C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continue"/>
                  <w:vAlign w:val="center"/>
                </w:tcPr>
                <w:p w14:paraId="4686025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980" w:type="dxa"/>
                  <w:vAlign w:val="center"/>
                </w:tcPr>
                <w:p w14:paraId="207B994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29" w:type="dxa"/>
                  <w:vAlign w:val="center"/>
                </w:tcPr>
                <w:p w14:paraId="40DE604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54894C0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FBCCA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restart"/>
                  <w:vAlign w:val="center"/>
                </w:tcPr>
                <w:p w14:paraId="692D819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980" w:type="dxa"/>
                  <w:vAlign w:val="center"/>
                </w:tcPr>
                <w:p w14:paraId="109C2C5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229" w:type="dxa"/>
                  <w:vAlign w:val="center"/>
                </w:tcPr>
                <w:p w14:paraId="0D7D1A8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043B5C5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2747B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continue"/>
                  <w:vAlign w:val="center"/>
                </w:tcPr>
                <w:p w14:paraId="441A939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980" w:type="dxa"/>
                  <w:vAlign w:val="center"/>
                </w:tcPr>
                <w:p w14:paraId="5814036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29" w:type="dxa"/>
                  <w:vAlign w:val="center"/>
                </w:tcPr>
                <w:p w14:paraId="64B509E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4E2002B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1402FE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restart"/>
                  <w:vAlign w:val="center"/>
                </w:tcPr>
                <w:p w14:paraId="592730A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980" w:type="dxa"/>
                  <w:vAlign w:val="center"/>
                </w:tcPr>
                <w:p w14:paraId="7CA167C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229" w:type="dxa"/>
                  <w:vAlign w:val="center"/>
                </w:tcPr>
                <w:p w14:paraId="2C28344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589116A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41D796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continue"/>
                  <w:vAlign w:val="center"/>
                </w:tcPr>
                <w:p w14:paraId="5E2ABCA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980" w:type="dxa"/>
                  <w:vAlign w:val="center"/>
                </w:tcPr>
                <w:p w14:paraId="2E25567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29" w:type="dxa"/>
                  <w:vAlign w:val="center"/>
                </w:tcPr>
                <w:p w14:paraId="522C66F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704ACA5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D9EEC0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continue"/>
                  <w:vAlign w:val="center"/>
                </w:tcPr>
                <w:p w14:paraId="74FDB4E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980" w:type="dxa"/>
                  <w:vAlign w:val="center"/>
                </w:tcPr>
                <w:p w14:paraId="6D84E71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229" w:type="dxa"/>
                  <w:vAlign w:val="center"/>
                </w:tcPr>
                <w:p w14:paraId="47588CB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6F916FD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9E9B0B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restart"/>
                  <w:vAlign w:val="center"/>
                </w:tcPr>
                <w:p w14:paraId="67B317D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980" w:type="dxa"/>
                  <w:vAlign w:val="center"/>
                </w:tcPr>
                <w:p w14:paraId="7E9E2F1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229" w:type="dxa"/>
                  <w:vAlign w:val="center"/>
                </w:tcPr>
                <w:p w14:paraId="6426C8B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6E7166B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80421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continue"/>
                  <w:vAlign w:val="center"/>
                </w:tcPr>
                <w:p w14:paraId="2D4055F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980" w:type="dxa"/>
                  <w:vAlign w:val="center"/>
                </w:tcPr>
                <w:p w14:paraId="6F62FD40">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29" w:type="dxa"/>
                  <w:vAlign w:val="center"/>
                </w:tcPr>
                <w:p w14:paraId="159FA44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5122A0F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B59E6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continue"/>
                  <w:vAlign w:val="center"/>
                </w:tcPr>
                <w:p w14:paraId="0C85180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980" w:type="dxa"/>
                  <w:vAlign w:val="center"/>
                </w:tcPr>
                <w:p w14:paraId="4282DF8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229" w:type="dxa"/>
                  <w:vAlign w:val="center"/>
                </w:tcPr>
                <w:p w14:paraId="46FC245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138C2B2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51A8C45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restart"/>
                  <w:vAlign w:val="center"/>
                </w:tcPr>
                <w:p w14:paraId="4EE1BECE">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w:t>
                  </w:r>
                </w:p>
              </w:tc>
              <w:tc>
                <w:tcPr>
                  <w:tcW w:w="1980" w:type="dxa"/>
                  <w:vAlign w:val="center"/>
                </w:tcPr>
                <w:p w14:paraId="057E2188">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29" w:type="dxa"/>
                  <w:vAlign w:val="center"/>
                </w:tcPr>
                <w:p w14:paraId="188EDED3">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4mg/m</w:t>
                  </w:r>
                  <w:r>
                    <w:rPr>
                      <w:rFonts w:hint="default" w:ascii="Times New Roman" w:hAnsi="Times New Roman" w:eastAsia="宋体" w:cs="Times New Roman"/>
                      <w:color w:val="auto"/>
                      <w:sz w:val="21"/>
                      <w:szCs w:val="21"/>
                      <w:vertAlign w:val="superscript"/>
                      <w:lang w:bidi="ar"/>
                    </w:rPr>
                    <w:t>3</w:t>
                  </w:r>
                </w:p>
              </w:tc>
              <w:tc>
                <w:tcPr>
                  <w:tcW w:w="3820" w:type="dxa"/>
                  <w:vMerge w:val="continue"/>
                  <w:vAlign w:val="center"/>
                </w:tcPr>
                <w:p w14:paraId="2AB317E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C3A17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continue"/>
                  <w:vAlign w:val="center"/>
                </w:tcPr>
                <w:p w14:paraId="1B49B24D">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980" w:type="dxa"/>
                  <w:vAlign w:val="center"/>
                </w:tcPr>
                <w:p w14:paraId="43208A6A">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1229" w:type="dxa"/>
                  <w:vAlign w:val="center"/>
                </w:tcPr>
                <w:p w14:paraId="525D11DF">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10mg/m</w:t>
                  </w:r>
                  <w:r>
                    <w:rPr>
                      <w:rFonts w:hint="default" w:ascii="Times New Roman" w:hAnsi="Times New Roman" w:eastAsia="宋体" w:cs="Times New Roman"/>
                      <w:color w:val="auto"/>
                      <w:sz w:val="21"/>
                      <w:szCs w:val="21"/>
                      <w:vertAlign w:val="superscript"/>
                      <w:lang w:bidi="ar"/>
                    </w:rPr>
                    <w:t>3</w:t>
                  </w:r>
                </w:p>
              </w:tc>
              <w:tc>
                <w:tcPr>
                  <w:tcW w:w="3820" w:type="dxa"/>
                  <w:vMerge w:val="continue"/>
                  <w:vAlign w:val="center"/>
                </w:tcPr>
                <w:p w14:paraId="2A494F6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8C21FE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restart"/>
                  <w:vAlign w:val="center"/>
                </w:tcPr>
                <w:p w14:paraId="7EE46027">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O</w:t>
                  </w:r>
                  <w:r>
                    <w:rPr>
                      <w:rFonts w:hint="default" w:ascii="Times New Roman" w:hAnsi="Times New Roman" w:eastAsia="宋体" w:cs="Times New Roman"/>
                      <w:color w:val="auto"/>
                      <w:sz w:val="21"/>
                      <w:szCs w:val="21"/>
                      <w:vertAlign w:val="subscript"/>
                      <w:lang w:bidi="ar"/>
                    </w:rPr>
                    <w:t>3</w:t>
                  </w:r>
                </w:p>
              </w:tc>
              <w:tc>
                <w:tcPr>
                  <w:tcW w:w="1980" w:type="dxa"/>
                  <w:vAlign w:val="center"/>
                </w:tcPr>
                <w:p w14:paraId="64759FF0">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日最大8小时平均</w:t>
                  </w:r>
                </w:p>
              </w:tc>
              <w:tc>
                <w:tcPr>
                  <w:tcW w:w="1229" w:type="dxa"/>
                  <w:vAlign w:val="center"/>
                </w:tcPr>
                <w:p w14:paraId="7F56867D">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1191F59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3780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Merge w:val="continue"/>
                  <w:vAlign w:val="center"/>
                </w:tcPr>
                <w:p w14:paraId="2CEA6294">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980" w:type="dxa"/>
                  <w:vAlign w:val="center"/>
                </w:tcPr>
                <w:p w14:paraId="06476270">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1229" w:type="dxa"/>
                  <w:vAlign w:val="center"/>
                </w:tcPr>
                <w:p w14:paraId="1E3529ED">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200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3820" w:type="dxa"/>
                  <w:vMerge w:val="continue"/>
                  <w:vAlign w:val="center"/>
                </w:tcPr>
                <w:p w14:paraId="185D341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0F715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1504" w:type="dxa"/>
                  <w:vAlign w:val="center"/>
                </w:tcPr>
                <w:p w14:paraId="0B943D9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980" w:type="dxa"/>
                  <w:vAlign w:val="center"/>
                </w:tcPr>
                <w:p w14:paraId="6820B5D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1小时均值</w:t>
                  </w:r>
                </w:p>
              </w:tc>
              <w:tc>
                <w:tcPr>
                  <w:tcW w:w="1229" w:type="dxa"/>
                  <w:vAlign w:val="center"/>
                </w:tcPr>
                <w:p w14:paraId="0CE409D0">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c>
                <w:tcPr>
                  <w:tcW w:w="3820" w:type="dxa"/>
                  <w:vAlign w:val="center"/>
                </w:tcPr>
                <w:p w14:paraId="4934AA6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eastAsia"/>
                    </w:rPr>
                    <w:t>《大气污染物综合排放标准详解》</w:t>
                  </w:r>
                  <w:r>
                    <w:rPr>
                      <w:rFonts w:hint="eastAsia"/>
                      <w:lang w:eastAsia="zh-CN"/>
                    </w:rPr>
                    <w:t>（</w:t>
                  </w:r>
                  <w:r>
                    <w:t>GB16297-1996</w:t>
                  </w:r>
                  <w:r>
                    <w:rPr>
                      <w:rFonts w:hint="eastAsia"/>
                      <w:lang w:eastAsia="zh-CN"/>
                    </w:rPr>
                    <w:t>）</w:t>
                  </w:r>
                  <w:r>
                    <w:rPr>
                      <w:rFonts w:hint="eastAsia"/>
                    </w:rPr>
                    <w:t>中的环境背景浓度取值</w:t>
                  </w:r>
                </w:p>
              </w:tc>
            </w:tr>
          </w:tbl>
          <w:p w14:paraId="0BA40C8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85" w:name="_Toc2371"/>
            <w:bookmarkStart w:id="86" w:name="_Toc4542"/>
            <w:r>
              <w:rPr>
                <w:rFonts w:hint="default" w:ascii="Times New Roman" w:hAnsi="Times New Roman" w:eastAsia="宋体" w:cs="Times New Roman"/>
                <w:b/>
                <w:bCs/>
                <w:color w:val="auto"/>
                <w:sz w:val="24"/>
                <w:szCs w:val="24"/>
                <w:u w:val="none"/>
                <w:lang w:val="en-US" w:eastAsia="zh-CN"/>
              </w:rPr>
              <w:t>3.1.2环境空气质量现状</w:t>
            </w:r>
            <w:bookmarkEnd w:id="85"/>
            <w:bookmarkEnd w:id="86"/>
          </w:p>
          <w:p w14:paraId="2CBA0D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常规</w:t>
            </w:r>
            <w:r>
              <w:rPr>
                <w:rFonts w:hint="default" w:ascii="Times New Roman" w:hAnsi="Times New Roman" w:eastAsia="宋体" w:cs="Times New Roman"/>
                <w:color w:val="auto"/>
                <w:sz w:val="24"/>
                <w:szCs w:val="24"/>
              </w:rPr>
              <w:t>污染因子</w:t>
            </w:r>
          </w:p>
          <w:p w14:paraId="2ACE347B">
            <w:pPr>
              <w:keepLines w:val="0"/>
              <w:pageBreakBefore w:val="0"/>
              <w:widowControl w:val="0"/>
              <w:tabs>
                <w:tab w:val="left" w:pos="840"/>
              </w:tabs>
              <w:kinsoku/>
              <w:wordWrap/>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①环境质量现状：</w:t>
            </w:r>
            <w:r>
              <w:rPr>
                <w:rFonts w:hint="default" w:ascii="Times New Roman" w:hAnsi="Times New Roman" w:eastAsia="宋体" w:cs="Times New Roman"/>
                <w:color w:val="auto"/>
                <w:kern w:val="0"/>
                <w:sz w:val="24"/>
                <w:szCs w:val="24"/>
              </w:rPr>
              <w:t>按《环境影响评价技术导则大气环境》</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HJ2.2-2018</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要求，城市环境空气质量达标情况评价指标为SO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、CO和O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，六项污染物全部达标即为城市环境空气质量达标。项目所在区域达标判定，优先采用国家或地方生态环境主管部门公开公布的评价基准年环境质量公告或环境质量报告中的数据或结论。</w:t>
            </w:r>
          </w:p>
          <w:p w14:paraId="71B803E3">
            <w:pPr>
              <w:pStyle w:val="44"/>
              <w:keepLines w:val="0"/>
              <w:pageBreakBefore w:val="0"/>
              <w:widowControl w:val="0"/>
              <w:kinsoku/>
              <w:wordWrap/>
              <w:topLinePunct w:val="0"/>
              <w:autoSpaceDE/>
              <w:autoSpaceDN/>
              <w:bidi w:val="0"/>
              <w:ind w:firstLine="480"/>
              <w:textAlignment w:val="auto"/>
              <w:outlineLvl w:val="9"/>
              <w:rPr>
                <w:rFonts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lang w:val="en-US" w:eastAsia="zh-CN"/>
              </w:rPr>
              <w:t>本次评价</w:t>
            </w:r>
            <w:r>
              <w:rPr>
                <w:rFonts w:hint="default" w:ascii="Times New Roman" w:hAnsi="Times New Roman" w:eastAsia="宋体" w:cs="Times New Roman"/>
                <w:color w:val="auto"/>
                <w:kern w:val="0"/>
                <w:sz w:val="24"/>
                <w:szCs w:val="24"/>
              </w:rPr>
              <w:t>根据</w:t>
            </w:r>
            <w:r>
              <w:rPr>
                <w:rFonts w:cs="Times New Roman"/>
                <w:color w:val="auto"/>
                <w:highlight w:val="none"/>
              </w:rPr>
              <w:t>福建省生态环境厅发布的</w:t>
            </w:r>
            <w:r>
              <w:rPr>
                <w:rFonts w:hint="eastAsia" w:cs="Times New Roman"/>
                <w:color w:val="auto"/>
                <w:highlight w:val="none"/>
              </w:rPr>
              <w:t>“202</w:t>
            </w:r>
            <w:r>
              <w:rPr>
                <w:rFonts w:hint="eastAsia" w:cs="Times New Roman"/>
                <w:color w:val="auto"/>
                <w:highlight w:val="none"/>
                <w:lang w:val="en-US" w:eastAsia="zh-CN"/>
              </w:rPr>
              <w:t>5</w:t>
            </w:r>
            <w:r>
              <w:rPr>
                <w:rFonts w:hint="eastAsia" w:cs="Times New Roman"/>
                <w:color w:val="auto"/>
                <w:highlight w:val="none"/>
              </w:rPr>
              <w:t>年12月福建省城市环境空气质量状况”</w:t>
            </w:r>
            <w:r>
              <w:rPr>
                <w:rFonts w:cs="Times New Roman"/>
                <w:color w:val="auto"/>
                <w:highlight w:val="none"/>
              </w:rPr>
              <w:t>（</w:t>
            </w:r>
            <w:r>
              <w:rPr>
                <w:rFonts w:hint="eastAsia" w:cs="Times New Roman"/>
                <w:color w:val="auto"/>
                <w:highlight w:val="none"/>
              </w:rPr>
              <w:t>https://sthjt.fujian.gov.cn/zwgk/sjfb/hjsj/zlph/202601/t20260126_7085242.htm</w:t>
            </w:r>
            <w:r>
              <w:rPr>
                <w:rFonts w:cs="Times New Roman"/>
                <w:color w:val="auto"/>
                <w:highlight w:val="none"/>
              </w:rPr>
              <w:t>）</w:t>
            </w:r>
            <w:r>
              <w:rPr>
                <w:rFonts w:hint="eastAsia" w:cs="Times New Roman"/>
                <w:color w:val="auto"/>
                <w:highlight w:val="none"/>
              </w:rPr>
              <w:t>显示：</w:t>
            </w:r>
            <w:r>
              <w:rPr>
                <w:rFonts w:hint="eastAsia" w:cs="Times New Roman"/>
                <w:color w:val="auto"/>
                <w:kern w:val="0"/>
                <w:sz w:val="24"/>
                <w:szCs w:val="24"/>
                <w:lang w:val="en-US" w:eastAsia="zh-CN"/>
              </w:rPr>
              <w:t>2025年</w:t>
            </w:r>
            <w:r>
              <w:rPr>
                <w:rFonts w:ascii="宋体" w:hAnsi="宋体" w:eastAsia="宋体" w:cs="宋体"/>
                <w:sz w:val="24"/>
                <w:szCs w:val="24"/>
              </w:rPr>
              <w:t>1</w:t>
            </w:r>
            <w:r>
              <w:rPr>
                <w:rFonts w:ascii="Times New Roman" w:hAnsi="Times New Roman" w:eastAsia="宋体" w:cs="Times New Roman"/>
                <w:color w:val="auto"/>
                <w:highlight w:val="none"/>
              </w:rPr>
              <w:t>―12月，9个设区城市环境空气质量优良天数比例平均为98.3%，同比持平。环境空气质量综合指数范围为2.19～2.84，首要污染物为臭氧。1-12月，58个县级城市环境空气质量优良天数比例平均为99.3%，同比下降0.1个百分点；环境空气质量综合指数范围为1.24～2.47，首要污染物为细颗粒物、臭氧。</w:t>
            </w:r>
            <w:r>
              <w:rPr>
                <w:rFonts w:hint="eastAsia" w:ascii="Times New Roman" w:hAnsi="Times New Roman" w:eastAsia="宋体" w:cs="Times New Roman"/>
                <w:color w:val="auto"/>
                <w:highlight w:val="none"/>
                <w:lang w:val="en-US" w:eastAsia="zh-CN"/>
              </w:rPr>
              <w:t>福清市优良天数比例99.7%，综合指数2.13，PU</w:t>
            </w:r>
            <w:r>
              <w:rPr>
                <w:rFonts w:hint="eastAsia" w:ascii="Times New Roman" w:hAnsi="Times New Roman" w:eastAsia="宋体" w:cs="Times New Roman"/>
                <w:color w:val="auto"/>
                <w:highlight w:val="none"/>
                <w:vertAlign w:val="subscript"/>
                <w:lang w:val="en-US" w:eastAsia="zh-CN"/>
              </w:rPr>
              <w:t>2.5</w:t>
            </w:r>
            <w:r>
              <w:rPr>
                <w:rFonts w:hint="eastAsia" w:ascii="Times New Roman" w:hAnsi="Times New Roman" w:eastAsia="宋体" w:cs="Times New Roman"/>
                <w:color w:val="auto"/>
                <w:highlight w:val="none"/>
                <w:lang w:val="en-US" w:eastAsia="zh-CN"/>
              </w:rPr>
              <w:t>16ug/m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，首要污染物为臭氧。</w:t>
            </w:r>
            <w:r>
              <w:rPr>
                <w:rFonts w:ascii="Times New Roman" w:hAnsi="Times New Roman" w:eastAsia="宋体" w:cs="Times New Roman"/>
                <w:color w:val="auto"/>
                <w:highlight w:val="none"/>
              </w:rPr>
              <w:t>因此</w:t>
            </w:r>
            <w:r>
              <w:rPr>
                <w:rFonts w:hint="eastAsia" w:ascii="Times New Roman" w:hAnsi="Times New Roman" w:eastAsia="宋体" w:cs="Times New Roman"/>
                <w:color w:val="auto"/>
                <w:highlight w:val="none"/>
              </w:rPr>
              <w:t>福清市</w:t>
            </w:r>
            <w:r>
              <w:rPr>
                <w:rFonts w:ascii="Times New Roman" w:hAnsi="Times New Roman" w:eastAsia="宋体" w:cs="Times New Roman"/>
                <w:color w:val="auto"/>
                <w:highlight w:val="none"/>
              </w:rPr>
              <w:t>属于达标区</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详见图3.1-1</w:t>
            </w:r>
            <w:r>
              <w:rPr>
                <w:rFonts w:hint="eastAsia" w:ascii="Times New Roman" w:hAnsi="Times New Roman" w:eastAsia="宋体" w:cs="Times New Roman"/>
                <w:color w:val="auto"/>
                <w:highlight w:val="none"/>
              </w:rPr>
              <w:t>和图3.1-2</w:t>
            </w:r>
            <w:r>
              <w:rPr>
                <w:rFonts w:ascii="Times New Roman" w:hAnsi="Times New Roman" w:eastAsia="宋体" w:cs="Times New Roman"/>
                <w:color w:val="auto"/>
                <w:highlight w:val="none"/>
              </w:rPr>
              <w:t>。</w:t>
            </w:r>
          </w:p>
          <w:p w14:paraId="29F345D6">
            <w:pPr>
              <w:keepLines w:val="0"/>
              <w:pageBreakBefore w:val="0"/>
              <w:widowControl w:val="0"/>
              <w:tabs>
                <w:tab w:val="left" w:pos="840"/>
              </w:tabs>
              <w:kinsoku/>
              <w:wordWrap/>
              <w:topLinePunct w:val="0"/>
              <w:autoSpaceDE/>
              <w:autoSpaceDN/>
              <w:bidi w:val="0"/>
              <w:adjustRightInd/>
              <w:spacing w:line="240" w:lineRule="auto"/>
              <w:ind w:left="0" w:firstLine="0"/>
              <w:textAlignment w:val="auto"/>
              <w:outlineLvl w:val="9"/>
              <w:rPr>
                <w:rFonts w:hint="eastAsia" w:ascii="Times New Roman" w:hAnsi="Times New Roman" w:eastAsia="宋体" w:cs="Times New Roman"/>
                <w:b/>
                <w:bCs w:val="0"/>
                <w:color w:val="auto"/>
                <w:sz w:val="24"/>
                <w:szCs w:val="24"/>
                <w:lang w:val="en-US" w:eastAsia="zh-CN"/>
              </w:rPr>
            </w:pPr>
            <w:bookmarkStart w:id="87" w:name="_Toc17982"/>
            <w:r>
              <w:drawing>
                <wp:inline distT="0" distB="0" distL="114300" distR="114300">
                  <wp:extent cx="5412105" cy="4054475"/>
                  <wp:effectExtent l="0" t="0" r="17145"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5412105" cy="4054475"/>
                          </a:xfrm>
                          <a:prstGeom prst="rect">
                            <a:avLst/>
                          </a:prstGeom>
                          <a:noFill/>
                          <a:ln>
                            <a:noFill/>
                          </a:ln>
                        </pic:spPr>
                      </pic:pic>
                    </a:graphicData>
                  </a:graphic>
                </wp:inline>
              </w:drawing>
            </w:r>
          </w:p>
          <w:p w14:paraId="6EE8BFB9">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sz w:val="21"/>
              </w:rPr>
            </w:pPr>
            <w:r>
              <w:rPr>
                <w:rFonts w:hint="eastAsia" w:ascii="Times New Roman" w:hAnsi="Times New Roman" w:eastAsia="宋体" w:cs="Times New Roman"/>
                <w:b/>
                <w:bCs w:val="0"/>
                <w:color w:val="auto"/>
                <w:sz w:val="24"/>
                <w:szCs w:val="24"/>
                <w:lang w:val="en-US" w:eastAsia="zh-CN"/>
              </w:rPr>
              <w:t>图3.1-1202</w:t>
            </w:r>
            <w:r>
              <w:rPr>
                <w:rFonts w:hint="eastAsia" w:cs="Times New Roman"/>
                <w:b/>
                <w:bCs w:val="0"/>
                <w:color w:val="auto"/>
                <w:sz w:val="24"/>
                <w:szCs w:val="24"/>
                <w:lang w:val="en-US" w:eastAsia="zh-CN"/>
              </w:rPr>
              <w:t>5</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月设区城市环境空气质量状况截图</w:t>
            </w:r>
            <w:bookmarkEnd w:id="87"/>
            <w:bookmarkStart w:id="88" w:name="_Toc24363"/>
          </w:p>
          <w:p w14:paraId="0F424924">
            <w:pPr>
              <w:pStyle w:val="40"/>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eastAsia" w:ascii="Times New Roman" w:hAnsi="Times New Roman" w:eastAsia="宋体" w:cs="Times New Roman"/>
                <w:b/>
                <w:bCs w:val="0"/>
                <w:color w:val="auto"/>
                <w:sz w:val="24"/>
                <w:szCs w:val="24"/>
                <w:lang w:val="en-US" w:eastAsia="zh-CN"/>
              </w:rPr>
            </w:pPr>
            <w:r>
              <w:drawing>
                <wp:inline distT="0" distB="0" distL="114300" distR="114300">
                  <wp:extent cx="5417185" cy="2957195"/>
                  <wp:effectExtent l="0" t="0" r="12065"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5417185" cy="2957195"/>
                          </a:xfrm>
                          <a:prstGeom prst="rect">
                            <a:avLst/>
                          </a:prstGeom>
                          <a:noFill/>
                          <a:ln>
                            <a:noFill/>
                          </a:ln>
                        </pic:spPr>
                      </pic:pic>
                    </a:graphicData>
                  </a:graphic>
                </wp:inline>
              </w:drawing>
            </w:r>
          </w:p>
          <w:p w14:paraId="68A1F931">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图3.1-2202</w:t>
            </w:r>
            <w:r>
              <w:rPr>
                <w:rFonts w:hint="eastAsia" w:cs="Times New Roman"/>
                <w:b/>
                <w:bCs w:val="0"/>
                <w:color w:val="auto"/>
                <w:sz w:val="24"/>
                <w:szCs w:val="24"/>
                <w:lang w:val="en-US" w:eastAsia="zh-CN"/>
              </w:rPr>
              <w:t>5</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月县级城市环境空气质量状况截图</w:t>
            </w:r>
            <w:bookmarkEnd w:id="88"/>
          </w:p>
          <w:p w14:paraId="333AA4A3">
            <w:pPr>
              <w:keepLines w:val="0"/>
              <w:pageBreakBefore w:val="0"/>
              <w:widowControl w:val="0"/>
              <w:kinsoku/>
              <w:wordWrap/>
              <w:topLinePunct w:val="0"/>
              <w:autoSpaceDE/>
              <w:autoSpaceDN/>
              <w:bidi w:val="0"/>
              <w:spacing w:line="360"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②引用</w:t>
            </w:r>
            <w:r>
              <w:rPr>
                <w:rFonts w:ascii="Times New Roman" w:hAnsi="Times New Roman" w:eastAsia="宋体" w:cs="Times New Roman"/>
                <w:color w:val="auto"/>
                <w:kern w:val="2"/>
                <w:sz w:val="24"/>
                <w:szCs w:val="24"/>
                <w:highlight w:val="none"/>
                <w:lang w:val="en-US" w:eastAsia="zh-CN" w:bidi="ar-SA"/>
              </w:rPr>
              <w:t>数据有效性分析</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4D41EC5E">
            <w:pPr>
              <w:keepLines w:val="0"/>
              <w:pageBreakBefore w:val="0"/>
              <w:widowControl w:val="0"/>
              <w:kinsoku/>
              <w:wordWrap/>
              <w:topLinePunct w:val="0"/>
              <w:autoSpaceDE/>
              <w:autoSpaceDN/>
              <w:bidi w:val="0"/>
              <w:spacing w:line="336"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本次评价选取福建省生态环境厅发布的关于202</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年1</w:t>
            </w:r>
            <w:r>
              <w:rPr>
                <w:rFonts w:hint="eastAsia"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en-US" w:eastAsia="zh-CN" w:bidi="ar-SA"/>
              </w:rPr>
              <w:t>月设区城市环境空气质量状况</w:t>
            </w:r>
            <w:r>
              <w:rPr>
                <w:rFonts w:ascii="Times New Roman" w:hAnsi="Times New Roman" w:eastAsia="宋体" w:cs="Times New Roman"/>
                <w:color w:val="auto"/>
                <w:kern w:val="2"/>
                <w:sz w:val="24"/>
                <w:szCs w:val="24"/>
                <w:highlight w:val="none"/>
                <w:lang w:val="en-US" w:eastAsia="zh-CN" w:bidi="ar-SA"/>
              </w:rPr>
              <w:t>，符合《建设项目环境影响报告表编制技术指南（污染影响类）（试行）》（环办环评〔2020〕33号）的要求。</w:t>
            </w:r>
          </w:p>
          <w:p w14:paraId="3E23EDC7">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（2）其他</w:t>
            </w:r>
            <w:r>
              <w:rPr>
                <w:rFonts w:hint="eastAsia" w:ascii="Times New Roman" w:hAnsi="Times New Roman" w:eastAsia="宋体" w:cs="Times New Roman"/>
                <w:color w:val="auto"/>
                <w:kern w:val="0"/>
                <w:sz w:val="24"/>
                <w:highlight w:val="none"/>
              </w:rPr>
              <w:t>污染因子</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非甲烷总烃、苯乙烯、甲苯、乙苯）</w:t>
            </w:r>
          </w:p>
          <w:p w14:paraId="2BE819F8">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default" w:ascii="Times New Roman" w:hAnsi="Times New Roman" w:eastAsia="宋体" w:cs="Times New Roman"/>
                <w:color w:val="auto"/>
                <w:kern w:val="0"/>
                <w:sz w:val="24"/>
                <w:highlight w:val="none"/>
                <w:lang w:val="en-US" w:eastAsia="zh-CN"/>
              </w:rPr>
              <w:t>根据环境影响评价网</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zh-CN" w:eastAsia="zh-CN"/>
              </w:rPr>
              <w:t>生态环境部环</w:t>
            </w:r>
            <w:r>
              <w:rPr>
                <w:rFonts w:hint="default" w:ascii="Times New Roman" w:hAnsi="Times New Roman" w:eastAsia="宋体" w:cs="Times New Roman"/>
                <w:color w:val="auto"/>
                <w:sz w:val="24"/>
                <w:szCs w:val="22"/>
                <w:highlight w:val="none"/>
                <w:lang w:val="zh-CN" w:eastAsia="zh-CN"/>
              </w:rPr>
              <w:t>境工程评估中心</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关于</w:t>
            </w:r>
            <w:r>
              <w:rPr>
                <w:rFonts w:hint="default" w:ascii="Times New Roman" w:hAnsi="Times New Roman" w:eastAsia="宋体" w:cs="Times New Roman"/>
                <w:color w:val="auto"/>
                <w:sz w:val="24"/>
                <w:szCs w:val="22"/>
                <w:highlight w:val="none"/>
                <w:lang w:val="zh-CN" w:eastAsia="zh-CN"/>
              </w:rPr>
              <w:t>《建设项目环境影响报告表》内容、格式及编制技术指南常见问题解答：</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技术指南中提到</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排放国家、地方环境空气质量标准中有标准限值要求的特征污染物</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，其中环境空气质量标准指《环境空气质量标准》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和地方的环境空气质量标准，不包括《环境影响评价技术导则大气环境》</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HJ2.2-2018</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附录D、《大气污染物综合排放标准详解》等导则或参考资料。排放的特征污染物需要在国家、地方环境空气质量标准中有限值要求才涉及现状监测</w:t>
            </w:r>
            <w:r>
              <w:rPr>
                <w:rFonts w:hint="eastAsia" w:cs="Times New Roman"/>
                <w:color w:val="auto"/>
                <w:sz w:val="24"/>
                <w:szCs w:val="22"/>
                <w:highlight w:val="none"/>
                <w:lang w:val="en-US" w:eastAsia="zh-CN"/>
              </w:rPr>
              <w:t>且</w:t>
            </w:r>
            <w:r>
              <w:rPr>
                <w:rFonts w:hint="default" w:ascii="Times New Roman" w:hAnsi="Times New Roman" w:eastAsia="宋体" w:cs="Times New Roman"/>
                <w:color w:val="auto"/>
                <w:sz w:val="24"/>
                <w:szCs w:val="22"/>
                <w:highlight w:val="none"/>
                <w:lang w:val="en-US" w:eastAsia="zh-CN"/>
              </w:rPr>
              <w:t>优先引用现有监测数据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w:t>
            </w:r>
          </w:p>
          <w:p w14:paraId="23AF9F74">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eastAsia" w:cs="Times New Roman"/>
                <w:color w:val="auto"/>
                <w:kern w:val="0"/>
                <w:sz w:val="24"/>
                <w:lang w:val="en-US" w:eastAsia="zh-CN"/>
              </w:rPr>
              <w:t>根据建设项目区域环境情况，结合本项目的特征因子，</w:t>
            </w:r>
            <w:r>
              <w:rPr>
                <w:rFonts w:hint="eastAsia" w:cs="Times New Roman"/>
                <w:b w:val="0"/>
                <w:bCs w:val="0"/>
                <w:color w:val="auto"/>
                <w:sz w:val="24"/>
                <w:szCs w:val="24"/>
                <w:highlight w:val="none"/>
                <w:lang w:val="en-US" w:eastAsia="zh-CN"/>
              </w:rPr>
              <w:t>由于本项目所使用原料颗粒物较大，在投料过程中不产生投料粉尘且发泡机设置单独封闭式发泡车间，定期对车间内地面进行清扫。</w:t>
            </w:r>
            <w:r>
              <w:rPr>
                <w:rFonts w:hint="eastAsia" w:cs="Times New Roman"/>
                <w:color w:val="auto"/>
                <w:kern w:val="0"/>
                <w:sz w:val="24"/>
                <w:lang w:val="en-US" w:eastAsia="zh-CN"/>
              </w:rPr>
              <w:t>确定本项目大气环境现状调查特征因子为非甲烷总烃、苯乙烯、甲苯、乙苯，</w:t>
            </w:r>
            <w:r>
              <w:rPr>
                <w:rFonts w:hint="default" w:ascii="Times New Roman" w:hAnsi="Times New Roman" w:eastAsia="宋体" w:cs="Times New Roman"/>
                <w:color w:val="auto"/>
                <w:sz w:val="24"/>
                <w:szCs w:val="22"/>
                <w:highlight w:val="none"/>
                <w:lang w:val="en-US" w:eastAsia="zh-CN"/>
              </w:rPr>
              <w:t>不属于《环境空气质量标准》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ascii="Times New Roman" w:hAnsi="Times New Roman" w:eastAsia="宋体" w:cs="Times New Roman"/>
                <w:color w:val="auto"/>
                <w:sz w:val="24"/>
                <w:szCs w:val="22"/>
                <w:highlight w:val="none"/>
                <w:lang w:val="en-US" w:eastAsia="zh-CN"/>
              </w:rPr>
              <w:t>-2012</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和</w:t>
            </w:r>
            <w:r>
              <w:rPr>
                <w:rFonts w:hint="eastAsia" w:cs="Times New Roman"/>
                <w:color w:val="auto"/>
                <w:sz w:val="24"/>
                <w:szCs w:val="22"/>
                <w:highlight w:val="none"/>
                <w:lang w:val="en-US" w:eastAsia="zh-CN"/>
              </w:rPr>
              <w:t>地方</w:t>
            </w:r>
            <w:r>
              <w:rPr>
                <w:rFonts w:hint="default" w:ascii="Times New Roman" w:hAnsi="Times New Roman" w:eastAsia="宋体" w:cs="Times New Roman"/>
                <w:color w:val="auto"/>
                <w:sz w:val="24"/>
                <w:szCs w:val="22"/>
                <w:highlight w:val="none"/>
                <w:lang w:val="en-US" w:eastAsia="zh-CN"/>
              </w:rPr>
              <w:t>环境空气质量中有标准限值要求的污染物，因此，不进行现状检测评价。</w:t>
            </w:r>
          </w:p>
          <w:p w14:paraId="091B06B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89" w:name="_Toc13108"/>
            <w:bookmarkStart w:id="90" w:name="_Toc27636"/>
            <w:r>
              <w:rPr>
                <w:rFonts w:hint="eastAsia" w:ascii="Times New Roman" w:hAnsi="Times New Roman" w:eastAsia="宋体" w:cs="Times New Roman"/>
                <w:color w:val="auto"/>
                <w:sz w:val="28"/>
                <w:szCs w:val="28"/>
                <w:u w:val="none"/>
                <w:lang w:val="en-US" w:eastAsia="zh-CN"/>
              </w:rPr>
              <w:t>3.2水环境质量现状</w:t>
            </w:r>
            <w:bookmarkEnd w:id="89"/>
            <w:bookmarkEnd w:id="90"/>
          </w:p>
          <w:p w14:paraId="6FFA17C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91" w:name="_Toc7675"/>
            <w:bookmarkStart w:id="92" w:name="_Toc13880"/>
            <w:r>
              <w:rPr>
                <w:rFonts w:hint="eastAsia" w:ascii="Times New Roman" w:hAnsi="Times New Roman" w:eastAsia="宋体" w:cs="Times New Roman"/>
                <w:b/>
                <w:bCs/>
                <w:color w:val="auto"/>
                <w:sz w:val="24"/>
                <w:szCs w:val="24"/>
                <w:u w:val="none"/>
                <w:lang w:val="en-US" w:eastAsia="zh-CN"/>
              </w:rPr>
              <w:t>3.2.1地表水功能区划</w:t>
            </w:r>
            <w:bookmarkEnd w:id="91"/>
            <w:bookmarkEnd w:id="92"/>
          </w:p>
          <w:p w14:paraId="2A9E24C9">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生产过程中用水主要为模具冷却水及蒸汽冷凝水。所产生</w:t>
            </w:r>
            <w:r>
              <w:rPr>
                <w:rFonts w:hint="eastAsia" w:cs="Times New Roman"/>
                <w:color w:val="000000" w:themeColor="text1"/>
                <w:sz w:val="24"/>
                <w:highlight w:val="none"/>
                <w:lang w:val="en-US" w:eastAsia="zh-CN"/>
                <w14:textFill>
                  <w14:solidFill>
                    <w14:schemeClr w14:val="tx1"/>
                  </w14:solidFill>
                </w14:textFill>
              </w:rPr>
              <w:t>生产废水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冷却后回用于模具冷却，循环使用不外排。生活污水依托厂内已建的化粪池处理后进入市政污水管网纳入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集中处理，</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尾水排入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兴化湾。根据《福建省人民政府关于印发福建省近岸海域环境功能区划（修编）的通知》闽政</w:t>
            </w:r>
            <w:r>
              <w:rPr>
                <w:rFonts w:hint="eastAsia" w:cs="Times New Roman"/>
                <w:color w:val="000000" w:themeColor="text1"/>
                <w:sz w:val="24"/>
                <w:highlight w:val="none"/>
                <w:lang w:val="en-US" w:eastAsia="zh-CN"/>
                <w14:textFill>
                  <w14:solidFill>
                    <w14:schemeClr w14:val="tx1"/>
                  </w14:solidFill>
                </w14:textFill>
              </w:rPr>
              <w:t>〔2011〕45号</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兴化湾主体海域为二类区，江阴港区近岸海域环境功能为四类区。兴化湾主体海域为二类功能区，海水水质执行《海水水质标准》（GB3097-1997）中的第二类标准；江阴港区附近海域为四类区，四类区外侧划定一定范围三类区，考虑到近岸海域环境保护的需要，江阴港区附近海域海水水质近期仍执行第三类海水水质标准。具体</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详见表3.2-1。</w:t>
            </w:r>
          </w:p>
          <w:p w14:paraId="2170236C">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表3.2-1</w:t>
            </w:r>
            <w:r>
              <w:rPr>
                <w:rFonts w:hint="eastAsia" w:ascii="Times New Roman" w:hAnsi="Times New Roman" w:eastAsia="宋体" w:cs="Times New Roman"/>
                <w:b/>
                <w:bCs/>
                <w:color w:val="auto"/>
                <w:sz w:val="24"/>
                <w:szCs w:val="24"/>
                <w:u w:val="none"/>
                <w:lang w:val="en-US" w:eastAsia="zh-CN"/>
              </w:rPr>
              <w:t>海</w:t>
            </w:r>
            <w:r>
              <w:rPr>
                <w:rFonts w:hint="default" w:ascii="Times New Roman" w:hAnsi="Times New Roman" w:eastAsia="宋体" w:cs="Times New Roman"/>
                <w:b/>
                <w:bCs/>
                <w:color w:val="auto"/>
                <w:sz w:val="24"/>
                <w:szCs w:val="24"/>
                <w:u w:val="none"/>
                <w:lang w:val="en-US" w:eastAsia="zh-CN"/>
              </w:rPr>
              <w:t>环境质量标准</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GB3838-2002</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摘录</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单位：mg/L</w:t>
            </w:r>
          </w:p>
          <w:tbl>
            <w:tblPr>
              <w:tblStyle w:val="23"/>
              <w:tblW w:w="853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678"/>
              <w:gridCol w:w="2340"/>
              <w:gridCol w:w="1620"/>
              <w:gridCol w:w="1515"/>
              <w:gridCol w:w="1290"/>
              <w:gridCol w:w="1087"/>
            </w:tblGrid>
            <w:tr w14:paraId="699857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678" w:type="dxa"/>
                  <w:shd w:val="clear" w:color="auto" w:fill="auto"/>
                  <w:vAlign w:val="center"/>
                </w:tcPr>
                <w:p w14:paraId="4026771D">
                  <w:pPr>
                    <w:spacing w:line="340" w:lineRule="exact"/>
                    <w:jc w:val="center"/>
                    <w:rPr>
                      <w:snapToGrid w:val="0"/>
                      <w:kern w:val="18"/>
                      <w:szCs w:val="21"/>
                    </w:rPr>
                  </w:pPr>
                  <w:r>
                    <w:rPr>
                      <w:snapToGrid w:val="0"/>
                      <w:kern w:val="18"/>
                      <w:szCs w:val="21"/>
                    </w:rPr>
                    <w:t>序号</w:t>
                  </w:r>
                </w:p>
              </w:tc>
              <w:tc>
                <w:tcPr>
                  <w:tcW w:w="2340" w:type="dxa"/>
                  <w:shd w:val="clear" w:color="auto" w:fill="auto"/>
                  <w:vAlign w:val="center"/>
                </w:tcPr>
                <w:p w14:paraId="3D7773C1">
                  <w:pPr>
                    <w:spacing w:line="340" w:lineRule="exact"/>
                    <w:jc w:val="center"/>
                    <w:rPr>
                      <w:snapToGrid w:val="0"/>
                      <w:kern w:val="18"/>
                      <w:szCs w:val="21"/>
                    </w:rPr>
                  </w:pPr>
                  <w:r>
                    <w:rPr>
                      <w:snapToGrid w:val="0"/>
                      <w:kern w:val="18"/>
                      <w:szCs w:val="21"/>
                    </w:rPr>
                    <w:t>项目</w:t>
                  </w:r>
                </w:p>
              </w:tc>
              <w:tc>
                <w:tcPr>
                  <w:tcW w:w="1620" w:type="dxa"/>
                  <w:shd w:val="clear" w:color="auto" w:fill="auto"/>
                  <w:vAlign w:val="center"/>
                </w:tcPr>
                <w:p w14:paraId="5BD5303B">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第一类</w:t>
                  </w:r>
                </w:p>
              </w:tc>
              <w:tc>
                <w:tcPr>
                  <w:tcW w:w="1515" w:type="dxa"/>
                  <w:shd w:val="clear" w:color="auto" w:fill="auto"/>
                  <w:vAlign w:val="center"/>
                </w:tcPr>
                <w:p w14:paraId="34576285">
                  <w:pPr>
                    <w:spacing w:line="340" w:lineRule="exact"/>
                    <w:jc w:val="center"/>
                    <w:rPr>
                      <w:rFonts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第二</w:t>
                  </w:r>
                  <w:r>
                    <w:rPr>
                      <w:rFonts w:ascii="Times New Roman" w:hAnsi="Times New Roman" w:eastAsia="宋体" w:cs="Times New Roman"/>
                      <w:snapToGrid w:val="0"/>
                      <w:kern w:val="18"/>
                      <w:szCs w:val="21"/>
                    </w:rPr>
                    <w:t>类</w:t>
                  </w:r>
                </w:p>
              </w:tc>
              <w:tc>
                <w:tcPr>
                  <w:tcW w:w="1290" w:type="dxa"/>
                  <w:shd w:val="clear" w:color="auto" w:fill="auto"/>
                  <w:vAlign w:val="center"/>
                </w:tcPr>
                <w:p w14:paraId="38D66FBB">
                  <w:pPr>
                    <w:spacing w:line="340" w:lineRule="exact"/>
                    <w:jc w:val="center"/>
                    <w:rPr>
                      <w:rFonts w:ascii="Times New Roman" w:hAnsi="Times New Roman" w:eastAsia="宋体" w:cs="Times New Roman"/>
                      <w:snapToGrid w:val="0"/>
                      <w:kern w:val="18"/>
                      <w:sz w:val="21"/>
                      <w:szCs w:val="21"/>
                      <w:lang w:val="en-US" w:eastAsia="zh-CN" w:bidi="ar-SA"/>
                    </w:rPr>
                  </w:pPr>
                  <w:r>
                    <w:rPr>
                      <w:rFonts w:hint="eastAsia"/>
                      <w:snapToGrid w:val="0"/>
                      <w:kern w:val="18"/>
                      <w:szCs w:val="21"/>
                      <w:lang w:val="en-US" w:eastAsia="zh-CN"/>
                    </w:rPr>
                    <w:t>第三</w:t>
                  </w:r>
                  <w:r>
                    <w:rPr>
                      <w:snapToGrid w:val="0"/>
                      <w:kern w:val="18"/>
                      <w:szCs w:val="21"/>
                    </w:rPr>
                    <w:t>类</w:t>
                  </w:r>
                </w:p>
              </w:tc>
              <w:tc>
                <w:tcPr>
                  <w:tcW w:w="1087" w:type="dxa"/>
                  <w:shd w:val="clear" w:color="auto" w:fill="auto"/>
                  <w:vAlign w:val="center"/>
                </w:tcPr>
                <w:p w14:paraId="023A57A8">
                  <w:pPr>
                    <w:spacing w:line="340" w:lineRule="exact"/>
                    <w:jc w:val="center"/>
                    <w:rPr>
                      <w:rFonts w:hint="eastAsia"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第四类</w:t>
                  </w:r>
                </w:p>
              </w:tc>
            </w:tr>
            <w:tr w14:paraId="34E02C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64" w:hRule="atLeast"/>
                <w:jc w:val="center"/>
              </w:trPr>
              <w:tc>
                <w:tcPr>
                  <w:tcW w:w="678" w:type="dxa"/>
                  <w:shd w:val="clear" w:color="auto" w:fill="auto"/>
                  <w:vAlign w:val="center"/>
                </w:tcPr>
                <w:p w14:paraId="5280CF51">
                  <w:pPr>
                    <w:spacing w:line="340" w:lineRule="exact"/>
                    <w:jc w:val="center"/>
                    <w:rPr>
                      <w:snapToGrid w:val="0"/>
                      <w:kern w:val="18"/>
                      <w:szCs w:val="21"/>
                    </w:rPr>
                  </w:pPr>
                  <w:r>
                    <w:rPr>
                      <w:snapToGrid w:val="0"/>
                      <w:kern w:val="18"/>
                      <w:szCs w:val="21"/>
                    </w:rPr>
                    <w:t>1</w:t>
                  </w:r>
                </w:p>
              </w:tc>
              <w:tc>
                <w:tcPr>
                  <w:tcW w:w="2340" w:type="dxa"/>
                  <w:shd w:val="clear" w:color="auto" w:fill="auto"/>
                  <w:vAlign w:val="center"/>
                </w:tcPr>
                <w:p w14:paraId="75C24D69">
                  <w:pPr>
                    <w:spacing w:line="340" w:lineRule="exact"/>
                    <w:jc w:val="center"/>
                    <w:rPr>
                      <w:snapToGrid w:val="0"/>
                      <w:kern w:val="18"/>
                      <w:szCs w:val="21"/>
                    </w:rPr>
                  </w:pPr>
                  <w:r>
                    <w:rPr>
                      <w:snapToGrid w:val="0"/>
                      <w:kern w:val="18"/>
                      <w:szCs w:val="21"/>
                    </w:rPr>
                    <w:t>pH</w:t>
                  </w:r>
                  <w:r>
                    <w:rPr>
                      <w:rFonts w:hint="eastAsia"/>
                      <w:snapToGrid w:val="0"/>
                      <w:kern w:val="18"/>
                      <w:szCs w:val="21"/>
                      <w:lang w:eastAsia="zh-CN"/>
                    </w:rPr>
                    <w:t>（</w:t>
                  </w:r>
                  <w:r>
                    <w:rPr>
                      <w:snapToGrid w:val="0"/>
                      <w:kern w:val="18"/>
                      <w:szCs w:val="21"/>
                    </w:rPr>
                    <w:t>无量纲</w:t>
                  </w:r>
                  <w:r>
                    <w:rPr>
                      <w:rFonts w:hint="eastAsia"/>
                      <w:snapToGrid w:val="0"/>
                      <w:kern w:val="18"/>
                      <w:szCs w:val="21"/>
                      <w:lang w:eastAsia="zh-CN"/>
                    </w:rPr>
                    <w:t>）</w:t>
                  </w:r>
                </w:p>
              </w:tc>
              <w:tc>
                <w:tcPr>
                  <w:tcW w:w="3135" w:type="dxa"/>
                  <w:gridSpan w:val="2"/>
                  <w:shd w:val="clear" w:color="auto" w:fill="auto"/>
                  <w:vAlign w:val="center"/>
                </w:tcPr>
                <w:p w14:paraId="356208FF">
                  <w:pPr>
                    <w:spacing w:line="340" w:lineRule="exact"/>
                    <w:jc w:val="center"/>
                    <w:rPr>
                      <w:rFonts w:hint="eastAsia"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7.8</w:t>
                  </w:r>
                  <w:r>
                    <w:rPr>
                      <w:rFonts w:hint="default" w:ascii="Times New Roman" w:hAnsi="Times New Roman" w:eastAsia="宋体" w:cs="Times New Roman"/>
                      <w:snapToGrid w:val="0"/>
                      <w:kern w:val="18"/>
                      <w:szCs w:val="21"/>
                      <w:lang w:val="en-US" w:eastAsia="zh-CN"/>
                    </w:rPr>
                    <w:t>⁓</w:t>
                  </w:r>
                  <w:r>
                    <w:rPr>
                      <w:rFonts w:hint="eastAsia" w:ascii="Times New Roman" w:hAnsi="Times New Roman" w:eastAsia="宋体" w:cs="Times New Roman"/>
                      <w:snapToGrid w:val="0"/>
                      <w:kern w:val="18"/>
                      <w:szCs w:val="21"/>
                      <w:lang w:val="en-US" w:eastAsia="zh-CN"/>
                    </w:rPr>
                    <w:t>8.5</w:t>
                  </w:r>
                </w:p>
                <w:p w14:paraId="0DC10757">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同时不超出该海域正常变动范围的0.2pH单位</w:t>
                  </w:r>
                </w:p>
              </w:tc>
              <w:tc>
                <w:tcPr>
                  <w:tcW w:w="2377" w:type="dxa"/>
                  <w:gridSpan w:val="2"/>
                  <w:shd w:val="clear" w:color="auto" w:fill="auto"/>
                  <w:vAlign w:val="center"/>
                </w:tcPr>
                <w:p w14:paraId="6B5D8361">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6.8</w:t>
                  </w:r>
                  <w:r>
                    <w:rPr>
                      <w:rFonts w:hint="default" w:ascii="Times New Roman" w:hAnsi="Times New Roman" w:eastAsia="宋体" w:cs="Times New Roman"/>
                      <w:snapToGrid w:val="0"/>
                      <w:kern w:val="18"/>
                      <w:szCs w:val="21"/>
                      <w:lang w:val="en-US" w:eastAsia="zh-CN"/>
                    </w:rPr>
                    <w:t>⁓</w:t>
                  </w:r>
                  <w:r>
                    <w:rPr>
                      <w:rFonts w:hint="eastAsia" w:ascii="Times New Roman" w:hAnsi="Times New Roman" w:eastAsia="宋体" w:cs="Times New Roman"/>
                      <w:snapToGrid w:val="0"/>
                      <w:kern w:val="18"/>
                      <w:szCs w:val="21"/>
                      <w:lang w:val="en-US" w:eastAsia="zh-CN"/>
                    </w:rPr>
                    <w:t>8.8</w:t>
                  </w:r>
                </w:p>
                <w:p w14:paraId="761F542A">
                  <w:pPr>
                    <w:spacing w:line="340" w:lineRule="exact"/>
                    <w:jc w:val="center"/>
                    <w:rPr>
                      <w:rFonts w:hint="eastAsia"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同时不超出该海域正常变动范围的0.5pH单位</w:t>
                  </w:r>
                </w:p>
              </w:tc>
            </w:tr>
            <w:tr w14:paraId="6C548E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15" w:hRule="atLeast"/>
                <w:jc w:val="center"/>
              </w:trPr>
              <w:tc>
                <w:tcPr>
                  <w:tcW w:w="678" w:type="dxa"/>
                  <w:shd w:val="clear" w:color="auto" w:fill="auto"/>
                  <w:vAlign w:val="center"/>
                </w:tcPr>
                <w:p w14:paraId="628133EB">
                  <w:pPr>
                    <w:spacing w:line="340" w:lineRule="exact"/>
                    <w:jc w:val="center"/>
                    <w:rPr>
                      <w:snapToGrid w:val="0"/>
                      <w:kern w:val="18"/>
                      <w:szCs w:val="21"/>
                    </w:rPr>
                  </w:pPr>
                  <w:r>
                    <w:rPr>
                      <w:snapToGrid w:val="0"/>
                      <w:kern w:val="18"/>
                      <w:szCs w:val="21"/>
                    </w:rPr>
                    <w:t>2</w:t>
                  </w:r>
                </w:p>
              </w:tc>
              <w:tc>
                <w:tcPr>
                  <w:tcW w:w="2340" w:type="dxa"/>
                  <w:shd w:val="clear" w:color="auto" w:fill="auto"/>
                  <w:vAlign w:val="center"/>
                </w:tcPr>
                <w:p w14:paraId="25A4B570">
                  <w:pPr>
                    <w:spacing w:line="340" w:lineRule="exact"/>
                    <w:jc w:val="center"/>
                    <w:rPr>
                      <w:snapToGrid w:val="0"/>
                      <w:kern w:val="18"/>
                      <w:szCs w:val="21"/>
                    </w:rPr>
                  </w:pPr>
                  <w:r>
                    <w:rPr>
                      <w:rFonts w:hint="eastAsia"/>
                      <w:snapToGrid w:val="0"/>
                      <w:kern w:val="18"/>
                      <w:szCs w:val="21"/>
                      <w:lang w:val="en-US" w:eastAsia="zh-CN"/>
                    </w:rPr>
                    <w:t>溶解氧</w:t>
                  </w:r>
                  <w:r>
                    <w:rPr>
                      <w:rFonts w:hint="eastAsia"/>
                      <w:snapToGrid w:val="0"/>
                      <w:kern w:val="18"/>
                      <w:szCs w:val="21"/>
                      <w:lang w:eastAsia="zh-CN"/>
                    </w:rPr>
                    <w:t>（</w:t>
                  </w:r>
                  <w:r>
                    <w:rPr>
                      <w:rFonts w:hint="eastAsia"/>
                      <w:snapToGrid w:val="0"/>
                      <w:kern w:val="18"/>
                      <w:szCs w:val="21"/>
                      <w:lang w:val="en-US" w:eastAsia="zh-CN"/>
                    </w:rPr>
                    <w:t>DO</w:t>
                  </w:r>
                  <w:r>
                    <w:rPr>
                      <w:rFonts w:hint="eastAsia"/>
                      <w:snapToGrid w:val="0"/>
                      <w:kern w:val="18"/>
                      <w:szCs w:val="21"/>
                      <w:lang w:eastAsia="zh-CN"/>
                    </w:rPr>
                    <w:t>）</w:t>
                  </w:r>
                  <w:r>
                    <w:rPr>
                      <w:snapToGrid w:val="0"/>
                      <w:kern w:val="18"/>
                      <w:szCs w:val="21"/>
                    </w:rPr>
                    <w:t>≥</w:t>
                  </w:r>
                </w:p>
              </w:tc>
              <w:tc>
                <w:tcPr>
                  <w:tcW w:w="1620" w:type="dxa"/>
                  <w:shd w:val="clear" w:color="auto" w:fill="auto"/>
                  <w:vAlign w:val="center"/>
                </w:tcPr>
                <w:p w14:paraId="2EC8BA29">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6</w:t>
                  </w:r>
                </w:p>
              </w:tc>
              <w:tc>
                <w:tcPr>
                  <w:tcW w:w="1515" w:type="dxa"/>
                  <w:shd w:val="clear" w:color="auto" w:fill="auto"/>
                  <w:vAlign w:val="center"/>
                </w:tcPr>
                <w:p w14:paraId="23C1784F">
                  <w:pPr>
                    <w:spacing w:line="340" w:lineRule="exact"/>
                    <w:jc w:val="center"/>
                    <w:rPr>
                      <w:rFonts w:hint="eastAsia"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5</w:t>
                  </w:r>
                </w:p>
              </w:tc>
              <w:tc>
                <w:tcPr>
                  <w:tcW w:w="1290" w:type="dxa"/>
                  <w:shd w:val="clear" w:color="auto" w:fill="auto"/>
                  <w:vAlign w:val="center"/>
                </w:tcPr>
                <w:p w14:paraId="39558D81">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4</w:t>
                  </w:r>
                </w:p>
              </w:tc>
              <w:tc>
                <w:tcPr>
                  <w:tcW w:w="1087" w:type="dxa"/>
                  <w:shd w:val="clear" w:color="auto" w:fill="auto"/>
                  <w:vAlign w:val="center"/>
                </w:tcPr>
                <w:p w14:paraId="7807C823">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3</w:t>
                  </w:r>
                </w:p>
              </w:tc>
            </w:tr>
            <w:tr w14:paraId="650095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678" w:type="dxa"/>
                  <w:shd w:val="clear" w:color="auto" w:fill="auto"/>
                  <w:vAlign w:val="center"/>
                </w:tcPr>
                <w:p w14:paraId="7EC5350A">
                  <w:pPr>
                    <w:spacing w:line="340" w:lineRule="exact"/>
                    <w:jc w:val="center"/>
                    <w:rPr>
                      <w:snapToGrid w:val="0"/>
                      <w:kern w:val="18"/>
                      <w:szCs w:val="21"/>
                    </w:rPr>
                  </w:pPr>
                  <w:r>
                    <w:rPr>
                      <w:snapToGrid w:val="0"/>
                      <w:kern w:val="18"/>
                      <w:szCs w:val="21"/>
                    </w:rPr>
                    <w:t>3</w:t>
                  </w:r>
                </w:p>
              </w:tc>
              <w:tc>
                <w:tcPr>
                  <w:tcW w:w="2340" w:type="dxa"/>
                  <w:shd w:val="clear" w:color="auto" w:fill="auto"/>
                  <w:vAlign w:val="center"/>
                </w:tcPr>
                <w:p w14:paraId="2FAE7E5E">
                  <w:pPr>
                    <w:spacing w:line="340" w:lineRule="exact"/>
                    <w:jc w:val="center"/>
                    <w:rPr>
                      <w:snapToGrid w:val="0"/>
                      <w:kern w:val="18"/>
                      <w:szCs w:val="21"/>
                    </w:rPr>
                  </w:pPr>
                  <w:r>
                    <w:rPr>
                      <w:snapToGrid w:val="0"/>
                      <w:kern w:val="18"/>
                      <w:szCs w:val="21"/>
                    </w:rPr>
                    <w:t>COD≤</w:t>
                  </w:r>
                </w:p>
              </w:tc>
              <w:tc>
                <w:tcPr>
                  <w:tcW w:w="1620" w:type="dxa"/>
                  <w:shd w:val="clear" w:color="auto" w:fill="auto"/>
                  <w:vAlign w:val="center"/>
                </w:tcPr>
                <w:p w14:paraId="7B2DE3C8">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2</w:t>
                  </w:r>
                </w:p>
              </w:tc>
              <w:tc>
                <w:tcPr>
                  <w:tcW w:w="1515" w:type="dxa"/>
                  <w:shd w:val="clear" w:color="auto" w:fill="auto"/>
                  <w:vAlign w:val="center"/>
                </w:tcPr>
                <w:p w14:paraId="4F69F2AA">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3</w:t>
                  </w:r>
                </w:p>
              </w:tc>
              <w:tc>
                <w:tcPr>
                  <w:tcW w:w="1290" w:type="dxa"/>
                  <w:shd w:val="clear" w:color="auto" w:fill="auto"/>
                  <w:vAlign w:val="center"/>
                </w:tcPr>
                <w:p w14:paraId="49E7517D">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4</w:t>
                  </w:r>
                </w:p>
              </w:tc>
              <w:tc>
                <w:tcPr>
                  <w:tcW w:w="1087" w:type="dxa"/>
                  <w:shd w:val="clear" w:color="auto" w:fill="auto"/>
                  <w:vAlign w:val="center"/>
                </w:tcPr>
                <w:p w14:paraId="420DFE77">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5</w:t>
                  </w:r>
                </w:p>
              </w:tc>
            </w:tr>
            <w:tr w14:paraId="3EC3C9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678" w:type="dxa"/>
                  <w:shd w:val="clear" w:color="auto" w:fill="auto"/>
                  <w:vAlign w:val="center"/>
                </w:tcPr>
                <w:p w14:paraId="4411574C">
                  <w:pPr>
                    <w:spacing w:line="340" w:lineRule="exact"/>
                    <w:jc w:val="center"/>
                    <w:rPr>
                      <w:snapToGrid w:val="0"/>
                      <w:kern w:val="18"/>
                      <w:szCs w:val="21"/>
                    </w:rPr>
                  </w:pPr>
                  <w:r>
                    <w:rPr>
                      <w:snapToGrid w:val="0"/>
                      <w:kern w:val="18"/>
                      <w:szCs w:val="21"/>
                    </w:rPr>
                    <w:t>4</w:t>
                  </w:r>
                </w:p>
              </w:tc>
              <w:tc>
                <w:tcPr>
                  <w:tcW w:w="2340" w:type="dxa"/>
                  <w:shd w:val="clear" w:color="auto" w:fill="auto"/>
                  <w:vAlign w:val="center"/>
                </w:tcPr>
                <w:p w14:paraId="57053C85">
                  <w:pPr>
                    <w:spacing w:line="340" w:lineRule="exact"/>
                    <w:jc w:val="center"/>
                    <w:rPr>
                      <w:snapToGrid w:val="0"/>
                      <w:kern w:val="18"/>
                      <w:szCs w:val="21"/>
                    </w:rPr>
                  </w:pPr>
                  <w:r>
                    <w:rPr>
                      <w:snapToGrid w:val="0"/>
                      <w:kern w:val="18"/>
                      <w:szCs w:val="21"/>
                    </w:rPr>
                    <w:t>BOD</w:t>
                  </w:r>
                  <w:r>
                    <w:rPr>
                      <w:snapToGrid w:val="0"/>
                      <w:kern w:val="18"/>
                      <w:szCs w:val="21"/>
                      <w:vertAlign w:val="subscript"/>
                    </w:rPr>
                    <w:t>5</w:t>
                  </w:r>
                  <w:r>
                    <w:rPr>
                      <w:snapToGrid w:val="0"/>
                      <w:kern w:val="18"/>
                      <w:szCs w:val="21"/>
                    </w:rPr>
                    <w:t>≤</w:t>
                  </w:r>
                </w:p>
              </w:tc>
              <w:tc>
                <w:tcPr>
                  <w:tcW w:w="1620" w:type="dxa"/>
                  <w:shd w:val="clear" w:color="auto" w:fill="auto"/>
                  <w:vAlign w:val="center"/>
                </w:tcPr>
                <w:p w14:paraId="3120FF90">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1</w:t>
                  </w:r>
                </w:p>
              </w:tc>
              <w:tc>
                <w:tcPr>
                  <w:tcW w:w="1515" w:type="dxa"/>
                  <w:shd w:val="clear" w:color="auto" w:fill="auto"/>
                  <w:vAlign w:val="center"/>
                </w:tcPr>
                <w:p w14:paraId="42703B0A">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3</w:t>
                  </w:r>
                </w:p>
              </w:tc>
              <w:tc>
                <w:tcPr>
                  <w:tcW w:w="1290" w:type="dxa"/>
                  <w:shd w:val="clear" w:color="auto" w:fill="auto"/>
                  <w:vAlign w:val="center"/>
                </w:tcPr>
                <w:p w14:paraId="19C0596D">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4</w:t>
                  </w:r>
                </w:p>
              </w:tc>
              <w:tc>
                <w:tcPr>
                  <w:tcW w:w="1087" w:type="dxa"/>
                  <w:shd w:val="clear" w:color="auto" w:fill="auto"/>
                  <w:vAlign w:val="center"/>
                </w:tcPr>
                <w:p w14:paraId="0B23E1C1">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5</w:t>
                  </w:r>
                </w:p>
              </w:tc>
            </w:tr>
            <w:tr w14:paraId="760C6E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678" w:type="dxa"/>
                  <w:shd w:val="clear" w:color="auto" w:fill="auto"/>
                  <w:vAlign w:val="center"/>
                </w:tcPr>
                <w:p w14:paraId="6F36C51C">
                  <w:pPr>
                    <w:spacing w:line="340" w:lineRule="exact"/>
                    <w:jc w:val="center"/>
                    <w:rPr>
                      <w:snapToGrid w:val="0"/>
                      <w:kern w:val="18"/>
                      <w:szCs w:val="21"/>
                    </w:rPr>
                  </w:pPr>
                  <w:r>
                    <w:rPr>
                      <w:snapToGrid w:val="0"/>
                      <w:kern w:val="18"/>
                      <w:szCs w:val="21"/>
                    </w:rPr>
                    <w:t>5</w:t>
                  </w:r>
                </w:p>
              </w:tc>
              <w:tc>
                <w:tcPr>
                  <w:tcW w:w="2340" w:type="dxa"/>
                  <w:shd w:val="clear" w:color="auto" w:fill="auto"/>
                  <w:vAlign w:val="center"/>
                </w:tcPr>
                <w:p w14:paraId="6070DD92">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悬浮物（SS）</w:t>
                  </w:r>
                </w:p>
              </w:tc>
              <w:tc>
                <w:tcPr>
                  <w:tcW w:w="1620" w:type="dxa"/>
                  <w:shd w:val="clear" w:color="auto" w:fill="auto"/>
                  <w:vAlign w:val="center"/>
                </w:tcPr>
                <w:p w14:paraId="6CF042F3">
                  <w:pPr>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人为增加的量</w:t>
                  </w:r>
                  <w:r>
                    <w:rPr>
                      <w:snapToGrid w:val="0"/>
                      <w:kern w:val="18"/>
                      <w:szCs w:val="21"/>
                    </w:rPr>
                    <w:t>≤</w:t>
                  </w:r>
                  <w:r>
                    <w:rPr>
                      <w:rFonts w:hint="eastAsia"/>
                      <w:snapToGrid w:val="0"/>
                      <w:kern w:val="18"/>
                      <w:szCs w:val="21"/>
                      <w:lang w:val="en-US" w:eastAsia="zh-CN"/>
                    </w:rPr>
                    <w:t>10</w:t>
                  </w:r>
                </w:p>
              </w:tc>
              <w:tc>
                <w:tcPr>
                  <w:tcW w:w="1515" w:type="dxa"/>
                  <w:shd w:val="clear" w:color="auto" w:fill="auto"/>
                  <w:vAlign w:val="center"/>
                </w:tcPr>
                <w:p w14:paraId="39FEF108">
                  <w:pPr>
                    <w:spacing w:line="340" w:lineRule="exact"/>
                    <w:jc w:val="center"/>
                    <w:rPr>
                      <w:rFonts w:hint="default"/>
                      <w:snapToGrid w:val="0"/>
                      <w:kern w:val="18"/>
                      <w:szCs w:val="21"/>
                      <w:lang w:val="en-US"/>
                    </w:rPr>
                  </w:pPr>
                  <w:r>
                    <w:rPr>
                      <w:rFonts w:hint="eastAsia"/>
                      <w:snapToGrid w:val="0"/>
                      <w:kern w:val="18"/>
                      <w:szCs w:val="21"/>
                      <w:lang w:val="en-US" w:eastAsia="zh-CN"/>
                    </w:rPr>
                    <w:t>人为增加的量</w:t>
                  </w:r>
                  <w:r>
                    <w:rPr>
                      <w:snapToGrid w:val="0"/>
                      <w:kern w:val="18"/>
                      <w:szCs w:val="21"/>
                    </w:rPr>
                    <w:t>≤</w:t>
                  </w:r>
                  <w:r>
                    <w:rPr>
                      <w:rFonts w:hint="eastAsia"/>
                      <w:snapToGrid w:val="0"/>
                      <w:kern w:val="18"/>
                      <w:szCs w:val="21"/>
                      <w:lang w:val="en-US" w:eastAsia="zh-CN"/>
                    </w:rPr>
                    <w:t>100</w:t>
                  </w:r>
                </w:p>
              </w:tc>
              <w:tc>
                <w:tcPr>
                  <w:tcW w:w="2377" w:type="dxa"/>
                  <w:gridSpan w:val="2"/>
                  <w:shd w:val="clear" w:color="auto" w:fill="auto"/>
                  <w:vAlign w:val="center"/>
                </w:tcPr>
                <w:p w14:paraId="4BF7E46B">
                  <w:pPr>
                    <w:spacing w:line="340" w:lineRule="exact"/>
                    <w:jc w:val="center"/>
                    <w:rPr>
                      <w:rFonts w:hint="default" w:ascii="Times New Roman" w:hAnsi="Times New Roman" w:eastAsia="宋体" w:cs="Times New Roman"/>
                      <w:snapToGrid w:val="0"/>
                      <w:kern w:val="18"/>
                      <w:szCs w:val="21"/>
                      <w:lang w:val="en-US" w:eastAsia="zh-CN"/>
                    </w:rPr>
                  </w:pPr>
                  <w:r>
                    <w:rPr>
                      <w:rFonts w:hint="eastAsia"/>
                      <w:snapToGrid w:val="0"/>
                      <w:kern w:val="18"/>
                      <w:szCs w:val="21"/>
                      <w:lang w:val="en-US" w:eastAsia="zh-CN"/>
                    </w:rPr>
                    <w:t>人为增加的量</w:t>
                  </w:r>
                  <w:r>
                    <w:rPr>
                      <w:snapToGrid w:val="0"/>
                      <w:kern w:val="18"/>
                      <w:szCs w:val="21"/>
                    </w:rPr>
                    <w:t>≤</w:t>
                  </w:r>
                  <w:r>
                    <w:rPr>
                      <w:rFonts w:hint="eastAsia"/>
                      <w:snapToGrid w:val="0"/>
                      <w:kern w:val="18"/>
                      <w:szCs w:val="21"/>
                      <w:lang w:val="en-US" w:eastAsia="zh-CN"/>
                    </w:rPr>
                    <w:t>150</w:t>
                  </w:r>
                </w:p>
              </w:tc>
            </w:tr>
            <w:tr w14:paraId="3810C8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678" w:type="dxa"/>
                  <w:shd w:val="clear" w:color="auto" w:fill="auto"/>
                  <w:vAlign w:val="center"/>
                </w:tcPr>
                <w:p w14:paraId="629BB166">
                  <w:pPr>
                    <w:spacing w:line="340" w:lineRule="exact"/>
                    <w:jc w:val="center"/>
                    <w:rPr>
                      <w:snapToGrid w:val="0"/>
                      <w:kern w:val="18"/>
                      <w:szCs w:val="21"/>
                    </w:rPr>
                  </w:pPr>
                  <w:r>
                    <w:rPr>
                      <w:snapToGrid w:val="0"/>
                      <w:kern w:val="18"/>
                      <w:szCs w:val="21"/>
                    </w:rPr>
                    <w:t>6</w:t>
                  </w:r>
                </w:p>
              </w:tc>
              <w:tc>
                <w:tcPr>
                  <w:tcW w:w="2340" w:type="dxa"/>
                  <w:shd w:val="clear" w:color="auto" w:fill="auto"/>
                  <w:vAlign w:val="center"/>
                </w:tcPr>
                <w:p w14:paraId="43631DDE">
                  <w:pPr>
                    <w:spacing w:line="340" w:lineRule="exact"/>
                    <w:jc w:val="center"/>
                    <w:rPr>
                      <w:snapToGrid w:val="0"/>
                      <w:kern w:val="18"/>
                      <w:szCs w:val="21"/>
                    </w:rPr>
                  </w:pPr>
                  <w:r>
                    <w:rPr>
                      <w:rFonts w:hint="eastAsia"/>
                      <w:snapToGrid w:val="0"/>
                      <w:kern w:val="18"/>
                      <w:szCs w:val="21"/>
                      <w:lang w:val="en-US" w:eastAsia="zh-CN"/>
                    </w:rPr>
                    <w:t>无机氮（以N计）</w:t>
                  </w:r>
                  <w:r>
                    <w:rPr>
                      <w:snapToGrid w:val="0"/>
                      <w:kern w:val="18"/>
                      <w:szCs w:val="21"/>
                    </w:rPr>
                    <w:t>≤</w:t>
                  </w:r>
                </w:p>
              </w:tc>
              <w:tc>
                <w:tcPr>
                  <w:tcW w:w="1620" w:type="dxa"/>
                  <w:shd w:val="clear" w:color="auto" w:fill="auto"/>
                  <w:vAlign w:val="center"/>
                </w:tcPr>
                <w:p w14:paraId="2C7DA371">
                  <w:pPr>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0.20</w:t>
                  </w:r>
                </w:p>
              </w:tc>
              <w:tc>
                <w:tcPr>
                  <w:tcW w:w="1515" w:type="dxa"/>
                  <w:shd w:val="clear" w:color="auto" w:fill="auto"/>
                  <w:vAlign w:val="center"/>
                </w:tcPr>
                <w:p w14:paraId="49B43433">
                  <w:pPr>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0.30</w:t>
                  </w:r>
                </w:p>
              </w:tc>
              <w:tc>
                <w:tcPr>
                  <w:tcW w:w="1290" w:type="dxa"/>
                  <w:shd w:val="clear" w:color="auto" w:fill="auto"/>
                  <w:vAlign w:val="center"/>
                </w:tcPr>
                <w:p w14:paraId="408A2EE5">
                  <w:pPr>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0.40</w:t>
                  </w:r>
                </w:p>
              </w:tc>
              <w:tc>
                <w:tcPr>
                  <w:tcW w:w="1087" w:type="dxa"/>
                  <w:shd w:val="clear" w:color="auto" w:fill="auto"/>
                  <w:vAlign w:val="center"/>
                </w:tcPr>
                <w:p w14:paraId="0C235CEA">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0.50</w:t>
                  </w:r>
                </w:p>
              </w:tc>
            </w:tr>
            <w:tr w14:paraId="3C5322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678" w:type="dxa"/>
                  <w:shd w:val="clear" w:color="auto" w:fill="auto"/>
                  <w:vAlign w:val="center"/>
                </w:tcPr>
                <w:p w14:paraId="60763A71">
                  <w:pPr>
                    <w:spacing w:line="340" w:lineRule="exact"/>
                    <w:jc w:val="center"/>
                    <w:rPr>
                      <w:rFonts w:hint="default" w:eastAsia="宋体"/>
                      <w:snapToGrid w:val="0"/>
                      <w:kern w:val="18"/>
                      <w:szCs w:val="21"/>
                      <w:lang w:val="en-US" w:eastAsia="zh-CN"/>
                    </w:rPr>
                  </w:pPr>
                  <w:bookmarkStart w:id="93" w:name="_Toc4828"/>
                  <w:r>
                    <w:rPr>
                      <w:rFonts w:hint="eastAsia"/>
                      <w:snapToGrid w:val="0"/>
                      <w:kern w:val="18"/>
                      <w:szCs w:val="21"/>
                      <w:lang w:val="en-US" w:eastAsia="zh-CN"/>
                    </w:rPr>
                    <w:t>5</w:t>
                  </w:r>
                </w:p>
              </w:tc>
              <w:tc>
                <w:tcPr>
                  <w:tcW w:w="2340" w:type="dxa"/>
                  <w:shd w:val="clear" w:color="auto" w:fill="auto"/>
                  <w:vAlign w:val="center"/>
                </w:tcPr>
                <w:p w14:paraId="0A639405">
                  <w:pPr>
                    <w:spacing w:line="340" w:lineRule="exact"/>
                    <w:jc w:val="center"/>
                    <w:rPr>
                      <w:snapToGrid w:val="0"/>
                      <w:kern w:val="18"/>
                      <w:szCs w:val="21"/>
                    </w:rPr>
                  </w:pPr>
                  <w:r>
                    <w:rPr>
                      <w:rFonts w:hint="eastAsia"/>
                      <w:snapToGrid w:val="0"/>
                      <w:kern w:val="18"/>
                      <w:szCs w:val="21"/>
                      <w:lang w:val="en-US" w:eastAsia="zh-CN"/>
                    </w:rPr>
                    <w:t>非离子氮（以N计）</w:t>
                  </w:r>
                  <w:r>
                    <w:rPr>
                      <w:snapToGrid w:val="0"/>
                      <w:kern w:val="18"/>
                      <w:szCs w:val="21"/>
                    </w:rPr>
                    <w:t>≤</w:t>
                  </w:r>
                </w:p>
              </w:tc>
              <w:tc>
                <w:tcPr>
                  <w:tcW w:w="5512" w:type="dxa"/>
                  <w:gridSpan w:val="4"/>
                  <w:shd w:val="clear" w:color="auto" w:fill="auto"/>
                  <w:vAlign w:val="center"/>
                </w:tcPr>
                <w:p w14:paraId="6950973E">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0.020</w:t>
                  </w:r>
                </w:p>
              </w:tc>
            </w:tr>
            <w:tr w14:paraId="1F8514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678" w:type="dxa"/>
                  <w:shd w:val="clear" w:color="auto" w:fill="auto"/>
                  <w:vAlign w:val="center"/>
                </w:tcPr>
                <w:p w14:paraId="189503D0">
                  <w:pPr>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8</w:t>
                  </w:r>
                </w:p>
              </w:tc>
              <w:tc>
                <w:tcPr>
                  <w:tcW w:w="2340" w:type="dxa"/>
                  <w:shd w:val="clear" w:color="auto" w:fill="auto"/>
                  <w:vAlign w:val="center"/>
                </w:tcPr>
                <w:p w14:paraId="17A2B1B3">
                  <w:pPr>
                    <w:spacing w:line="340" w:lineRule="exact"/>
                    <w:jc w:val="center"/>
                    <w:rPr>
                      <w:snapToGrid w:val="0"/>
                      <w:kern w:val="18"/>
                      <w:szCs w:val="21"/>
                    </w:rPr>
                  </w:pPr>
                  <w:r>
                    <w:rPr>
                      <w:rFonts w:hint="eastAsia"/>
                      <w:snapToGrid w:val="0"/>
                      <w:kern w:val="18"/>
                      <w:szCs w:val="21"/>
                      <w:lang w:val="en-US" w:eastAsia="zh-CN"/>
                    </w:rPr>
                    <w:t>活性磷酸盐（以P计）</w:t>
                  </w:r>
                  <w:r>
                    <w:rPr>
                      <w:snapToGrid w:val="0"/>
                      <w:kern w:val="18"/>
                      <w:szCs w:val="21"/>
                    </w:rPr>
                    <w:t>≤</w:t>
                  </w:r>
                </w:p>
              </w:tc>
              <w:tc>
                <w:tcPr>
                  <w:tcW w:w="1620" w:type="dxa"/>
                  <w:shd w:val="clear" w:color="auto" w:fill="auto"/>
                  <w:vAlign w:val="center"/>
                </w:tcPr>
                <w:p w14:paraId="461D4564">
                  <w:pPr>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0.015</w:t>
                  </w:r>
                </w:p>
              </w:tc>
              <w:tc>
                <w:tcPr>
                  <w:tcW w:w="2805" w:type="dxa"/>
                  <w:gridSpan w:val="2"/>
                  <w:shd w:val="clear" w:color="auto" w:fill="auto"/>
                  <w:vAlign w:val="center"/>
                </w:tcPr>
                <w:p w14:paraId="106D3688">
                  <w:pPr>
                    <w:spacing w:line="340" w:lineRule="exact"/>
                    <w:jc w:val="center"/>
                    <w:rPr>
                      <w:snapToGrid w:val="0"/>
                      <w:kern w:val="18"/>
                      <w:szCs w:val="21"/>
                    </w:rPr>
                  </w:pPr>
                  <w:r>
                    <w:rPr>
                      <w:rFonts w:hint="eastAsia"/>
                      <w:snapToGrid w:val="0"/>
                      <w:kern w:val="18"/>
                      <w:szCs w:val="21"/>
                      <w:lang w:val="en-US" w:eastAsia="zh-CN"/>
                    </w:rPr>
                    <w:t>0.030</w:t>
                  </w:r>
                </w:p>
              </w:tc>
              <w:tc>
                <w:tcPr>
                  <w:tcW w:w="1087" w:type="dxa"/>
                  <w:shd w:val="clear" w:color="auto" w:fill="auto"/>
                  <w:vAlign w:val="center"/>
                </w:tcPr>
                <w:p w14:paraId="45A92B0F">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0.045</w:t>
                  </w:r>
                </w:p>
              </w:tc>
            </w:tr>
            <w:tr w14:paraId="7990A6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678" w:type="dxa"/>
                  <w:shd w:val="clear" w:color="auto" w:fill="auto"/>
                  <w:vAlign w:val="center"/>
                </w:tcPr>
                <w:p w14:paraId="7AE672A0">
                  <w:pPr>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9</w:t>
                  </w:r>
                </w:p>
              </w:tc>
              <w:tc>
                <w:tcPr>
                  <w:tcW w:w="2340" w:type="dxa"/>
                  <w:shd w:val="clear" w:color="auto" w:fill="auto"/>
                  <w:vAlign w:val="center"/>
                </w:tcPr>
                <w:p w14:paraId="0730C4EE">
                  <w:pPr>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石油类</w:t>
                  </w:r>
                  <w:r>
                    <w:rPr>
                      <w:snapToGrid w:val="0"/>
                      <w:kern w:val="18"/>
                      <w:szCs w:val="21"/>
                    </w:rPr>
                    <w:t>≤</w:t>
                  </w:r>
                </w:p>
              </w:tc>
              <w:tc>
                <w:tcPr>
                  <w:tcW w:w="3135" w:type="dxa"/>
                  <w:gridSpan w:val="2"/>
                  <w:shd w:val="clear" w:color="auto" w:fill="auto"/>
                  <w:vAlign w:val="center"/>
                </w:tcPr>
                <w:p w14:paraId="0D8BBC88">
                  <w:pPr>
                    <w:spacing w:line="340" w:lineRule="exact"/>
                    <w:jc w:val="center"/>
                    <w:rPr>
                      <w:snapToGrid w:val="0"/>
                      <w:kern w:val="18"/>
                      <w:szCs w:val="21"/>
                    </w:rPr>
                  </w:pPr>
                  <w:r>
                    <w:rPr>
                      <w:rFonts w:hint="eastAsia"/>
                      <w:snapToGrid w:val="0"/>
                      <w:kern w:val="18"/>
                      <w:szCs w:val="21"/>
                      <w:lang w:val="en-US" w:eastAsia="zh-CN"/>
                    </w:rPr>
                    <w:t>0.05</w:t>
                  </w:r>
                </w:p>
              </w:tc>
              <w:tc>
                <w:tcPr>
                  <w:tcW w:w="1290" w:type="dxa"/>
                  <w:shd w:val="clear" w:color="auto" w:fill="auto"/>
                  <w:vAlign w:val="center"/>
                </w:tcPr>
                <w:p w14:paraId="4ED5A462">
                  <w:pPr>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0.30</w:t>
                  </w:r>
                </w:p>
              </w:tc>
              <w:tc>
                <w:tcPr>
                  <w:tcW w:w="1087" w:type="dxa"/>
                  <w:shd w:val="clear" w:color="auto" w:fill="auto"/>
                  <w:vAlign w:val="center"/>
                </w:tcPr>
                <w:p w14:paraId="5E64A34B">
                  <w:pPr>
                    <w:spacing w:line="340" w:lineRule="exact"/>
                    <w:jc w:val="center"/>
                    <w:rPr>
                      <w:rFonts w:hint="default" w:ascii="Times New Roman" w:hAnsi="Times New Roman" w:eastAsia="宋体" w:cs="Times New Roman"/>
                      <w:snapToGrid w:val="0"/>
                      <w:kern w:val="18"/>
                      <w:szCs w:val="21"/>
                      <w:lang w:val="en-US" w:eastAsia="zh-CN"/>
                    </w:rPr>
                  </w:pPr>
                  <w:r>
                    <w:rPr>
                      <w:rFonts w:hint="eastAsia" w:ascii="Times New Roman" w:hAnsi="Times New Roman" w:eastAsia="宋体" w:cs="Times New Roman"/>
                      <w:snapToGrid w:val="0"/>
                      <w:kern w:val="18"/>
                      <w:szCs w:val="21"/>
                      <w:lang w:val="en-US" w:eastAsia="zh-CN"/>
                    </w:rPr>
                    <w:t>0.50</w:t>
                  </w:r>
                </w:p>
              </w:tc>
            </w:tr>
          </w:tbl>
          <w:p w14:paraId="4119E4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94" w:name="_Toc8599"/>
            <w:r>
              <w:rPr>
                <w:rFonts w:hint="eastAsia" w:ascii="Times New Roman" w:hAnsi="Times New Roman" w:eastAsia="宋体" w:cs="Times New Roman"/>
                <w:b/>
                <w:bCs/>
                <w:color w:val="auto"/>
                <w:sz w:val="24"/>
                <w:szCs w:val="24"/>
                <w:u w:val="none"/>
                <w:lang w:val="en-US" w:eastAsia="zh-CN"/>
              </w:rPr>
              <w:t>3.2.2地表水环境质量现状</w:t>
            </w:r>
            <w:bookmarkEnd w:id="93"/>
            <w:bookmarkEnd w:id="94"/>
          </w:p>
          <w:p w14:paraId="66EF138E">
            <w:pPr>
              <w:widowControl/>
              <w:spacing w:line="360" w:lineRule="auto"/>
              <w:ind w:firstLine="480" w:firstLineChars="200"/>
              <w:jc w:val="both"/>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①环境质量现状：</w:t>
            </w:r>
            <w:r>
              <w:rPr>
                <w:rFonts w:hint="default" w:ascii="Times New Roman" w:hAnsi="Times New Roman" w:eastAsia="宋体" w:cs="Times New Roman"/>
                <w:color w:val="auto"/>
                <w:sz w:val="24"/>
                <w:szCs w:val="22"/>
                <w:highlight w:val="none"/>
                <w:lang w:val="en-US" w:eastAsia="zh-CN"/>
              </w:rPr>
              <w:t>为了解项目地表水水质环境质量现状，根据福建省生态环境厅网站发布的福建省近岸海域水质状况</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202</w:t>
            </w:r>
            <w:r>
              <w:rPr>
                <w:rFonts w:hint="eastAsia" w:ascii="Times New Roman" w:hAnsi="Times New Roman" w:eastAsia="宋体" w:cs="Times New Roman"/>
                <w:color w:val="auto"/>
                <w:sz w:val="24"/>
                <w:szCs w:val="22"/>
                <w:highlight w:val="none"/>
                <w:lang w:val="en-US" w:eastAsia="zh-CN"/>
              </w:rPr>
              <w:t>5</w:t>
            </w:r>
            <w:r>
              <w:rPr>
                <w:rFonts w:hint="default" w:ascii="Times New Roman" w:hAnsi="Times New Roman" w:eastAsia="宋体" w:cs="Times New Roman"/>
                <w:color w:val="auto"/>
                <w:sz w:val="24"/>
                <w:szCs w:val="22"/>
                <w:highlight w:val="none"/>
                <w:lang w:val="en-US" w:eastAsia="zh-CN"/>
              </w:rPr>
              <w:t>年</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网址：https://sthjt.fujian.gov.cn/zwgk/sjfb/hjsj/jahysz_1/202601/t20260104_7070768.htm），2025年，全省近岸海域水质状况如下：按照面积法评价，142个国控点位优良（一、二类）水质比例94.6%，各类水质比例如下：一类占81.4％，二类占13.2％，三类占1.5％，四类占2.5％，劣四类占1.4％；235个国省控点位优良（一、二类）水质比例为95.5%。按照点位法评价，国控点位优良（一、二类）水质占85.2%，国省控点位优良（一、二类）水质占83.8%。2025年，全省35个海湾（湾区、岸段）各类水质状况比例如下：优的占42.9%，良好的占25.7%，一般的占20.0%，差的占8.6%，极差的占2.8%。</w:t>
            </w:r>
            <w:r>
              <w:rPr>
                <w:rFonts w:hint="eastAsia"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highlight w:val="none"/>
                <w:lang w:val="en-US" w:eastAsia="zh-CN"/>
              </w:rPr>
              <w:t>详见图3.2-1）</w:t>
            </w:r>
          </w:p>
          <w:p w14:paraId="7BEAA04E">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4"/>
                <w:highlight w:val="none"/>
                <w:lang w:val="en-US" w:eastAsia="zh-CN"/>
              </w:rPr>
            </w:pPr>
            <w:r>
              <w:drawing>
                <wp:inline distT="0" distB="0" distL="114300" distR="114300">
                  <wp:extent cx="5415915" cy="3566795"/>
                  <wp:effectExtent l="0" t="0" r="13335"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415915" cy="3566795"/>
                          </a:xfrm>
                          <a:prstGeom prst="rect">
                            <a:avLst/>
                          </a:prstGeom>
                          <a:noFill/>
                          <a:ln>
                            <a:noFill/>
                          </a:ln>
                        </pic:spPr>
                      </pic:pic>
                    </a:graphicData>
                  </a:graphic>
                </wp:inline>
              </w:drawing>
            </w:r>
          </w:p>
          <w:p w14:paraId="1FF1AFE9">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eastAsia" w:cs="Times New Roman"/>
                <w:b/>
                <w:bCs w:val="0"/>
                <w:color w:val="auto"/>
                <w:sz w:val="24"/>
                <w:szCs w:val="24"/>
                <w:lang w:val="en-US" w:eastAsia="zh-CN"/>
              </w:rPr>
            </w:pPr>
            <w:bookmarkStart w:id="95" w:name="_Toc17711"/>
            <w:r>
              <w:rPr>
                <w:rFonts w:hint="eastAsia" w:ascii="Times New Roman" w:hAnsi="Times New Roman" w:eastAsia="宋体" w:cs="Times New Roman"/>
                <w:b/>
                <w:bCs w:val="0"/>
                <w:color w:val="auto"/>
                <w:sz w:val="24"/>
                <w:szCs w:val="24"/>
                <w:lang w:val="en-US" w:eastAsia="zh-CN"/>
              </w:rPr>
              <w:t>图3.</w:t>
            </w:r>
            <w:r>
              <w:rPr>
                <w:rFonts w:hint="eastAsia"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1福建省近岸海域水质状况（2025年）截图</w:t>
            </w:r>
            <w:bookmarkEnd w:id="95"/>
          </w:p>
          <w:p w14:paraId="63102DF6">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综上，项目所在区域水质状况良好，属于达标区。项目</w:t>
            </w:r>
            <w:r>
              <w:rPr>
                <w:rFonts w:hint="default" w:ascii="Times New Roman" w:hAnsi="Times New Roman" w:eastAsia="宋体" w:cs="Times New Roman"/>
                <w:color w:val="auto"/>
                <w:sz w:val="24"/>
                <w:szCs w:val="24"/>
                <w:highlight w:val="none"/>
                <w:lang w:eastAsia="zh-CN"/>
              </w:rPr>
              <w:t>生产过程中</w:t>
            </w:r>
            <w:r>
              <w:rPr>
                <w:rFonts w:hint="eastAsia" w:cs="Times New Roman"/>
                <w:color w:val="auto"/>
                <w:sz w:val="24"/>
                <w:szCs w:val="24"/>
                <w:highlight w:val="none"/>
                <w:lang w:val="en-US" w:eastAsia="zh-CN"/>
              </w:rPr>
              <w:t>所产生的生产废水均循环使用</w:t>
            </w:r>
            <w:r>
              <w:rPr>
                <w:rFonts w:hint="default" w:ascii="Times New Roman" w:hAnsi="Times New Roman" w:eastAsia="宋体" w:cs="Times New Roman"/>
                <w:color w:val="auto"/>
                <w:sz w:val="24"/>
                <w:szCs w:val="24"/>
                <w:highlight w:val="none"/>
                <w:lang w:eastAsia="zh-CN"/>
              </w:rPr>
              <w:t>，不外排。生活污水经化粪池处理后排入市政污水管网</w:t>
            </w:r>
            <w:r>
              <w:rPr>
                <w:rFonts w:hint="eastAsia"/>
                <w:color w:val="000000" w:themeColor="text1"/>
                <w:kern w:val="0"/>
                <w:sz w:val="24"/>
                <w:highlight w:val="none"/>
                <w:lang w:val="en-US" w:eastAsia="zh-CN" w:bidi="ar"/>
                <w14:textFill>
                  <w14:solidFill>
                    <w14:schemeClr w14:val="tx1"/>
                  </w14:solidFill>
                </w14:textFill>
              </w:rPr>
              <w:t>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color w:val="000000" w:themeColor="text1"/>
                <w:kern w:val="0"/>
                <w:sz w:val="24"/>
                <w:highlight w:val="none"/>
                <w:lang w:val="en-US" w:eastAsia="zh-CN" w:bidi="ar"/>
                <w14:textFill>
                  <w14:solidFill>
                    <w14:schemeClr w14:val="tx1"/>
                  </w14:solidFill>
                </w14:textFill>
              </w:rPr>
              <w:t>集中处理</w:t>
            </w:r>
            <w:r>
              <w:rPr>
                <w:rFonts w:hint="eastAsia"/>
                <w:color w:val="000000" w:themeColor="text1"/>
                <w:kern w:val="0"/>
                <w:sz w:val="24"/>
                <w:highlight w:val="none"/>
                <w:lang w:bidi="ar"/>
                <w14:textFill>
                  <w14:solidFill>
                    <w14:schemeClr w14:val="tx1"/>
                  </w14:solidFill>
                </w14:textFill>
              </w:rPr>
              <w:t>。</w:t>
            </w:r>
            <w:r>
              <w:rPr>
                <w:rFonts w:hint="default" w:ascii="Times New Roman" w:hAnsi="Times New Roman" w:eastAsia="宋体" w:cs="Times New Roman"/>
                <w:color w:val="auto"/>
                <w:sz w:val="24"/>
                <w:highlight w:val="none"/>
                <w:lang w:val="en-US" w:eastAsia="zh-CN"/>
              </w:rPr>
              <w:t>不直接排入周边地表水体，几乎不会改变周边水环境质量现状。</w:t>
            </w:r>
          </w:p>
          <w:p w14:paraId="7A4132C8">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bottom"/>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②引用资料的有效性分析</w:t>
            </w:r>
          </w:p>
          <w:p w14:paraId="1908CB29">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根据《建设项目环境影响报告表编制技术指南（污染影响类）（试行）》（环办环评〔2020〕33号）的要求：</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本次评价选取福建省生态环境厅网站发布的海水水质环境质量状况</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符合《建设项目环境影响报告表编制技术指南（污染影响类）（试行）》（环办环评〔2020〕33号）的要求。</w:t>
            </w:r>
          </w:p>
          <w:p w14:paraId="5CFF673F">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96" w:name="_Toc23909"/>
            <w:bookmarkStart w:id="97" w:name="_Toc27787"/>
            <w:r>
              <w:rPr>
                <w:rFonts w:hint="eastAsia" w:ascii="Times New Roman" w:hAnsi="Times New Roman" w:eastAsia="宋体" w:cs="Times New Roman"/>
                <w:color w:val="auto"/>
                <w:sz w:val="28"/>
                <w:szCs w:val="28"/>
                <w:u w:val="none"/>
                <w:lang w:val="en-US" w:eastAsia="zh-CN"/>
              </w:rPr>
              <w:t>3.3声环境质量现状</w:t>
            </w:r>
            <w:bookmarkEnd w:id="96"/>
            <w:bookmarkEnd w:id="97"/>
          </w:p>
          <w:p w14:paraId="0C25834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98" w:name="_Toc23273"/>
            <w:bookmarkStart w:id="99" w:name="_Toc28348"/>
            <w:r>
              <w:rPr>
                <w:rFonts w:hint="default" w:ascii="Times New Roman" w:hAnsi="Times New Roman" w:eastAsia="宋体"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声环境质量标准</w:t>
            </w:r>
            <w:bookmarkEnd w:id="98"/>
            <w:bookmarkEnd w:id="99"/>
          </w:p>
          <w:p w14:paraId="2D3B5780">
            <w:pPr>
              <w:widowControl/>
              <w:spacing w:line="360" w:lineRule="auto"/>
              <w:ind w:firstLine="480" w:firstLineChars="200"/>
              <w:jc w:val="left"/>
              <w:rPr>
                <w:sz w:val="24"/>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福建省福州市福清市新厝镇双屿500-22号（江阴港城经济区新厝区块），属于以工业生产、仓储物流为主要功能的区域，</w:t>
            </w: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执行GB3096-2008《声环境质量标准》中的3类标准</w:t>
            </w:r>
            <w:r>
              <w:rPr>
                <w:rFonts w:hint="eastAsia" w:ascii="Times New Roman" w:hAnsi="Times New Roman" w:eastAsia="宋体" w:cs="Times New Roman"/>
                <w:color w:val="auto"/>
                <w:kern w:val="0"/>
                <w:sz w:val="24"/>
                <w:szCs w:val="28"/>
                <w:highlight w:val="none"/>
                <w:lang w:val="en-US" w:eastAsia="zh-CN" w:bidi="ar-SA"/>
              </w:rPr>
              <w:t>，详见表3.3-1</w:t>
            </w:r>
            <w:r>
              <w:rPr>
                <w:rFonts w:hint="eastAsia"/>
                <w:sz w:val="24"/>
              </w:rPr>
              <w:t>。</w:t>
            </w:r>
          </w:p>
          <w:p w14:paraId="0CEE62C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表3.3-1《声环境质量标准》（</w:t>
            </w:r>
            <w:r>
              <w:rPr>
                <w:rFonts w:hint="default" w:ascii="Times New Roman" w:hAnsi="Times New Roman" w:eastAsia="宋体" w:cs="Times New Roman"/>
                <w:b/>
                <w:bCs/>
                <w:color w:val="auto"/>
                <w:sz w:val="24"/>
                <w:szCs w:val="24"/>
                <w:u w:val="none"/>
                <w:lang w:val="en-US" w:eastAsia="zh-CN"/>
              </w:rPr>
              <w:t>GB3096-2008</w:t>
            </w:r>
            <w:r>
              <w:rPr>
                <w:rFonts w:hint="eastAsia"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（单位：dB）</w:t>
            </w:r>
          </w:p>
          <w:tbl>
            <w:tblPr>
              <w:tblStyle w:val="23"/>
              <w:tblW w:w="853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535"/>
              <w:gridCol w:w="852"/>
              <w:gridCol w:w="759"/>
            </w:tblGrid>
            <w:tr w14:paraId="39649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3" w:hRule="atLeast"/>
                <w:tblHeader/>
              </w:trPr>
              <w:tc>
                <w:tcPr>
                  <w:tcW w:w="1384" w:type="dxa"/>
                  <w:vAlign w:val="center"/>
                </w:tcPr>
                <w:p w14:paraId="27C12DD3">
                  <w:pPr>
                    <w:jc w:val="center"/>
                    <w:rPr>
                      <w:szCs w:val="21"/>
                    </w:rPr>
                  </w:pPr>
                  <w:r>
                    <w:rPr>
                      <w:szCs w:val="21"/>
                    </w:rPr>
                    <w:t>类别</w:t>
                  </w:r>
                </w:p>
              </w:tc>
              <w:tc>
                <w:tcPr>
                  <w:tcW w:w="5535" w:type="dxa"/>
                  <w:vAlign w:val="center"/>
                </w:tcPr>
                <w:p w14:paraId="63A26847">
                  <w:pPr>
                    <w:jc w:val="center"/>
                    <w:rPr>
                      <w:szCs w:val="21"/>
                    </w:rPr>
                  </w:pPr>
                  <w:r>
                    <w:rPr>
                      <w:szCs w:val="21"/>
                    </w:rPr>
                    <w:t>适用区域</w:t>
                  </w:r>
                </w:p>
              </w:tc>
              <w:tc>
                <w:tcPr>
                  <w:tcW w:w="852" w:type="dxa"/>
                  <w:vAlign w:val="center"/>
                </w:tcPr>
                <w:p w14:paraId="494CABC3">
                  <w:pPr>
                    <w:jc w:val="center"/>
                    <w:rPr>
                      <w:szCs w:val="21"/>
                    </w:rPr>
                  </w:pPr>
                  <w:r>
                    <w:rPr>
                      <w:szCs w:val="21"/>
                    </w:rPr>
                    <w:t>昼间</w:t>
                  </w:r>
                </w:p>
              </w:tc>
              <w:tc>
                <w:tcPr>
                  <w:tcW w:w="759" w:type="dxa"/>
                  <w:vAlign w:val="center"/>
                </w:tcPr>
                <w:p w14:paraId="16F3722A">
                  <w:pPr>
                    <w:jc w:val="center"/>
                    <w:rPr>
                      <w:szCs w:val="21"/>
                    </w:rPr>
                  </w:pPr>
                  <w:r>
                    <w:rPr>
                      <w:szCs w:val="21"/>
                    </w:rPr>
                    <w:t>夜间</w:t>
                  </w:r>
                </w:p>
              </w:tc>
            </w:tr>
            <w:tr w14:paraId="4916C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57" w:hRule="atLeast"/>
              </w:trPr>
              <w:tc>
                <w:tcPr>
                  <w:tcW w:w="1384" w:type="dxa"/>
                  <w:vAlign w:val="center"/>
                </w:tcPr>
                <w:p w14:paraId="77CBD47F">
                  <w:pPr>
                    <w:jc w:val="center"/>
                    <w:rPr>
                      <w:szCs w:val="21"/>
                    </w:rPr>
                  </w:pPr>
                  <w:r>
                    <w:rPr>
                      <w:rFonts w:hint="eastAsia"/>
                      <w:szCs w:val="21"/>
                    </w:rPr>
                    <w:t>3</w:t>
                  </w:r>
                  <w:r>
                    <w:rPr>
                      <w:szCs w:val="21"/>
                    </w:rPr>
                    <w:t>类</w:t>
                  </w:r>
                </w:p>
              </w:tc>
              <w:tc>
                <w:tcPr>
                  <w:tcW w:w="5535" w:type="dxa"/>
                  <w:vAlign w:val="center"/>
                </w:tcPr>
                <w:p w14:paraId="15988A52">
                  <w:pPr>
                    <w:jc w:val="center"/>
                    <w:rPr>
                      <w:szCs w:val="21"/>
                    </w:rPr>
                  </w:pPr>
                  <w:r>
                    <w:rPr>
                      <w:szCs w:val="21"/>
                    </w:rPr>
                    <w:t>以工业生产、仓储物流为主要功能，需要防止工业噪声对周围环境产生严重影响的区域</w:t>
                  </w:r>
                </w:p>
              </w:tc>
              <w:tc>
                <w:tcPr>
                  <w:tcW w:w="852" w:type="dxa"/>
                  <w:vAlign w:val="center"/>
                </w:tcPr>
                <w:p w14:paraId="04F97058">
                  <w:pPr>
                    <w:jc w:val="center"/>
                    <w:rPr>
                      <w:rFonts w:hint="eastAsia"/>
                      <w:szCs w:val="21"/>
                    </w:rPr>
                  </w:pPr>
                  <w:r>
                    <w:rPr>
                      <w:rFonts w:hint="eastAsia"/>
                      <w:szCs w:val="21"/>
                      <w:lang w:val="en-US" w:eastAsia="zh-CN"/>
                    </w:rPr>
                    <w:t>≤</w:t>
                  </w:r>
                  <w:r>
                    <w:rPr>
                      <w:szCs w:val="21"/>
                    </w:rPr>
                    <w:t>6</w:t>
                  </w:r>
                  <w:r>
                    <w:rPr>
                      <w:rFonts w:hint="eastAsia"/>
                      <w:szCs w:val="21"/>
                    </w:rPr>
                    <w:t>5</w:t>
                  </w:r>
                </w:p>
              </w:tc>
              <w:tc>
                <w:tcPr>
                  <w:tcW w:w="759" w:type="dxa"/>
                  <w:vAlign w:val="center"/>
                </w:tcPr>
                <w:p w14:paraId="48DD6577">
                  <w:pPr>
                    <w:jc w:val="center"/>
                    <w:rPr>
                      <w:rFonts w:hint="eastAsia"/>
                      <w:szCs w:val="21"/>
                    </w:rPr>
                  </w:pPr>
                  <w:r>
                    <w:rPr>
                      <w:rFonts w:hint="eastAsia"/>
                      <w:szCs w:val="21"/>
                      <w:lang w:val="en-US" w:eastAsia="zh-CN"/>
                    </w:rPr>
                    <w:t>≤</w:t>
                  </w:r>
                  <w:r>
                    <w:rPr>
                      <w:szCs w:val="21"/>
                    </w:rPr>
                    <w:t>5</w:t>
                  </w:r>
                  <w:r>
                    <w:rPr>
                      <w:rFonts w:hint="eastAsia"/>
                      <w:szCs w:val="21"/>
                    </w:rPr>
                    <w:t>5</w:t>
                  </w:r>
                </w:p>
              </w:tc>
            </w:tr>
          </w:tbl>
          <w:p w14:paraId="30B859E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100" w:name="_Toc3969"/>
            <w:bookmarkStart w:id="101" w:name="_Toc20954"/>
            <w:r>
              <w:rPr>
                <w:rFonts w:hint="eastAsia" w:ascii="Times New Roman" w:hAnsi="Times New Roman" w:eastAsia="宋体" w:cs="Times New Roman"/>
                <w:b/>
                <w:bCs/>
                <w:color w:val="auto"/>
                <w:sz w:val="24"/>
                <w:szCs w:val="24"/>
                <w:u w:val="none"/>
                <w:lang w:val="en-US" w:eastAsia="zh-CN"/>
              </w:rPr>
              <w:t>3.3.2声环境质量现状</w:t>
            </w:r>
            <w:bookmarkEnd w:id="100"/>
            <w:bookmarkEnd w:id="101"/>
          </w:p>
          <w:p w14:paraId="790F3F27">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16FC62BA">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根据现场踏勘可知，项目周边50米范围内无声环境保护目标</w:t>
            </w:r>
            <w:r>
              <w:rPr>
                <w:rFonts w:hint="eastAsia" w:ascii="Times New Roman" w:hAnsi="Times New Roman" w:eastAsia="宋体" w:cs="Times New Roman"/>
                <w:color w:val="auto"/>
                <w:kern w:val="0"/>
                <w:sz w:val="24"/>
                <w:szCs w:val="28"/>
                <w:highlight w:val="none"/>
                <w:lang w:val="en-US" w:eastAsia="zh-CN" w:bidi="ar-SA"/>
              </w:rPr>
              <w:t>，依据《建设项目环境影响报告表编制技术指南（污染影响类）（试行）》，故本项目不需要开展声环境现状监测。</w:t>
            </w:r>
          </w:p>
          <w:p w14:paraId="546B1B7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2" w:name="_Toc25881"/>
            <w:bookmarkStart w:id="103" w:name="_Toc27266"/>
            <w:r>
              <w:rPr>
                <w:rFonts w:hint="eastAsia" w:ascii="Times New Roman" w:hAnsi="Times New Roman" w:eastAsia="宋体" w:cs="Times New Roman"/>
                <w:color w:val="auto"/>
                <w:sz w:val="28"/>
                <w:szCs w:val="28"/>
                <w:u w:val="none"/>
                <w:lang w:val="en-US" w:eastAsia="zh-CN"/>
              </w:rPr>
              <w:t>3.4生态环境</w:t>
            </w:r>
            <w:bookmarkEnd w:id="102"/>
            <w:bookmarkEnd w:id="103"/>
          </w:p>
          <w:p w14:paraId="63AA7D5E">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zh-CN" w:eastAsia="zh-CN" w:bidi="ar-SA"/>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福建省福州市福清市新厝镇双屿500-22号（江阴港城经济区新厝区块），</w:t>
            </w:r>
            <w:r>
              <w:rPr>
                <w:rFonts w:hint="eastAsia" w:ascii="Times New Roman" w:hAnsi="Times New Roman" w:eastAsia="宋体" w:cs="Times New Roman"/>
                <w:color w:val="auto"/>
                <w:kern w:val="0"/>
                <w:sz w:val="24"/>
                <w:szCs w:val="28"/>
                <w:highlight w:val="none"/>
                <w:lang w:val="en-US" w:eastAsia="zh-CN" w:bidi="ar-SA"/>
              </w:rPr>
              <w:t>项目</w:t>
            </w:r>
            <w:r>
              <w:rPr>
                <w:rFonts w:hint="default" w:ascii="Times New Roman" w:hAnsi="Times New Roman" w:eastAsia="宋体" w:cs="Times New Roman"/>
                <w:color w:val="auto"/>
                <w:sz w:val="24"/>
                <w:szCs w:val="24"/>
                <w:highlight w:val="none"/>
                <w:lang w:val="en-US" w:eastAsia="zh-CN"/>
              </w:rPr>
              <w:t>租赁福建力峰机械实业有限公司的闲置厂房</w:t>
            </w:r>
            <w:r>
              <w:rPr>
                <w:rFonts w:hint="eastAsia" w:ascii="Times New Roman" w:hAnsi="Times New Roman" w:eastAsia="宋体" w:cs="Times New Roman"/>
                <w:color w:val="auto"/>
                <w:kern w:val="0"/>
                <w:sz w:val="24"/>
                <w:szCs w:val="28"/>
                <w:highlight w:val="none"/>
                <w:lang w:val="en-US" w:eastAsia="zh-CN" w:bidi="ar-SA"/>
              </w:rPr>
              <w:t>作为生产经营场所</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sz w:val="24"/>
                <w:szCs w:val="24"/>
                <w:highlight w:val="none"/>
                <w:lang w:val="en-US" w:eastAsia="zh-CN"/>
              </w:rPr>
              <w:t>福建力峰机械实业有限公司的征地面积为</w:t>
            </w:r>
            <w:r>
              <w:rPr>
                <w:rFonts w:hint="eastAsia" w:cs="Times New Roman"/>
                <w:color w:val="auto"/>
                <w:sz w:val="24"/>
                <w:szCs w:val="24"/>
                <w:highlight w:val="none"/>
                <w:lang w:val="en-US" w:eastAsia="zh-CN"/>
              </w:rPr>
              <w:t>15359.17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房屋面积9131.1m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建设</w:t>
            </w:r>
            <w:r>
              <w:rPr>
                <w:rFonts w:hint="eastAsia" w:cs="Times New Roman"/>
                <w:color w:val="auto"/>
                <w:sz w:val="24"/>
                <w:szCs w:val="24"/>
                <w:highlight w:val="none"/>
                <w:lang w:val="en-US" w:eastAsia="zh-CN"/>
              </w:rPr>
              <w:t>两幢车间分别为1号组装车间面积</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086.lm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2号金属配件车间面积6065m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目前将该处厂房全租给福建恒润包装有限公司，其余</w:t>
            </w:r>
            <w:r>
              <w:rPr>
                <w:rFonts w:hint="eastAsia" w:cs="Times New Roman"/>
                <w:color w:val="000000" w:themeColor="text1"/>
                <w:sz w:val="24"/>
                <w:szCs w:val="24"/>
                <w:highlight w:val="none"/>
                <w:lang w:val="en-US" w:eastAsia="zh-CN"/>
                <w14:textFill>
                  <w14:solidFill>
                    <w14:schemeClr w14:val="tx1"/>
                  </w14:solidFill>
                </w14:textFill>
              </w:rPr>
              <w:t>6228.07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空地暂时闲置。项目租赁厂房</w:t>
            </w:r>
            <w:r>
              <w:rPr>
                <w:rFonts w:hint="eastAsia" w:cs="Times New Roman"/>
                <w:color w:val="000000" w:themeColor="text1"/>
                <w:sz w:val="24"/>
                <w:szCs w:val="24"/>
                <w:highlight w:val="none"/>
                <w:lang w:val="en-US" w:eastAsia="zh-CN"/>
                <w14:textFill>
                  <w14:solidFill>
                    <w14:schemeClr w14:val="tx1"/>
                  </w14:solidFill>
                </w14:textFill>
              </w:rPr>
              <w:t>建筑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面积</w:t>
            </w:r>
            <w:r>
              <w:rPr>
                <w:rFonts w:hint="eastAsia" w:cs="Times New Roman"/>
                <w:color w:val="000000" w:themeColor="text1"/>
                <w:sz w:val="24"/>
                <w:szCs w:val="24"/>
                <w:highlight w:val="none"/>
                <w:lang w:val="en-US" w:eastAsia="zh-CN"/>
                <w14:textFill>
                  <w14:solidFill>
                    <w14:schemeClr w14:val="tx1"/>
                  </w14:solidFill>
                </w14:textFill>
              </w:rPr>
              <w:t>9131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。本次扩建</w:t>
            </w:r>
            <w:r>
              <w:rPr>
                <w:rFonts w:hint="eastAsia" w:ascii="Times New Roman" w:hAnsi="Times New Roman" w:eastAsia="宋体" w:cs="Times New Roman"/>
                <w:color w:val="auto"/>
                <w:kern w:val="0"/>
                <w:sz w:val="24"/>
                <w:szCs w:val="28"/>
                <w:highlight w:val="none"/>
                <w:lang w:val="en-US" w:eastAsia="zh-CN" w:bidi="ar-SA"/>
              </w:rPr>
              <w:t>新增土地用地面积</w:t>
            </w:r>
            <w:r>
              <w:rPr>
                <w:rFonts w:hint="eastAsia" w:cs="Times New Roman"/>
                <w:color w:val="auto"/>
                <w:kern w:val="0"/>
                <w:sz w:val="24"/>
                <w:szCs w:val="28"/>
                <w:highlight w:val="none"/>
                <w:lang w:val="en-US" w:eastAsia="zh-CN" w:bidi="ar-SA"/>
              </w:rPr>
              <w:t>6065</w:t>
            </w:r>
            <w:r>
              <w:rPr>
                <w:rFonts w:hint="eastAsia"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根据调查，</w:t>
            </w:r>
            <w:r>
              <w:rPr>
                <w:rFonts w:hint="default" w:ascii="Times New Roman" w:hAnsi="Times New Roman" w:eastAsia="宋体" w:cs="Times New Roman"/>
                <w:color w:val="auto"/>
                <w:kern w:val="0"/>
                <w:sz w:val="24"/>
                <w:szCs w:val="28"/>
                <w:highlight w:val="none"/>
                <w:lang w:val="zh-CN" w:eastAsia="zh-CN" w:bidi="ar-SA"/>
              </w:rPr>
              <w:t>项目用地周边</w:t>
            </w:r>
            <w:r>
              <w:rPr>
                <w:rFonts w:hint="eastAsia" w:ascii="Times New Roman" w:hAnsi="Times New Roman" w:eastAsia="宋体" w:cs="Times New Roman"/>
                <w:color w:val="auto"/>
                <w:kern w:val="0"/>
                <w:sz w:val="24"/>
                <w:szCs w:val="28"/>
                <w:highlight w:val="none"/>
                <w:lang w:val="zh-CN" w:eastAsia="zh-CN" w:bidi="ar-SA"/>
              </w:rPr>
              <w:t>以</w:t>
            </w:r>
            <w:r>
              <w:rPr>
                <w:rFonts w:hint="default" w:ascii="Times New Roman" w:hAnsi="Times New Roman" w:eastAsia="宋体" w:cs="Times New Roman"/>
                <w:color w:val="auto"/>
                <w:kern w:val="0"/>
                <w:sz w:val="24"/>
                <w:szCs w:val="28"/>
                <w:highlight w:val="none"/>
                <w:lang w:val="zh-CN" w:eastAsia="zh-CN" w:bidi="ar-SA"/>
              </w:rPr>
              <w:t>城市道路、其他</w:t>
            </w:r>
            <w:r>
              <w:rPr>
                <w:rFonts w:hint="eastAsia" w:ascii="Times New Roman" w:hAnsi="Times New Roman" w:eastAsia="宋体" w:cs="Times New Roman"/>
                <w:color w:val="auto"/>
                <w:kern w:val="0"/>
                <w:sz w:val="24"/>
                <w:szCs w:val="28"/>
                <w:highlight w:val="none"/>
                <w:lang w:val="zh-CN" w:eastAsia="zh-CN" w:bidi="ar-SA"/>
              </w:rPr>
              <w:t>工业</w:t>
            </w:r>
            <w:r>
              <w:rPr>
                <w:rFonts w:hint="default" w:ascii="Times New Roman" w:hAnsi="Times New Roman" w:eastAsia="宋体" w:cs="Times New Roman"/>
                <w:color w:val="auto"/>
                <w:kern w:val="0"/>
                <w:sz w:val="24"/>
                <w:szCs w:val="28"/>
                <w:highlight w:val="none"/>
                <w:lang w:val="zh-CN" w:eastAsia="zh-CN" w:bidi="ar-SA"/>
              </w:rPr>
              <w:t>企业</w:t>
            </w:r>
            <w:r>
              <w:rPr>
                <w:rFonts w:hint="eastAsia" w:ascii="Times New Roman" w:hAnsi="Times New Roman" w:eastAsia="宋体" w:cs="Times New Roman"/>
                <w:color w:val="auto"/>
                <w:kern w:val="0"/>
                <w:sz w:val="24"/>
                <w:szCs w:val="28"/>
                <w:highlight w:val="none"/>
                <w:lang w:val="zh-CN" w:eastAsia="zh-CN" w:bidi="ar-SA"/>
              </w:rPr>
              <w:t>、</w:t>
            </w:r>
            <w:r>
              <w:rPr>
                <w:rFonts w:hint="eastAsia" w:ascii="Times New Roman" w:hAnsi="Times New Roman" w:eastAsia="宋体" w:cs="Times New Roman"/>
                <w:color w:val="auto"/>
                <w:kern w:val="0"/>
                <w:sz w:val="24"/>
                <w:szCs w:val="28"/>
                <w:highlight w:val="none"/>
                <w:lang w:val="en-US" w:eastAsia="zh-CN" w:bidi="ar-SA"/>
              </w:rPr>
              <w:t>居住区</w:t>
            </w:r>
            <w:r>
              <w:rPr>
                <w:rFonts w:hint="default" w:ascii="Times New Roman" w:hAnsi="Times New Roman" w:eastAsia="宋体" w:cs="Times New Roman"/>
                <w:color w:val="auto"/>
                <w:kern w:val="0"/>
                <w:sz w:val="24"/>
                <w:szCs w:val="28"/>
                <w:highlight w:val="none"/>
                <w:lang w:val="zh-CN" w:eastAsia="zh-CN" w:bidi="ar-SA"/>
              </w:rPr>
              <w:t>等</w:t>
            </w:r>
            <w:r>
              <w:rPr>
                <w:rFonts w:hint="eastAsia" w:ascii="Times New Roman" w:hAnsi="Times New Roman" w:eastAsia="宋体" w:cs="Times New Roman"/>
                <w:color w:val="auto"/>
                <w:kern w:val="0"/>
                <w:sz w:val="24"/>
                <w:szCs w:val="28"/>
                <w:highlight w:val="none"/>
                <w:lang w:val="zh-CN" w:eastAsia="zh-CN" w:bidi="ar-SA"/>
              </w:rPr>
              <w:t>为主</w:t>
            </w:r>
            <w:r>
              <w:rPr>
                <w:rFonts w:hint="default" w:ascii="Times New Roman" w:hAnsi="Times New Roman" w:eastAsia="宋体" w:cs="Times New Roman"/>
                <w:color w:val="auto"/>
                <w:kern w:val="0"/>
                <w:sz w:val="24"/>
                <w:szCs w:val="28"/>
                <w:highlight w:val="none"/>
                <w:lang w:val="zh-CN" w:eastAsia="zh-CN" w:bidi="ar-SA"/>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1567C6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4" w:name="_Toc18566"/>
            <w:bookmarkStart w:id="105" w:name="_Toc11924"/>
            <w:r>
              <w:rPr>
                <w:rFonts w:hint="eastAsia" w:ascii="Times New Roman" w:hAnsi="Times New Roman" w:eastAsia="宋体" w:cs="Times New Roman"/>
                <w:color w:val="auto"/>
                <w:sz w:val="28"/>
                <w:szCs w:val="28"/>
                <w:u w:val="none"/>
                <w:lang w:val="en-US" w:eastAsia="zh-CN"/>
              </w:rPr>
              <w:t>3.</w:t>
            </w:r>
            <w:r>
              <w:rPr>
                <w:rFonts w:hint="eastAsia" w:ascii="Times New Roman" w:hAnsi="Times New Roman" w:cs="Times New Roman"/>
                <w:color w:val="auto"/>
                <w:sz w:val="28"/>
                <w:szCs w:val="28"/>
                <w:u w:val="none"/>
                <w:lang w:val="en-US" w:eastAsia="zh-CN"/>
              </w:rPr>
              <w:t>5</w:t>
            </w:r>
            <w:r>
              <w:rPr>
                <w:rFonts w:hint="eastAsia" w:ascii="Times New Roman" w:hAnsi="Times New Roman" w:eastAsia="宋体" w:cs="Times New Roman"/>
                <w:color w:val="auto"/>
                <w:sz w:val="28"/>
                <w:szCs w:val="28"/>
                <w:u w:val="none"/>
                <w:lang w:val="en-US" w:eastAsia="zh-CN"/>
              </w:rPr>
              <w:t>土壤、地下水环境</w:t>
            </w:r>
            <w:bookmarkEnd w:id="104"/>
            <w:bookmarkEnd w:id="105"/>
          </w:p>
          <w:p w14:paraId="6748C3C1">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污染影响类</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试行</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环办环评〔2020〕33号</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规定，“</w:t>
            </w:r>
            <w:r>
              <w:rPr>
                <w:rFonts w:hint="default" w:ascii="Times New Roman" w:hAnsi="Times New Roman" w:eastAsia="宋体" w:cs="Times New Roman"/>
                <w:color w:val="auto"/>
                <w:kern w:val="0"/>
                <w:sz w:val="24"/>
                <w:szCs w:val="28"/>
                <w:highlight w:val="none"/>
                <w:lang w:val="en-US" w:eastAsia="zh-CN" w:bidi="ar-SA"/>
              </w:rPr>
              <w:t>地下水、土壤环境</w:t>
            </w:r>
            <w:r>
              <w:rPr>
                <w:rFonts w:hint="eastAsia" w:ascii="Times New Roman" w:hAnsi="Times New Roman" w:eastAsia="宋体" w:cs="Times New Roman"/>
                <w:color w:val="auto"/>
                <w:kern w:val="0"/>
                <w:sz w:val="24"/>
                <w:szCs w:val="28"/>
                <w:highlight w:val="none"/>
                <w:lang w:val="en-US" w:eastAsia="zh-CN" w:bidi="ar-SA"/>
              </w:rPr>
              <w:t>原则上不开展环境质量现状调查。建设项目存在土壤、地下水环境污染途径的，应结合污染源、保护目标分布情况开展现状调查以留作背景值。</w:t>
            </w:r>
          </w:p>
          <w:p w14:paraId="1F40B159">
            <w:pPr>
              <w:widowControl/>
              <w:spacing w:line="360" w:lineRule="auto"/>
              <w:ind w:firstLine="480" w:firstLineChars="200"/>
              <w:jc w:val="left"/>
              <w:rPr>
                <w:rFonts w:hint="eastAsia"/>
                <w:vertAlign w:val="baseline"/>
                <w:lang w:eastAsia="zh-CN"/>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福建省福州市福清市新厝镇双屿500-22号（江阴港城经济区新厝区块），</w:t>
            </w:r>
            <w:r>
              <w:rPr>
                <w:rFonts w:hint="eastAsia" w:ascii="Times New Roman" w:hAnsi="Times New Roman" w:eastAsia="宋体" w:cs="Times New Roman"/>
                <w:color w:val="auto"/>
                <w:kern w:val="0"/>
                <w:sz w:val="24"/>
                <w:szCs w:val="28"/>
                <w:highlight w:val="none"/>
                <w:lang w:val="en-US" w:eastAsia="zh-CN" w:bidi="ar-SA"/>
              </w:rPr>
              <w:t>项目</w:t>
            </w:r>
            <w:r>
              <w:rPr>
                <w:rFonts w:hint="default" w:ascii="Times New Roman" w:hAnsi="Times New Roman" w:eastAsia="宋体" w:cs="Times New Roman"/>
                <w:color w:val="auto"/>
                <w:sz w:val="24"/>
                <w:szCs w:val="24"/>
                <w:highlight w:val="none"/>
                <w:lang w:val="en-US" w:eastAsia="zh-CN"/>
              </w:rPr>
              <w:t>租赁福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建力峰机械实业有限公司的闲置厂房</w:t>
            </w:r>
            <w:r>
              <w:rPr>
                <w:rFonts w:hint="eastAsia" w:ascii="Times New Roman" w:hAnsi="Times New Roman" w:eastAsia="宋体" w:cs="Times New Roman"/>
                <w:color w:val="auto"/>
                <w:kern w:val="0"/>
                <w:sz w:val="24"/>
                <w:szCs w:val="28"/>
                <w:highlight w:val="none"/>
                <w:lang w:val="en-US" w:eastAsia="zh-CN" w:bidi="ar-SA"/>
              </w:rPr>
              <w:t>作为生产经营场所</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根据调查，项目厂区车间地面全部硬化，生产过</w:t>
            </w:r>
            <w:r>
              <w:rPr>
                <w:rFonts w:hint="eastAsia" w:cs="Times New Roman"/>
                <w:color w:val="auto"/>
                <w:kern w:val="0"/>
                <w:sz w:val="24"/>
                <w:szCs w:val="28"/>
                <w:highlight w:val="none"/>
                <w:lang w:val="en-US" w:eastAsia="zh-CN" w:bidi="ar-SA"/>
              </w:rPr>
              <w:t>程中</w:t>
            </w:r>
            <w:r>
              <w:rPr>
                <w:rFonts w:hint="eastAsia" w:ascii="Times New Roman" w:hAnsi="Times New Roman" w:eastAsia="宋体" w:cs="Times New Roman"/>
                <w:color w:val="auto"/>
                <w:kern w:val="0"/>
                <w:sz w:val="24"/>
                <w:szCs w:val="28"/>
                <w:highlight w:val="none"/>
                <w:lang w:val="en-US" w:eastAsia="zh-CN" w:bidi="ar-SA"/>
              </w:rPr>
              <w:t>不排放重点重金属或持久性有机污染物，严格按照要求进行分区防渗防控，</w:t>
            </w:r>
            <w:r>
              <w:rPr>
                <w:rFonts w:hint="default" w:ascii="Times New Roman" w:hAnsi="Times New Roman" w:eastAsia="宋体" w:cs="Times New Roman"/>
                <w:color w:val="auto"/>
                <w:kern w:val="0"/>
                <w:sz w:val="24"/>
                <w:szCs w:val="28"/>
                <w:highlight w:val="none"/>
                <w:lang w:val="en-US" w:eastAsia="zh-CN" w:bidi="ar-SA"/>
              </w:rPr>
              <w:t>采取有效的防渗措施后，</w:t>
            </w:r>
            <w:r>
              <w:rPr>
                <w:rFonts w:hint="eastAsia" w:ascii="Times New Roman" w:hAnsi="Times New Roman" w:eastAsia="宋体" w:cs="Times New Roman"/>
                <w:color w:val="auto"/>
                <w:kern w:val="0"/>
                <w:sz w:val="24"/>
                <w:szCs w:val="28"/>
                <w:highlight w:val="none"/>
                <w:lang w:val="en-US" w:eastAsia="zh-CN" w:bidi="ar-SA"/>
              </w:rPr>
              <w:t>几乎不存在地下水、土壤环境污染途径；</w:t>
            </w:r>
            <w:r>
              <w:rPr>
                <w:rFonts w:hint="default" w:ascii="Times New Roman" w:hAnsi="Times New Roman" w:eastAsia="宋体" w:cs="Times New Roman"/>
                <w:color w:val="auto"/>
                <w:kern w:val="0"/>
                <w:sz w:val="24"/>
                <w:szCs w:val="28"/>
                <w:highlight w:val="none"/>
                <w:lang w:val="en-US" w:eastAsia="zh-CN" w:bidi="ar-SA"/>
              </w:rPr>
              <w:t>根据</w:t>
            </w:r>
            <w:r>
              <w:rPr>
                <w:rFonts w:hint="eastAsia" w:ascii="Times New Roman" w:hAnsi="Times New Roman" w:eastAsia="宋体" w:cs="Times New Roman"/>
                <w:color w:val="auto"/>
                <w:kern w:val="0"/>
                <w:sz w:val="24"/>
                <w:szCs w:val="28"/>
                <w:highlight w:val="none"/>
                <w:lang w:val="en-US" w:eastAsia="zh-CN" w:bidi="ar-SA"/>
              </w:rPr>
              <w:t>调查，项目周边地下水、土壤环境相对不敏感，</w:t>
            </w:r>
            <w:r>
              <w:rPr>
                <w:rFonts w:hint="default" w:ascii="Times New Roman" w:hAnsi="Times New Roman" w:eastAsia="宋体" w:cs="Times New Roman"/>
                <w:color w:val="auto"/>
                <w:kern w:val="0"/>
                <w:sz w:val="24"/>
                <w:szCs w:val="28"/>
                <w:highlight w:val="none"/>
                <w:lang w:val="en-US" w:eastAsia="zh-CN" w:bidi="ar-SA"/>
              </w:rPr>
              <w:t>项目对地下水、土壤环境</w:t>
            </w:r>
            <w:r>
              <w:rPr>
                <w:rFonts w:hint="default" w:ascii="Times New Roman" w:hAnsi="Times New Roman" w:eastAsia="宋体" w:cs="Times New Roman"/>
                <w:color w:val="auto"/>
                <w:sz w:val="24"/>
                <w:szCs w:val="24"/>
                <w:highlight w:val="none"/>
                <w:lang w:val="en-US" w:eastAsia="zh-CN"/>
              </w:rPr>
              <w:t>影响很小，因此，本评价不对项目地下水、土壤环境质量进行补充监测。</w:t>
            </w:r>
          </w:p>
        </w:tc>
      </w:tr>
      <w:tr w14:paraId="4BD9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4" w:hRule="atLeast"/>
        </w:trPr>
        <w:tc>
          <w:tcPr>
            <w:tcW w:w="456" w:type="dxa"/>
            <w:vAlign w:val="center"/>
          </w:tcPr>
          <w:p w14:paraId="0F3A0E1B">
            <w:pPr>
              <w:jc w:val="center"/>
              <w:rPr>
                <w:rFonts w:hint="eastAsia"/>
                <w:vertAlign w:val="baseline"/>
                <w:lang w:eastAsia="zh-CN"/>
              </w:rPr>
            </w:pPr>
            <w:r>
              <w:rPr>
                <w:rFonts w:hint="eastAsia"/>
                <w:sz w:val="24"/>
                <w:szCs w:val="24"/>
                <w:vertAlign w:val="baseline"/>
                <w:lang w:eastAsia="zh-CN"/>
              </w:rPr>
              <w:t>环境保护目标</w:t>
            </w:r>
          </w:p>
        </w:tc>
        <w:tc>
          <w:tcPr>
            <w:tcW w:w="8749" w:type="dxa"/>
          </w:tcPr>
          <w:p w14:paraId="32A2A977">
            <w:pPr>
              <w:pStyle w:val="47"/>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106" w:name="_Toc25809"/>
            <w:bookmarkStart w:id="107" w:name="_Toc3574"/>
            <w:r>
              <w:rPr>
                <w:color w:val="auto"/>
                <w:szCs w:val="28"/>
              </w:rPr>
              <w:t>3.</w:t>
            </w:r>
            <w:r>
              <w:rPr>
                <w:rFonts w:hint="eastAsia"/>
                <w:color w:val="auto"/>
                <w:szCs w:val="28"/>
                <w:lang w:val="en-US" w:eastAsia="zh-CN"/>
              </w:rPr>
              <w:t>6</w:t>
            </w:r>
            <w:r>
              <w:rPr>
                <w:color w:val="auto"/>
                <w:szCs w:val="28"/>
              </w:rPr>
              <w:t>主要环境保护目标</w:t>
            </w:r>
            <w:bookmarkEnd w:id="106"/>
            <w:bookmarkEnd w:id="107"/>
          </w:p>
          <w:p w14:paraId="18F0BC73">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三</w:t>
            </w:r>
            <w:r>
              <w:rPr>
                <w:color w:val="auto"/>
                <w:sz w:val="24"/>
              </w:rPr>
              <w:t>。</w:t>
            </w:r>
          </w:p>
          <w:p w14:paraId="614DFB9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3"/>
              <w:tblW w:w="852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1"/>
              <w:gridCol w:w="1107"/>
              <w:gridCol w:w="2208"/>
              <w:gridCol w:w="1064"/>
              <w:gridCol w:w="2933"/>
            </w:tblGrid>
            <w:tr w14:paraId="069E2D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1" w:hRule="atLeast"/>
                <w:jc w:val="center"/>
              </w:trPr>
              <w:tc>
                <w:tcPr>
                  <w:tcW w:w="1211" w:type="dxa"/>
                  <w:vAlign w:val="center"/>
                </w:tcPr>
                <w:p w14:paraId="5525D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1107" w:type="dxa"/>
                  <w:vAlign w:val="center"/>
                </w:tcPr>
                <w:p w14:paraId="5C4E3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2208" w:type="dxa"/>
                  <w:vAlign w:val="center"/>
                </w:tcPr>
                <w:p w14:paraId="44D985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37DAF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1064" w:type="dxa"/>
                  <w:vAlign w:val="center"/>
                </w:tcPr>
                <w:p w14:paraId="2C827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2933" w:type="dxa"/>
                  <w:vAlign w:val="center"/>
                </w:tcPr>
                <w:p w14:paraId="5CBF0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1B23FC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1211" w:type="dxa"/>
                  <w:vAlign w:val="center"/>
                </w:tcPr>
                <w:p w14:paraId="08831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1107" w:type="dxa"/>
                  <w:vAlign w:val="center"/>
                </w:tcPr>
                <w:p w14:paraId="1C5492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双屿村</w:t>
                  </w:r>
                </w:p>
              </w:tc>
              <w:tc>
                <w:tcPr>
                  <w:tcW w:w="2208" w:type="dxa"/>
                  <w:vAlign w:val="center"/>
                </w:tcPr>
                <w:p w14:paraId="5C8608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西北侧约1400m</w:t>
                  </w:r>
                </w:p>
              </w:tc>
              <w:tc>
                <w:tcPr>
                  <w:tcW w:w="1064" w:type="dxa"/>
                  <w:vAlign w:val="center"/>
                </w:tcPr>
                <w:p w14:paraId="7B5255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村庄</w:t>
                  </w:r>
                </w:p>
              </w:tc>
              <w:tc>
                <w:tcPr>
                  <w:tcW w:w="2933" w:type="dxa"/>
                  <w:vAlign w:val="center"/>
                </w:tcPr>
                <w:p w14:paraId="11E2A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《空气环境质量标准》（GB3095-2012）二级标准及修改单</w:t>
                  </w:r>
                </w:p>
              </w:tc>
            </w:tr>
            <w:tr w14:paraId="2C49BF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1211" w:type="dxa"/>
                  <w:vAlign w:val="center"/>
                </w:tcPr>
                <w:p w14:paraId="3EF74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1107" w:type="dxa"/>
                  <w:vAlign w:val="center"/>
                </w:tcPr>
                <w:p w14:paraId="438CA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兴化湾</w:t>
                  </w:r>
                </w:p>
              </w:tc>
              <w:tc>
                <w:tcPr>
                  <w:tcW w:w="2208" w:type="dxa"/>
                  <w:vAlign w:val="center"/>
                </w:tcPr>
                <w:p w14:paraId="2EDE4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侧约</w:t>
                  </w:r>
                  <w:r>
                    <w:rPr>
                      <w:rFonts w:hint="eastAsia" w:cs="Times New Roman"/>
                      <w:color w:val="auto"/>
                      <w:sz w:val="21"/>
                      <w:szCs w:val="21"/>
                      <w:highlight w:val="none"/>
                      <w:lang w:val="en-US" w:eastAsia="zh-CN"/>
                    </w:rPr>
                    <w:t>700</w:t>
                  </w:r>
                  <w:r>
                    <w:rPr>
                      <w:rFonts w:hint="default" w:ascii="Times New Roman" w:hAnsi="Times New Roman" w:eastAsia="宋体" w:cs="Times New Roman"/>
                      <w:color w:val="auto"/>
                      <w:sz w:val="21"/>
                      <w:szCs w:val="21"/>
                      <w:highlight w:val="none"/>
                      <w:lang w:val="en-US" w:eastAsia="zh-CN"/>
                    </w:rPr>
                    <w:t>m</w:t>
                  </w:r>
                </w:p>
              </w:tc>
              <w:tc>
                <w:tcPr>
                  <w:tcW w:w="1064" w:type="dxa"/>
                  <w:vAlign w:val="center"/>
                </w:tcPr>
                <w:p w14:paraId="4A69EA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海湾</w:t>
                  </w:r>
                </w:p>
              </w:tc>
              <w:tc>
                <w:tcPr>
                  <w:tcW w:w="2933" w:type="dxa"/>
                  <w:vAlign w:val="center"/>
                </w:tcPr>
                <w:p w14:paraId="707F5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海水水质标准</w:t>
                  </w:r>
                  <w:r>
                    <w:rPr>
                      <w:rFonts w:hint="eastAsia" w:cs="Times New Roman"/>
                      <w:color w:val="auto"/>
                      <w:sz w:val="21"/>
                      <w:szCs w:val="21"/>
                      <w:lang w:eastAsia="zh-CN"/>
                    </w:rPr>
                    <w:t>》（</w:t>
                  </w:r>
                  <w:r>
                    <w:rPr>
                      <w:rFonts w:hint="eastAsia" w:cs="Times New Roman"/>
                      <w:color w:val="auto"/>
                      <w:sz w:val="21"/>
                      <w:szCs w:val="21"/>
                      <w:lang w:val="en-US" w:eastAsia="zh-CN"/>
                    </w:rPr>
                    <w:t>GB3097-1997</w:t>
                  </w:r>
                  <w:r>
                    <w:rPr>
                      <w:rFonts w:hint="eastAsia" w:cs="Times New Roman"/>
                      <w:color w:val="auto"/>
                      <w:sz w:val="21"/>
                      <w:szCs w:val="21"/>
                      <w:lang w:eastAsia="zh-CN"/>
                    </w:rPr>
                    <w:t>）</w:t>
                  </w:r>
                  <w:r>
                    <w:rPr>
                      <w:rFonts w:hint="eastAsia" w:cs="Times New Roman"/>
                      <w:color w:val="auto"/>
                      <w:sz w:val="21"/>
                      <w:szCs w:val="21"/>
                      <w:lang w:val="en-US" w:eastAsia="zh-CN"/>
                    </w:rPr>
                    <w:t>中第二类标准</w:t>
                  </w:r>
                </w:p>
              </w:tc>
            </w:tr>
            <w:tr w14:paraId="18E559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1211" w:type="dxa"/>
                  <w:vAlign w:val="center"/>
                </w:tcPr>
                <w:p w14:paraId="3E5FCE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7312" w:type="dxa"/>
                  <w:gridSpan w:val="4"/>
                  <w:vAlign w:val="center"/>
                </w:tcPr>
                <w:p w14:paraId="5BAA4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161C80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1211" w:type="dxa"/>
                  <w:vAlign w:val="center"/>
                </w:tcPr>
                <w:p w14:paraId="3D585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7312" w:type="dxa"/>
                  <w:gridSpan w:val="4"/>
                  <w:vAlign w:val="center"/>
                </w:tcPr>
                <w:p w14:paraId="40D80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2ACC12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211" w:type="dxa"/>
                  <w:vAlign w:val="center"/>
                </w:tcPr>
                <w:p w14:paraId="3582A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7312" w:type="dxa"/>
                  <w:gridSpan w:val="4"/>
                  <w:vAlign w:val="center"/>
                </w:tcPr>
                <w:p w14:paraId="79D2F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val="en-US" w:eastAsia="zh-CN"/>
                    </w:rPr>
                    <w:t>工业</w:t>
                  </w:r>
                  <w:r>
                    <w:rPr>
                      <w:rFonts w:hint="default" w:ascii="Times New Roman" w:hAnsi="Times New Roman" w:eastAsia="宋体" w:cs="Times New Roman"/>
                      <w:color w:val="auto"/>
                      <w:sz w:val="21"/>
                      <w:szCs w:val="21"/>
                    </w:rPr>
                    <w:t>园区内，无生态环境保护目标</w:t>
                  </w:r>
                </w:p>
              </w:tc>
            </w:tr>
          </w:tbl>
          <w:p w14:paraId="7996B726">
            <w:pPr>
              <w:rPr>
                <w:rFonts w:hint="eastAsia"/>
                <w:vertAlign w:val="baseline"/>
                <w:lang w:eastAsia="zh-CN"/>
              </w:rPr>
            </w:pPr>
          </w:p>
        </w:tc>
      </w:tr>
      <w:tr w14:paraId="1A41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7" w:hRule="atLeast"/>
        </w:trPr>
        <w:tc>
          <w:tcPr>
            <w:tcW w:w="456" w:type="dxa"/>
            <w:vAlign w:val="center"/>
          </w:tcPr>
          <w:p w14:paraId="04247B44">
            <w:pPr>
              <w:jc w:val="center"/>
              <w:rPr>
                <w:rFonts w:hint="eastAsia"/>
                <w:sz w:val="24"/>
                <w:szCs w:val="24"/>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31986ACB">
            <w:pPr>
              <w:pStyle w:val="47"/>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000000" w:themeColor="text1"/>
                <w:szCs w:val="28"/>
                <w:highlight w:val="none"/>
                <w:lang w:val="en-US" w:eastAsia="zh-CN"/>
                <w14:textFill>
                  <w14:solidFill>
                    <w14:schemeClr w14:val="tx1"/>
                  </w14:solidFill>
                </w14:textFill>
              </w:rPr>
            </w:pPr>
            <w:bookmarkStart w:id="108" w:name="_Toc5981"/>
            <w:bookmarkStart w:id="109" w:name="_Toc15260"/>
            <w:bookmarkStart w:id="110" w:name="_Toc30131"/>
            <w:bookmarkStart w:id="111" w:name="_Toc10661"/>
            <w:bookmarkStart w:id="112" w:name="_Toc10339"/>
            <w:bookmarkStart w:id="113" w:name="_Toc22767"/>
            <w:r>
              <w:rPr>
                <w:rFonts w:hint="default"/>
                <w:color w:val="000000" w:themeColor="text1"/>
                <w:szCs w:val="28"/>
                <w:highlight w:val="none"/>
                <w:lang w:val="en-US" w:eastAsia="zh-CN"/>
                <w14:textFill>
                  <w14:solidFill>
                    <w14:schemeClr w14:val="tx1"/>
                  </w14:solidFill>
                </w14:textFill>
              </w:rPr>
              <w:t>3.7污染物排放标准</w:t>
            </w:r>
            <w:bookmarkEnd w:id="108"/>
            <w:bookmarkEnd w:id="109"/>
            <w:bookmarkEnd w:id="110"/>
            <w:bookmarkEnd w:id="111"/>
            <w:bookmarkEnd w:id="112"/>
            <w:bookmarkEnd w:id="113"/>
          </w:p>
          <w:p w14:paraId="7DE65F4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14" w:name="_Toc9944"/>
            <w:bookmarkStart w:id="115" w:name="_Toc14189"/>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3.7.1</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废水</w:t>
            </w:r>
            <w:bookmarkEnd w:id="114"/>
            <w:bookmarkEnd w:id="115"/>
          </w:p>
          <w:p w14:paraId="22504151">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（1）项目水污染物排放标准</w:t>
            </w:r>
          </w:p>
          <w:p w14:paraId="418F3276">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生产过程中用水主要为模具冷却水及蒸汽冷凝水。所产生</w:t>
            </w:r>
            <w:r>
              <w:rPr>
                <w:rFonts w:hint="eastAsia" w:cs="Times New Roman"/>
                <w:color w:val="000000" w:themeColor="text1"/>
                <w:sz w:val="24"/>
                <w:highlight w:val="none"/>
                <w:lang w:val="en-US" w:eastAsia="zh-CN"/>
                <w14:textFill>
                  <w14:solidFill>
                    <w14:schemeClr w14:val="tx1"/>
                  </w14:solidFill>
                </w14:textFill>
              </w:rPr>
              <w:t>生产废水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冷却后回用于模具冷却，循环使用不外排。仅生活污水依托厂内已建的化粪池处理后进入市政污水管网纳入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集中处理，</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尾水排入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兴化湾。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外排废水需</w:t>
            </w:r>
            <w:r>
              <w:rPr>
                <w:rFonts w:hint="default" w:ascii="Times New Roman" w:hAnsi="Times New Roman" w:cs="Times New Roman"/>
                <w:color w:val="000000" w:themeColor="text1"/>
                <w:sz w:val="24"/>
                <w:szCs w:val="24"/>
                <w:highlight w:val="none"/>
                <w14:textFill>
                  <w14:solidFill>
                    <w14:schemeClr w14:val="tx1"/>
                  </w14:solidFill>
                </w14:textFill>
              </w:rPr>
              <w:t>达到《污水综合排放标准》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GB8978-1996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表4中的三级标准后排</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入市政污水管网纳入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集中处理</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cs="Times New Roman"/>
                <w:color w:val="000000" w:themeColor="text1"/>
                <w:sz w:val="24"/>
                <w:szCs w:val="24"/>
                <w:highlight w:val="none"/>
                <w14:textFill>
                  <w14:solidFill>
                    <w14:schemeClr w14:val="tx1"/>
                  </w14:solidFill>
                </w14:textFill>
              </w:rPr>
              <w:t>参照执行《污水排入城镇下水道水质标准》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GB/T31962-2015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表1中B级标准，详见表3.7-1。</w:t>
            </w:r>
          </w:p>
          <w:p w14:paraId="7AA49561">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表3.7-1</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项目污水排放标准限值一览表</w:t>
            </w:r>
          </w:p>
          <w:tbl>
            <w:tblPr>
              <w:tblStyle w:val="23"/>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07"/>
              <w:gridCol w:w="3908"/>
              <w:gridCol w:w="1512"/>
              <w:gridCol w:w="1701"/>
            </w:tblGrid>
            <w:tr w14:paraId="2C837C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1" w:hRule="exact"/>
                <w:jc w:val="center"/>
              </w:trPr>
              <w:tc>
                <w:tcPr>
                  <w:tcW w:w="1407" w:type="dxa"/>
                  <w:tcBorders>
                    <w:top w:val="single" w:color="auto" w:sz="12" w:space="0"/>
                  </w:tcBorders>
                  <w:vAlign w:val="center"/>
                </w:tcPr>
                <w:p w14:paraId="2A8E217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3908" w:type="dxa"/>
                  <w:tcBorders>
                    <w:top w:val="single" w:color="auto" w:sz="12" w:space="0"/>
                  </w:tcBorders>
                  <w:vAlign w:val="center"/>
                </w:tcPr>
                <w:p w14:paraId="44EEA40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标准名称</w:t>
                  </w:r>
                </w:p>
              </w:tc>
              <w:tc>
                <w:tcPr>
                  <w:tcW w:w="1512" w:type="dxa"/>
                  <w:tcBorders>
                    <w:top w:val="single" w:color="auto" w:sz="12" w:space="0"/>
                  </w:tcBorders>
                  <w:vAlign w:val="center"/>
                </w:tcPr>
                <w:p w14:paraId="7D2A368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1701" w:type="dxa"/>
                  <w:tcBorders>
                    <w:top w:val="single" w:color="auto" w:sz="12" w:space="0"/>
                  </w:tcBorders>
                  <w:vAlign w:val="center"/>
                </w:tcPr>
                <w:p w14:paraId="49899C1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标准限值</w:t>
                  </w:r>
                </w:p>
              </w:tc>
            </w:tr>
            <w:tr w14:paraId="4B15BD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3" w:hRule="exact"/>
                <w:jc w:val="center"/>
              </w:trPr>
              <w:tc>
                <w:tcPr>
                  <w:tcW w:w="1407" w:type="dxa"/>
                  <w:vMerge w:val="restart"/>
                  <w:vAlign w:val="center"/>
                </w:tcPr>
                <w:p w14:paraId="219B589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3908" w:type="dxa"/>
                  <w:vMerge w:val="restart"/>
                  <w:vAlign w:val="center"/>
                </w:tcPr>
                <w:p w14:paraId="02192AC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《污水综合排放标准》</w:t>
                  </w:r>
                </w:p>
                <w:p w14:paraId="5D5CC91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GB8978-1996</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表4三级标准</w:t>
                  </w:r>
                </w:p>
              </w:tc>
              <w:tc>
                <w:tcPr>
                  <w:tcW w:w="1512" w:type="dxa"/>
                  <w:vAlign w:val="center"/>
                </w:tcPr>
                <w:p w14:paraId="3BC9D97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1701" w:type="dxa"/>
                  <w:vAlign w:val="center"/>
                </w:tcPr>
                <w:p w14:paraId="4D73517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r>
            <w:tr w14:paraId="48CBBB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0" w:hRule="exact"/>
                <w:jc w:val="center"/>
              </w:trPr>
              <w:tc>
                <w:tcPr>
                  <w:tcW w:w="1407" w:type="dxa"/>
                  <w:vMerge w:val="continue"/>
                  <w:vAlign w:val="center"/>
                </w:tcPr>
                <w:p w14:paraId="66B3937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08" w:type="dxa"/>
                  <w:vMerge w:val="continue"/>
                  <w:vAlign w:val="center"/>
                </w:tcPr>
                <w:p w14:paraId="5C3B2C0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12" w:type="dxa"/>
                  <w:vAlign w:val="center"/>
                </w:tcPr>
                <w:p w14:paraId="15534FB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1701" w:type="dxa"/>
                  <w:vAlign w:val="center"/>
                </w:tcPr>
                <w:p w14:paraId="6132C08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500mg/L</w:t>
                  </w:r>
                </w:p>
              </w:tc>
            </w:tr>
            <w:tr w14:paraId="3EA264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exact"/>
                <w:jc w:val="center"/>
              </w:trPr>
              <w:tc>
                <w:tcPr>
                  <w:tcW w:w="1407" w:type="dxa"/>
                  <w:vMerge w:val="continue"/>
                  <w:vAlign w:val="center"/>
                </w:tcPr>
                <w:p w14:paraId="29FA909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08" w:type="dxa"/>
                  <w:vMerge w:val="continue"/>
                  <w:vAlign w:val="center"/>
                </w:tcPr>
                <w:p w14:paraId="3677884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12" w:type="dxa"/>
                  <w:vAlign w:val="center"/>
                </w:tcPr>
                <w:p w14:paraId="209B2BC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1701" w:type="dxa"/>
                  <w:vAlign w:val="center"/>
                </w:tcPr>
                <w:p w14:paraId="0BCEDCC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300mg/L</w:t>
                  </w:r>
                </w:p>
              </w:tc>
            </w:tr>
            <w:tr w14:paraId="6C38EB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7" w:hRule="exact"/>
                <w:jc w:val="center"/>
              </w:trPr>
              <w:tc>
                <w:tcPr>
                  <w:tcW w:w="1407" w:type="dxa"/>
                  <w:vMerge w:val="continue"/>
                  <w:vAlign w:val="center"/>
                </w:tcPr>
                <w:p w14:paraId="1E65616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08" w:type="dxa"/>
                  <w:vMerge w:val="continue"/>
                  <w:vAlign w:val="center"/>
                </w:tcPr>
                <w:p w14:paraId="7A8685B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12" w:type="dxa"/>
                  <w:vAlign w:val="center"/>
                </w:tcPr>
                <w:p w14:paraId="40F53D9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1701" w:type="dxa"/>
                  <w:vAlign w:val="center"/>
                </w:tcPr>
                <w:p w14:paraId="305740D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400mg/L</w:t>
                  </w:r>
                </w:p>
              </w:tc>
            </w:tr>
            <w:tr w14:paraId="4B1E7F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90" w:hRule="exact"/>
                <w:jc w:val="center"/>
              </w:trPr>
              <w:tc>
                <w:tcPr>
                  <w:tcW w:w="1407" w:type="dxa"/>
                  <w:vMerge w:val="continue"/>
                  <w:vAlign w:val="center"/>
                </w:tcPr>
                <w:p w14:paraId="7A54DD4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08" w:type="dxa"/>
                  <w:vAlign w:val="center"/>
                </w:tcPr>
                <w:p w14:paraId="09651E8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《污水排入城镇下水道水质标准》</w:t>
                  </w:r>
                </w:p>
                <w:p w14:paraId="4AD39FB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（GB/T31962-2015）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表1中B级标准</w:t>
                  </w:r>
                </w:p>
              </w:tc>
              <w:tc>
                <w:tcPr>
                  <w:tcW w:w="1512" w:type="dxa"/>
                  <w:vAlign w:val="center"/>
                </w:tcPr>
                <w:p w14:paraId="28D9D0A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1701" w:type="dxa"/>
                  <w:vAlign w:val="center"/>
                </w:tcPr>
                <w:p w14:paraId="514EE80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45mg/L</w:t>
                  </w:r>
                </w:p>
              </w:tc>
            </w:tr>
          </w:tbl>
          <w:p w14:paraId="5A8D5EB0">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尾水排放标准</w:t>
            </w:r>
          </w:p>
          <w:p w14:paraId="1F3A63DC">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根据调查，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尾水</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目前</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排放执行《城镇</w:t>
            </w:r>
            <w:r>
              <w:rPr>
                <w:rFonts w:hint="eastAsia" w:cs="Times New Roman"/>
                <w:bCs/>
                <w:color w:val="000000" w:themeColor="text1"/>
                <w:kern w:val="2"/>
                <w:sz w:val="24"/>
                <w:szCs w:val="24"/>
                <w:highlight w:val="none"/>
                <w:lang w:val="en-US" w:eastAsia="zh-CN" w:bidi="ar-SA"/>
                <w14:textFill>
                  <w14:solidFill>
                    <w14:schemeClr w14:val="tx1"/>
                  </w14:solidFill>
                </w14:textFill>
              </w:rPr>
              <w:t>污水厂</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污染物排放标准》</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GB</w:t>
            </w:r>
            <w:r>
              <w:rPr>
                <w:rFonts w:hint="eastAsia" w:cs="Times New Roman"/>
                <w:bCs/>
                <w:color w:val="000000" w:themeColor="text1"/>
                <w:kern w:val="2"/>
                <w:sz w:val="24"/>
                <w:szCs w:val="24"/>
                <w:highlight w:val="none"/>
                <w:lang w:val="en-US" w:eastAsia="zh-CN" w:bidi="ar-SA"/>
                <w14:textFill>
                  <w14:solidFill>
                    <w14:schemeClr w14:val="tx1"/>
                  </w14:solidFill>
                </w14:textFill>
              </w:rPr>
              <w:t>18918-2012</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及其修改单表1的一级</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标准A</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标准，具体详见表3.</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p>
          <w:p w14:paraId="7F49A134">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7-2</w:t>
            </w:r>
            <w:r>
              <w:rPr>
                <w:rFonts w:hint="eastAsia" w:cs="Times New Roman"/>
                <w:b/>
                <w:bCs/>
                <w:color w:val="000000" w:themeColor="text1"/>
                <w:sz w:val="24"/>
                <w:szCs w:val="24"/>
                <w:highlight w:val="none"/>
                <w:u w:val="none"/>
                <w:lang w:val="en-US" w:eastAsia="zh-CN"/>
                <w14:textFill>
                  <w14:solidFill>
                    <w14:schemeClr w14:val="tx1"/>
                  </w14:solidFill>
                </w14:textFill>
              </w:rPr>
              <w:t>江阴工业集中区污水厂</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尾水排放标准一览表</w:t>
            </w:r>
          </w:p>
          <w:tbl>
            <w:tblPr>
              <w:tblStyle w:val="23"/>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401"/>
              <w:gridCol w:w="2701"/>
              <w:gridCol w:w="3395"/>
            </w:tblGrid>
            <w:tr w14:paraId="75C19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11E53356">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序号</w:t>
                  </w:r>
                </w:p>
              </w:tc>
              <w:tc>
                <w:tcPr>
                  <w:tcW w:w="1401" w:type="dxa"/>
                  <w:vAlign w:val="center"/>
                </w:tcPr>
                <w:p w14:paraId="4CF2E3C0">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污染物名称</w:t>
                  </w:r>
                </w:p>
              </w:tc>
              <w:tc>
                <w:tcPr>
                  <w:tcW w:w="2701" w:type="dxa"/>
                  <w:vAlign w:val="center"/>
                </w:tcPr>
                <w:p w14:paraId="48AD1964">
                  <w:pPr>
                    <w:spacing w:line="3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3395" w:type="dxa"/>
                  <w:vAlign w:val="center"/>
                </w:tcPr>
                <w:p w14:paraId="7655FF38">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标准来源</w:t>
                  </w:r>
                </w:p>
              </w:tc>
            </w:tr>
            <w:tr w14:paraId="06EB4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5AF88931">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1</w:t>
                  </w:r>
                </w:p>
              </w:tc>
              <w:tc>
                <w:tcPr>
                  <w:tcW w:w="1401" w:type="dxa"/>
                  <w:vAlign w:val="center"/>
                </w:tcPr>
                <w:p w14:paraId="60D5A9D7">
                  <w:pPr>
                    <w:spacing w:line="340" w:lineRule="exact"/>
                    <w:jc w:val="center"/>
                    <w:rPr>
                      <w:rFonts w:hint="eastAsia"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pPr>
                  <w:r>
                    <w:rPr>
                      <w:rFonts w:hint="eastAsia" w:cs="Times New Roman"/>
                      <w:color w:val="000000" w:themeColor="text1"/>
                      <w:kern w:val="18"/>
                      <w:sz w:val="21"/>
                      <w:szCs w:val="21"/>
                      <w:highlight w:val="none"/>
                      <w:lang w:val="en-US" w:eastAsia="zh-CN"/>
                      <w14:textFill>
                        <w14:solidFill>
                          <w14:schemeClr w14:val="tx1"/>
                        </w14:solidFill>
                      </w14:textFill>
                    </w:rPr>
                    <w:t>pH</w:t>
                  </w:r>
                </w:p>
              </w:tc>
              <w:tc>
                <w:tcPr>
                  <w:tcW w:w="2701" w:type="dxa"/>
                  <w:vAlign w:val="center"/>
                </w:tcPr>
                <w:p w14:paraId="67FA2209">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6～9</w:t>
                  </w:r>
                  <w:r>
                    <w:rPr>
                      <w:rFonts w:hint="eastAsia" w:cs="Times New Roman"/>
                      <w:color w:val="000000" w:themeColor="text1"/>
                      <w:kern w:val="18"/>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无量纲</w:t>
                  </w:r>
                  <w:r>
                    <w:rPr>
                      <w:rFonts w:hint="eastAsia" w:cs="Times New Roman"/>
                      <w:color w:val="000000" w:themeColor="text1"/>
                      <w:sz w:val="21"/>
                      <w:szCs w:val="21"/>
                      <w:highlight w:val="none"/>
                      <w:lang w:eastAsia="zh-CN"/>
                      <w14:textFill>
                        <w14:solidFill>
                          <w14:schemeClr w14:val="tx1"/>
                        </w14:solidFill>
                      </w14:textFill>
                    </w:rPr>
                    <w:t>）</w:t>
                  </w:r>
                </w:p>
              </w:tc>
              <w:tc>
                <w:tcPr>
                  <w:tcW w:w="3395" w:type="dxa"/>
                  <w:vMerge w:val="restart"/>
                  <w:vAlign w:val="center"/>
                </w:tcPr>
                <w:p w14:paraId="1AC4E948">
                  <w:pPr>
                    <w:widowControl/>
                    <w:spacing w:line="3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《城镇</w:t>
                  </w:r>
                  <w:r>
                    <w:rPr>
                      <w:rFonts w:hint="eastAsia" w:cs="Times New Roman"/>
                      <w:color w:val="000000" w:themeColor="text1"/>
                      <w:sz w:val="21"/>
                      <w:szCs w:val="21"/>
                      <w:highlight w:val="none"/>
                      <w:lang w:eastAsia="zh-CN"/>
                      <w14:textFill>
                        <w14:solidFill>
                          <w14:schemeClr w14:val="tx1"/>
                        </w14:solidFill>
                      </w14:textFill>
                    </w:rPr>
                    <w:t>污水厂</w:t>
                  </w: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污染物排放标准》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GB18918-2002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及其修改单表1</w:t>
                  </w:r>
                </w:p>
              </w:tc>
            </w:tr>
            <w:tr w14:paraId="7BF37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1CA7BFC9">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2</w:t>
                  </w:r>
                </w:p>
              </w:tc>
              <w:tc>
                <w:tcPr>
                  <w:tcW w:w="1401" w:type="dxa"/>
                  <w:vAlign w:val="center"/>
                </w:tcPr>
                <w:p w14:paraId="53BECD72">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COD</w:t>
                  </w: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cr</w:t>
                  </w:r>
                </w:p>
              </w:tc>
              <w:tc>
                <w:tcPr>
                  <w:tcW w:w="2701" w:type="dxa"/>
                  <w:vAlign w:val="center"/>
                </w:tcPr>
                <w:p w14:paraId="11D6B28F">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3395" w:type="dxa"/>
                  <w:vMerge w:val="continue"/>
                  <w:vAlign w:val="center"/>
                </w:tcPr>
                <w:p w14:paraId="4E02072D">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5D522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4ECA0A73">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3</w:t>
                  </w:r>
                </w:p>
              </w:tc>
              <w:tc>
                <w:tcPr>
                  <w:tcW w:w="1401" w:type="dxa"/>
                  <w:vAlign w:val="center"/>
                </w:tcPr>
                <w:p w14:paraId="18B35A7D">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BOD</w:t>
                  </w:r>
                  <w:r>
                    <w:rPr>
                      <w:rFonts w:hint="default" w:ascii="Times New Roman" w:hAnsi="Times New Roman" w:eastAsia="宋体" w:cs="Times New Roman"/>
                      <w:color w:val="000000" w:themeColor="text1"/>
                      <w:kern w:val="18"/>
                      <w:sz w:val="21"/>
                      <w:szCs w:val="21"/>
                      <w:highlight w:val="none"/>
                      <w:vertAlign w:val="subscript"/>
                      <w14:textFill>
                        <w14:solidFill>
                          <w14:schemeClr w14:val="tx1"/>
                        </w14:solidFill>
                      </w14:textFill>
                    </w:rPr>
                    <w:t>5</w:t>
                  </w:r>
                </w:p>
              </w:tc>
              <w:tc>
                <w:tcPr>
                  <w:tcW w:w="2701" w:type="dxa"/>
                  <w:vAlign w:val="center"/>
                </w:tcPr>
                <w:p w14:paraId="4984BF4C">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3395" w:type="dxa"/>
                  <w:vMerge w:val="continue"/>
                  <w:vAlign w:val="center"/>
                </w:tcPr>
                <w:p w14:paraId="34D399F5">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76046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21EFECAD">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4</w:t>
                  </w:r>
                </w:p>
              </w:tc>
              <w:tc>
                <w:tcPr>
                  <w:tcW w:w="1401" w:type="dxa"/>
                  <w:vAlign w:val="center"/>
                </w:tcPr>
                <w:p w14:paraId="2190EC9F">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SS</w:t>
                  </w:r>
                </w:p>
              </w:tc>
              <w:tc>
                <w:tcPr>
                  <w:tcW w:w="2701" w:type="dxa"/>
                  <w:vAlign w:val="center"/>
                </w:tcPr>
                <w:p w14:paraId="7D1A8E58">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3395" w:type="dxa"/>
                  <w:vMerge w:val="continue"/>
                  <w:vAlign w:val="center"/>
                </w:tcPr>
                <w:p w14:paraId="4DA94884">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026F0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6E123B15">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5</w:t>
                  </w:r>
                </w:p>
              </w:tc>
              <w:tc>
                <w:tcPr>
                  <w:tcW w:w="1401" w:type="dxa"/>
                  <w:vAlign w:val="center"/>
                </w:tcPr>
                <w:p w14:paraId="33E37DDD">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NH</w:t>
                  </w:r>
                  <w:r>
                    <w:rPr>
                      <w:rFonts w:hint="default" w:ascii="Times New Roman" w:hAnsi="Times New Roman" w:eastAsia="宋体" w:cs="Times New Roman"/>
                      <w:color w:val="000000" w:themeColor="text1"/>
                      <w:kern w:val="18"/>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-N</w:t>
                  </w:r>
                </w:p>
              </w:tc>
              <w:tc>
                <w:tcPr>
                  <w:tcW w:w="2701" w:type="dxa"/>
                  <w:vAlign w:val="center"/>
                </w:tcPr>
                <w:p w14:paraId="0BC9E2C1">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mg/L</w:t>
                  </w:r>
                </w:p>
              </w:tc>
              <w:tc>
                <w:tcPr>
                  <w:tcW w:w="3395" w:type="dxa"/>
                  <w:vMerge w:val="continue"/>
                  <w:vAlign w:val="center"/>
                </w:tcPr>
                <w:p w14:paraId="4C26E9EC">
                  <w:pPr>
                    <w:widowControl/>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1A779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62B745F3">
                  <w:pPr>
                    <w:spacing w:line="340" w:lineRule="exact"/>
                    <w:jc w:val="center"/>
                    <w:rPr>
                      <w:rFonts w:hint="eastAsia"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pPr>
                  <w:bookmarkStart w:id="116" w:name="_Toc28297"/>
                  <w:r>
                    <w:rPr>
                      <w:rFonts w:hint="eastAsia" w:cs="Times New Roman"/>
                      <w:color w:val="000000" w:themeColor="text1"/>
                      <w:kern w:val="18"/>
                      <w:sz w:val="21"/>
                      <w:szCs w:val="21"/>
                      <w:highlight w:val="none"/>
                      <w:lang w:val="en-US" w:eastAsia="zh-CN"/>
                      <w14:textFill>
                        <w14:solidFill>
                          <w14:schemeClr w14:val="tx1"/>
                        </w14:solidFill>
                      </w14:textFill>
                    </w:rPr>
                    <w:t>6</w:t>
                  </w:r>
                </w:p>
              </w:tc>
              <w:tc>
                <w:tcPr>
                  <w:tcW w:w="1401" w:type="dxa"/>
                  <w:vAlign w:val="center"/>
                </w:tcPr>
                <w:p w14:paraId="335FC570">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pPr>
                  <w:r>
                    <w:rPr>
                      <w:rFonts w:hint="eastAsia" w:cs="Times New Roman"/>
                      <w:color w:val="000000" w:themeColor="text1"/>
                      <w:kern w:val="18"/>
                      <w:sz w:val="21"/>
                      <w:szCs w:val="21"/>
                      <w:highlight w:val="none"/>
                      <w:lang w:val="en-US" w:eastAsia="zh-CN"/>
                      <w14:textFill>
                        <w14:solidFill>
                          <w14:schemeClr w14:val="tx1"/>
                        </w14:solidFill>
                      </w14:textFill>
                    </w:rPr>
                    <w:t>石油类</w:t>
                  </w:r>
                </w:p>
              </w:tc>
              <w:tc>
                <w:tcPr>
                  <w:tcW w:w="2701" w:type="dxa"/>
                  <w:vAlign w:val="center"/>
                </w:tcPr>
                <w:p w14:paraId="5F0A1C2E">
                  <w:pPr>
                    <w:spacing w:line="340" w:lineRule="exact"/>
                    <w:jc w:val="center"/>
                    <w:rPr>
                      <w:rFonts w:hint="default"/>
                      <w:lang w:val="en-US" w:eastAsia="zh-CN"/>
                    </w:rPr>
                  </w:pPr>
                  <w:r>
                    <w:rPr>
                      <w:rFonts w:hint="eastAsia" w:cs="Times New Roman"/>
                      <w:color w:val="000000" w:themeColor="text1"/>
                      <w:kern w:val="18"/>
                      <w:sz w:val="21"/>
                      <w:szCs w:val="21"/>
                      <w:highlight w:val="none"/>
                      <w:lang w:val="en-US" w:eastAsia="zh-CN"/>
                      <w14:textFill>
                        <w14:solidFill>
                          <w14:schemeClr w14:val="tx1"/>
                        </w14:solidFill>
                      </w14:textFill>
                    </w:rPr>
                    <w:t>1mg/L</w:t>
                  </w:r>
                </w:p>
              </w:tc>
              <w:tc>
                <w:tcPr>
                  <w:tcW w:w="3395" w:type="dxa"/>
                  <w:vMerge w:val="continue"/>
                  <w:vAlign w:val="center"/>
                </w:tcPr>
                <w:p w14:paraId="0A3A3BDD">
                  <w:pPr>
                    <w:widowControl/>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4A8E0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79E82B6B">
                  <w:pPr>
                    <w:spacing w:line="340" w:lineRule="exact"/>
                    <w:jc w:val="center"/>
                    <w:rPr>
                      <w:rFonts w:hint="eastAsia"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pPr>
                  <w:r>
                    <w:rPr>
                      <w:rFonts w:hint="eastAsia" w:cs="Times New Roman"/>
                      <w:color w:val="000000" w:themeColor="text1"/>
                      <w:kern w:val="18"/>
                      <w:sz w:val="21"/>
                      <w:szCs w:val="21"/>
                      <w:highlight w:val="none"/>
                      <w:lang w:val="en-US" w:eastAsia="zh-CN"/>
                      <w14:textFill>
                        <w14:solidFill>
                          <w14:schemeClr w14:val="tx1"/>
                        </w14:solidFill>
                      </w14:textFill>
                    </w:rPr>
                    <w:t>7</w:t>
                  </w:r>
                </w:p>
              </w:tc>
              <w:tc>
                <w:tcPr>
                  <w:tcW w:w="1401" w:type="dxa"/>
                  <w:vAlign w:val="center"/>
                </w:tcPr>
                <w:p w14:paraId="112298EE">
                  <w:pPr>
                    <w:spacing w:line="340" w:lineRule="exact"/>
                    <w:jc w:val="center"/>
                    <w:rPr>
                      <w:rFonts w:hint="default"/>
                      <w:lang w:val="en-US" w:eastAsia="zh-CN"/>
                    </w:rPr>
                  </w:pPr>
                  <w:r>
                    <w:rPr>
                      <w:rFonts w:hint="eastAsia" w:cs="Times New Roman"/>
                      <w:color w:val="000000" w:themeColor="text1"/>
                      <w:kern w:val="18"/>
                      <w:sz w:val="21"/>
                      <w:szCs w:val="21"/>
                      <w:highlight w:val="none"/>
                      <w:lang w:val="en-US" w:eastAsia="zh-CN"/>
                      <w14:textFill>
                        <w14:solidFill>
                          <w14:schemeClr w14:val="tx1"/>
                        </w14:solidFill>
                      </w14:textFill>
                    </w:rPr>
                    <w:t>TP</w:t>
                  </w:r>
                </w:p>
              </w:tc>
              <w:tc>
                <w:tcPr>
                  <w:tcW w:w="2701" w:type="dxa"/>
                  <w:vAlign w:val="center"/>
                </w:tcPr>
                <w:p w14:paraId="1200AD20">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pPr>
                  <w:r>
                    <w:rPr>
                      <w:rFonts w:hint="eastAsia" w:cs="Times New Roman"/>
                      <w:color w:val="000000" w:themeColor="text1"/>
                      <w:kern w:val="18"/>
                      <w:sz w:val="21"/>
                      <w:szCs w:val="21"/>
                      <w:highlight w:val="none"/>
                      <w:lang w:val="en-US" w:eastAsia="zh-CN"/>
                      <w14:textFill>
                        <w14:solidFill>
                          <w14:schemeClr w14:val="tx1"/>
                        </w14:solidFill>
                      </w14:textFill>
                    </w:rPr>
                    <w:t>0.5mg/L</w:t>
                  </w:r>
                </w:p>
              </w:tc>
              <w:tc>
                <w:tcPr>
                  <w:tcW w:w="3395" w:type="dxa"/>
                  <w:vMerge w:val="continue"/>
                  <w:vAlign w:val="center"/>
                </w:tcPr>
                <w:p w14:paraId="03087CF5">
                  <w:pPr>
                    <w:widowControl/>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775F0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1" w:type="dxa"/>
                  <w:vAlign w:val="center"/>
                </w:tcPr>
                <w:p w14:paraId="7F453D91">
                  <w:pPr>
                    <w:spacing w:line="340" w:lineRule="exact"/>
                    <w:jc w:val="center"/>
                    <w:rPr>
                      <w:rFonts w:hint="eastAsia"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pPr>
                  <w:r>
                    <w:rPr>
                      <w:rFonts w:hint="eastAsia" w:cs="Times New Roman"/>
                      <w:color w:val="000000" w:themeColor="text1"/>
                      <w:kern w:val="18"/>
                      <w:sz w:val="21"/>
                      <w:szCs w:val="21"/>
                      <w:highlight w:val="none"/>
                      <w:lang w:val="en-US" w:eastAsia="zh-CN"/>
                      <w14:textFill>
                        <w14:solidFill>
                          <w14:schemeClr w14:val="tx1"/>
                        </w14:solidFill>
                      </w14:textFill>
                    </w:rPr>
                    <w:t>8</w:t>
                  </w:r>
                </w:p>
              </w:tc>
              <w:tc>
                <w:tcPr>
                  <w:tcW w:w="1401" w:type="dxa"/>
                  <w:vAlign w:val="center"/>
                </w:tcPr>
                <w:p w14:paraId="4BC304D2">
                  <w:pPr>
                    <w:spacing w:line="340" w:lineRule="exact"/>
                    <w:jc w:val="center"/>
                    <w:rPr>
                      <w:rFonts w:hint="default"/>
                      <w:lang w:val="en-US" w:eastAsia="zh-CN"/>
                    </w:rPr>
                  </w:pPr>
                  <w:r>
                    <w:rPr>
                      <w:rFonts w:hint="eastAsia" w:cs="Times New Roman"/>
                      <w:color w:val="000000" w:themeColor="text1"/>
                      <w:kern w:val="18"/>
                      <w:sz w:val="21"/>
                      <w:szCs w:val="21"/>
                      <w:highlight w:val="none"/>
                      <w:lang w:val="en-US" w:eastAsia="zh-CN"/>
                      <w14:textFill>
                        <w14:solidFill>
                          <w14:schemeClr w14:val="tx1"/>
                        </w14:solidFill>
                      </w14:textFill>
                    </w:rPr>
                    <w:t>TN</w:t>
                  </w:r>
                </w:p>
              </w:tc>
              <w:tc>
                <w:tcPr>
                  <w:tcW w:w="2701" w:type="dxa"/>
                  <w:vAlign w:val="center"/>
                </w:tcPr>
                <w:p w14:paraId="2A37B488">
                  <w:pPr>
                    <w:spacing w:line="340" w:lineRule="exact"/>
                    <w:jc w:val="center"/>
                    <w:rPr>
                      <w:rFonts w:hint="default" w:cs="Times New Roman"/>
                      <w:color w:val="000000" w:themeColor="text1"/>
                      <w:kern w:val="18"/>
                      <w:sz w:val="21"/>
                      <w:szCs w:val="21"/>
                      <w:highlight w:val="none"/>
                      <w:lang w:val="en-US" w:eastAsia="zh-CN"/>
                      <w14:textFill>
                        <w14:solidFill>
                          <w14:schemeClr w14:val="tx1"/>
                        </w14:solidFill>
                      </w14:textFill>
                    </w:rPr>
                  </w:pPr>
                  <w:r>
                    <w:rPr>
                      <w:rFonts w:hint="eastAsia" w:cs="Times New Roman"/>
                      <w:color w:val="000000" w:themeColor="text1"/>
                      <w:kern w:val="18"/>
                      <w:sz w:val="21"/>
                      <w:szCs w:val="21"/>
                      <w:highlight w:val="none"/>
                      <w:lang w:val="en-US" w:eastAsia="zh-CN"/>
                      <w14:textFill>
                        <w14:solidFill>
                          <w14:schemeClr w14:val="tx1"/>
                        </w14:solidFill>
                      </w14:textFill>
                    </w:rPr>
                    <w:t>15mg/L</w:t>
                  </w:r>
                </w:p>
              </w:tc>
              <w:tc>
                <w:tcPr>
                  <w:tcW w:w="3395" w:type="dxa"/>
                  <w:vMerge w:val="continue"/>
                  <w:vAlign w:val="center"/>
                </w:tcPr>
                <w:p w14:paraId="196264E8">
                  <w:pPr>
                    <w:widowControl/>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bl>
          <w:p w14:paraId="5D0AFFA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17" w:name="_Toc10122"/>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3.7.2废气</w:t>
            </w:r>
            <w:bookmarkEnd w:id="116"/>
            <w:bookmarkEnd w:id="117"/>
          </w:p>
          <w:p w14:paraId="006C6BDB">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现有项目废气主要包括有机废气，</w:t>
            </w:r>
            <w:r>
              <w:rPr>
                <w:rFonts w:hint="eastAsia" w:cs="Times New Roman"/>
                <w:b w:val="0"/>
                <w:bCs w:val="0"/>
                <w:color w:val="000000" w:themeColor="text1"/>
                <w:sz w:val="24"/>
                <w:szCs w:val="24"/>
                <w:highlight w:val="none"/>
                <w:lang w:val="en-US" w:eastAsia="zh-CN"/>
                <w14:textFill>
                  <w14:solidFill>
                    <w14:schemeClr w14:val="tx1"/>
                  </w14:solidFill>
                </w14:textFill>
              </w:rPr>
              <w:t>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项目生产中预发、成型工序产生的含苯乙烯和非甲烷总烃等有机废气。</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由于还发布</w:t>
            </w:r>
            <w:r>
              <w:rPr>
                <w:rFonts w:hint="eastAsia" w:cs="Times New Roman"/>
                <w:b w:val="0"/>
                <w:bCs w:val="0"/>
                <w:color w:val="auto"/>
                <w:kern w:val="2"/>
                <w:sz w:val="24"/>
                <w:szCs w:val="24"/>
                <w:highlight w:val="none"/>
                <w:shd w:val="clear" w:color="auto" w:fill="auto"/>
                <w:lang w:val="en-US" w:eastAsia="zh-CN" w:bidi="ar-SA"/>
              </w:rPr>
              <w:t>VOCs相关排放</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政策。现有项目</w:t>
            </w:r>
            <w:r>
              <w:rPr>
                <w:rFonts w:hint="eastAsia" w:cs="Times New Roman"/>
                <w:b w:val="0"/>
                <w:bCs w:val="0"/>
                <w:color w:val="000000" w:themeColor="text1"/>
                <w:sz w:val="24"/>
                <w:szCs w:val="24"/>
                <w:highlight w:val="none"/>
                <w:lang w:val="en-US" w:eastAsia="zh-CN"/>
                <w14:textFill>
                  <w14:solidFill>
                    <w14:schemeClr w14:val="tx1"/>
                  </w14:solidFill>
                </w14:textFill>
              </w:rPr>
              <w:t>预发及成型过程均在密闭的容器内进行，大部分废气通过容器排水管道进入循环水池再逸散空气中，少量废气在容器打开时逸散至空气中</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cs="Times New Roman"/>
                <w:bCs/>
                <w:color w:val="000000" w:themeColor="text1"/>
                <w:kern w:val="2"/>
                <w:sz w:val="24"/>
                <w:szCs w:val="24"/>
                <w:highlight w:val="none"/>
                <w:lang w:val="en-US" w:eastAsia="zh-CN" w:bidi="ar-SA"/>
                <w14:textFill>
                  <w14:solidFill>
                    <w14:schemeClr w14:val="tx1"/>
                  </w14:solidFill>
                </w14:textFill>
              </w:rPr>
              <w:t>在加强车间通风排气的情况下，项目无组织废气排放是对周边环境的</w:t>
            </w:r>
            <w:r>
              <w:rPr>
                <w:rFonts w:hint="eastAsia" w:cs="Times New Roman"/>
                <w:bCs/>
                <w:color w:val="auto"/>
                <w:kern w:val="2"/>
                <w:sz w:val="24"/>
                <w:szCs w:val="24"/>
                <w:highlight w:val="none"/>
                <w:lang w:val="en-US" w:eastAsia="zh-CN" w:bidi="ar-SA"/>
              </w:rPr>
              <w:t>影响较小。排放满足《大气污染物综合排放标准》（GB16297-1996）新污染源无组织排放监控浓度限值（4.0mg/m</w:t>
            </w:r>
            <w:r>
              <w:rPr>
                <w:rFonts w:hint="eastAsia" w:cs="Times New Roman"/>
                <w:bCs/>
                <w:color w:val="auto"/>
                <w:kern w:val="2"/>
                <w:sz w:val="24"/>
                <w:szCs w:val="24"/>
                <w:highlight w:val="none"/>
                <w:vertAlign w:val="superscript"/>
                <w:lang w:val="en-US" w:eastAsia="zh-CN" w:bidi="ar-SA"/>
              </w:rPr>
              <w:t>3</w:t>
            </w:r>
            <w:r>
              <w:rPr>
                <w:rFonts w:hint="eastAsia" w:cs="Times New Roman"/>
                <w:bCs/>
                <w:color w:val="auto"/>
                <w:kern w:val="2"/>
                <w:sz w:val="24"/>
                <w:szCs w:val="24"/>
                <w:highlight w:val="none"/>
                <w:lang w:val="en-US" w:eastAsia="zh-CN" w:bidi="ar-SA"/>
              </w:rPr>
              <w:t>），本次扩建项目为确保非甲烷总烃、苯乙烯等有机废气稳定达标排放，</w:t>
            </w:r>
            <w:r>
              <w:rPr>
                <w:rFonts w:hint="eastAsia" w:cs="Times New Roman"/>
                <w:color w:val="auto"/>
                <w:sz w:val="24"/>
                <w:szCs w:val="24"/>
                <w:highlight w:val="none"/>
                <w:lang w:val="en-US" w:eastAsia="zh-CN"/>
              </w:rPr>
              <w:t>拟新增活性炭吸附装置及15m高废气排气筒（DA001）。</w:t>
            </w:r>
          </w:p>
          <w:p w14:paraId="3DF46AF2">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（1）项目</w:t>
            </w:r>
            <w:r>
              <w:rPr>
                <w:rFonts w:hint="eastAsia" w:cs="Times New Roman"/>
                <w:bCs/>
                <w:color w:val="auto"/>
                <w:kern w:val="2"/>
                <w:sz w:val="24"/>
                <w:szCs w:val="24"/>
                <w:highlight w:val="none"/>
                <w:lang w:val="en-US" w:eastAsia="zh-CN" w:bidi="ar-SA"/>
              </w:rPr>
              <w:t>有机</w:t>
            </w:r>
            <w:r>
              <w:rPr>
                <w:rFonts w:hint="eastAsia" w:ascii="Times New Roman" w:hAnsi="Times New Roman" w:eastAsia="宋体" w:cs="Times New Roman"/>
                <w:bCs/>
                <w:color w:val="auto"/>
                <w:kern w:val="2"/>
                <w:sz w:val="24"/>
                <w:szCs w:val="24"/>
                <w:highlight w:val="none"/>
                <w:lang w:val="en-US" w:eastAsia="zh-CN" w:bidi="ar-SA"/>
              </w:rPr>
              <w:t>废气污染物排放标准</w:t>
            </w:r>
          </w:p>
          <w:p w14:paraId="49A1DF10">
            <w:pPr>
              <w:pageBreakBefore w:val="0"/>
              <w:widowControl w:val="0"/>
              <w:kinsoku/>
              <w:wordWrap/>
              <w:overflowPunct/>
              <w:topLinePunct w:val="0"/>
              <w:autoSpaceDE/>
              <w:autoSpaceDN/>
              <w:bidi w:val="0"/>
              <w:spacing w:line="360" w:lineRule="auto"/>
              <w:ind w:firstLine="480" w:firstLineChars="200"/>
              <w:textAlignment w:val="auto"/>
              <w:rPr>
                <w:rFonts w:hint="eastAsia" w:cs="Times New Roman"/>
                <w:bCs/>
                <w:color w:val="000000" w:themeColor="text1"/>
                <w:kern w:val="2"/>
                <w:sz w:val="24"/>
                <w:szCs w:val="24"/>
                <w:highlight w:val="none"/>
                <w:lang w:val="en-US" w:eastAsia="zh-CN" w:bidi="ar-SA"/>
                <w14:textFill>
                  <w14:solidFill>
                    <w14:schemeClr w14:val="tx1"/>
                  </w14:solidFill>
                </w14:textFill>
              </w:rPr>
            </w:pPr>
            <w:r>
              <w:rPr>
                <w:rFonts w:hint="eastAsia" w:cs="Times New Roman"/>
                <w:bCs/>
                <w:color w:val="auto"/>
                <w:kern w:val="2"/>
                <w:sz w:val="24"/>
                <w:szCs w:val="24"/>
                <w:highlight w:val="none"/>
                <w:lang w:val="en-US" w:eastAsia="zh-CN" w:bidi="ar-SA"/>
              </w:rPr>
              <w:t>预发、成型过程产生的废气污染物为（非甲烷总烃、苯乙烯、甲苯、乙苯）执行《合成树脂工业污染物排放标准》（GB31572-2015）</w:t>
            </w:r>
            <w:r>
              <w:rPr>
                <w:rFonts w:hint="eastAsia" w:cs="Times New Roman"/>
                <w:bCs/>
                <w:color w:val="000000" w:themeColor="text1"/>
                <w:kern w:val="2"/>
                <w:sz w:val="24"/>
                <w:szCs w:val="24"/>
                <w:highlight w:val="none"/>
                <w:lang w:val="en-US" w:eastAsia="zh-CN" w:bidi="ar-SA"/>
                <w14:textFill>
                  <w14:solidFill>
                    <w14:schemeClr w14:val="tx1"/>
                  </w14:solidFill>
                </w14:textFill>
              </w:rPr>
              <w:t>（及其修改单）表5特别排放标准限值。及表9企业边界大气污染物浓度限值。</w:t>
            </w:r>
          </w:p>
          <w:p w14:paraId="68375FCC">
            <w:pPr>
              <w:pageBreakBefore w:val="0"/>
              <w:widowControl w:val="0"/>
              <w:kinsoku/>
              <w:wordWrap/>
              <w:overflowPunct/>
              <w:topLinePunct w:val="0"/>
              <w:autoSpaceDE/>
              <w:autoSpaceDN/>
              <w:bidi w:val="0"/>
              <w:spacing w:line="360" w:lineRule="auto"/>
              <w:ind w:firstLine="480" w:firstLineChars="200"/>
              <w:textAlignment w:val="auto"/>
              <w:rPr>
                <w:rFonts w:hint="eastAsia" w:cs="Times New Roman"/>
                <w:bCs/>
                <w:color w:val="000000" w:themeColor="text1"/>
                <w:kern w:val="2"/>
                <w:sz w:val="24"/>
                <w:szCs w:val="24"/>
                <w:highlight w:val="none"/>
                <w:lang w:val="en-US" w:eastAsia="zh-CN" w:bidi="ar-SA"/>
                <w14:textFill>
                  <w14:solidFill>
                    <w14:schemeClr w14:val="tx1"/>
                  </w14:solidFill>
                </w14:textFill>
              </w:rPr>
            </w:pPr>
            <w:r>
              <w:rPr>
                <w:rFonts w:hint="eastAsia" w:cs="Times New Roman"/>
                <w:bCs/>
                <w:color w:val="000000" w:themeColor="text1"/>
                <w:kern w:val="2"/>
                <w:sz w:val="24"/>
                <w:szCs w:val="24"/>
                <w:highlight w:val="none"/>
                <w:lang w:val="en-US" w:eastAsia="zh-CN" w:bidi="ar-SA"/>
                <w14:textFill>
                  <w14:solidFill>
                    <w14:schemeClr w14:val="tx1"/>
                  </w14:solidFill>
                </w14:textFill>
              </w:rPr>
              <w:t>厂区内有机废气无组织排放执行《挥发性有机物无组织排放控制标准》（GB37822-2019）附录A中表A.1相关排放限值。</w:t>
            </w:r>
          </w:p>
          <w:p w14:paraId="57046269">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项目废气污染物排放标准限值详见表3.7-3。</w:t>
            </w:r>
          </w:p>
          <w:p w14:paraId="7F025A21">
            <w:pPr>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表3.7-3有组织废气污染物排放标准</w:t>
            </w:r>
          </w:p>
          <w:tbl>
            <w:tblPr>
              <w:tblStyle w:val="24"/>
              <w:tblW w:w="853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857"/>
              <w:gridCol w:w="855"/>
              <w:gridCol w:w="1200"/>
              <w:gridCol w:w="674"/>
              <w:gridCol w:w="855"/>
              <w:gridCol w:w="901"/>
              <w:gridCol w:w="2519"/>
            </w:tblGrid>
            <w:tr w14:paraId="3C891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669" w:type="dxa"/>
                  <w:tcBorders>
                    <w:tl2br w:val="nil"/>
                    <w:tr2bl w:val="nil"/>
                  </w:tcBorders>
                  <w:vAlign w:val="center"/>
                </w:tcPr>
                <w:p w14:paraId="48D73C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排放方式</w:t>
                  </w:r>
                </w:p>
              </w:tc>
              <w:tc>
                <w:tcPr>
                  <w:tcW w:w="857" w:type="dxa"/>
                  <w:tcBorders>
                    <w:tl2br w:val="nil"/>
                    <w:tr2bl w:val="nil"/>
                  </w:tcBorders>
                  <w:vAlign w:val="center"/>
                </w:tcPr>
                <w:p w14:paraId="2C07A3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污染物产生工段</w:t>
                  </w:r>
                </w:p>
              </w:tc>
              <w:tc>
                <w:tcPr>
                  <w:tcW w:w="855" w:type="dxa"/>
                  <w:tcBorders>
                    <w:tl2br w:val="nil"/>
                    <w:tr2bl w:val="nil"/>
                  </w:tcBorders>
                  <w:vAlign w:val="center"/>
                </w:tcPr>
                <w:p w14:paraId="6B4774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污染物名称</w:t>
                  </w:r>
                </w:p>
              </w:tc>
              <w:tc>
                <w:tcPr>
                  <w:tcW w:w="1200" w:type="dxa"/>
                  <w:tcBorders>
                    <w:tl2br w:val="nil"/>
                    <w:tr2bl w:val="nil"/>
                  </w:tcBorders>
                  <w:vAlign w:val="center"/>
                </w:tcPr>
                <w:p w14:paraId="187017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最高允许排放浓度</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p>
              </w:tc>
              <w:tc>
                <w:tcPr>
                  <w:tcW w:w="674" w:type="dxa"/>
                  <w:tcBorders>
                    <w:tl2br w:val="nil"/>
                    <w:tr2bl w:val="nil"/>
                  </w:tcBorders>
                  <w:vAlign w:val="center"/>
                </w:tcPr>
                <w:p w14:paraId="515479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污染源名称</w:t>
                  </w:r>
                </w:p>
              </w:tc>
              <w:tc>
                <w:tcPr>
                  <w:tcW w:w="855" w:type="dxa"/>
                  <w:tcBorders>
                    <w:tl2br w:val="nil"/>
                    <w:tr2bl w:val="nil"/>
                  </w:tcBorders>
                  <w:vAlign w:val="center"/>
                </w:tcPr>
                <w:p w14:paraId="08B4E83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排气筒编号</w:t>
                  </w:r>
                </w:p>
              </w:tc>
              <w:tc>
                <w:tcPr>
                  <w:tcW w:w="901" w:type="dxa"/>
                  <w:tcBorders>
                    <w:tl2br w:val="nil"/>
                    <w:tr2bl w:val="nil"/>
                  </w:tcBorders>
                  <w:vAlign w:val="center"/>
                </w:tcPr>
                <w:p w14:paraId="720EA9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排气筒高度</w:t>
                  </w:r>
                </w:p>
                <w:p w14:paraId="52D038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w:t>
                  </w:r>
                </w:p>
              </w:tc>
              <w:tc>
                <w:tcPr>
                  <w:tcW w:w="2519" w:type="dxa"/>
                  <w:tcBorders>
                    <w:tl2br w:val="nil"/>
                    <w:tr2bl w:val="nil"/>
                  </w:tcBorders>
                  <w:vAlign w:val="center"/>
                </w:tcPr>
                <w:p w14:paraId="3E2AAC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14:paraId="28E1A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restart"/>
                  <w:tcBorders>
                    <w:tl2br w:val="nil"/>
                    <w:tr2bl w:val="nil"/>
                  </w:tcBorders>
                  <w:vAlign w:val="center"/>
                </w:tcPr>
                <w:p w14:paraId="4C4DE9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有组织</w:t>
                  </w:r>
                </w:p>
              </w:tc>
              <w:tc>
                <w:tcPr>
                  <w:tcW w:w="857" w:type="dxa"/>
                  <w:vMerge w:val="restart"/>
                  <w:tcBorders>
                    <w:tl2br w:val="nil"/>
                    <w:tr2bl w:val="nil"/>
                  </w:tcBorders>
                  <w:vAlign w:val="center"/>
                </w:tcPr>
                <w:p w14:paraId="77A30F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预发</w:t>
                  </w:r>
                </w:p>
              </w:tc>
              <w:tc>
                <w:tcPr>
                  <w:tcW w:w="855" w:type="dxa"/>
                  <w:tcBorders>
                    <w:tl2br w:val="nil"/>
                    <w:tr2bl w:val="nil"/>
                  </w:tcBorders>
                  <w:vAlign w:val="center"/>
                </w:tcPr>
                <w:p w14:paraId="70BAA1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1200" w:type="dxa"/>
                  <w:tcBorders>
                    <w:tl2br w:val="nil"/>
                    <w:tr2bl w:val="nil"/>
                  </w:tcBorders>
                  <w:vAlign w:val="center"/>
                </w:tcPr>
                <w:p w14:paraId="7103E3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w:t>
                  </w:r>
                </w:p>
              </w:tc>
              <w:tc>
                <w:tcPr>
                  <w:tcW w:w="674" w:type="dxa"/>
                  <w:vMerge w:val="restart"/>
                  <w:tcBorders>
                    <w:tl2br w:val="nil"/>
                    <w:tr2bl w:val="nil"/>
                  </w:tcBorders>
                  <w:vAlign w:val="center"/>
                </w:tcPr>
                <w:p w14:paraId="383029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生产废气排气筒</w:t>
                  </w:r>
                </w:p>
              </w:tc>
              <w:tc>
                <w:tcPr>
                  <w:tcW w:w="855" w:type="dxa"/>
                  <w:vMerge w:val="restart"/>
                  <w:tcBorders>
                    <w:tl2br w:val="nil"/>
                    <w:tr2bl w:val="nil"/>
                  </w:tcBorders>
                  <w:vAlign w:val="center"/>
                </w:tcPr>
                <w:p w14:paraId="025151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DA001</w:t>
                  </w:r>
                </w:p>
              </w:tc>
              <w:tc>
                <w:tcPr>
                  <w:tcW w:w="901" w:type="dxa"/>
                  <w:vMerge w:val="restart"/>
                  <w:tcBorders>
                    <w:tl2br w:val="nil"/>
                    <w:tr2bl w:val="nil"/>
                  </w:tcBorders>
                  <w:vAlign w:val="center"/>
                </w:tcPr>
                <w:p w14:paraId="5FD985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w:t>
                  </w:r>
                </w:p>
              </w:tc>
              <w:tc>
                <w:tcPr>
                  <w:tcW w:w="2519" w:type="dxa"/>
                  <w:vMerge w:val="restart"/>
                  <w:tcBorders>
                    <w:tl2br w:val="nil"/>
                    <w:tr2bl w:val="nil"/>
                  </w:tcBorders>
                  <w:vAlign w:val="center"/>
                </w:tcPr>
                <w:p w14:paraId="648AC1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《合成树脂工艺污染物排放标准限值》（GB31572-2015）表5特别标准限值</w:t>
                  </w:r>
                </w:p>
              </w:tc>
            </w:tr>
            <w:tr w14:paraId="1E5AF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3A9000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857" w:type="dxa"/>
                  <w:vMerge w:val="continue"/>
                  <w:tcBorders>
                    <w:tl2br w:val="nil"/>
                    <w:tr2bl w:val="nil"/>
                  </w:tcBorders>
                  <w:vAlign w:val="center"/>
                </w:tcPr>
                <w:p w14:paraId="41D873E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855" w:type="dxa"/>
                  <w:tcBorders>
                    <w:tl2br w:val="nil"/>
                    <w:tr2bl w:val="nil"/>
                  </w:tcBorders>
                  <w:vAlign w:val="center"/>
                </w:tcPr>
                <w:p w14:paraId="491118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苯乙烯</w:t>
                  </w:r>
                </w:p>
              </w:tc>
              <w:tc>
                <w:tcPr>
                  <w:tcW w:w="1200" w:type="dxa"/>
                  <w:tcBorders>
                    <w:tl2br w:val="nil"/>
                    <w:tr2bl w:val="nil"/>
                  </w:tcBorders>
                  <w:vAlign w:val="center"/>
                </w:tcPr>
                <w:p w14:paraId="393915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674" w:type="dxa"/>
                  <w:vMerge w:val="continue"/>
                  <w:tcBorders>
                    <w:tl2br w:val="nil"/>
                    <w:tr2bl w:val="nil"/>
                  </w:tcBorders>
                  <w:vAlign w:val="center"/>
                </w:tcPr>
                <w:p w14:paraId="7F2B3F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vMerge w:val="continue"/>
                  <w:tcBorders>
                    <w:tl2br w:val="nil"/>
                    <w:tr2bl w:val="nil"/>
                  </w:tcBorders>
                  <w:vAlign w:val="center"/>
                </w:tcPr>
                <w:p w14:paraId="0FF939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901" w:type="dxa"/>
                  <w:vMerge w:val="continue"/>
                  <w:tcBorders>
                    <w:tl2br w:val="nil"/>
                    <w:tr2bl w:val="nil"/>
                  </w:tcBorders>
                  <w:vAlign w:val="center"/>
                </w:tcPr>
                <w:p w14:paraId="019B6B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1265E10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14FFC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1DE5B5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7" w:type="dxa"/>
                  <w:vMerge w:val="continue"/>
                  <w:tcBorders>
                    <w:tl2br w:val="nil"/>
                    <w:tr2bl w:val="nil"/>
                  </w:tcBorders>
                  <w:vAlign w:val="center"/>
                </w:tcPr>
                <w:p w14:paraId="4B71204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tcBorders>
                    <w:tl2br w:val="nil"/>
                    <w:tr2bl w:val="nil"/>
                  </w:tcBorders>
                  <w:vAlign w:val="center"/>
                </w:tcPr>
                <w:p w14:paraId="46949D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甲苯</w:t>
                  </w:r>
                </w:p>
              </w:tc>
              <w:tc>
                <w:tcPr>
                  <w:tcW w:w="1200" w:type="dxa"/>
                  <w:tcBorders>
                    <w:tl2br w:val="nil"/>
                    <w:tr2bl w:val="nil"/>
                  </w:tcBorders>
                  <w:vAlign w:val="center"/>
                </w:tcPr>
                <w:p w14:paraId="036049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674" w:type="dxa"/>
                  <w:vMerge w:val="continue"/>
                  <w:tcBorders>
                    <w:tl2br w:val="nil"/>
                    <w:tr2bl w:val="nil"/>
                  </w:tcBorders>
                  <w:vAlign w:val="center"/>
                </w:tcPr>
                <w:p w14:paraId="0F56B8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vMerge w:val="continue"/>
                  <w:tcBorders>
                    <w:tl2br w:val="nil"/>
                    <w:tr2bl w:val="nil"/>
                  </w:tcBorders>
                  <w:vAlign w:val="center"/>
                </w:tcPr>
                <w:p w14:paraId="3CEFE6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901" w:type="dxa"/>
                  <w:vMerge w:val="continue"/>
                  <w:tcBorders>
                    <w:tl2br w:val="nil"/>
                    <w:tr2bl w:val="nil"/>
                  </w:tcBorders>
                  <w:vAlign w:val="center"/>
                </w:tcPr>
                <w:p w14:paraId="034C8B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3240774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7BC0B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3FA1C2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7" w:type="dxa"/>
                  <w:vMerge w:val="continue"/>
                  <w:tcBorders>
                    <w:tl2br w:val="nil"/>
                    <w:tr2bl w:val="nil"/>
                  </w:tcBorders>
                  <w:vAlign w:val="center"/>
                </w:tcPr>
                <w:p w14:paraId="44B5BD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tcBorders>
                    <w:tl2br w:val="nil"/>
                    <w:tr2bl w:val="nil"/>
                  </w:tcBorders>
                  <w:vAlign w:val="center"/>
                </w:tcPr>
                <w:p w14:paraId="78A6D3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乙苯</w:t>
                  </w:r>
                </w:p>
              </w:tc>
              <w:tc>
                <w:tcPr>
                  <w:tcW w:w="1200" w:type="dxa"/>
                  <w:tcBorders>
                    <w:tl2br w:val="nil"/>
                    <w:tr2bl w:val="nil"/>
                  </w:tcBorders>
                  <w:vAlign w:val="center"/>
                </w:tcPr>
                <w:p w14:paraId="51A051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50</w:t>
                  </w:r>
                </w:p>
              </w:tc>
              <w:tc>
                <w:tcPr>
                  <w:tcW w:w="674" w:type="dxa"/>
                  <w:vMerge w:val="continue"/>
                  <w:tcBorders>
                    <w:tl2br w:val="nil"/>
                    <w:tr2bl w:val="nil"/>
                  </w:tcBorders>
                  <w:vAlign w:val="center"/>
                </w:tcPr>
                <w:p w14:paraId="169F7D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vMerge w:val="continue"/>
                  <w:tcBorders>
                    <w:tl2br w:val="nil"/>
                    <w:tr2bl w:val="nil"/>
                  </w:tcBorders>
                  <w:vAlign w:val="center"/>
                </w:tcPr>
                <w:p w14:paraId="08AE21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901" w:type="dxa"/>
                  <w:vMerge w:val="continue"/>
                  <w:tcBorders>
                    <w:tl2br w:val="nil"/>
                    <w:tr2bl w:val="nil"/>
                  </w:tcBorders>
                  <w:vAlign w:val="center"/>
                </w:tcPr>
                <w:p w14:paraId="743D56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57045FA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9828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7130D4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7" w:type="dxa"/>
                  <w:vMerge w:val="restart"/>
                  <w:tcBorders>
                    <w:tl2br w:val="nil"/>
                    <w:tr2bl w:val="nil"/>
                  </w:tcBorders>
                  <w:vAlign w:val="center"/>
                </w:tcPr>
                <w:p w14:paraId="2722CC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成型</w:t>
                  </w:r>
                </w:p>
              </w:tc>
              <w:tc>
                <w:tcPr>
                  <w:tcW w:w="855" w:type="dxa"/>
                  <w:tcBorders>
                    <w:tl2br w:val="nil"/>
                    <w:tr2bl w:val="nil"/>
                  </w:tcBorders>
                  <w:shd w:val="clear" w:color="auto" w:fill="auto"/>
                  <w:vAlign w:val="center"/>
                </w:tcPr>
                <w:p w14:paraId="25306B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p>
              </w:tc>
              <w:tc>
                <w:tcPr>
                  <w:tcW w:w="1200" w:type="dxa"/>
                  <w:tcBorders>
                    <w:tl2br w:val="nil"/>
                    <w:tr2bl w:val="nil"/>
                  </w:tcBorders>
                  <w:shd w:val="clear" w:color="auto" w:fill="auto"/>
                  <w:vAlign w:val="center"/>
                </w:tcPr>
                <w:p w14:paraId="15DA52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60</w:t>
                  </w:r>
                </w:p>
              </w:tc>
              <w:tc>
                <w:tcPr>
                  <w:tcW w:w="674" w:type="dxa"/>
                  <w:vMerge w:val="restart"/>
                  <w:tcBorders>
                    <w:tl2br w:val="nil"/>
                    <w:tr2bl w:val="nil"/>
                  </w:tcBorders>
                  <w:vAlign w:val="center"/>
                </w:tcPr>
                <w:p w14:paraId="185E40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生产废气排气筒</w:t>
                  </w:r>
                </w:p>
              </w:tc>
              <w:tc>
                <w:tcPr>
                  <w:tcW w:w="855" w:type="dxa"/>
                  <w:vMerge w:val="restart"/>
                  <w:tcBorders>
                    <w:tl2br w:val="nil"/>
                    <w:tr2bl w:val="nil"/>
                  </w:tcBorders>
                  <w:vAlign w:val="center"/>
                </w:tcPr>
                <w:p w14:paraId="7A721B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w:t>
                  </w:r>
                </w:p>
              </w:tc>
              <w:tc>
                <w:tcPr>
                  <w:tcW w:w="901" w:type="dxa"/>
                  <w:vMerge w:val="restart"/>
                  <w:tcBorders>
                    <w:tl2br w:val="nil"/>
                    <w:tr2bl w:val="nil"/>
                  </w:tcBorders>
                  <w:vAlign w:val="center"/>
                </w:tcPr>
                <w:p w14:paraId="4B457D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w:t>
                  </w:r>
                </w:p>
              </w:tc>
              <w:tc>
                <w:tcPr>
                  <w:tcW w:w="2519" w:type="dxa"/>
                  <w:vMerge w:val="continue"/>
                  <w:tcBorders>
                    <w:tl2br w:val="nil"/>
                    <w:tr2bl w:val="nil"/>
                  </w:tcBorders>
                  <w:vAlign w:val="center"/>
                </w:tcPr>
                <w:p w14:paraId="52387E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2022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3E3A98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857" w:type="dxa"/>
                  <w:vMerge w:val="continue"/>
                  <w:tcBorders>
                    <w:tl2br w:val="nil"/>
                    <w:tr2bl w:val="nil"/>
                  </w:tcBorders>
                  <w:vAlign w:val="center"/>
                </w:tcPr>
                <w:p w14:paraId="3BAFE54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shd w:val="clear" w:color="auto" w:fill="auto"/>
                  <w:vAlign w:val="center"/>
                </w:tcPr>
                <w:p w14:paraId="5E990D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苯乙烯</w:t>
                  </w:r>
                </w:p>
              </w:tc>
              <w:tc>
                <w:tcPr>
                  <w:tcW w:w="1200" w:type="dxa"/>
                  <w:tcBorders>
                    <w:tl2br w:val="nil"/>
                    <w:tr2bl w:val="nil"/>
                  </w:tcBorders>
                  <w:shd w:val="clear" w:color="auto" w:fill="auto"/>
                  <w:vAlign w:val="center"/>
                </w:tcPr>
                <w:p w14:paraId="3DE50B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w:t>
                  </w:r>
                </w:p>
              </w:tc>
              <w:tc>
                <w:tcPr>
                  <w:tcW w:w="674" w:type="dxa"/>
                  <w:vMerge w:val="continue"/>
                  <w:tcBorders>
                    <w:tl2br w:val="nil"/>
                    <w:tr2bl w:val="nil"/>
                  </w:tcBorders>
                  <w:vAlign w:val="center"/>
                </w:tcPr>
                <w:p w14:paraId="115AF5B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855" w:type="dxa"/>
                  <w:vMerge w:val="continue"/>
                  <w:tcBorders>
                    <w:tl2br w:val="nil"/>
                    <w:tr2bl w:val="nil"/>
                  </w:tcBorders>
                  <w:vAlign w:val="center"/>
                </w:tcPr>
                <w:p w14:paraId="3D211D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01" w:type="dxa"/>
                  <w:vMerge w:val="continue"/>
                  <w:tcBorders>
                    <w:tl2br w:val="nil"/>
                    <w:tr2bl w:val="nil"/>
                  </w:tcBorders>
                  <w:vAlign w:val="center"/>
                </w:tcPr>
                <w:p w14:paraId="5522F75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1BBC96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4521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3C3E46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7" w:type="dxa"/>
                  <w:vMerge w:val="continue"/>
                  <w:tcBorders>
                    <w:tl2br w:val="nil"/>
                    <w:tr2bl w:val="nil"/>
                  </w:tcBorders>
                  <w:vAlign w:val="center"/>
                </w:tcPr>
                <w:p w14:paraId="17B769F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855" w:type="dxa"/>
                  <w:tcBorders>
                    <w:tl2br w:val="nil"/>
                    <w:tr2bl w:val="nil"/>
                  </w:tcBorders>
                  <w:shd w:val="clear" w:color="auto" w:fill="auto"/>
                  <w:vAlign w:val="center"/>
                </w:tcPr>
                <w:p w14:paraId="58D5F3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甲苯</w:t>
                  </w:r>
                </w:p>
              </w:tc>
              <w:tc>
                <w:tcPr>
                  <w:tcW w:w="1200" w:type="dxa"/>
                  <w:tcBorders>
                    <w:tl2br w:val="nil"/>
                    <w:tr2bl w:val="nil"/>
                  </w:tcBorders>
                  <w:shd w:val="clear" w:color="auto" w:fill="auto"/>
                  <w:vAlign w:val="center"/>
                </w:tcPr>
                <w:p w14:paraId="17484C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8</w:t>
                  </w:r>
                </w:p>
              </w:tc>
              <w:tc>
                <w:tcPr>
                  <w:tcW w:w="674" w:type="dxa"/>
                  <w:vMerge w:val="continue"/>
                  <w:tcBorders>
                    <w:tl2br w:val="nil"/>
                    <w:tr2bl w:val="nil"/>
                  </w:tcBorders>
                  <w:vAlign w:val="center"/>
                </w:tcPr>
                <w:p w14:paraId="695B73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855" w:type="dxa"/>
                  <w:vMerge w:val="continue"/>
                  <w:tcBorders>
                    <w:tl2br w:val="nil"/>
                    <w:tr2bl w:val="nil"/>
                  </w:tcBorders>
                  <w:vAlign w:val="center"/>
                </w:tcPr>
                <w:p w14:paraId="183E187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01" w:type="dxa"/>
                  <w:vMerge w:val="continue"/>
                  <w:tcBorders>
                    <w:tl2br w:val="nil"/>
                    <w:tr2bl w:val="nil"/>
                  </w:tcBorders>
                  <w:vAlign w:val="center"/>
                </w:tcPr>
                <w:p w14:paraId="6C6CB45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2F2B62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7988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1CD8754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7" w:type="dxa"/>
                  <w:vMerge w:val="continue"/>
                  <w:tcBorders>
                    <w:tl2br w:val="nil"/>
                    <w:tr2bl w:val="nil"/>
                  </w:tcBorders>
                  <w:vAlign w:val="center"/>
                </w:tcPr>
                <w:p w14:paraId="6026B48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855" w:type="dxa"/>
                  <w:tcBorders>
                    <w:tl2br w:val="nil"/>
                    <w:tr2bl w:val="nil"/>
                  </w:tcBorders>
                  <w:shd w:val="clear" w:color="auto" w:fill="auto"/>
                  <w:vAlign w:val="center"/>
                </w:tcPr>
                <w:p w14:paraId="20F874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乙苯</w:t>
                  </w:r>
                </w:p>
              </w:tc>
              <w:tc>
                <w:tcPr>
                  <w:tcW w:w="1200" w:type="dxa"/>
                  <w:tcBorders>
                    <w:tl2br w:val="nil"/>
                    <w:tr2bl w:val="nil"/>
                  </w:tcBorders>
                  <w:shd w:val="clear" w:color="auto" w:fill="auto"/>
                  <w:vAlign w:val="center"/>
                </w:tcPr>
                <w:p w14:paraId="22C3F4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674" w:type="dxa"/>
                  <w:vMerge w:val="continue"/>
                  <w:tcBorders>
                    <w:tl2br w:val="nil"/>
                    <w:tr2bl w:val="nil"/>
                  </w:tcBorders>
                  <w:vAlign w:val="center"/>
                </w:tcPr>
                <w:p w14:paraId="7C4D39C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855" w:type="dxa"/>
                  <w:vMerge w:val="continue"/>
                  <w:tcBorders>
                    <w:tl2br w:val="nil"/>
                    <w:tr2bl w:val="nil"/>
                  </w:tcBorders>
                  <w:vAlign w:val="center"/>
                </w:tcPr>
                <w:p w14:paraId="4468DB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01" w:type="dxa"/>
                  <w:vMerge w:val="continue"/>
                  <w:tcBorders>
                    <w:tl2br w:val="nil"/>
                    <w:tr2bl w:val="nil"/>
                  </w:tcBorders>
                  <w:vAlign w:val="center"/>
                </w:tcPr>
                <w:p w14:paraId="41389A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7F80B4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08773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restart"/>
                  <w:tcBorders>
                    <w:tl2br w:val="nil"/>
                    <w:tr2bl w:val="nil"/>
                  </w:tcBorders>
                  <w:vAlign w:val="center"/>
                </w:tcPr>
                <w:p w14:paraId="1C40F1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无组织</w:t>
                  </w:r>
                </w:p>
              </w:tc>
              <w:tc>
                <w:tcPr>
                  <w:tcW w:w="857" w:type="dxa"/>
                  <w:vMerge w:val="restart"/>
                  <w:tcBorders>
                    <w:tl2br w:val="nil"/>
                    <w:tr2bl w:val="nil"/>
                  </w:tcBorders>
                  <w:shd w:val="clear" w:color="auto" w:fill="auto"/>
                  <w:vAlign w:val="center"/>
                </w:tcPr>
                <w:p w14:paraId="658295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企业边界</w:t>
                  </w:r>
                </w:p>
              </w:tc>
              <w:tc>
                <w:tcPr>
                  <w:tcW w:w="855" w:type="dxa"/>
                  <w:tcBorders>
                    <w:tl2br w:val="nil"/>
                    <w:tr2bl w:val="nil"/>
                  </w:tcBorders>
                  <w:vAlign w:val="center"/>
                </w:tcPr>
                <w:p w14:paraId="6D8076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颗粒物</w:t>
                  </w:r>
                </w:p>
              </w:tc>
              <w:tc>
                <w:tcPr>
                  <w:tcW w:w="1200" w:type="dxa"/>
                  <w:tcBorders>
                    <w:tl2br w:val="nil"/>
                    <w:tr2bl w:val="nil"/>
                  </w:tcBorders>
                  <w:vAlign w:val="center"/>
                </w:tcPr>
                <w:p w14:paraId="79CCD8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w:t>
                  </w:r>
                </w:p>
              </w:tc>
              <w:tc>
                <w:tcPr>
                  <w:tcW w:w="674" w:type="dxa"/>
                  <w:vMerge w:val="restart"/>
                  <w:tcBorders>
                    <w:tl2br w:val="nil"/>
                    <w:tr2bl w:val="nil"/>
                  </w:tcBorders>
                  <w:vAlign w:val="center"/>
                </w:tcPr>
                <w:p w14:paraId="37A554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855" w:type="dxa"/>
                  <w:vMerge w:val="restart"/>
                  <w:tcBorders>
                    <w:tl2br w:val="nil"/>
                    <w:tr2bl w:val="nil"/>
                  </w:tcBorders>
                  <w:vAlign w:val="center"/>
                </w:tcPr>
                <w:p w14:paraId="7F46BB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01" w:type="dxa"/>
                  <w:vMerge w:val="restart"/>
                  <w:tcBorders>
                    <w:tl2br w:val="nil"/>
                    <w:tr2bl w:val="nil"/>
                  </w:tcBorders>
                  <w:vAlign w:val="center"/>
                </w:tcPr>
                <w:p w14:paraId="18D642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2519" w:type="dxa"/>
                  <w:vMerge w:val="restart"/>
                  <w:tcBorders>
                    <w:tl2br w:val="nil"/>
                    <w:tr2bl w:val="nil"/>
                  </w:tcBorders>
                  <w:vAlign w:val="center"/>
                </w:tcPr>
                <w:p w14:paraId="6F2C48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《合成树脂工艺污染物排放标准限值》（GB31572-2015）表9标准限值</w:t>
                  </w:r>
                </w:p>
              </w:tc>
            </w:tr>
            <w:tr w14:paraId="35E5F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0084F9E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857" w:type="dxa"/>
                  <w:vMerge w:val="continue"/>
                  <w:tcBorders>
                    <w:tl2br w:val="nil"/>
                    <w:tr2bl w:val="nil"/>
                  </w:tcBorders>
                  <w:shd w:val="clear" w:color="auto" w:fill="auto"/>
                  <w:vAlign w:val="center"/>
                </w:tcPr>
                <w:p w14:paraId="44F71FA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855" w:type="dxa"/>
                  <w:tcBorders>
                    <w:tl2br w:val="nil"/>
                    <w:tr2bl w:val="nil"/>
                  </w:tcBorders>
                  <w:vAlign w:val="center"/>
                </w:tcPr>
                <w:p w14:paraId="5F8F3D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甲苯</w:t>
                  </w:r>
                </w:p>
              </w:tc>
              <w:tc>
                <w:tcPr>
                  <w:tcW w:w="1200" w:type="dxa"/>
                  <w:tcBorders>
                    <w:tl2br w:val="nil"/>
                    <w:tr2bl w:val="nil"/>
                  </w:tcBorders>
                  <w:vAlign w:val="center"/>
                </w:tcPr>
                <w:p w14:paraId="33C0F8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0.8</w:t>
                  </w:r>
                </w:p>
              </w:tc>
              <w:tc>
                <w:tcPr>
                  <w:tcW w:w="674" w:type="dxa"/>
                  <w:vMerge w:val="continue"/>
                  <w:tcBorders>
                    <w:tl2br w:val="nil"/>
                    <w:tr2bl w:val="nil"/>
                  </w:tcBorders>
                  <w:vAlign w:val="center"/>
                </w:tcPr>
                <w:p w14:paraId="0BFAF29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vMerge w:val="continue"/>
                  <w:tcBorders>
                    <w:tl2br w:val="nil"/>
                    <w:tr2bl w:val="nil"/>
                  </w:tcBorders>
                  <w:vAlign w:val="center"/>
                </w:tcPr>
                <w:p w14:paraId="753524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901" w:type="dxa"/>
                  <w:vMerge w:val="continue"/>
                  <w:tcBorders>
                    <w:tl2br w:val="nil"/>
                    <w:tr2bl w:val="nil"/>
                  </w:tcBorders>
                  <w:vAlign w:val="center"/>
                </w:tcPr>
                <w:p w14:paraId="44D4509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74BA652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3D543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584279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7" w:type="dxa"/>
                  <w:vMerge w:val="continue"/>
                  <w:tcBorders>
                    <w:tl2br w:val="nil"/>
                    <w:tr2bl w:val="nil"/>
                  </w:tcBorders>
                  <w:shd w:val="clear" w:color="auto" w:fill="auto"/>
                  <w:vAlign w:val="center"/>
                </w:tcPr>
                <w:p w14:paraId="70B805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tcBorders>
                    <w:tl2br w:val="nil"/>
                    <w:tr2bl w:val="nil"/>
                  </w:tcBorders>
                  <w:vAlign w:val="center"/>
                </w:tcPr>
                <w:p w14:paraId="04D6AB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1200" w:type="dxa"/>
                  <w:tcBorders>
                    <w:tl2br w:val="nil"/>
                    <w:tr2bl w:val="nil"/>
                  </w:tcBorders>
                  <w:vAlign w:val="center"/>
                </w:tcPr>
                <w:p w14:paraId="7397DA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4.0</w:t>
                  </w:r>
                </w:p>
              </w:tc>
              <w:tc>
                <w:tcPr>
                  <w:tcW w:w="674" w:type="dxa"/>
                  <w:vMerge w:val="continue"/>
                  <w:tcBorders>
                    <w:tl2br w:val="nil"/>
                    <w:tr2bl w:val="nil"/>
                  </w:tcBorders>
                  <w:vAlign w:val="center"/>
                </w:tcPr>
                <w:p w14:paraId="6B941EA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vMerge w:val="continue"/>
                  <w:tcBorders>
                    <w:tl2br w:val="nil"/>
                    <w:tr2bl w:val="nil"/>
                  </w:tcBorders>
                  <w:vAlign w:val="center"/>
                </w:tcPr>
                <w:p w14:paraId="763F74A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901" w:type="dxa"/>
                  <w:vMerge w:val="continue"/>
                  <w:tcBorders>
                    <w:tl2br w:val="nil"/>
                    <w:tr2bl w:val="nil"/>
                  </w:tcBorders>
                  <w:vAlign w:val="center"/>
                </w:tcPr>
                <w:p w14:paraId="09FF196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495FA61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F9EC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9" w:type="dxa"/>
                  <w:vMerge w:val="continue"/>
                  <w:tcBorders>
                    <w:tl2br w:val="nil"/>
                    <w:tr2bl w:val="nil"/>
                  </w:tcBorders>
                  <w:vAlign w:val="center"/>
                </w:tcPr>
                <w:p w14:paraId="751F53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7" w:type="dxa"/>
                  <w:vMerge w:val="restart"/>
                  <w:tcBorders>
                    <w:tl2br w:val="nil"/>
                    <w:tr2bl w:val="nil"/>
                  </w:tcBorders>
                  <w:vAlign w:val="center"/>
                </w:tcPr>
                <w:p w14:paraId="5407FE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厂区内</w:t>
                  </w:r>
                </w:p>
              </w:tc>
              <w:tc>
                <w:tcPr>
                  <w:tcW w:w="855" w:type="dxa"/>
                  <w:vMerge w:val="restart"/>
                  <w:tcBorders>
                    <w:tl2br w:val="nil"/>
                    <w:tr2bl w:val="nil"/>
                  </w:tcBorders>
                  <w:shd w:val="clear" w:color="auto" w:fill="auto"/>
                  <w:vAlign w:val="center"/>
                </w:tcPr>
                <w:p w14:paraId="12905C5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非甲烷总烃</w:t>
                  </w:r>
                </w:p>
              </w:tc>
              <w:tc>
                <w:tcPr>
                  <w:tcW w:w="1200" w:type="dxa"/>
                  <w:tcBorders>
                    <w:tl2br w:val="nil"/>
                    <w:tr2bl w:val="nil"/>
                  </w:tcBorders>
                  <w:shd w:val="clear" w:color="auto" w:fill="auto"/>
                  <w:vAlign w:val="center"/>
                </w:tcPr>
                <w:p w14:paraId="566D26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6（1h平均浓度值）</w:t>
                  </w:r>
                </w:p>
              </w:tc>
              <w:tc>
                <w:tcPr>
                  <w:tcW w:w="674" w:type="dxa"/>
                  <w:vMerge w:val="restart"/>
                  <w:tcBorders>
                    <w:tl2br w:val="nil"/>
                    <w:tr2bl w:val="nil"/>
                  </w:tcBorders>
                  <w:vAlign w:val="center"/>
                </w:tcPr>
                <w:p w14:paraId="326787A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主要设备旁</w:t>
                  </w:r>
                </w:p>
              </w:tc>
              <w:tc>
                <w:tcPr>
                  <w:tcW w:w="855" w:type="dxa"/>
                  <w:vMerge w:val="restart"/>
                  <w:tcBorders>
                    <w:tl2br w:val="nil"/>
                    <w:tr2bl w:val="nil"/>
                  </w:tcBorders>
                  <w:vAlign w:val="center"/>
                </w:tcPr>
                <w:p w14:paraId="766CA1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901" w:type="dxa"/>
                  <w:vMerge w:val="restart"/>
                  <w:tcBorders>
                    <w:tl2br w:val="nil"/>
                    <w:tr2bl w:val="nil"/>
                  </w:tcBorders>
                  <w:vAlign w:val="center"/>
                </w:tcPr>
                <w:p w14:paraId="053811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2519" w:type="dxa"/>
                  <w:vMerge w:val="restart"/>
                  <w:tcBorders>
                    <w:tl2br w:val="nil"/>
                    <w:tr2bl w:val="nil"/>
                  </w:tcBorders>
                  <w:vAlign w:val="center"/>
                </w:tcPr>
                <w:p w14:paraId="24930E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《挥发性有机物无组织排放控制标准》（GB37822-2019）附录A中表A.1相关排放限值</w:t>
                  </w:r>
                </w:p>
              </w:tc>
            </w:tr>
            <w:tr w14:paraId="353CB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69" w:type="dxa"/>
                  <w:vMerge w:val="continue"/>
                  <w:tcBorders>
                    <w:tl2br w:val="nil"/>
                    <w:tr2bl w:val="nil"/>
                  </w:tcBorders>
                  <w:vAlign w:val="center"/>
                </w:tcPr>
                <w:p w14:paraId="6D9B4BD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857" w:type="dxa"/>
                  <w:vMerge w:val="continue"/>
                  <w:tcBorders>
                    <w:tl2br w:val="nil"/>
                    <w:tr2bl w:val="nil"/>
                  </w:tcBorders>
                  <w:vAlign w:val="center"/>
                </w:tcPr>
                <w:p w14:paraId="671F4D2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855" w:type="dxa"/>
                  <w:vMerge w:val="continue"/>
                  <w:tcBorders>
                    <w:tl2br w:val="nil"/>
                    <w:tr2bl w:val="nil"/>
                  </w:tcBorders>
                  <w:shd w:val="clear" w:color="auto" w:fill="auto"/>
                  <w:vAlign w:val="center"/>
                </w:tcPr>
                <w:p w14:paraId="0FD3ED0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1200" w:type="dxa"/>
                  <w:tcBorders>
                    <w:tl2br w:val="nil"/>
                    <w:tr2bl w:val="nil"/>
                  </w:tcBorders>
                  <w:shd w:val="clear" w:color="auto" w:fill="auto"/>
                  <w:vAlign w:val="center"/>
                </w:tcPr>
                <w:p w14:paraId="155F41B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20（任意一次浓度值）</w:t>
                  </w:r>
                </w:p>
              </w:tc>
              <w:tc>
                <w:tcPr>
                  <w:tcW w:w="674" w:type="dxa"/>
                  <w:vMerge w:val="continue"/>
                  <w:tcBorders>
                    <w:tl2br w:val="nil"/>
                    <w:tr2bl w:val="nil"/>
                  </w:tcBorders>
                  <w:vAlign w:val="center"/>
                </w:tcPr>
                <w:p w14:paraId="1C36F1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55" w:type="dxa"/>
                  <w:vMerge w:val="continue"/>
                  <w:tcBorders>
                    <w:tl2br w:val="nil"/>
                    <w:tr2bl w:val="nil"/>
                  </w:tcBorders>
                  <w:vAlign w:val="center"/>
                </w:tcPr>
                <w:p w14:paraId="2F7E5A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901" w:type="dxa"/>
                  <w:vMerge w:val="continue"/>
                  <w:tcBorders>
                    <w:tl2br w:val="nil"/>
                    <w:tr2bl w:val="nil"/>
                  </w:tcBorders>
                  <w:vAlign w:val="center"/>
                </w:tcPr>
                <w:p w14:paraId="770ABE7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9" w:type="dxa"/>
                  <w:vMerge w:val="continue"/>
                  <w:tcBorders>
                    <w:tl2br w:val="nil"/>
                    <w:tr2bl w:val="nil"/>
                  </w:tcBorders>
                  <w:vAlign w:val="center"/>
                </w:tcPr>
                <w:p w14:paraId="2E9DA74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bl>
          <w:p w14:paraId="408C9A1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18" w:name="_Toc16390"/>
            <w:bookmarkStart w:id="119" w:name="_Toc2403"/>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3.7.3噪声</w:t>
            </w:r>
            <w:bookmarkEnd w:id="118"/>
            <w:bookmarkEnd w:id="119"/>
          </w:p>
          <w:p w14:paraId="245D8BED">
            <w:pPr>
              <w:widowControl/>
              <w:spacing w:line="360" w:lineRule="auto"/>
              <w:ind w:firstLine="480" w:firstLineChars="200"/>
              <w:jc w:val="both"/>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w:t>
            </w:r>
            <w:r>
              <w:rPr>
                <w:color w:val="000000" w:themeColor="text1"/>
                <w:sz w:val="24"/>
                <w:highlight w:val="none"/>
                <w:lang w:val="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生产工作时间为</w:t>
            </w:r>
            <w:r>
              <w:rPr>
                <w:rFonts w:hint="eastAsia" w:cs="Times New Roman"/>
                <w:color w:val="000000" w:themeColor="text1"/>
                <w:sz w:val="24"/>
                <w:szCs w:val="24"/>
                <w:highlight w:val="none"/>
                <w:u w:val="none"/>
                <w:vertAlign w:val="baseline"/>
                <w:lang w:val="en-US" w:eastAsia="zh-CN"/>
                <w14:textFill>
                  <w14:solidFill>
                    <w14:schemeClr w14:val="tx1"/>
                  </w14:solidFill>
                </w14:textFill>
              </w:rPr>
              <w:t>两班制</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，每班</w:t>
            </w:r>
            <w:r>
              <w:rPr>
                <w:rFonts w:hint="eastAsia" w:cs="Times New Roman"/>
                <w:color w:val="000000" w:themeColor="text1"/>
                <w:sz w:val="24"/>
                <w:szCs w:val="24"/>
                <w:highlight w:val="none"/>
                <w:u w:val="none"/>
                <w:vertAlign w:val="baseline"/>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小时</w:t>
            </w:r>
            <w:r>
              <w:rPr>
                <w:rFonts w:hint="eastAsia"/>
                <w:color w:val="000000" w:themeColor="text1"/>
                <w:sz w:val="24"/>
                <w:highlight w:val="none"/>
                <w:lang w:val="en-US" w:eastAsia="zh-CN"/>
                <w14:textFill>
                  <w14:solidFill>
                    <w14:schemeClr w14:val="tx1"/>
                  </w14:solidFill>
                </w14:textFill>
              </w:rPr>
              <w:t>，夜间进行生产。</w:t>
            </w:r>
            <w:r>
              <w:rPr>
                <w:rFonts w:hint="default" w:ascii="Times New Roman" w:hAnsi="Times New Roman" w:eastAsia="宋体" w:cs="Times New Roman"/>
                <w:color w:val="000000" w:themeColor="text1"/>
                <w:sz w:val="24"/>
                <w:szCs w:val="24"/>
                <w:highlight w:val="none"/>
                <w14:textFill>
                  <w14:solidFill>
                    <w14:schemeClr w14:val="tx1"/>
                  </w14:solidFill>
                </w14:textFill>
              </w:rPr>
              <w:t>运营期</w:t>
            </w:r>
            <w:r>
              <w:rPr>
                <w:color w:val="000000" w:themeColor="text1"/>
                <w:sz w:val="24"/>
                <w:highlight w:val="none"/>
                <w:lang w:val="zh-CN"/>
                <w14:textFill>
                  <w14:solidFill>
                    <w14:schemeClr w14:val="tx1"/>
                  </w14:solidFill>
                </w14:textFill>
              </w:rPr>
              <w:t>厂界噪声排放执行《工业企业厂界环境噪声排放标准》</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GB12348-2008</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表1</w:t>
            </w:r>
            <w:r>
              <w:rPr>
                <w:color w:val="000000" w:themeColor="text1"/>
                <w:sz w:val="24"/>
                <w:highlight w:val="none"/>
                <w:lang w:val="zh-CN"/>
                <w14:textFill>
                  <w14:solidFill>
                    <w14:schemeClr w14:val="tx1"/>
                  </w14:solidFill>
                </w14:textFill>
              </w:rPr>
              <w:t>中的3类标准。</w:t>
            </w:r>
            <w:r>
              <w:rPr>
                <w:rFonts w:hint="eastAsia"/>
                <w:color w:val="000000" w:themeColor="text1"/>
                <w:sz w:val="24"/>
                <w:highlight w:val="none"/>
                <w:lang w:val="en-US" w:eastAsia="zh-CN"/>
                <w14:textFill>
                  <w14:solidFill>
                    <w14:schemeClr w14:val="tx1"/>
                  </w14:solidFill>
                </w14:textFill>
              </w:rPr>
              <w:t>详见表3.7-5。</w:t>
            </w:r>
          </w:p>
          <w:p w14:paraId="48D28C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20" w:name="_Toc8302"/>
            <w:bookmarkStart w:id="121" w:name="_Toc19195"/>
            <w:bookmarkStart w:id="122" w:name="_Toc31199"/>
            <w:bookmarkStart w:id="123" w:name="_Toc25865"/>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表3.7-5《工业企业厂界环境噪声排放标准》（GB12348-2008）表1（摘录）</w:t>
            </w:r>
          </w:p>
          <w:tbl>
            <w:tblPr>
              <w:tblStyle w:val="23"/>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93"/>
              <w:gridCol w:w="1512"/>
              <w:gridCol w:w="1432"/>
              <w:gridCol w:w="1491"/>
            </w:tblGrid>
            <w:tr w14:paraId="667B05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93" w:type="dxa"/>
                  <w:tcBorders>
                    <w:tl2br w:val="single" w:color="auto" w:sz="2" w:space="0"/>
                  </w:tcBorders>
                  <w:vAlign w:val="center"/>
                </w:tcPr>
                <w:p w14:paraId="62C84F9D">
                  <w:pPr>
                    <w:snapToGrid w:val="0"/>
                    <w:spacing w:line="340" w:lineRule="exact"/>
                    <w:jc w:val="right"/>
                    <w:rPr>
                      <w:snapToGrid w:val="0"/>
                      <w:color w:val="000000" w:themeColor="text1"/>
                      <w:kern w:val="18"/>
                      <w:szCs w:val="21"/>
                      <w:highlight w:val="none"/>
                      <w14:textFill>
                        <w14:solidFill>
                          <w14:schemeClr w14:val="tx1"/>
                        </w14:solidFill>
                      </w14:textFill>
                    </w:rPr>
                  </w:pPr>
                  <w:r>
                    <w:rPr>
                      <w:snapToGrid w:val="0"/>
                      <w:color w:val="000000" w:themeColor="text1"/>
                      <w:kern w:val="18"/>
                      <w:szCs w:val="21"/>
                      <w:highlight w:val="none"/>
                      <w14:textFill>
                        <w14:solidFill>
                          <w14:schemeClr w14:val="tx1"/>
                        </w14:solidFill>
                      </w14:textFill>
                    </w:rPr>
                    <w:t>时段</w:t>
                  </w:r>
                </w:p>
                <w:p w14:paraId="17E90C61">
                  <w:pPr>
                    <w:snapToGrid w:val="0"/>
                    <w:spacing w:line="340" w:lineRule="exact"/>
                    <w:rPr>
                      <w:snapToGrid w:val="0"/>
                      <w:color w:val="000000" w:themeColor="text1"/>
                      <w:kern w:val="18"/>
                      <w:szCs w:val="21"/>
                      <w:highlight w:val="none"/>
                      <w14:textFill>
                        <w14:solidFill>
                          <w14:schemeClr w14:val="tx1"/>
                        </w14:solidFill>
                      </w14:textFill>
                    </w:rPr>
                  </w:pPr>
                  <w:r>
                    <w:rPr>
                      <w:snapToGrid w:val="0"/>
                      <w:color w:val="000000" w:themeColor="text1"/>
                      <w:kern w:val="18"/>
                      <w:szCs w:val="21"/>
                      <w:highlight w:val="none"/>
                      <w14:textFill>
                        <w14:solidFill>
                          <w14:schemeClr w14:val="tx1"/>
                        </w14:solidFill>
                      </w14:textFill>
                    </w:rPr>
                    <w:t>厂界外声环境功能区类别</w:t>
                  </w:r>
                </w:p>
              </w:tc>
              <w:tc>
                <w:tcPr>
                  <w:tcW w:w="1512" w:type="dxa"/>
                  <w:vAlign w:val="center"/>
                </w:tcPr>
                <w:p w14:paraId="3B8387E4">
                  <w:pPr>
                    <w:snapToGrid w:val="0"/>
                    <w:spacing w:line="340" w:lineRule="exact"/>
                    <w:jc w:val="center"/>
                    <w:rPr>
                      <w:rFonts w:hint="eastAsia" w:eastAsia="宋体"/>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单位</w:t>
                  </w:r>
                </w:p>
              </w:tc>
              <w:tc>
                <w:tcPr>
                  <w:tcW w:w="1432" w:type="dxa"/>
                  <w:vAlign w:val="center"/>
                </w:tcPr>
                <w:p w14:paraId="0D73DCC0">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rFonts w:hint="eastAsia" w:eastAsia="宋体"/>
                      <w:snapToGrid w:val="0"/>
                      <w:color w:val="000000" w:themeColor="text1"/>
                      <w:kern w:val="18"/>
                      <w:szCs w:val="21"/>
                      <w:highlight w:val="none"/>
                      <w:lang w:val="en-US" w:eastAsia="zh-CN"/>
                      <w14:textFill>
                        <w14:solidFill>
                          <w14:schemeClr w14:val="tx1"/>
                        </w14:solidFill>
                      </w14:textFill>
                    </w:rPr>
                    <w:t>昼间</w:t>
                  </w:r>
                </w:p>
              </w:tc>
              <w:tc>
                <w:tcPr>
                  <w:tcW w:w="1491" w:type="dxa"/>
                  <w:vAlign w:val="center"/>
                </w:tcPr>
                <w:p w14:paraId="70CC5962">
                  <w:pPr>
                    <w:snapToGrid w:val="0"/>
                    <w:spacing w:line="340" w:lineRule="exact"/>
                    <w:jc w:val="center"/>
                    <w:rPr>
                      <w:rFonts w:hint="default"/>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夜间</w:t>
                  </w:r>
                </w:p>
              </w:tc>
            </w:tr>
            <w:tr w14:paraId="5DFD61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4093" w:type="dxa"/>
                  <w:vAlign w:val="center"/>
                </w:tcPr>
                <w:p w14:paraId="545AB3CE">
                  <w:pPr>
                    <w:snapToGrid w:val="0"/>
                    <w:spacing w:line="340" w:lineRule="exact"/>
                    <w:jc w:val="center"/>
                    <w:rPr>
                      <w:snapToGrid w:val="0"/>
                      <w:color w:val="000000" w:themeColor="text1"/>
                      <w:kern w:val="18"/>
                      <w:szCs w:val="21"/>
                      <w:highlight w:val="none"/>
                      <w14:textFill>
                        <w14:solidFill>
                          <w14:schemeClr w14:val="tx1"/>
                        </w14:solidFill>
                      </w14:textFill>
                    </w:rPr>
                  </w:pPr>
                  <w:r>
                    <w:rPr>
                      <w:rFonts w:hint="eastAsia"/>
                      <w:snapToGrid w:val="0"/>
                      <w:color w:val="000000" w:themeColor="text1"/>
                      <w:kern w:val="18"/>
                      <w:szCs w:val="21"/>
                      <w:highlight w:val="none"/>
                      <w14:textFill>
                        <w14:solidFill>
                          <w14:schemeClr w14:val="tx1"/>
                        </w14:solidFill>
                      </w14:textFill>
                    </w:rPr>
                    <w:t>3</w:t>
                  </w:r>
                  <w:r>
                    <w:rPr>
                      <w:snapToGrid w:val="0"/>
                      <w:color w:val="000000" w:themeColor="text1"/>
                      <w:kern w:val="18"/>
                      <w:szCs w:val="21"/>
                      <w:highlight w:val="none"/>
                      <w14:textFill>
                        <w14:solidFill>
                          <w14:schemeClr w14:val="tx1"/>
                        </w14:solidFill>
                      </w14:textFill>
                    </w:rPr>
                    <w:t>类</w:t>
                  </w:r>
                </w:p>
              </w:tc>
              <w:tc>
                <w:tcPr>
                  <w:tcW w:w="1512" w:type="dxa"/>
                  <w:vAlign w:val="center"/>
                </w:tcPr>
                <w:p w14:paraId="652189D9">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dB(A)</w:t>
                  </w:r>
                </w:p>
              </w:tc>
              <w:tc>
                <w:tcPr>
                  <w:tcW w:w="1432" w:type="dxa"/>
                  <w:vAlign w:val="center"/>
                </w:tcPr>
                <w:p w14:paraId="52F1B8DA">
                  <w:pPr>
                    <w:snapToGrid w:val="0"/>
                    <w:spacing w:line="340" w:lineRule="exact"/>
                    <w:jc w:val="center"/>
                    <w:rPr>
                      <w:rFonts w:hint="default"/>
                      <w:snapToGrid w:val="0"/>
                      <w:color w:val="000000" w:themeColor="text1"/>
                      <w:kern w:val="18"/>
                      <w:szCs w:val="21"/>
                      <w:highlight w:val="none"/>
                      <w:lang w:val="en-US"/>
                      <w14:textFill>
                        <w14:solidFill>
                          <w14:schemeClr w14:val="tx1"/>
                        </w14:solidFill>
                      </w14:textFill>
                    </w:rPr>
                  </w:pPr>
                  <w:r>
                    <w:rPr>
                      <w:snapToGrid w:val="0"/>
                      <w:color w:val="000000" w:themeColor="text1"/>
                      <w:kern w:val="18"/>
                      <w:szCs w:val="21"/>
                      <w:highlight w:val="none"/>
                      <w14:textFill>
                        <w14:solidFill>
                          <w14:schemeClr w14:val="tx1"/>
                        </w14:solidFill>
                      </w14:textFill>
                    </w:rPr>
                    <w:t>≤</w:t>
                  </w:r>
                  <w:r>
                    <w:rPr>
                      <w:rFonts w:hint="eastAsia"/>
                      <w:snapToGrid w:val="0"/>
                      <w:color w:val="000000" w:themeColor="text1"/>
                      <w:kern w:val="18"/>
                      <w:szCs w:val="21"/>
                      <w:highlight w:val="none"/>
                      <w:lang w:val="en-US" w:eastAsia="zh-CN"/>
                      <w14:textFill>
                        <w14:solidFill>
                          <w14:schemeClr w14:val="tx1"/>
                        </w14:solidFill>
                      </w14:textFill>
                    </w:rPr>
                    <w:t>65</w:t>
                  </w:r>
                </w:p>
              </w:tc>
              <w:tc>
                <w:tcPr>
                  <w:tcW w:w="1491" w:type="dxa"/>
                  <w:vAlign w:val="center"/>
                </w:tcPr>
                <w:p w14:paraId="0987FC14">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snapToGrid w:val="0"/>
                      <w:color w:val="000000" w:themeColor="text1"/>
                      <w:kern w:val="18"/>
                      <w:szCs w:val="21"/>
                      <w:highlight w:val="none"/>
                      <w14:textFill>
                        <w14:solidFill>
                          <w14:schemeClr w14:val="tx1"/>
                        </w14:solidFill>
                      </w14:textFill>
                    </w:rPr>
                    <w:t>≤</w:t>
                  </w:r>
                  <w:r>
                    <w:rPr>
                      <w:rFonts w:hint="eastAsia"/>
                      <w:snapToGrid w:val="0"/>
                      <w:color w:val="000000" w:themeColor="text1"/>
                      <w:kern w:val="18"/>
                      <w:szCs w:val="21"/>
                      <w:highlight w:val="none"/>
                      <w:lang w:val="en-US" w:eastAsia="zh-CN"/>
                      <w14:textFill>
                        <w14:solidFill>
                          <w14:schemeClr w14:val="tx1"/>
                        </w14:solidFill>
                      </w14:textFill>
                    </w:rPr>
                    <w:t>55</w:t>
                  </w:r>
                </w:p>
              </w:tc>
            </w:tr>
          </w:tbl>
          <w:p w14:paraId="5BE4030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24" w:name="_Toc25103"/>
            <w:bookmarkStart w:id="125" w:name="_Toc4224"/>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3.7.4固废</w:t>
            </w:r>
            <w:bookmarkEnd w:id="120"/>
            <w:bookmarkEnd w:id="121"/>
            <w:bookmarkEnd w:id="122"/>
            <w:bookmarkEnd w:id="123"/>
            <w:bookmarkEnd w:id="124"/>
            <w:bookmarkEnd w:id="125"/>
          </w:p>
          <w:p w14:paraId="2545315D">
            <w:pPr>
              <w:widowControl/>
              <w:spacing w:line="360" w:lineRule="auto"/>
              <w:ind w:firstLine="480" w:firstLineChars="200"/>
              <w:jc w:val="both"/>
              <w:rPr>
                <w:rFonts w:hint="eastAsia"/>
                <w:vertAlign w:val="baseline"/>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运营期项目内产生的一般工业固废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应按照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《一般工业固体废物贮存和填埋污染控制标准》（GB18599-2020）要求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项目产生的危险废物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《危险废物贮存污染控制标准》（GB18597-2023）要求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，危险废物识别标志按照《危险废物识别标志设置技术规范》（HJ1276-2022）要求进行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，危险废物转移按照《危险废物转移管理办法》要求进行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0C84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456" w:type="dxa"/>
            <w:vAlign w:val="center"/>
          </w:tcPr>
          <w:p w14:paraId="01C122E4">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rPr>
              <w:t>总量控制指标</w:t>
            </w:r>
          </w:p>
        </w:tc>
        <w:tc>
          <w:tcPr>
            <w:tcW w:w="8749" w:type="dxa"/>
          </w:tcPr>
          <w:p w14:paraId="76269147">
            <w:pPr>
              <w:pStyle w:val="47"/>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000000" w:themeColor="text1"/>
                <w:szCs w:val="28"/>
                <w:highlight w:val="none"/>
                <w:lang w:val="en-US" w:eastAsia="zh-CN"/>
                <w14:textFill>
                  <w14:solidFill>
                    <w14:schemeClr w14:val="tx1"/>
                  </w14:solidFill>
                </w14:textFill>
              </w:rPr>
            </w:pPr>
            <w:bookmarkStart w:id="126" w:name="_Toc1963"/>
            <w:bookmarkStart w:id="127" w:name="_Toc11226"/>
            <w:r>
              <w:rPr>
                <w:rFonts w:hint="eastAsia"/>
                <w:color w:val="000000" w:themeColor="text1"/>
                <w:szCs w:val="28"/>
                <w:highlight w:val="none"/>
                <w:lang w:val="en-US" w:eastAsia="zh-CN"/>
                <w14:textFill>
                  <w14:solidFill>
                    <w14:schemeClr w14:val="tx1"/>
                  </w14:solidFill>
                </w14:textFill>
              </w:rPr>
              <w:t>3.8总量控制</w:t>
            </w:r>
            <w:bookmarkEnd w:id="126"/>
            <w:bookmarkEnd w:id="127"/>
          </w:p>
          <w:p w14:paraId="6112ECD0">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宋体"/>
                <w:color w:val="000000" w:themeColor="text1"/>
                <w:highlight w:val="none"/>
                <w:lang w:val="en-US" w:eastAsia="zh-CN"/>
                <w14:textFill>
                  <w14:solidFill>
                    <w14:schemeClr w14:val="tx1"/>
                  </w14:solidFill>
                </w14:textFill>
              </w:rPr>
              <w:t>-N、SO</w:t>
            </w:r>
            <w:r>
              <w:rPr>
                <w:rFonts w:hint="default" w:ascii="Times New Roman" w:hAnsi="Times New Roman" w:eastAsia="宋体" w:cs="宋体"/>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宋体"/>
                <w:color w:val="000000" w:themeColor="text1"/>
                <w:highlight w:val="none"/>
                <w:lang w:val="en-US" w:eastAsia="zh-CN"/>
                <w14:textFill>
                  <w14:solidFill>
                    <w14:schemeClr w14:val="tx1"/>
                  </w14:solidFill>
                </w14:textFill>
              </w:rPr>
              <w:t>及NOx</w:t>
            </w:r>
            <w:r>
              <w:rPr>
                <w:rFonts w:hint="eastAsia" w:ascii="Times New Roman" w:hAnsi="Times New Roman" w:cs="宋体"/>
                <w:color w:val="000000" w:themeColor="text1"/>
                <w:highlight w:val="none"/>
                <w:lang w:val="en-US" w:eastAsia="zh-CN"/>
                <w14:textFill>
                  <w14:solidFill>
                    <w14:schemeClr w14:val="tx1"/>
                  </w14:solidFill>
                </w14:textFill>
              </w:rPr>
              <w:t>。</w:t>
            </w:r>
            <w:r>
              <w:rPr>
                <w:rFonts w:hint="default" w:ascii="Times New Roman" w:hAnsi="Times New Roman" w:eastAsia="宋体" w:cs="宋体"/>
                <w:color w:val="000000" w:themeColor="text1"/>
                <w:highlight w:val="none"/>
                <w:lang w:val="en-US" w:eastAsia="zh-CN"/>
                <w14:textFill>
                  <w14:solidFill>
                    <w14:schemeClr w14:val="tx1"/>
                  </w14:solidFill>
                </w14:textFill>
              </w:rPr>
              <w:t>建议性控制指标为VOCs。</w:t>
            </w:r>
          </w:p>
          <w:p w14:paraId="362DE0E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28" w:name="_Toc18723"/>
            <w:bookmarkStart w:id="129" w:name="_Toc24744"/>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3.8.1废水总量</w:t>
            </w:r>
            <w:bookmarkEnd w:id="128"/>
            <w:bookmarkEnd w:id="129"/>
          </w:p>
          <w:p w14:paraId="03CC21F7">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生产过程中用水主要为模具冷却水及蒸汽冷凝水。所产生</w:t>
            </w:r>
            <w:r>
              <w:rPr>
                <w:rFonts w:hint="eastAsia" w:ascii="Times New Roman" w:hAnsi="Times New Roman" w:cs="Times New Roman"/>
                <w:color w:val="000000" w:themeColor="text1"/>
                <w:sz w:val="24"/>
                <w:highlight w:val="none"/>
                <w:lang w:val="en-US" w:eastAsia="zh-CN"/>
                <w14:textFill>
                  <w14:solidFill>
                    <w14:schemeClr w14:val="tx1"/>
                  </w14:solidFill>
                </w14:textFill>
              </w:rPr>
              <w:t>生产废水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冷却后回用于模具冷却，循环使用不外排。仅生活污水依托厂内已建的化粪池处理后进入市政污水管网纳入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集中处理，</w:t>
            </w:r>
            <w:r>
              <w:rPr>
                <w:rFonts w:hint="eastAsia" w:ascii="Times New Roman" w:hAnsi="Times New Roman" w:cs="Times New Roman"/>
                <w:color w:val="000000" w:themeColor="text1"/>
                <w:sz w:val="24"/>
                <w:highlight w:val="none"/>
                <w:lang w:val="en-US" w:eastAsia="zh-CN"/>
                <w14:textFill>
                  <w14:solidFill>
                    <w14:schemeClr w14:val="tx1"/>
                  </w14:solidFill>
                </w14:textFill>
              </w:rPr>
              <w:t>江</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尾水排入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兴化湾。</w:t>
            </w:r>
            <w:r>
              <w:rPr>
                <w:rFonts w:hint="default" w:ascii="Times New Roman" w:hAnsi="Times New Roman" w:eastAsia="宋体" w:cs="Times New Roman"/>
                <w:color w:val="auto"/>
                <w:sz w:val="24"/>
                <w:szCs w:val="24"/>
                <w:highlight w:val="none"/>
                <w:u w:val="none"/>
              </w:rPr>
              <w:t>根据《福</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建省环保厅关于进一步明确排污权工作有关问题的通知》</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闽环保财</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〔2017〕22号）</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，现有工业排污单位的水污染物的初始排污权只核定工业废水部分，</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本项目无生产废水的排放，</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项目生活污水排放暂不需要购买相应的排污权指标，因此，</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无需申请总量控制指标。</w:t>
            </w:r>
          </w:p>
          <w:p w14:paraId="77E7594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30" w:name="_Toc11653"/>
            <w:bookmarkStart w:id="131" w:name="_Toc8925"/>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3.8.2废气总量</w:t>
            </w:r>
            <w:bookmarkEnd w:id="130"/>
            <w:bookmarkEnd w:id="131"/>
          </w:p>
          <w:p w14:paraId="631C6E94">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《福建省环保局关于做好建设项目环保审批污染物总量控制有关工作的通知》</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闽环保监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〔2007〕52号</w:t>
            </w:r>
            <w:r>
              <w:rPr>
                <w:rFonts w:hint="default" w:ascii="Times New Roman" w:hAnsi="Times New Roman" w:eastAsia="宋体" w:cs="Times New Roman"/>
                <w:color w:val="000000" w:themeColor="text1"/>
                <w:sz w:val="24"/>
                <w:szCs w:val="24"/>
                <w:highlight w:val="none"/>
                <w14:textFill>
                  <w14:solidFill>
                    <w14:schemeClr w14:val="tx1"/>
                  </w14:solidFill>
                </w14:textFill>
              </w:rPr>
              <w:t>文</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十三五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主要污染物总量控制规划编制技术指南》的有关总量</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调剂</w:t>
            </w:r>
            <w:r>
              <w:rPr>
                <w:rFonts w:hint="default" w:ascii="Times New Roman" w:hAnsi="Times New Roman" w:eastAsia="宋体" w:cs="Times New Roman"/>
                <w:color w:val="000000" w:themeColor="text1"/>
                <w:sz w:val="24"/>
                <w:szCs w:val="24"/>
                <w:highlight w:val="none"/>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项目排放的</w:t>
            </w:r>
            <w:r>
              <w:rPr>
                <w:rFonts w:hint="default" w:ascii="Times New Roman" w:hAnsi="Times New Roman" w:eastAsia="宋体" w:cs="Times New Roman"/>
                <w:color w:val="000000" w:themeColor="text1"/>
                <w:sz w:val="24"/>
                <w:szCs w:val="24"/>
                <w:highlight w:val="none"/>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挥发性有机物（VOCs）。</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项目废气不涉及SO</w:t>
            </w:r>
            <w:r>
              <w:rPr>
                <w:rFonts w:hint="default" w:ascii="Times New Roman" w:hAnsi="Times New Roman" w:eastAsia="宋体" w:cs="Times New Roman"/>
                <w:color w:val="000000" w:themeColor="text1"/>
                <w:kern w:val="2"/>
                <w:szCs w:val="24"/>
                <w:highlight w:val="none"/>
                <w:shd w:val="clear" w:color="auto" w:fill="FFFFFF"/>
                <w:vertAlign w:val="subscript"/>
                <w14:textFill>
                  <w14:solidFill>
                    <w14:schemeClr w14:val="tx1"/>
                  </w14:solidFill>
                </w14:textFill>
              </w:rPr>
              <w:t>2</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、NO</w:t>
            </w:r>
            <w:r>
              <w:rPr>
                <w:rFonts w:hint="default" w:ascii="Times New Roman" w:hAnsi="Times New Roman" w:eastAsia="宋体" w:cs="Times New Roman"/>
                <w:color w:val="000000" w:themeColor="text1"/>
                <w:kern w:val="2"/>
                <w:szCs w:val="24"/>
                <w:highlight w:val="none"/>
                <w:shd w:val="clear" w:color="auto" w:fill="FFFFFF"/>
                <w:vertAlign w:val="subscript"/>
                <w14:textFill>
                  <w14:solidFill>
                    <w14:schemeClr w14:val="tx1"/>
                  </w14:solidFill>
                </w14:textFill>
              </w:rPr>
              <w:t>x</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等属于国家和地方有偿使用和交易的排污权总量指标</w:t>
            </w:r>
            <w:r>
              <w:rPr>
                <w:rFonts w:hint="default" w:ascii="Times New Roman" w:hAnsi="Times New Roman" w:eastAsia="宋体" w:cs="Times New Roman"/>
                <w:color w:val="000000" w:themeColor="text1"/>
                <w:kern w:val="2"/>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因此，本</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次扩建</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项目废气总量控制指标为VOCs。</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项目</w:t>
            </w:r>
            <w:r>
              <w:rPr>
                <w:rFonts w:hint="default" w:ascii="Times New Roman" w:hAnsi="Times New Roman" w:eastAsia="宋体" w:cs="Times New Roman"/>
                <w:color w:val="000000" w:themeColor="text1"/>
                <w:kern w:val="2"/>
                <w:szCs w:val="24"/>
                <w:highlight w:val="none"/>
                <w:shd w:val="clear" w:color="auto" w:fill="FFFFFF"/>
                <w:lang w:eastAsia="zh-CN"/>
                <w14:textFill>
                  <w14:solidFill>
                    <w14:schemeClr w14:val="tx1"/>
                  </w14:solidFill>
                </w14:textFill>
              </w:rPr>
              <w:t>废气</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总量指标详见表3.8-1。</w:t>
            </w:r>
          </w:p>
          <w:p w14:paraId="7BC89DC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表3.</w:t>
            </w:r>
            <w:r>
              <w:rPr>
                <w:rFonts w:hint="eastAsia" w:cs="Times New Roman"/>
                <w:b/>
                <w:bCs/>
                <w:color w:val="000000" w:themeColor="text1"/>
                <w:sz w:val="24"/>
                <w:szCs w:val="24"/>
                <w:highlight w:val="none"/>
                <w:u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项目废气污染物排放总量指标一览表</w:t>
            </w:r>
          </w:p>
          <w:tbl>
            <w:tblPr>
              <w:tblStyle w:val="23"/>
              <w:tblW w:w="853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4"/>
              <w:gridCol w:w="1319"/>
              <w:gridCol w:w="903"/>
              <w:gridCol w:w="1111"/>
              <w:gridCol w:w="1153"/>
              <w:gridCol w:w="1083"/>
              <w:gridCol w:w="889"/>
              <w:gridCol w:w="798"/>
            </w:tblGrid>
            <w:tr w14:paraId="617AD5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3" w:type="dxa"/>
                  <w:gridSpan w:val="2"/>
                  <w:vAlign w:val="center"/>
                </w:tcPr>
                <w:p w14:paraId="7B66B99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污染物</w:t>
                  </w:r>
                  <w:r>
                    <w:rPr>
                      <w:rFonts w:hint="eastAsia" w:cs="Times New Roman"/>
                      <w:snapToGrid w:val="0"/>
                      <w:color w:val="000000" w:themeColor="text1"/>
                      <w:kern w:val="18"/>
                      <w:sz w:val="21"/>
                      <w:szCs w:val="21"/>
                      <w:highlight w:val="none"/>
                      <w:lang w:val="en-US" w:eastAsia="zh-CN"/>
                      <w14:textFill>
                        <w14:solidFill>
                          <w14:schemeClr w14:val="tx1"/>
                        </w14:solidFill>
                      </w14:textFill>
                    </w:rPr>
                    <w:t>名称</w:t>
                  </w:r>
                </w:p>
              </w:tc>
              <w:tc>
                <w:tcPr>
                  <w:tcW w:w="903" w:type="dxa"/>
                  <w:vAlign w:val="center"/>
                </w:tcPr>
                <w:p w14:paraId="1875C46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cs="Times New Roman"/>
                      <w:snapToGrid w:val="0"/>
                      <w:color w:val="000000" w:themeColor="text1"/>
                      <w:kern w:val="18"/>
                      <w:sz w:val="21"/>
                      <w:szCs w:val="21"/>
                      <w:highlight w:val="none"/>
                      <w:lang w:val="en-US" w:eastAsia="zh-CN"/>
                      <w14:textFill>
                        <w14:solidFill>
                          <w14:schemeClr w14:val="tx1"/>
                        </w14:solidFill>
                      </w14:textFill>
                    </w:rPr>
                    <w:t>现有工程排放量</w:t>
                  </w:r>
                </w:p>
              </w:tc>
              <w:tc>
                <w:tcPr>
                  <w:tcW w:w="1111" w:type="dxa"/>
                  <w:vAlign w:val="center"/>
                </w:tcPr>
                <w:p w14:paraId="107EF98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cs="Times New Roman"/>
                      <w:snapToGrid w:val="0"/>
                      <w:color w:val="000000" w:themeColor="text1"/>
                      <w:kern w:val="18"/>
                      <w:sz w:val="21"/>
                      <w:szCs w:val="21"/>
                      <w:highlight w:val="none"/>
                      <w:lang w:val="en-US" w:eastAsia="zh-CN"/>
                      <w14:textFill>
                        <w14:solidFill>
                          <w14:schemeClr w14:val="tx1"/>
                        </w14:solidFill>
                      </w14:textFill>
                    </w:rPr>
                    <w:t>扩建项目</w:t>
                  </w: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有组织预测排放量</w:t>
                  </w:r>
                </w:p>
              </w:tc>
              <w:tc>
                <w:tcPr>
                  <w:tcW w:w="1153" w:type="dxa"/>
                  <w:vAlign w:val="center"/>
                </w:tcPr>
                <w:p w14:paraId="65A41D6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pPr>
                  <w:r>
                    <w:rPr>
                      <w:rFonts w:hint="eastAsia" w:cs="Times New Roman"/>
                      <w:snapToGrid w:val="0"/>
                      <w:color w:val="000000" w:themeColor="text1"/>
                      <w:kern w:val="18"/>
                      <w:sz w:val="21"/>
                      <w:szCs w:val="21"/>
                      <w:highlight w:val="none"/>
                      <w:lang w:val="en-US" w:eastAsia="zh-CN"/>
                      <w14:textFill>
                        <w14:solidFill>
                          <w14:schemeClr w14:val="tx1"/>
                        </w14:solidFill>
                      </w14:textFill>
                    </w:rPr>
                    <w:t>扩建项目</w:t>
                  </w: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无组织预测排放量</w:t>
                  </w:r>
                </w:p>
              </w:tc>
              <w:tc>
                <w:tcPr>
                  <w:tcW w:w="1083" w:type="dxa"/>
                  <w:vAlign w:val="center"/>
                </w:tcPr>
                <w:p w14:paraId="02BD3BA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cs="Times New Roman"/>
                      <w:snapToGrid w:val="0"/>
                      <w:color w:val="000000" w:themeColor="text1"/>
                      <w:kern w:val="18"/>
                      <w:sz w:val="21"/>
                      <w:szCs w:val="21"/>
                      <w:highlight w:val="none"/>
                      <w:lang w:val="en-US" w:eastAsia="zh-CN"/>
                      <w14:textFill>
                        <w14:solidFill>
                          <w14:schemeClr w14:val="tx1"/>
                        </w14:solidFill>
                      </w14:textFill>
                    </w:rPr>
                  </w:pPr>
                  <w:r>
                    <w:rPr>
                      <w:rFonts w:hint="eastAsia" w:cs="Times New Roman"/>
                      <w:snapToGrid w:val="0"/>
                      <w:color w:val="000000" w:themeColor="text1"/>
                      <w:kern w:val="18"/>
                      <w:sz w:val="21"/>
                      <w:szCs w:val="21"/>
                      <w:highlight w:val="none"/>
                      <w:lang w:val="en-US" w:eastAsia="zh-CN"/>
                      <w14:textFill>
                        <w14:solidFill>
                          <w14:schemeClr w14:val="tx1"/>
                        </w14:solidFill>
                      </w14:textFill>
                    </w:rPr>
                    <w:t>以新带老削减量</w:t>
                  </w:r>
                </w:p>
              </w:tc>
              <w:tc>
                <w:tcPr>
                  <w:tcW w:w="1687" w:type="dxa"/>
                  <w:gridSpan w:val="2"/>
                  <w:vAlign w:val="center"/>
                </w:tcPr>
                <w:p w14:paraId="230465C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全厂合计预测排放量</w:t>
                  </w:r>
                </w:p>
              </w:tc>
            </w:tr>
            <w:tr w14:paraId="6D279F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1274" w:type="dxa"/>
                  <w:vMerge w:val="restart"/>
                  <w:vAlign w:val="center"/>
                </w:tcPr>
                <w:p w14:paraId="548BBE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挥发性有机物（VOCs）</w:t>
                  </w:r>
                </w:p>
                <w:p w14:paraId="3D3D83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1319" w:type="dxa"/>
                  <w:vAlign w:val="center"/>
                </w:tcPr>
                <w:p w14:paraId="7C3C0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非甲烷总烃（t/a）</w:t>
                  </w:r>
                </w:p>
              </w:tc>
              <w:tc>
                <w:tcPr>
                  <w:tcW w:w="903" w:type="dxa"/>
                  <w:vAlign w:val="center"/>
                </w:tcPr>
                <w:p w14:paraId="74AD19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0.038</w:t>
                  </w:r>
                </w:p>
              </w:tc>
              <w:tc>
                <w:tcPr>
                  <w:tcW w:w="1111" w:type="dxa"/>
                  <w:vAlign w:val="center"/>
                </w:tcPr>
                <w:p w14:paraId="18EC23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0.5789</w:t>
                  </w:r>
                </w:p>
              </w:tc>
              <w:tc>
                <w:tcPr>
                  <w:tcW w:w="1153" w:type="dxa"/>
                  <w:shd w:val="clear" w:color="auto" w:fill="auto"/>
                  <w:vAlign w:val="center"/>
                </w:tcPr>
                <w:p w14:paraId="3C718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0.5789</w:t>
                  </w:r>
                </w:p>
              </w:tc>
              <w:tc>
                <w:tcPr>
                  <w:tcW w:w="1083" w:type="dxa"/>
                  <w:vAlign w:val="center"/>
                </w:tcPr>
                <w:p w14:paraId="064C1A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0.029</w:t>
                  </w:r>
                </w:p>
              </w:tc>
              <w:tc>
                <w:tcPr>
                  <w:tcW w:w="889" w:type="dxa"/>
                  <w:vAlign w:val="center"/>
                </w:tcPr>
                <w:p w14:paraId="371C2F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1.1668</w:t>
                  </w:r>
                </w:p>
              </w:tc>
              <w:tc>
                <w:tcPr>
                  <w:tcW w:w="798" w:type="dxa"/>
                  <w:vMerge w:val="restart"/>
                  <w:vAlign w:val="center"/>
                </w:tcPr>
                <w:p w14:paraId="232C1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1.5042</w:t>
                  </w:r>
                </w:p>
              </w:tc>
            </w:tr>
            <w:tr w14:paraId="5E0F38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1274" w:type="dxa"/>
                  <w:vMerge w:val="continue"/>
                  <w:vAlign w:val="center"/>
                </w:tcPr>
                <w:p w14:paraId="03C2C9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p>
              </w:tc>
              <w:tc>
                <w:tcPr>
                  <w:tcW w:w="1319" w:type="dxa"/>
                  <w:vAlign w:val="center"/>
                </w:tcPr>
                <w:p w14:paraId="58E804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苯乙烯</w:t>
                  </w:r>
                </w:p>
                <w:p w14:paraId="4531D5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903" w:type="dxa"/>
                  <w:vAlign w:val="center"/>
                </w:tcPr>
                <w:p w14:paraId="342155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w:t>
                  </w:r>
                </w:p>
              </w:tc>
              <w:tc>
                <w:tcPr>
                  <w:tcW w:w="1111" w:type="dxa"/>
                  <w:vAlign w:val="center"/>
                </w:tcPr>
                <w:p w14:paraId="7DA5CD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0.1687</w:t>
                  </w:r>
                </w:p>
              </w:tc>
              <w:tc>
                <w:tcPr>
                  <w:tcW w:w="1153" w:type="dxa"/>
                  <w:vAlign w:val="center"/>
                </w:tcPr>
                <w:p w14:paraId="004ADB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0.1687</w:t>
                  </w:r>
                </w:p>
              </w:tc>
              <w:tc>
                <w:tcPr>
                  <w:tcW w:w="1083" w:type="dxa"/>
                  <w:vAlign w:val="center"/>
                </w:tcPr>
                <w:p w14:paraId="10EAEE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w:t>
                  </w:r>
                </w:p>
              </w:tc>
              <w:tc>
                <w:tcPr>
                  <w:tcW w:w="889" w:type="dxa"/>
                  <w:vAlign w:val="center"/>
                </w:tcPr>
                <w:p w14:paraId="6F2E8D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0.3374</w:t>
                  </w:r>
                </w:p>
              </w:tc>
              <w:tc>
                <w:tcPr>
                  <w:tcW w:w="798" w:type="dxa"/>
                  <w:vMerge w:val="continue"/>
                  <w:vAlign w:val="center"/>
                </w:tcPr>
                <w:p w14:paraId="4CC3EA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p>
              </w:tc>
            </w:tr>
          </w:tbl>
          <w:p w14:paraId="59A5FB3A">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highlight w:val="none"/>
                <w:shd w:val="clear" w:color="auto" w:fill="FFFFFF"/>
                <w:lang w:val="en-US" w:eastAsia="zh-CN"/>
              </w:rPr>
            </w:pP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根据《福州市</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生态环境局</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关于印发福州市</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大气污染联防联控联治工作方案的通知</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》榕环保综</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〔2018〕386号</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：VOCs排放实行区域内倍量替代，新、改扩建涉VOCs排放项目，应从源头加强控制，使用低</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无</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VOCs含量的原辅材料，加强废气收集、安装高效治理设施</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根据《2022年度福州市蓝天碧水碧海净土保卫战行动计划》</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榕环委办</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eastAsia" w:ascii="Times New Roman" w:hAnsi="Times New Roman" w:eastAsia="宋体" w:cs="Times New Roman"/>
                <w:color w:val="auto"/>
                <w:kern w:val="2"/>
                <w:szCs w:val="24"/>
                <w:highlight w:val="none"/>
                <w:shd w:val="clear" w:color="auto" w:fill="FFFFFF"/>
                <w:lang w:val="en-US" w:eastAsia="zh-CN"/>
              </w:rPr>
              <w:t>2022〕49号</w:t>
            </w:r>
            <w:r>
              <w:rPr>
                <w:rFonts w:hint="eastAsia" w:ascii="Times New Roman" w:hAnsi="Times New Roman" w:cs="Times New Roman"/>
                <w:color w:val="auto"/>
                <w:kern w:val="2"/>
                <w:szCs w:val="24"/>
                <w:highlight w:val="none"/>
                <w:shd w:val="clear" w:color="auto" w:fill="FFFFFF"/>
                <w:lang w:val="en-US" w:eastAsia="zh-CN"/>
              </w:rPr>
              <w:t>）</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实施新建项目VOC</w:t>
            </w:r>
            <w:r>
              <w:rPr>
                <w:rFonts w:hint="eastAsia" w:ascii="Times New Roman" w:hAnsi="Times New Roman" w:eastAsia="宋体" w:cs="Times New Roman"/>
                <w:color w:val="auto"/>
                <w:kern w:val="2"/>
                <w:szCs w:val="24"/>
                <w:highlight w:val="none"/>
                <w:shd w:val="clear" w:color="auto" w:fill="FFFFFF"/>
                <w:lang w:val="en-US" w:eastAsia="zh-CN"/>
              </w:rPr>
              <w:t>s</w:t>
            </w:r>
            <w:r>
              <w:rPr>
                <w:rFonts w:hint="default" w:ascii="Times New Roman" w:hAnsi="Times New Roman" w:eastAsia="宋体" w:cs="Times New Roman"/>
                <w:color w:val="auto"/>
                <w:kern w:val="2"/>
                <w:szCs w:val="24"/>
                <w:highlight w:val="none"/>
                <w:shd w:val="clear" w:color="auto" w:fill="FFFFFF"/>
                <w:lang w:val="en-US" w:eastAsia="zh-CN"/>
              </w:rPr>
              <w:t>排放区域内倍量替代。</w:t>
            </w:r>
          </w:p>
          <w:p w14:paraId="225745D9">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pPr>
            <w:r>
              <w:rPr>
                <w:rFonts w:hint="eastAsia" w:ascii="Times New Roman" w:hAnsi="Times New Roman" w:cs="Times New Roman"/>
                <w:color w:val="auto"/>
                <w:kern w:val="2"/>
                <w:szCs w:val="24"/>
                <w:highlight w:val="none"/>
                <w:shd w:val="clear" w:color="auto" w:fill="FFFFFF"/>
                <w:lang w:val="en-US" w:eastAsia="zh-CN"/>
              </w:rPr>
              <w:t>项目现有工程于2017年3月取得环评批复，2017年7月完成环保竣工验收。VOCs排放总量根据《福建省环境局关于做好建设项目环保审批污染物总量控制有关工作的通知》对“十二五”期间总量控制的要求，我省主要污染物排放总量控制指标为COD、NH</w:t>
            </w:r>
            <w:r>
              <w:rPr>
                <w:rFonts w:hint="eastAsia" w:ascii="Times New Roman" w:hAnsi="Times New Roman" w:cs="Times New Roman"/>
                <w:color w:val="auto"/>
                <w:kern w:val="2"/>
                <w:szCs w:val="24"/>
                <w:highlight w:val="none"/>
                <w:shd w:val="clear" w:color="auto" w:fill="FFFFFF"/>
                <w:vertAlign w:val="subscript"/>
                <w:lang w:val="en-US" w:eastAsia="zh-CN"/>
              </w:rPr>
              <w:t>3</w:t>
            </w:r>
            <w:r>
              <w:rPr>
                <w:rFonts w:hint="eastAsia" w:ascii="Times New Roman" w:hAnsi="Times New Roman" w:cs="Times New Roman"/>
                <w:color w:val="auto"/>
                <w:kern w:val="2"/>
                <w:szCs w:val="24"/>
                <w:highlight w:val="none"/>
                <w:shd w:val="clear" w:color="auto" w:fill="FFFFFF"/>
                <w:lang w:val="en-US" w:eastAsia="zh-CN"/>
              </w:rPr>
              <w:t>-N、SO</w:t>
            </w:r>
            <w:r>
              <w:rPr>
                <w:rFonts w:hint="eastAsia" w:ascii="Times New Roman" w:hAnsi="Times New Roman" w:cs="Times New Roman"/>
                <w:color w:val="auto"/>
                <w:kern w:val="2"/>
                <w:szCs w:val="24"/>
                <w:highlight w:val="none"/>
                <w:shd w:val="clear" w:color="auto" w:fill="FFFFFF"/>
                <w:vertAlign w:val="subscript"/>
                <w:lang w:val="en-US" w:eastAsia="zh-CN"/>
              </w:rPr>
              <w:t>2</w:t>
            </w:r>
            <w:r>
              <w:rPr>
                <w:rFonts w:hint="eastAsia" w:ascii="Times New Roman" w:hAnsi="Times New Roman" w:cs="Times New Roman"/>
                <w:color w:val="auto"/>
                <w:kern w:val="2"/>
                <w:szCs w:val="24"/>
                <w:highlight w:val="none"/>
                <w:shd w:val="clear" w:color="auto" w:fill="FFFFFF"/>
                <w:lang w:val="en-US" w:eastAsia="zh-CN"/>
              </w:rPr>
              <w:t>、NOx。因此，项目现有工程VOCs排放量0.038t/a未申请排放总量。</w:t>
            </w:r>
            <w:r>
              <w:rPr>
                <w:rFonts w:hint="eastAsia" w:ascii="Times New Roman" w:hAnsi="Times New Roman" w:eastAsia="宋体" w:cs="Times New Roman"/>
                <w:color w:val="auto"/>
                <w:kern w:val="2"/>
                <w:szCs w:val="24"/>
                <w:highlight w:val="none"/>
                <w:shd w:val="clear" w:color="auto" w:fill="FFFFFF"/>
                <w:lang w:val="en-US" w:eastAsia="zh-CN"/>
              </w:rPr>
              <w:t>本项目</w:t>
            </w:r>
            <w:r>
              <w:rPr>
                <w:rFonts w:hint="eastAsia" w:ascii="Times New Roman" w:hAnsi="Times New Roman" w:cs="Times New Roman"/>
                <w:color w:val="auto"/>
                <w:kern w:val="2"/>
                <w:szCs w:val="24"/>
                <w:highlight w:val="none"/>
                <w:shd w:val="clear" w:color="auto" w:fill="FFFFFF"/>
                <w:lang w:val="en-US" w:eastAsia="zh-CN"/>
              </w:rPr>
              <w:t>VOCs</w:t>
            </w:r>
            <w:r>
              <w:rPr>
                <w:rFonts w:hint="eastAsia" w:ascii="Times New Roman" w:hAnsi="Times New Roman" w:eastAsia="宋体" w:cs="Times New Roman"/>
                <w:color w:val="auto"/>
                <w:kern w:val="2"/>
                <w:szCs w:val="24"/>
                <w:highlight w:val="none"/>
                <w:shd w:val="clear" w:color="auto" w:fill="FFFFFF"/>
                <w:lang w:val="en-US" w:eastAsia="zh-CN"/>
              </w:rPr>
              <w:t>的排放总量为</w:t>
            </w:r>
            <w:r>
              <w:rPr>
                <w:rFonts w:hint="eastAsia" w:ascii="Times New Roman" w:hAnsi="Times New Roman" w:cs="Times New Roman"/>
                <w:color w:val="auto"/>
                <w:kern w:val="2"/>
                <w:szCs w:val="24"/>
                <w:highlight w:val="none"/>
                <w:shd w:val="clear" w:color="auto" w:fill="FFFFFF"/>
                <w:lang w:val="en-US" w:eastAsia="zh-CN"/>
              </w:rPr>
              <w:t>1.4952</w:t>
            </w:r>
            <w:r>
              <w:rPr>
                <w:rFonts w:hint="eastAsia" w:ascii="Times New Roman" w:hAnsi="Times New Roman" w:eastAsia="宋体" w:cs="Times New Roman"/>
                <w:color w:val="auto"/>
                <w:kern w:val="2"/>
                <w:szCs w:val="24"/>
                <w:highlight w:val="none"/>
                <w:shd w:val="clear" w:color="auto" w:fill="FFFFFF"/>
                <w:lang w:val="en-US" w:eastAsia="zh-CN"/>
              </w:rPr>
              <w:t>t/a</w:t>
            </w:r>
            <w:r>
              <w:rPr>
                <w:rFonts w:hint="eastAsia" w:ascii="Times New Roman" w:hAnsi="Times New Roman" w:cs="Times New Roman"/>
                <w:color w:val="auto"/>
                <w:kern w:val="2"/>
                <w:szCs w:val="24"/>
                <w:highlight w:val="none"/>
                <w:shd w:val="clear" w:color="auto" w:fill="FFFFFF"/>
                <w:lang w:val="en-US" w:eastAsia="zh-CN"/>
              </w:rPr>
              <w:t>，以新带老削减量为0.029t/a。</w:t>
            </w:r>
            <w:r>
              <w:rPr>
                <w:rFonts w:hint="eastAsia" w:ascii="Times New Roman" w:hAnsi="Times New Roman" w:eastAsia="宋体" w:cs="Times New Roman"/>
                <w:color w:val="auto"/>
                <w:kern w:val="2"/>
                <w:szCs w:val="24"/>
                <w:highlight w:val="none"/>
                <w:shd w:val="clear" w:color="auto" w:fill="FFFFFF"/>
                <w:lang w:val="en-US" w:eastAsia="zh-CN"/>
              </w:rPr>
              <w:t>因此，</w:t>
            </w:r>
            <w:r>
              <w:rPr>
                <w:rFonts w:hint="eastAsia" w:ascii="Times New Roman" w:hAnsi="Times New Roman" w:cs="Times New Roman"/>
                <w:color w:val="auto"/>
                <w:kern w:val="2"/>
                <w:szCs w:val="24"/>
                <w:highlight w:val="none"/>
                <w:shd w:val="clear" w:color="auto" w:fill="FFFFFF"/>
                <w:lang w:val="en-US" w:eastAsia="zh-CN"/>
              </w:rPr>
              <w:t>项目全厂预计VOCs排放总量为1.5042t/a。</w:t>
            </w:r>
            <w:r>
              <w:rPr>
                <w:rFonts w:hint="eastAsia" w:ascii="Times New Roman" w:hAnsi="Times New Roman" w:eastAsia="宋体" w:cs="Times New Roman"/>
                <w:color w:val="auto"/>
                <w:kern w:val="2"/>
                <w:szCs w:val="24"/>
                <w:highlight w:val="none"/>
                <w:shd w:val="clear" w:color="auto" w:fill="FFFFFF"/>
                <w:lang w:val="en-US" w:eastAsia="zh-CN"/>
              </w:rPr>
              <w:t>本项目</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排放的</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挥发性有机物</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由建设单位向</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福州市福清生态环境局</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申请区域</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倍量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建设单位承诺在项目投产前取得</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各污染</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挥发性有机物</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的</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倍量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并依法</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办理</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排污许可</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手续（总量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承诺函详见</w:t>
            </w:r>
            <w:r>
              <w:rPr>
                <w:rFonts w:hint="eastAsia" w:ascii="Times New Roman" w:hAnsi="Times New Roman" w:eastAsia="宋体" w:cs="Times New Roman"/>
                <w:b/>
                <w:bCs/>
                <w:color w:val="000000" w:themeColor="text1"/>
                <w:kern w:val="2"/>
                <w:szCs w:val="24"/>
                <w:highlight w:val="none"/>
                <w:shd w:val="clear" w:color="auto" w:fill="FFFFFF"/>
                <w:lang w:val="en-US" w:eastAsia="zh-CN"/>
                <w14:textFill>
                  <w14:solidFill>
                    <w14:schemeClr w14:val="tx1"/>
                  </w14:solidFill>
                </w14:textFill>
              </w:rPr>
              <w:t>附件</w:t>
            </w:r>
            <w:r>
              <w:rPr>
                <w:rFonts w:hint="eastAsia" w:ascii="Times New Roman" w:hAnsi="Times New Roman" w:cs="Times New Roman"/>
                <w:b/>
                <w:bCs/>
                <w:color w:val="000000" w:themeColor="text1"/>
                <w:kern w:val="2"/>
                <w:szCs w:val="24"/>
                <w:highlight w:val="none"/>
                <w:shd w:val="clear" w:color="auto" w:fill="FFFFFF"/>
                <w:lang w:val="en-US" w:eastAsia="zh-CN"/>
                <w14:textFill>
                  <w14:solidFill>
                    <w14:schemeClr w14:val="tx1"/>
                  </w14:solidFill>
                </w14:textFill>
              </w:rPr>
              <w:t>十六</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p>
        </w:tc>
      </w:tr>
    </w:tbl>
    <w:p w14:paraId="0FA8E413">
      <w:pPr>
        <w:rPr>
          <w:rFonts w:hint="eastAsia" w:ascii="Times New Roman" w:hAnsi="Times New Roman" w:eastAsia="黑体" w:cs="Times New Roman"/>
          <w:snapToGrid w:val="0"/>
          <w:color w:val="auto"/>
          <w:sz w:val="30"/>
          <w:szCs w:val="30"/>
          <w:u w:val="none"/>
          <w:lang w:val="en-US" w:eastAsia="zh-CN"/>
        </w:rPr>
      </w:pPr>
      <w:bookmarkStart w:id="132" w:name="_Toc6870"/>
      <w:bookmarkStart w:id="133" w:name="_Toc3502"/>
      <w:r>
        <w:rPr>
          <w:rFonts w:hint="eastAsia" w:ascii="Times New Roman" w:hAnsi="Times New Roman" w:eastAsia="黑体" w:cs="Times New Roman"/>
          <w:snapToGrid w:val="0"/>
          <w:color w:val="auto"/>
          <w:sz w:val="30"/>
          <w:szCs w:val="30"/>
          <w:u w:val="none"/>
          <w:lang w:val="en-US" w:eastAsia="zh-CN"/>
        </w:rPr>
        <w:br w:type="page"/>
      </w:r>
    </w:p>
    <w:p w14:paraId="4446F3AC">
      <w:pPr>
        <w:pStyle w:val="20"/>
        <w:keepNext w:val="0"/>
        <w:keepLines w:val="0"/>
        <w:pageBreakBefore w:val="0"/>
        <w:widowControl/>
        <w:kinsoku/>
        <w:wordWrap/>
        <w:overflowPunct/>
        <w:topLinePunct w:val="0"/>
        <w:autoSpaceDE/>
        <w:autoSpaceDN/>
        <w:bidi w:val="0"/>
        <w:adjustRightInd/>
        <w:snapToGrid/>
        <w:spacing w:before="319" w:beforeLines="100" w:beforeAutospacing="0" w:after="319" w:afterLines="100" w:afterAutospacing="0"/>
        <w:jc w:val="center"/>
        <w:textAlignment w:val="auto"/>
        <w:outlineLvl w:val="0"/>
        <w:rPr>
          <w:rFonts w:hint="default" w:ascii="Times New Roman" w:hAnsi="Times New Roman" w:eastAsia="黑体" w:cs="Times New Roman"/>
          <w:b w:val="0"/>
          <w:bCs w:val="0"/>
          <w:snapToGrid w:val="0"/>
          <w:color w:val="auto"/>
          <w:sz w:val="30"/>
          <w:szCs w:val="30"/>
          <w:u w:val="none"/>
          <w:lang w:val="en-US" w:eastAsia="zh-CN"/>
        </w:rPr>
      </w:pPr>
      <w:bookmarkStart w:id="134" w:name="_Toc1772"/>
      <w:r>
        <w:rPr>
          <w:rFonts w:hint="eastAsia" w:ascii="Times New Roman" w:hAnsi="Times New Roman" w:eastAsia="黑体" w:cs="Times New Roman"/>
          <w:b w:val="0"/>
          <w:bCs w:val="0"/>
          <w:snapToGrid w:val="0"/>
          <w:color w:val="auto"/>
          <w:sz w:val="30"/>
          <w:szCs w:val="30"/>
          <w:u w:val="none"/>
          <w:lang w:val="en-US" w:eastAsia="zh-CN"/>
        </w:rPr>
        <w:t>四、</w:t>
      </w:r>
      <w:r>
        <w:rPr>
          <w:rFonts w:hint="default" w:ascii="Times New Roman" w:hAnsi="Times New Roman" w:eastAsia="黑体" w:cs="Times New Roman"/>
          <w:b w:val="0"/>
          <w:bCs w:val="0"/>
          <w:snapToGrid w:val="0"/>
          <w:color w:val="auto"/>
          <w:sz w:val="30"/>
          <w:szCs w:val="30"/>
          <w:u w:val="none"/>
          <w:lang w:val="en-US" w:eastAsia="zh-CN"/>
        </w:rPr>
        <w:t>主要环境影响和保护措施</w:t>
      </w:r>
      <w:bookmarkEnd w:id="132"/>
      <w:bookmarkEnd w:id="133"/>
      <w:bookmarkEnd w:id="134"/>
    </w:p>
    <w:tbl>
      <w:tblPr>
        <w:tblStyle w:val="2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5"/>
      </w:tblGrid>
      <w:tr w14:paraId="5AAC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3" w:type="dxa"/>
            <w:vAlign w:val="center"/>
          </w:tcPr>
          <w:p w14:paraId="22A81971">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678637F9">
            <w:pPr>
              <w:adjustRightInd w:val="0"/>
              <w:snapToGrid w:val="0"/>
              <w:spacing w:line="348" w:lineRule="auto"/>
              <w:ind w:firstLine="480" w:firstLineChars="200"/>
              <w:rPr>
                <w:rFonts w:hint="eastAsia"/>
                <w:lang w:eastAsia="zh-CN"/>
              </w:rPr>
            </w:pPr>
            <w:bookmarkStart w:id="135" w:name="_Toc281777364"/>
            <w:bookmarkStart w:id="136" w:name="_Toc224713628"/>
            <w:bookmarkStart w:id="137" w:name="_Toc235459029"/>
            <w:bookmarkStart w:id="138" w:name="_Toc233386843"/>
            <w:bookmarkStart w:id="139" w:name="_Toc17361640"/>
            <w:bookmarkStart w:id="140" w:name="_Toc279492221"/>
            <w:bookmarkStart w:id="141" w:name="_Toc235065596"/>
            <w:bookmarkStart w:id="142" w:name="_Toc211967612"/>
            <w:bookmarkStart w:id="143" w:name="_Toc225766861"/>
            <w:bookmarkStart w:id="144" w:name="_Toc56498815"/>
            <w:bookmarkStart w:id="145" w:name="_Toc17361639"/>
            <w:bookmarkStart w:id="146" w:name="_Toc234833275"/>
            <w:bookmarkStart w:id="147" w:name="_Toc213206595"/>
            <w:bookmarkStart w:id="148" w:name="_Toc222825971"/>
            <w:bookmarkStart w:id="149" w:name="_Toc232930955"/>
            <w:bookmarkStart w:id="150" w:name="_Toc85178610"/>
            <w:bookmarkStart w:id="151" w:name="_Toc278977997"/>
            <w:bookmarkStart w:id="152" w:name="_Toc212261317"/>
            <w:bookmarkStart w:id="153" w:name="_Toc56498971"/>
            <w:r>
              <w:rPr>
                <w:rFonts w:hint="default" w:ascii="Times New Roman" w:hAnsi="Times New Roman" w:eastAsia="宋体" w:cs="Times New Roman"/>
                <w:color w:val="auto"/>
                <w:sz w:val="24"/>
                <w:lang w:val="en-US" w:eastAsia="zh-CN"/>
              </w:rPr>
              <w:t>本项目位于</w:t>
            </w:r>
            <w:r>
              <w:rPr>
                <w:rFonts w:hint="eastAsia" w:cs="Times New Roman"/>
                <w:color w:val="auto"/>
                <w:sz w:val="24"/>
                <w:lang w:val="en-US" w:eastAsia="zh-CN"/>
              </w:rPr>
              <w:t>福建省福州市福清市新厝镇双屿500-22号（江阴港城经济区新厝区块）</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highlight w:val="none"/>
                <w:lang w:val="en-US" w:eastAsia="zh-CN"/>
              </w:rPr>
              <w:t>租赁福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建力峰机械实业有限公司</w:t>
            </w:r>
            <w:r>
              <w:rPr>
                <w:rFonts w:hint="default" w:ascii="Times New Roman" w:hAnsi="Times New Roman" w:eastAsia="宋体" w:cs="Times New Roman"/>
                <w:color w:val="auto"/>
                <w:sz w:val="24"/>
                <w:lang w:val="en-US" w:eastAsia="zh-CN"/>
              </w:rPr>
              <w:t>现有</w:t>
            </w:r>
            <w:r>
              <w:rPr>
                <w:rFonts w:hint="eastAsia" w:ascii="Times New Roman" w:hAnsi="Times New Roman" w:eastAsia="宋体" w:cs="Times New Roman"/>
                <w:color w:val="auto"/>
                <w:sz w:val="24"/>
                <w:lang w:val="en-US" w:eastAsia="zh-CN"/>
              </w:rPr>
              <w:t>闲置</w:t>
            </w:r>
            <w:r>
              <w:rPr>
                <w:rFonts w:hint="default" w:ascii="Times New Roman" w:hAnsi="Times New Roman" w:eastAsia="宋体" w:cs="Times New Roman"/>
                <w:color w:val="auto"/>
                <w:sz w:val="24"/>
                <w:lang w:val="en-US" w:eastAsia="zh-CN"/>
              </w:rPr>
              <w:t>厂房进行</w:t>
            </w:r>
            <w:r>
              <w:rPr>
                <w:rFonts w:hint="eastAsia" w:ascii="Times New Roman" w:hAnsi="Times New Roman" w:eastAsia="宋体" w:cs="Times New Roman"/>
                <w:color w:val="auto"/>
                <w:sz w:val="24"/>
                <w:lang w:val="en-US" w:eastAsia="zh-CN"/>
              </w:rPr>
              <w:t>加工</w:t>
            </w:r>
            <w:r>
              <w:rPr>
                <w:rFonts w:hint="default" w:ascii="Times New Roman" w:hAnsi="Times New Roman" w:eastAsia="宋体" w:cs="Times New Roman"/>
                <w:color w:val="auto"/>
                <w:sz w:val="24"/>
                <w:lang w:val="en-US" w:eastAsia="zh-CN"/>
              </w:rPr>
              <w:t>生产，根据现场勘查，该厂房已建成，因此不存在厂房等主体工程施工期环境影响。项目施工期主要为设备安装、调试阶段产生的环境问题，本项目设备安装、调试简单</w:t>
            </w:r>
            <w:r>
              <w:rPr>
                <w:rFonts w:hint="eastAsia" w:cs="Times New Roman"/>
                <w:color w:val="auto"/>
                <w:sz w:val="24"/>
                <w:lang w:val="en-US" w:eastAsia="zh-CN"/>
              </w:rPr>
              <w:t>且</w:t>
            </w:r>
            <w:r>
              <w:rPr>
                <w:rFonts w:hint="default" w:ascii="Times New Roman" w:hAnsi="Times New Roman" w:eastAsia="宋体" w:cs="Times New Roman"/>
                <w:color w:val="auto"/>
                <w:sz w:val="24"/>
                <w:lang w:val="en-US" w:eastAsia="zh-CN"/>
              </w:rPr>
              <w:t>时间较短，因此，随着设备安装、调试完毕后，项目施工期也将结束，施工期环境影响也</w:t>
            </w:r>
            <w:r>
              <w:rPr>
                <w:rFonts w:hint="eastAsia" w:cs="Times New Roman"/>
                <w:color w:val="auto"/>
                <w:sz w:val="24"/>
                <w:lang w:val="en-US" w:eastAsia="zh-CN"/>
              </w:rPr>
              <w:t>随之</w:t>
            </w:r>
            <w:r>
              <w:rPr>
                <w:rFonts w:hint="default" w:ascii="Times New Roman" w:hAnsi="Times New Roman" w:eastAsia="宋体" w:cs="Times New Roman"/>
                <w:color w:val="auto"/>
                <w:sz w:val="24"/>
                <w:lang w:val="en-US" w:eastAsia="zh-CN"/>
              </w:rPr>
              <w:t>消失，</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Fonts w:hint="default" w:ascii="Times New Roman" w:hAnsi="Times New Roman" w:eastAsia="宋体" w:cs="Times New Roman"/>
                <w:color w:val="auto"/>
                <w:sz w:val="24"/>
                <w:lang w:val="zh-CN" w:eastAsia="zh-CN"/>
              </w:rPr>
              <w:t>对周围环境的影响较小，故本环评对此不再作出具体分析。</w:t>
            </w:r>
          </w:p>
        </w:tc>
      </w:tr>
      <w:tr w14:paraId="3D32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9" w:hRule="atLeast"/>
        </w:trPr>
        <w:tc>
          <w:tcPr>
            <w:tcW w:w="533" w:type="dxa"/>
            <w:vAlign w:val="center"/>
          </w:tcPr>
          <w:p w14:paraId="3E094F45">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运营期环境影响和保护措施</w:t>
            </w:r>
          </w:p>
        </w:tc>
        <w:tc>
          <w:tcPr>
            <w:tcW w:w="8755" w:type="dxa"/>
          </w:tcPr>
          <w:p w14:paraId="3B6DE67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color w:val="000000" w:themeColor="text1"/>
                <w:sz w:val="28"/>
                <w:szCs w:val="28"/>
                <w14:textFill>
                  <w14:solidFill>
                    <w14:schemeClr w14:val="tx1"/>
                  </w14:solidFill>
                </w14:textFill>
              </w:rPr>
            </w:pPr>
            <w:bookmarkStart w:id="154" w:name="_Toc9279"/>
            <w:bookmarkStart w:id="155" w:name="_Toc5587"/>
            <w:r>
              <w:rPr>
                <w:rFonts w:hint="eastAsia"/>
                <w:b/>
                <w:color w:val="000000" w:themeColor="text1"/>
                <w:sz w:val="28"/>
                <w:szCs w:val="28"/>
                <w:lang w:val="en-US" w:eastAsia="zh-CN"/>
                <w14:textFill>
                  <w14:solidFill>
                    <w14:schemeClr w14:val="tx1"/>
                  </w14:solidFill>
                </w14:textFill>
              </w:rPr>
              <w:t>4</w:t>
            </w:r>
            <w:r>
              <w:rPr>
                <w:b/>
                <w:color w:val="000000" w:themeColor="text1"/>
                <w:sz w:val="28"/>
                <w:szCs w:val="28"/>
                <w14:textFill>
                  <w14:solidFill>
                    <w14:schemeClr w14:val="tx1"/>
                  </w14:solidFill>
                </w14:textFill>
              </w:rPr>
              <w:t>.1</w:t>
            </w:r>
            <w:r>
              <w:rPr>
                <w:rFonts w:eastAsia="宋体"/>
                <w:b/>
                <w:color w:val="000000" w:themeColor="text1"/>
                <w:sz w:val="28"/>
                <w:szCs w:val="28"/>
                <w14:textFill>
                  <w14:solidFill>
                    <w14:schemeClr w14:val="tx1"/>
                  </w14:solidFill>
                </w14:textFill>
              </w:rPr>
              <w:t>大气环境影响分析和污染防治措施</w:t>
            </w:r>
            <w:bookmarkEnd w:id="154"/>
            <w:bookmarkEnd w:id="155"/>
          </w:p>
          <w:p w14:paraId="0201BC7F">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000000" w:themeColor="text1"/>
                <w:kern w:val="0"/>
                <w:sz w:val="24"/>
                <w14:textFill>
                  <w14:solidFill>
                    <w14:schemeClr w14:val="tx1"/>
                  </w14:solidFill>
                </w14:textFill>
              </w:rPr>
            </w:pPr>
            <w:bookmarkStart w:id="156" w:name="_Toc22559"/>
            <w:bookmarkStart w:id="157" w:name="_Toc24593"/>
            <w:bookmarkStart w:id="158" w:name="_Toc5618"/>
            <w:r>
              <w:rPr>
                <w:b/>
                <w:color w:val="000000" w:themeColor="text1"/>
                <w:kern w:val="0"/>
                <w:sz w:val="24"/>
                <w14:textFill>
                  <w14:solidFill>
                    <w14:schemeClr w14:val="tx1"/>
                  </w14:solidFill>
                </w14:textFill>
              </w:rPr>
              <w:t>4.1.1运营期废气源强核算</w:t>
            </w:r>
            <w:bookmarkEnd w:id="156"/>
            <w:bookmarkEnd w:id="157"/>
            <w:bookmarkEnd w:id="158"/>
          </w:p>
          <w:p w14:paraId="15AD10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根据生产工艺流程图可知，项目使用的原材料EPS、EPO粒径均为0.25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2.5mm，EPP颗粒粒径为2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7mm。在投料过程中不产生粉尘（颗粒物）</w:t>
            </w:r>
            <w:r>
              <w:rPr>
                <w:rFonts w:hint="eastAsia" w:cs="Times New Roman"/>
                <w:color w:val="auto"/>
                <w:sz w:val="24"/>
                <w:szCs w:val="24"/>
                <w:highlight w:val="none"/>
                <w:lang w:val="en-US" w:eastAsia="zh-CN"/>
              </w:rPr>
              <w:t>且</w:t>
            </w:r>
            <w:r>
              <w:rPr>
                <w:rFonts w:hint="eastAsia" w:ascii="Times New Roman" w:hAnsi="Times New Roman" w:eastAsia="宋体" w:cs="Times New Roman"/>
                <w:color w:val="auto"/>
                <w:sz w:val="24"/>
                <w:szCs w:val="24"/>
                <w:highlight w:val="none"/>
                <w:lang w:val="en-US" w:eastAsia="zh-CN"/>
              </w:rPr>
              <w:t>项目发泡机设置于单独密闭的发泡车间内，定期进行清扫有效控制颗粒物无组织逸散。项目现有工程于2017年3月通过环评审批（榕环评表〔2017〕26号），2017年7月完成竣工验收。由于还发布此政策。根据文献《气相色谱质谱法分析聚苯乙烯加热分解产物》（林华影、张伟等.中国卫生检验杂志），聚苯乙烯在120</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以下加热会有少量甲苯、乙苯等有机物产生，以非甲烷总</w:t>
            </w:r>
            <w:r>
              <w:rPr>
                <w:rFonts w:hint="eastAsia" w:cs="Times New Roman"/>
                <w:color w:val="auto"/>
                <w:sz w:val="24"/>
                <w:szCs w:val="24"/>
                <w:highlight w:val="none"/>
                <w:lang w:val="en-US" w:eastAsia="zh-CN"/>
              </w:rPr>
              <w:t>烃</w:t>
            </w:r>
            <w:r>
              <w:rPr>
                <w:rFonts w:hint="eastAsia" w:ascii="Times New Roman" w:hAnsi="Times New Roman" w:eastAsia="宋体" w:cs="Times New Roman"/>
                <w:color w:val="auto"/>
                <w:sz w:val="24"/>
                <w:szCs w:val="24"/>
                <w:highlight w:val="none"/>
                <w:lang w:val="en-US" w:eastAsia="zh-CN"/>
              </w:rPr>
              <w:t>表示。根据文献实验结果推算，1t聚苯乙烯加热至120℃，</w:t>
            </w:r>
            <w:r>
              <w:rPr>
                <w:rFonts w:hint="eastAsia" w:cs="Times New Roman"/>
                <w:color w:val="auto"/>
                <w:sz w:val="24"/>
                <w:szCs w:val="24"/>
                <w:highlight w:val="none"/>
                <w:lang w:val="en-US" w:eastAsia="zh-CN"/>
              </w:rPr>
              <w:t>苯</w:t>
            </w:r>
            <w:r>
              <w:rPr>
                <w:rFonts w:hint="eastAsia" w:ascii="Times New Roman" w:hAnsi="Times New Roman" w:eastAsia="宋体" w:cs="Times New Roman"/>
                <w:color w:val="auto"/>
                <w:sz w:val="24"/>
                <w:szCs w:val="24"/>
                <w:highlight w:val="none"/>
                <w:lang w:val="en-US" w:eastAsia="zh-CN"/>
              </w:rPr>
              <w:t>、甲苯等非甲烷总产生量约为20.2mg，则本项目</w:t>
            </w:r>
            <w:r>
              <w:rPr>
                <w:rFonts w:hint="eastAsia" w:cs="Times New Roman"/>
                <w:color w:val="auto"/>
                <w:sz w:val="24"/>
                <w:szCs w:val="24"/>
                <w:highlight w:val="none"/>
                <w:lang w:val="en-US" w:eastAsia="zh-CN"/>
              </w:rPr>
              <w:t>非甲烷总烃的</w:t>
            </w:r>
            <w:r>
              <w:rPr>
                <w:rFonts w:hint="eastAsia" w:ascii="Times New Roman" w:hAnsi="Times New Roman" w:eastAsia="宋体" w:cs="Times New Roman"/>
                <w:color w:val="auto"/>
                <w:sz w:val="24"/>
                <w:szCs w:val="24"/>
                <w:highlight w:val="none"/>
                <w:lang w:val="en-US" w:eastAsia="zh-CN"/>
              </w:rPr>
              <w:t>产生量约为0.038kg/a，排放量很小。同时，本项目预发泡及成型过程均在封闭的容器内进行，大部分废气通过容器排水管道进入循环水池再逸散空气中，少量废气在容器打开时逸散至空气中。本次扩建将把现有项目产生废气与拟扩建项目产生废气一并收集处理。</w:t>
            </w:r>
          </w:p>
          <w:p w14:paraId="096744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lang w:eastAsia="zh-CN"/>
              </w:rPr>
            </w:pPr>
            <w:r>
              <w:rPr>
                <w:rFonts w:hint="eastAsia" w:ascii="Times New Roman" w:hAnsi="Times New Roman" w:eastAsia="宋体" w:cs="Times New Roman"/>
                <w:color w:val="auto"/>
                <w:sz w:val="24"/>
                <w:szCs w:val="24"/>
                <w:highlight w:val="none"/>
                <w:lang w:val="en-US" w:eastAsia="zh-CN"/>
              </w:rPr>
              <w:t>项目对</w:t>
            </w:r>
            <w:r>
              <w:rPr>
                <w:rFonts w:hint="eastAsia" w:cs="Times New Roman"/>
                <w:color w:val="auto"/>
                <w:sz w:val="24"/>
                <w:szCs w:val="24"/>
                <w:highlight w:val="none"/>
                <w:lang w:val="en-US" w:eastAsia="zh-CN"/>
              </w:rPr>
              <w:t>EPS、EPO</w:t>
            </w:r>
            <w:r>
              <w:rPr>
                <w:rFonts w:hint="eastAsia" w:ascii="Times New Roman" w:hAnsi="Times New Roman" w:eastAsia="宋体" w:cs="Times New Roman"/>
                <w:color w:val="auto"/>
                <w:sz w:val="24"/>
                <w:szCs w:val="24"/>
                <w:highlight w:val="none"/>
                <w:lang w:val="en-US" w:eastAsia="zh-CN"/>
              </w:rPr>
              <w:t>的加热温度</w:t>
            </w:r>
            <w:r>
              <w:rPr>
                <w:rFonts w:hint="eastAsia" w:cs="Times New Roman"/>
                <w:color w:val="auto"/>
                <w:sz w:val="24"/>
                <w:szCs w:val="24"/>
                <w:highlight w:val="none"/>
                <w:lang w:val="en-US" w:eastAsia="zh-CN"/>
              </w:rPr>
              <w:t>控制</w:t>
            </w:r>
            <w:r>
              <w:rPr>
                <w:rFonts w:hint="eastAsia" w:ascii="Times New Roman" w:hAnsi="Times New Roman" w:eastAsia="宋体" w:cs="Times New Roman"/>
                <w:color w:val="auto"/>
                <w:sz w:val="24"/>
                <w:szCs w:val="24"/>
                <w:highlight w:val="none"/>
                <w:lang w:val="en-US" w:eastAsia="zh-CN"/>
              </w:rPr>
              <w:t>在95~105℃，</w:t>
            </w:r>
            <w:r>
              <w:rPr>
                <w:rFonts w:hint="eastAsia"/>
                <w:color w:val="auto"/>
                <w:sz w:val="24"/>
                <w:lang w:val="en-US" w:eastAsia="zh-CN"/>
              </w:rPr>
              <w:t>因此本项目</w:t>
            </w:r>
            <w:r>
              <w:rPr>
                <w:rFonts w:hint="eastAsia"/>
                <w:color w:val="auto"/>
                <w:sz w:val="24"/>
              </w:rPr>
              <w:t>营期废气</w:t>
            </w:r>
            <w:r>
              <w:rPr>
                <w:rFonts w:hint="eastAsia"/>
                <w:color w:val="auto"/>
                <w:sz w:val="24"/>
                <w:lang w:val="en-US" w:eastAsia="zh-CN"/>
              </w:rPr>
              <w:t>主要为EPS、EPO预发、成型工序生产的有机废气（主要污染因子为非甲烷总烃、苯乙烯、甲苯、乙苯）；EPP成型工序生产的有机废气（主要污染因子为非甲烷总烃）</w:t>
            </w:r>
            <w:r>
              <w:rPr>
                <w:rFonts w:hint="eastAsia"/>
                <w:color w:val="auto"/>
                <w:sz w:val="24"/>
                <w:lang w:eastAsia="zh-CN"/>
              </w:rPr>
              <w:t>。</w:t>
            </w:r>
          </w:p>
          <w:p w14:paraId="518E10F7">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ascii="Times New Roman" w:hAnsi="Times New Roman" w:eastAsia="宋体" w:cs="Times New Roman"/>
                <w:bCs/>
                <w:color w:val="000000" w:themeColor="text1"/>
                <w:sz w:val="24"/>
                <w:szCs w:val="24"/>
                <w:lang w:val="en-US"/>
                <w14:textFill>
                  <w14:solidFill>
                    <w14:schemeClr w14:val="tx1"/>
                  </w14:solidFill>
                </w14:textFill>
              </w:rPr>
            </w:pP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cs="Times New Roman"/>
                <w:b/>
                <w:bCs/>
                <w:color w:val="000000" w:themeColor="text1"/>
                <w:sz w:val="24"/>
                <w:lang w:val="en-US" w:eastAsia="zh-CN"/>
                <w14:textFill>
                  <w14:solidFill>
                    <w14:schemeClr w14:val="tx1"/>
                  </w14:solidFill>
                </w14:textFill>
              </w:rPr>
              <w:t>）EPS、EPO预发、成型工序废气源强核算</w:t>
            </w:r>
          </w:p>
          <w:p w14:paraId="08172A0A">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本项目发泡机、自动成型机、烘干机生产过程中有少量有机废气产生，以非甲烷总烃计。本项目预发</w:t>
            </w:r>
            <w:r>
              <w:rPr>
                <w:rFonts w:hint="eastAsia" w:cs="Times New Roman"/>
                <w:color w:val="auto"/>
                <w:sz w:val="24"/>
                <w:lang w:val="en-US" w:eastAsia="zh-CN"/>
              </w:rPr>
              <w:t>温度一般控制在97℃左右</w:t>
            </w:r>
            <w:r>
              <w:rPr>
                <w:rFonts w:hint="eastAsia" w:ascii="Times New Roman" w:hAnsi="Times New Roman" w:eastAsia="宋体" w:cs="Times New Roman"/>
                <w:color w:val="auto"/>
                <w:sz w:val="24"/>
                <w:lang w:val="en-US" w:eastAsia="zh-CN"/>
              </w:rPr>
              <w:t>、成型温度</w:t>
            </w:r>
            <w:r>
              <w:rPr>
                <w:rFonts w:hint="eastAsia" w:cs="Times New Roman"/>
                <w:color w:val="auto"/>
                <w:sz w:val="24"/>
                <w:lang w:val="en-US" w:eastAsia="zh-CN"/>
              </w:rPr>
              <w:t>控制</w:t>
            </w:r>
            <w:r>
              <w:rPr>
                <w:rFonts w:hint="eastAsia" w:ascii="Times New Roman" w:hAnsi="Times New Roman" w:eastAsia="宋体" w:cs="Times New Roman"/>
                <w:color w:val="auto"/>
                <w:sz w:val="24"/>
                <w:lang w:val="en-US" w:eastAsia="zh-CN"/>
              </w:rPr>
              <w:t>在</w:t>
            </w:r>
            <w:r>
              <w:rPr>
                <w:rFonts w:hint="eastAsia" w:cs="Times New Roman"/>
                <w:color w:val="auto"/>
                <w:sz w:val="24"/>
                <w:lang w:val="en-US" w:eastAsia="zh-CN"/>
              </w:rPr>
              <w:t>100</w:t>
            </w:r>
            <w:r>
              <w:rPr>
                <w:rFonts w:hint="eastAsia" w:ascii="Times New Roman" w:hAnsi="Times New Roman" w:eastAsia="宋体" w:cs="Times New Roman"/>
                <w:color w:val="auto"/>
                <w:sz w:val="24"/>
                <w:lang w:val="en-US" w:eastAsia="zh-CN"/>
              </w:rPr>
              <w:t>℃左右，烘干</w:t>
            </w:r>
            <w:r>
              <w:rPr>
                <w:rFonts w:hint="eastAsia" w:cs="Times New Roman"/>
                <w:color w:val="auto"/>
                <w:sz w:val="24"/>
                <w:lang w:val="en-US" w:eastAsia="zh-CN"/>
              </w:rPr>
              <w:t>温度控制在60</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左右</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而</w:t>
            </w:r>
            <w:r>
              <w:rPr>
                <w:rFonts w:hint="default" w:ascii="Times New Roman" w:hAnsi="Times New Roman" w:eastAsia="宋体" w:cs="Times New Roman"/>
                <w:color w:val="auto"/>
                <w:sz w:val="24"/>
                <w:lang w:val="en-US" w:eastAsia="zh-CN"/>
              </w:rPr>
              <w:t>EPS</w:t>
            </w:r>
            <w:r>
              <w:rPr>
                <w:rFonts w:hint="eastAsia" w:cs="Times New Roman"/>
                <w:color w:val="auto"/>
                <w:sz w:val="24"/>
                <w:lang w:val="en-US" w:eastAsia="zh-CN"/>
              </w:rPr>
              <w:t>、EPO</w:t>
            </w:r>
            <w:r>
              <w:rPr>
                <w:rFonts w:hint="eastAsia" w:ascii="Times New Roman" w:hAnsi="Times New Roman" w:eastAsia="宋体" w:cs="Times New Roman"/>
                <w:color w:val="auto"/>
                <w:sz w:val="24"/>
                <w:lang w:val="en-US" w:eastAsia="zh-CN"/>
              </w:rPr>
              <w:t>分解温度在</w:t>
            </w:r>
            <w:r>
              <w:rPr>
                <w:rFonts w:hint="default" w:ascii="Times New Roman" w:hAnsi="Times New Roman" w:eastAsia="宋体" w:cs="Times New Roman"/>
                <w:color w:val="auto"/>
                <w:sz w:val="24"/>
                <w:lang w:val="en-US" w:eastAsia="zh-CN"/>
              </w:rPr>
              <w:t>260</w:t>
            </w:r>
            <w:r>
              <w:rPr>
                <w:rFonts w:hint="eastAsia" w:ascii="Times New Roman" w:hAnsi="Times New Roman" w:eastAsia="宋体" w:cs="Times New Roman"/>
                <w:color w:val="auto"/>
                <w:sz w:val="24"/>
                <w:lang w:val="en-US" w:eastAsia="zh-CN"/>
              </w:rPr>
              <w:t>℃左右，</w:t>
            </w:r>
            <w:r>
              <w:rPr>
                <w:rFonts w:hint="default" w:ascii="Times New Roman" w:hAnsi="Times New Roman" w:eastAsia="宋体" w:cs="Times New Roman"/>
                <w:color w:val="auto"/>
                <w:sz w:val="24"/>
                <w:lang w:val="en-US" w:eastAsia="zh-CN"/>
              </w:rPr>
              <w:t>EPP</w:t>
            </w:r>
            <w:r>
              <w:rPr>
                <w:rFonts w:hint="eastAsia" w:ascii="Times New Roman" w:hAnsi="Times New Roman" w:eastAsia="宋体" w:cs="Times New Roman"/>
                <w:color w:val="auto"/>
                <w:sz w:val="24"/>
                <w:lang w:val="en-US" w:eastAsia="zh-CN"/>
              </w:rPr>
              <w:t>分解温度在</w:t>
            </w:r>
            <w:r>
              <w:rPr>
                <w:rFonts w:hint="default" w:ascii="Times New Roman" w:hAnsi="Times New Roman" w:eastAsia="宋体" w:cs="Times New Roman"/>
                <w:color w:val="auto"/>
                <w:sz w:val="24"/>
                <w:lang w:val="en-US" w:eastAsia="zh-CN"/>
              </w:rPr>
              <w:t>350</w:t>
            </w:r>
            <w:r>
              <w:rPr>
                <w:rFonts w:hint="eastAsia" w:ascii="Times New Roman" w:hAnsi="Times New Roman" w:eastAsia="宋体" w:cs="Times New Roman"/>
                <w:color w:val="auto"/>
                <w:sz w:val="24"/>
                <w:lang w:val="en-US" w:eastAsia="zh-CN"/>
              </w:rPr>
              <w:t>℃左右</w:t>
            </w:r>
            <w:r>
              <w:rPr>
                <w:rFonts w:hint="eastAsia" w:cs="Times New Roman"/>
                <w:color w:val="auto"/>
                <w:sz w:val="24"/>
                <w:lang w:val="en-US" w:eastAsia="zh-CN"/>
              </w:rPr>
              <w:t>。项目</w:t>
            </w:r>
            <w:r>
              <w:rPr>
                <w:rFonts w:hint="default" w:ascii="Times New Roman" w:hAnsi="Times New Roman" w:eastAsia="宋体" w:cs="Times New Roman"/>
                <w:color w:val="auto"/>
                <w:sz w:val="24"/>
                <w:lang w:val="en-US" w:eastAsia="zh-CN"/>
              </w:rPr>
              <w:t>EPS</w:t>
            </w:r>
            <w:r>
              <w:rPr>
                <w:rFonts w:hint="eastAsia" w:cs="Times New Roman"/>
                <w:color w:val="auto"/>
                <w:sz w:val="24"/>
                <w:lang w:val="en-US" w:eastAsia="zh-CN"/>
              </w:rPr>
              <w:t>、EPO在</w:t>
            </w:r>
            <w:r>
              <w:rPr>
                <w:rFonts w:hint="eastAsia" w:ascii="Times New Roman" w:hAnsi="Times New Roman" w:eastAsia="宋体" w:cs="Times New Roman"/>
                <w:color w:val="auto"/>
                <w:sz w:val="24"/>
                <w:lang w:val="en-US" w:eastAsia="zh-CN"/>
              </w:rPr>
              <w:t>进行预发、成型、烘干过程及</w:t>
            </w:r>
            <w:r>
              <w:rPr>
                <w:rFonts w:hint="default" w:ascii="Times New Roman" w:hAnsi="Times New Roman" w:eastAsia="宋体" w:cs="Times New Roman"/>
                <w:color w:val="auto"/>
                <w:sz w:val="24"/>
                <w:lang w:val="en-US" w:eastAsia="zh-CN"/>
              </w:rPr>
              <w:t>EPP</w:t>
            </w:r>
            <w:r>
              <w:rPr>
                <w:rFonts w:hint="eastAsia" w:ascii="Times New Roman" w:hAnsi="Times New Roman" w:eastAsia="宋体" w:cs="Times New Roman"/>
                <w:color w:val="auto"/>
                <w:sz w:val="24"/>
                <w:lang w:val="en-US" w:eastAsia="zh-CN"/>
              </w:rPr>
              <w:t>进行成型、烘干过程均不会发生分解。因此，EPS、EPO发泡、成型等工序产生的有机废气以非甲烷总烃、苯乙烯进行评价。</w:t>
            </w:r>
          </w:p>
          <w:p w14:paraId="4369160B">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①非甲烷总烃</w:t>
            </w:r>
          </w:p>
          <w:p w14:paraId="476C842D">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根据《空气污染物排放和控制手册》</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美国国家环保局</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，塑料粒子在预发、成型及烘干过</w:t>
            </w:r>
            <w:r>
              <w:rPr>
                <w:rFonts w:hint="eastAsia" w:cs="Times New Roman"/>
                <w:color w:val="auto"/>
                <w:sz w:val="24"/>
                <w:lang w:val="en-US" w:eastAsia="zh-CN"/>
              </w:rPr>
              <w:t>程中</w:t>
            </w:r>
            <w:r>
              <w:rPr>
                <w:rFonts w:hint="eastAsia" w:ascii="Times New Roman" w:hAnsi="Times New Roman" w:eastAsia="宋体" w:cs="Times New Roman"/>
                <w:color w:val="auto"/>
                <w:sz w:val="24"/>
                <w:lang w:val="en-US" w:eastAsia="zh-CN"/>
              </w:rPr>
              <w:t>有机废气产生量约占投料量的</w:t>
            </w:r>
            <w:r>
              <w:rPr>
                <w:rFonts w:hint="default" w:ascii="Times New Roman" w:hAnsi="Times New Roman" w:eastAsia="宋体" w:cs="Times New Roman"/>
                <w:color w:val="auto"/>
                <w:sz w:val="24"/>
                <w:lang w:val="en-US" w:eastAsia="zh-CN"/>
              </w:rPr>
              <w:t>0.035%</w:t>
            </w:r>
            <w:r>
              <w:rPr>
                <w:rFonts w:hint="eastAsia" w:ascii="Times New Roman" w:hAnsi="Times New Roman" w:eastAsia="宋体" w:cs="Times New Roman"/>
                <w:color w:val="auto"/>
                <w:sz w:val="24"/>
                <w:lang w:val="en-US" w:eastAsia="zh-CN"/>
              </w:rPr>
              <w:t>，本</w:t>
            </w:r>
            <w:r>
              <w:rPr>
                <w:rFonts w:hint="eastAsia" w:cs="Times New Roman"/>
                <w:color w:val="auto"/>
                <w:sz w:val="24"/>
                <w:lang w:val="en-US" w:eastAsia="zh-CN"/>
              </w:rPr>
              <w:t>次扩建项</w:t>
            </w:r>
            <w:r>
              <w:rPr>
                <w:rFonts w:hint="eastAsia" w:ascii="Times New Roman" w:hAnsi="Times New Roman" w:eastAsia="宋体" w:cs="Times New Roman"/>
                <w:color w:val="auto"/>
                <w:sz w:val="24"/>
                <w:lang w:val="en-US" w:eastAsia="zh-CN"/>
              </w:rPr>
              <w:t>目</w:t>
            </w:r>
            <w:r>
              <w:rPr>
                <w:rFonts w:hint="default" w:ascii="Times New Roman" w:hAnsi="Times New Roman" w:eastAsia="宋体" w:cs="Times New Roman"/>
                <w:color w:val="auto"/>
                <w:sz w:val="24"/>
                <w:lang w:val="en-US" w:eastAsia="zh-CN"/>
              </w:rPr>
              <w:t>EPS</w:t>
            </w:r>
            <w:r>
              <w:rPr>
                <w:rFonts w:hint="eastAsia" w:ascii="Times New Roman" w:hAnsi="Times New Roman" w:eastAsia="宋体" w:cs="Times New Roman"/>
                <w:color w:val="auto"/>
                <w:sz w:val="24"/>
                <w:lang w:val="en-US" w:eastAsia="zh-CN"/>
              </w:rPr>
              <w:t>使用量为</w:t>
            </w:r>
            <w:r>
              <w:rPr>
                <w:rFonts w:hint="eastAsia" w:cs="Times New Roman"/>
                <w:color w:val="auto"/>
                <w:sz w:val="24"/>
                <w:lang w:val="en-US" w:eastAsia="zh-CN"/>
              </w:rPr>
              <w:t>6120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EPO使用量910t/a</w:t>
            </w:r>
            <w:r>
              <w:rPr>
                <w:rFonts w:hint="eastAsia" w:ascii="Times New Roman" w:hAnsi="Times New Roman" w:eastAsia="宋体" w:cs="Times New Roman"/>
                <w:color w:val="auto"/>
                <w:sz w:val="24"/>
                <w:lang w:val="en-US" w:eastAsia="zh-CN"/>
              </w:rPr>
              <w:t>，则有机废气</w:t>
            </w:r>
            <w:r>
              <w:rPr>
                <w:rFonts w:hint="eastAsia" w:cs="Times New Roman"/>
                <w:color w:val="auto"/>
                <w:sz w:val="24"/>
                <w:lang w:val="en-US" w:eastAsia="zh-CN"/>
              </w:rPr>
              <w:t>（非甲烷总烃）</w:t>
            </w:r>
            <w:r>
              <w:rPr>
                <w:rFonts w:hint="eastAsia" w:ascii="Times New Roman" w:hAnsi="Times New Roman" w:eastAsia="宋体" w:cs="Times New Roman"/>
                <w:color w:val="auto"/>
                <w:sz w:val="24"/>
                <w:lang w:val="en-US" w:eastAsia="zh-CN"/>
              </w:rPr>
              <w:t>产生量约为</w:t>
            </w:r>
            <w:r>
              <w:rPr>
                <w:rFonts w:hint="eastAsia" w:cs="Times New Roman"/>
                <w:color w:val="auto"/>
                <w:sz w:val="24"/>
                <w:lang w:val="en-US" w:eastAsia="zh-CN"/>
              </w:rPr>
              <w:t>（6120t/a+910t/a）×0.035%=2.4605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4BF58F89">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cs="Times New Roman"/>
                <w:color w:val="auto"/>
                <w:sz w:val="24"/>
                <w:lang w:val="en-US" w:eastAsia="zh-CN"/>
              </w:rPr>
              <w:t>苯乙烯</w:t>
            </w:r>
          </w:p>
          <w:p w14:paraId="54FAD6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lang w:val="en-US" w:eastAsia="zh-CN"/>
              </w:rPr>
            </w:pPr>
            <w:r>
              <w:rPr>
                <w:rFonts w:ascii="宋体" w:hAnsi="宋体" w:eastAsia="宋体" w:cs="宋体"/>
                <w:color w:val="auto"/>
                <w:sz w:val="24"/>
                <w:szCs w:val="24"/>
              </w:rPr>
              <w:t>根据中华人民共和国轻工行业标准《可发性聚苯乙烯（EPS）树脂》（QB/T4009-2010），可发性聚苯乙烯（EPS）树脂中残留单体苯乙烯含量≤0.6%（本次环评按苯乙烯单体含量0.6%计）</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参考中国知网（</w:t>
            </w:r>
            <w:r>
              <w:rPr>
                <w:rFonts w:ascii="宋体" w:hAnsi="宋体" w:eastAsia="宋体" w:cs="宋体"/>
                <w:color w:val="auto"/>
                <w:sz w:val="24"/>
                <w:szCs w:val="24"/>
              </w:rPr>
              <w:t>郭哓飞;郭春明;</w:t>
            </w:r>
            <w:r>
              <w:rPr>
                <w:rFonts w:hint="default" w:ascii="宋体" w:hAnsi="宋体" w:eastAsia="宋体" w:cs="宋体"/>
                <w:color w:val="auto"/>
                <w:sz w:val="24"/>
                <w:szCs w:val="24"/>
              </w:rPr>
              <w:fldChar w:fldCharType="begin"/>
            </w:r>
            <w:r>
              <w:rPr>
                <w:rFonts w:hint="default" w:ascii="宋体" w:hAnsi="宋体" w:eastAsia="宋体" w:cs="宋体"/>
                <w:color w:val="auto"/>
                <w:sz w:val="24"/>
                <w:szCs w:val="24"/>
              </w:rPr>
              <w:instrText xml:space="preserve"> HYPERLINK "https://www.cnki.com.cn/Article/CJFDTOTAL-LNJC201002015.htm" \t "https://www.cnki.com.cn/Article/_blank" </w:instrText>
            </w:r>
            <w:r>
              <w:rPr>
                <w:rFonts w:hint="default" w:ascii="宋体" w:hAnsi="宋体" w:eastAsia="宋体" w:cs="宋体"/>
                <w:color w:val="auto"/>
                <w:sz w:val="24"/>
                <w:szCs w:val="24"/>
              </w:rPr>
              <w:fldChar w:fldCharType="separate"/>
            </w:r>
            <w:r>
              <w:rPr>
                <w:rFonts w:hint="default" w:ascii="宋体" w:hAnsi="宋体" w:eastAsia="宋体" w:cs="宋体"/>
                <w:color w:val="auto"/>
                <w:sz w:val="24"/>
                <w:szCs w:val="24"/>
              </w:rPr>
              <w:t>聚氨酯(PUF)与发泡聚苯(EPS、XPS)保温系统比较</w:t>
            </w:r>
            <w:r>
              <w:rPr>
                <w:rFonts w:hint="default" w:ascii="宋体" w:hAnsi="宋体" w:eastAsia="宋体" w:cs="宋体"/>
                <w:color w:val="auto"/>
                <w:sz w:val="24"/>
                <w:szCs w:val="24"/>
              </w:rPr>
              <w:fldChar w:fldCharType="end"/>
            </w:r>
            <w:r>
              <w:rPr>
                <w:rFonts w:hint="default" w:ascii="宋体" w:hAnsi="宋体" w:eastAsia="宋体" w:cs="宋体"/>
                <w:color w:val="auto"/>
                <w:sz w:val="24"/>
                <w:szCs w:val="24"/>
              </w:rPr>
              <w:t>[J];辽宁建材;2010年02期</w:t>
            </w:r>
            <w:r>
              <w:rPr>
                <w:rFonts w:hint="eastAsia" w:ascii="宋体" w:hAnsi="宋体" w:cs="宋体"/>
                <w:color w:val="auto"/>
                <w:sz w:val="24"/>
                <w:szCs w:val="24"/>
                <w:lang w:eastAsia="zh-CN"/>
              </w:rPr>
              <w:t>）</w:t>
            </w:r>
            <w:r>
              <w:rPr>
                <w:rFonts w:ascii="宋体" w:hAnsi="宋体" w:eastAsia="宋体" w:cs="宋体"/>
                <w:color w:val="auto"/>
                <w:sz w:val="24"/>
                <w:szCs w:val="24"/>
              </w:rPr>
              <w:t>可知，EPS珠粒发泡闭孔率达98%，仅2%的</w:t>
            </w:r>
            <w:r>
              <w:rPr>
                <w:rFonts w:hint="eastAsia" w:ascii="宋体" w:hAnsi="宋体" w:cs="宋体"/>
                <w:color w:val="auto"/>
                <w:sz w:val="24"/>
                <w:szCs w:val="24"/>
                <w:lang w:val="en-US" w:eastAsia="zh-CN"/>
              </w:rPr>
              <w:t>戊烷</w:t>
            </w:r>
            <w:r>
              <w:rPr>
                <w:rFonts w:ascii="宋体" w:hAnsi="宋体" w:eastAsia="宋体" w:cs="宋体"/>
                <w:color w:val="auto"/>
                <w:sz w:val="24"/>
                <w:szCs w:val="24"/>
              </w:rPr>
              <w:t>挥发。</w:t>
            </w:r>
            <w:r>
              <w:rPr>
                <w:rFonts w:hint="eastAsia" w:ascii="宋体" w:hAnsi="宋体" w:eastAsia="宋体" w:cs="宋体"/>
                <w:color w:val="auto"/>
                <w:sz w:val="24"/>
                <w:szCs w:val="24"/>
                <w:lang w:val="en-US" w:eastAsia="zh-CN"/>
              </w:rPr>
              <w:t>本项目</w:t>
            </w:r>
            <w:r>
              <w:rPr>
                <w:rFonts w:hint="default" w:ascii="Times New Roman" w:hAnsi="Times New Roman" w:eastAsia="宋体" w:cs="Times New Roman"/>
                <w:color w:val="auto"/>
                <w:sz w:val="24"/>
                <w:lang w:val="en-US" w:eastAsia="zh-CN"/>
              </w:rPr>
              <w:t>EPS</w:t>
            </w:r>
            <w:r>
              <w:rPr>
                <w:rFonts w:hint="eastAsia" w:ascii="Times New Roman" w:hAnsi="Times New Roman" w:eastAsia="宋体" w:cs="Times New Roman"/>
                <w:color w:val="auto"/>
                <w:sz w:val="24"/>
                <w:lang w:val="en-US" w:eastAsia="zh-CN"/>
              </w:rPr>
              <w:t>使用量为</w:t>
            </w:r>
            <w:r>
              <w:rPr>
                <w:rFonts w:hint="eastAsia" w:cs="Times New Roman"/>
                <w:color w:val="auto"/>
                <w:sz w:val="24"/>
                <w:lang w:val="en-US" w:eastAsia="zh-CN"/>
              </w:rPr>
              <w:t>6120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EPO使用量910t/a，则预发、成型工序所生产的苯乙烯为（6120t/a+910t/a）×0.6%×2%=0.8436t/a。</w:t>
            </w:r>
          </w:p>
          <w:p w14:paraId="3CF167EB">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cs="Times New Roman"/>
                <w:b/>
                <w:bCs/>
                <w:color w:val="auto"/>
                <w:sz w:val="24"/>
                <w:lang w:val="en-US" w:eastAsia="zh-CN"/>
              </w:rPr>
            </w:pPr>
            <w:r>
              <w:rPr>
                <w:rFonts w:hint="eastAsia" w:cs="Times New Roman"/>
                <w:b/>
                <w:bCs/>
                <w:color w:val="auto"/>
                <w:sz w:val="24"/>
                <w:lang w:val="en-US" w:eastAsia="zh-CN"/>
              </w:rPr>
              <w:t>（2）EPP成型工序废气源强核算</w:t>
            </w:r>
          </w:p>
          <w:p w14:paraId="21CE0C5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lang w:val="en-US" w:eastAsia="zh-CN"/>
              </w:rPr>
            </w:pPr>
            <w:r>
              <w:rPr>
                <w:rFonts w:hint="eastAsia" w:cs="Times New Roman"/>
                <w:bCs/>
                <w:color w:val="auto"/>
                <w:sz w:val="24"/>
                <w:szCs w:val="24"/>
                <w:lang w:val="en-US" w:eastAsia="zh-CN"/>
              </w:rPr>
              <w:t>本项EPP购买已预发好的产品，仅需加热成型、烘干、检验即可包装外售。采用成型机进行加热成型，温度大约为100℃左右。因此参照</w:t>
            </w:r>
            <w:r>
              <w:rPr>
                <w:rFonts w:hint="eastAsia" w:ascii="Times New Roman" w:hAnsi="Times New Roman" w:eastAsia="宋体" w:cs="Times New Roman"/>
                <w:color w:val="auto"/>
                <w:sz w:val="24"/>
                <w:lang w:val="en-US" w:eastAsia="zh-CN"/>
              </w:rPr>
              <w:t>《空气污染物排放和控制手册》</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美国国家环保局</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，塑料粒子在预发、成型及烘干过</w:t>
            </w:r>
            <w:r>
              <w:rPr>
                <w:rFonts w:hint="eastAsia" w:cs="Times New Roman"/>
                <w:color w:val="auto"/>
                <w:sz w:val="24"/>
                <w:lang w:val="en-US" w:eastAsia="zh-CN"/>
              </w:rPr>
              <w:t>程中</w:t>
            </w:r>
            <w:r>
              <w:rPr>
                <w:rFonts w:hint="eastAsia" w:ascii="Times New Roman" w:hAnsi="Times New Roman" w:eastAsia="宋体" w:cs="Times New Roman"/>
                <w:color w:val="auto"/>
                <w:sz w:val="24"/>
                <w:lang w:val="en-US" w:eastAsia="zh-CN"/>
              </w:rPr>
              <w:t>有机废气产生量约占投料量的</w:t>
            </w:r>
            <w:r>
              <w:rPr>
                <w:rFonts w:hint="default" w:ascii="Times New Roman" w:hAnsi="Times New Roman" w:eastAsia="宋体" w:cs="Times New Roman"/>
                <w:color w:val="auto"/>
                <w:sz w:val="24"/>
                <w:lang w:val="en-US" w:eastAsia="zh-CN"/>
              </w:rPr>
              <w:t>0.035%</w:t>
            </w:r>
            <w:r>
              <w:rPr>
                <w:rFonts w:hint="eastAsia"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lang w:val="en-US" w:eastAsia="zh-CN"/>
              </w:rPr>
              <w:t>E</w:t>
            </w:r>
            <w:r>
              <w:rPr>
                <w:rFonts w:hint="eastAsia" w:cs="Times New Roman"/>
                <w:color w:val="auto"/>
                <w:sz w:val="24"/>
                <w:lang w:val="en-US" w:eastAsia="zh-CN"/>
              </w:rPr>
              <w:t>PP</w:t>
            </w:r>
            <w:r>
              <w:rPr>
                <w:rFonts w:hint="eastAsia" w:ascii="Times New Roman" w:hAnsi="Times New Roman" w:eastAsia="宋体" w:cs="Times New Roman"/>
                <w:color w:val="auto"/>
                <w:sz w:val="24"/>
                <w:lang w:val="en-US" w:eastAsia="zh-CN"/>
              </w:rPr>
              <w:t>使用量为</w:t>
            </w:r>
            <w:r>
              <w:rPr>
                <w:rFonts w:hint="eastAsia" w:cs="Times New Roman"/>
                <w:color w:val="auto"/>
                <w:sz w:val="24"/>
                <w:lang w:val="en-US" w:eastAsia="zh-CN"/>
              </w:rPr>
              <w:t>1240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，则有机废气</w:t>
            </w:r>
            <w:r>
              <w:rPr>
                <w:rFonts w:hint="eastAsia" w:cs="Times New Roman"/>
                <w:color w:val="auto"/>
                <w:sz w:val="24"/>
                <w:lang w:val="en-US" w:eastAsia="zh-CN"/>
              </w:rPr>
              <w:t>（非甲烷总烃有）</w:t>
            </w:r>
            <w:r>
              <w:rPr>
                <w:rFonts w:hint="eastAsia" w:ascii="Times New Roman" w:hAnsi="Times New Roman" w:eastAsia="宋体" w:cs="Times New Roman"/>
                <w:color w:val="auto"/>
                <w:sz w:val="24"/>
                <w:lang w:val="en-US" w:eastAsia="zh-CN"/>
              </w:rPr>
              <w:t>产生量约为</w:t>
            </w:r>
            <w:r>
              <w:rPr>
                <w:rFonts w:hint="eastAsia" w:cs="Times New Roman"/>
                <w:color w:val="auto"/>
                <w:sz w:val="24"/>
                <w:lang w:val="en-US" w:eastAsia="zh-CN"/>
              </w:rPr>
              <w:t>1240t/a×0.035%=0.434</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152D035E">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cs="Times New Roman"/>
                <w:b/>
                <w:bCs/>
                <w:color w:val="auto"/>
                <w:sz w:val="24"/>
                <w:lang w:val="en-US" w:eastAsia="zh-CN"/>
              </w:rPr>
            </w:pPr>
            <w:r>
              <w:rPr>
                <w:rFonts w:hint="eastAsia" w:cs="Times New Roman"/>
                <w:b/>
                <w:bCs/>
                <w:color w:val="auto"/>
                <w:sz w:val="24"/>
                <w:lang w:val="en-US" w:eastAsia="zh-CN"/>
              </w:rPr>
              <w:t>（3）EPS、EPO、EPP生产废气排放情况说明</w:t>
            </w:r>
          </w:p>
          <w:p w14:paraId="1D350F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bCs/>
                <w:color w:val="auto"/>
                <w:sz w:val="24"/>
                <w:lang w:val="en-US" w:eastAsia="zh-CN"/>
              </w:rPr>
              <w:t>根据项目源强核算，本项目预发、成型工序非甲烷总烃产生量为2.4605t/a+0.434t/a=2.8945t/a、产生浓度为2.8945t/a÷（330d×24h）×10</w:t>
            </w:r>
            <w:r>
              <w:rPr>
                <w:rFonts w:hint="eastAsia"/>
                <w:bCs/>
                <w:color w:val="auto"/>
                <w:sz w:val="24"/>
                <w:vertAlign w:val="superscript"/>
                <w:lang w:val="en-US" w:eastAsia="zh-CN"/>
              </w:rPr>
              <w:t>9</w:t>
            </w:r>
            <w:r>
              <w:rPr>
                <w:rFonts w:hint="eastAsia"/>
                <w:bCs/>
                <w:color w:val="auto"/>
                <w:sz w:val="24"/>
                <w:lang w:val="en-US" w:eastAsia="zh-CN"/>
              </w:rPr>
              <w:t>÷20000=18.27mg/m</w:t>
            </w:r>
            <w:r>
              <w:rPr>
                <w:rFonts w:hint="eastAsia"/>
                <w:bCs/>
                <w:color w:val="auto"/>
                <w:sz w:val="24"/>
                <w:vertAlign w:val="superscript"/>
                <w:lang w:val="en-US" w:eastAsia="zh-CN"/>
              </w:rPr>
              <w:t>3</w:t>
            </w:r>
            <w:r>
              <w:rPr>
                <w:rFonts w:hint="eastAsia"/>
                <w:bCs/>
                <w:color w:val="auto"/>
                <w:sz w:val="24"/>
                <w:lang w:val="en-US" w:eastAsia="zh-CN"/>
              </w:rPr>
              <w:t>；苯乙烯产生量为0.8436t/a、产生浓度为0.8436t/a÷（330d×24h）×10</w:t>
            </w:r>
            <w:r>
              <w:rPr>
                <w:rFonts w:hint="eastAsia"/>
                <w:bCs/>
                <w:color w:val="auto"/>
                <w:sz w:val="24"/>
                <w:vertAlign w:val="superscript"/>
                <w:lang w:val="en-US" w:eastAsia="zh-CN"/>
              </w:rPr>
              <w:t>9</w:t>
            </w:r>
            <w:r>
              <w:rPr>
                <w:rFonts w:hint="eastAsia"/>
                <w:bCs/>
                <w:color w:val="auto"/>
                <w:sz w:val="24"/>
                <w:lang w:val="en-US" w:eastAsia="zh-CN"/>
              </w:rPr>
              <w:t>÷20000=5.33mg/m</w:t>
            </w:r>
            <w:r>
              <w:rPr>
                <w:rFonts w:hint="eastAsia"/>
                <w:bCs/>
                <w:color w:val="auto"/>
                <w:sz w:val="24"/>
                <w:vertAlign w:val="superscript"/>
                <w:lang w:val="en-US" w:eastAsia="zh-CN"/>
              </w:rPr>
              <w:t>3</w:t>
            </w:r>
            <w:r>
              <w:rPr>
                <w:rFonts w:hint="eastAsia"/>
                <w:bCs/>
                <w:color w:val="auto"/>
                <w:sz w:val="24"/>
                <w:lang w:val="en-US" w:eastAsia="zh-CN"/>
              </w:rPr>
              <w:t>。本项目拟采用活性炭吸附装置进行处理，处理后由15m高排气筒DA001排放。发泡机、成型机上方均设有集气罩，收集效率按80%计，风机风量为20000m</w:t>
            </w:r>
            <w:r>
              <w:rPr>
                <w:rFonts w:hint="eastAsia"/>
                <w:bCs/>
                <w:color w:val="auto"/>
                <w:sz w:val="24"/>
                <w:vertAlign w:val="superscript"/>
                <w:lang w:val="en-US" w:eastAsia="zh-CN"/>
              </w:rPr>
              <w:t>3</w:t>
            </w:r>
            <w:r>
              <w:rPr>
                <w:rFonts w:hint="eastAsia"/>
                <w:bCs/>
                <w:color w:val="auto"/>
                <w:sz w:val="24"/>
                <w:lang w:val="en-US" w:eastAsia="zh-CN"/>
              </w:rPr>
              <w:t>/h。活性炭吸附装置处理效率</w:t>
            </w:r>
            <w:r>
              <w:rPr>
                <w:rFonts w:hint="default" w:ascii="Times New Roman" w:hAnsi="Times New Roman" w:eastAsia="宋体" w:cs="Times New Roman"/>
                <w:color w:val="auto"/>
                <w:sz w:val="24"/>
                <w:szCs w:val="24"/>
                <w:lang w:val="en-US" w:eastAsia="zh-CN"/>
              </w:rPr>
              <w:t>根据生态环境部发布《关于印发〈主要污染物总量减排核算技术指南（2022年修订）</w:t>
            </w:r>
            <w:r>
              <w:rPr>
                <w:rFonts w:hint="eastAsia" w:cs="Times New Roman"/>
                <w:color w:val="auto"/>
                <w:sz w:val="24"/>
                <w:szCs w:val="24"/>
                <w:lang w:val="en-US" w:eastAsia="zh-CN"/>
              </w:rPr>
              <w:t>〉的通知》</w:t>
            </w:r>
            <w:r>
              <w:rPr>
                <w:rFonts w:hint="default" w:ascii="Times New Roman" w:hAnsi="Times New Roman" w:eastAsia="宋体" w:cs="Times New Roman"/>
                <w:color w:val="auto"/>
                <w:sz w:val="24"/>
                <w:szCs w:val="24"/>
                <w:lang w:val="en-US" w:eastAsia="zh-CN"/>
              </w:rPr>
              <w:t>〔2022〕350号中规定，一次性活性炭的吸附效率50%。采用二级活性炭吸附效率为1-（1-50%）×（1-50%）=75%。因此本项目活性炭</w:t>
            </w:r>
            <w:r>
              <w:rPr>
                <w:rFonts w:hint="default" w:ascii="Times New Roman" w:hAnsi="Times New Roman" w:eastAsia="宋体" w:cs="Times New Roman"/>
                <w:color w:val="auto"/>
                <w:sz w:val="24"/>
                <w:szCs w:val="24"/>
                <w:highlight w:val="none"/>
                <w:lang w:val="en-US" w:eastAsia="zh-CN"/>
              </w:rPr>
              <w:t>处理效率以75%计。</w:t>
            </w:r>
            <w:r>
              <w:rPr>
                <w:rFonts w:hint="eastAsia" w:cs="Times New Roman"/>
                <w:color w:val="auto"/>
                <w:sz w:val="24"/>
                <w:szCs w:val="24"/>
                <w:highlight w:val="none"/>
                <w:lang w:val="en-US" w:eastAsia="zh-CN"/>
              </w:rPr>
              <w:t>则项目扩建后全厂有机废气（非甲烷总烃）排放量为2.8945t/a×80%×（1-75%）=0.5789t/a，</w:t>
            </w:r>
            <w:r>
              <w:rPr>
                <w:rFonts w:hint="default" w:ascii="Times New Roman" w:hAnsi="Times New Roman" w:eastAsia="宋体" w:cs="Times New Roman"/>
                <w:bCs/>
                <w:color w:val="auto"/>
                <w:sz w:val="24"/>
                <w:szCs w:val="24"/>
                <w:lang w:val="en-US" w:eastAsia="zh-CN"/>
              </w:rPr>
              <w:t>排放速率为0.</w:t>
            </w:r>
            <w:r>
              <w:rPr>
                <w:rFonts w:hint="eastAsia" w:cs="Times New Roman"/>
                <w:bCs/>
                <w:color w:val="auto"/>
                <w:sz w:val="24"/>
                <w:szCs w:val="24"/>
                <w:lang w:val="en-US" w:eastAsia="zh-CN"/>
              </w:rPr>
              <w:t>5789</w:t>
            </w:r>
            <w:r>
              <w:rPr>
                <w:rFonts w:hint="default" w:ascii="Times New Roman" w:hAnsi="Times New Roman" w:eastAsia="宋体" w:cs="Times New Roman"/>
                <w:bCs/>
                <w:color w:val="auto"/>
                <w:sz w:val="24"/>
                <w:szCs w:val="24"/>
                <w:lang w:val="en-US" w:eastAsia="zh-CN"/>
              </w:rPr>
              <w:t>t/a</w:t>
            </w:r>
            <w:r>
              <w:rPr>
                <w:rFonts w:hint="eastAsia" w:cs="Times New Roman"/>
                <w:bCs/>
                <w:color w:val="auto"/>
                <w:sz w:val="24"/>
                <w:szCs w:val="24"/>
                <w:lang w:val="en-US" w:eastAsia="zh-CN"/>
              </w:rPr>
              <w:t>×1000</w:t>
            </w:r>
            <w:r>
              <w:rPr>
                <w:rFonts w:hint="default" w:ascii="Times New Roman" w:hAnsi="Times New Roman" w:eastAsia="宋体" w:cs="Times New Roman"/>
                <w:bCs/>
                <w:color w:val="auto"/>
                <w:sz w:val="24"/>
                <w:szCs w:val="24"/>
                <w:lang w:val="en-US" w:eastAsia="zh-CN"/>
              </w:rPr>
              <w:t>÷（3</w:t>
            </w:r>
            <w:r>
              <w:rPr>
                <w:rFonts w:hint="eastAsia" w:cs="Times New Roman"/>
                <w:bCs/>
                <w:color w:val="auto"/>
                <w:sz w:val="24"/>
                <w:szCs w:val="24"/>
                <w:lang w:val="en-US" w:eastAsia="zh-CN"/>
              </w:rPr>
              <w:t>30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0.0731</w:t>
            </w:r>
            <w:r>
              <w:rPr>
                <w:rFonts w:hint="default" w:ascii="Times New Roman" w:hAnsi="Times New Roman" w:eastAsia="宋体" w:cs="Times New Roman"/>
                <w:bCs/>
                <w:color w:val="auto"/>
                <w:sz w:val="24"/>
                <w:szCs w:val="24"/>
                <w:lang w:val="en-US" w:eastAsia="zh-CN"/>
              </w:rPr>
              <w:t>kg/h</w:t>
            </w:r>
            <w:r>
              <w:rPr>
                <w:rFonts w:hint="eastAsia" w:cs="Times New Roman"/>
                <w:bCs/>
                <w:color w:val="auto"/>
                <w:sz w:val="24"/>
                <w:szCs w:val="24"/>
                <w:lang w:val="en-US" w:eastAsia="zh-CN"/>
              </w:rPr>
              <w:t>，排放</w:t>
            </w:r>
            <w:r>
              <w:rPr>
                <w:rFonts w:hint="eastAsia"/>
                <w:bCs/>
                <w:color w:val="auto"/>
                <w:sz w:val="24"/>
                <w:lang w:val="en-US" w:eastAsia="zh-CN"/>
              </w:rPr>
              <w:t>浓度为</w:t>
            </w:r>
            <w:r>
              <w:rPr>
                <w:rFonts w:hint="eastAsia" w:ascii="Times New Roman" w:hAnsi="Times New Roman" w:eastAsia="宋体" w:cs="Times New Roman"/>
                <w:bCs/>
                <w:color w:val="auto"/>
                <w:sz w:val="24"/>
                <w:szCs w:val="24"/>
                <w:lang w:val="en-US" w:eastAsia="zh-CN"/>
              </w:rPr>
              <w:t>18.27×（1-75%）=4.57mg/m</w:t>
            </w:r>
            <w:r>
              <w:rPr>
                <w:rFonts w:hint="eastAsia" w:ascii="Times New Roman" w:hAnsi="Times New Roman" w:eastAsia="宋体" w:cs="Times New Roman"/>
                <w:bCs/>
                <w:color w:val="auto"/>
                <w:sz w:val="24"/>
                <w:szCs w:val="24"/>
                <w:vertAlign w:val="superscript"/>
                <w:lang w:val="en-US" w:eastAsia="zh-CN"/>
              </w:rPr>
              <w:t>3</w:t>
            </w:r>
            <w:r>
              <w:rPr>
                <w:rFonts w:hint="eastAsia" w:cs="Times New Roman"/>
                <w:bCs/>
                <w:color w:val="auto"/>
                <w:sz w:val="24"/>
                <w:szCs w:val="24"/>
                <w:lang w:val="en-US" w:eastAsia="zh-CN"/>
              </w:rPr>
              <w:t>。有机废气（非甲烷总烃）</w:t>
            </w:r>
            <w:r>
              <w:rPr>
                <w:rFonts w:hint="default" w:ascii="Times New Roman" w:hAnsi="Times New Roman" w:eastAsia="宋体" w:cs="Times New Roman"/>
                <w:bCs/>
                <w:color w:val="auto"/>
                <w:sz w:val="24"/>
                <w:szCs w:val="24"/>
                <w:lang w:val="en-US" w:eastAsia="zh-CN"/>
              </w:rPr>
              <w:t>无组织排放量</w:t>
            </w:r>
            <w:r>
              <w:rPr>
                <w:rFonts w:hint="eastAsia" w:cs="Times New Roman"/>
                <w:bCs/>
                <w:color w:val="auto"/>
                <w:sz w:val="24"/>
                <w:szCs w:val="24"/>
                <w:lang w:val="en-US" w:eastAsia="zh-CN"/>
              </w:rPr>
              <w:t>2.8945</w:t>
            </w:r>
            <w:r>
              <w:rPr>
                <w:rFonts w:hint="default" w:ascii="Times New Roman" w:hAnsi="Times New Roman" w:eastAsia="宋体" w:cs="Times New Roman"/>
                <w:bCs/>
                <w:color w:val="auto"/>
                <w:sz w:val="24"/>
                <w:szCs w:val="24"/>
                <w:lang w:val="en-US" w:eastAsia="zh-CN"/>
              </w:rPr>
              <w:t>t/a×（1-</w:t>
            </w:r>
            <w:r>
              <w:rPr>
                <w:rFonts w:hint="eastAsia" w:cs="Times New Roman"/>
                <w:bCs/>
                <w:color w:val="auto"/>
                <w:sz w:val="24"/>
                <w:szCs w:val="24"/>
                <w:lang w:val="en-US" w:eastAsia="zh-CN"/>
              </w:rPr>
              <w:t>80</w:t>
            </w:r>
            <w:r>
              <w:rPr>
                <w:rFonts w:hint="default" w:ascii="Times New Roman" w:hAnsi="Times New Roman" w:eastAsia="宋体" w:cs="Times New Roman"/>
                <w:bCs/>
                <w:color w:val="auto"/>
                <w:sz w:val="24"/>
                <w:szCs w:val="24"/>
                <w:lang w:val="en-US" w:eastAsia="zh-CN"/>
              </w:rPr>
              <w:t>%）=0.</w:t>
            </w:r>
            <w:r>
              <w:rPr>
                <w:rFonts w:hint="eastAsia" w:cs="Times New Roman"/>
                <w:bCs/>
                <w:color w:val="auto"/>
                <w:sz w:val="24"/>
                <w:szCs w:val="24"/>
                <w:lang w:val="en-US" w:eastAsia="zh-CN"/>
              </w:rPr>
              <w:t>5789</w:t>
            </w:r>
            <w:r>
              <w:rPr>
                <w:rFonts w:hint="default" w:ascii="Times New Roman" w:hAnsi="Times New Roman" w:eastAsia="宋体" w:cs="Times New Roman"/>
                <w:bCs/>
                <w:color w:val="auto"/>
                <w:sz w:val="24"/>
                <w:szCs w:val="24"/>
                <w:lang w:val="en-US" w:eastAsia="zh-CN"/>
              </w:rPr>
              <w:t>t/a，排放效率为</w:t>
            </w:r>
            <w:r>
              <w:rPr>
                <w:rFonts w:hint="eastAsia" w:cs="Times New Roman"/>
                <w:bCs/>
                <w:color w:val="auto"/>
                <w:sz w:val="24"/>
                <w:szCs w:val="24"/>
                <w:lang w:val="en-US" w:eastAsia="zh-CN"/>
              </w:rPr>
              <w:t>0.5789</w:t>
            </w:r>
            <w:r>
              <w:rPr>
                <w:rFonts w:hint="default" w:ascii="Times New Roman" w:hAnsi="Times New Roman" w:eastAsia="宋体" w:cs="Times New Roman"/>
                <w:bCs/>
                <w:color w:val="auto"/>
                <w:sz w:val="24"/>
                <w:szCs w:val="24"/>
                <w:lang w:val="en-US" w:eastAsia="zh-CN"/>
              </w:rPr>
              <w:t>t/a×1000÷（3</w:t>
            </w:r>
            <w:r>
              <w:rPr>
                <w:rFonts w:hint="eastAsia" w:cs="Times New Roman"/>
                <w:bCs/>
                <w:color w:val="auto"/>
                <w:sz w:val="24"/>
                <w:szCs w:val="24"/>
                <w:lang w:val="en-US" w:eastAsia="zh-CN"/>
              </w:rPr>
              <w:t>30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）=0.0</w:t>
            </w:r>
            <w:r>
              <w:rPr>
                <w:rFonts w:hint="eastAsia" w:cs="Times New Roman"/>
                <w:bCs/>
                <w:color w:val="auto"/>
                <w:sz w:val="24"/>
                <w:szCs w:val="24"/>
                <w:lang w:val="en-US" w:eastAsia="zh-CN"/>
              </w:rPr>
              <w:t>731</w:t>
            </w:r>
            <w:r>
              <w:rPr>
                <w:rFonts w:hint="default" w:ascii="Times New Roman" w:hAnsi="Times New Roman" w:eastAsia="宋体" w:cs="Times New Roman"/>
                <w:bCs/>
                <w:color w:val="auto"/>
                <w:sz w:val="24"/>
                <w:szCs w:val="24"/>
                <w:lang w:val="en-US" w:eastAsia="zh-CN"/>
              </w:rPr>
              <w:t>kg/h</w:t>
            </w:r>
            <w:r>
              <w:rPr>
                <w:rFonts w:hint="eastAsia" w:cs="Times New Roman"/>
                <w:color w:val="auto"/>
                <w:sz w:val="24"/>
                <w:szCs w:val="24"/>
                <w:highlight w:val="none"/>
                <w:lang w:val="en-US" w:eastAsia="zh-CN"/>
              </w:rPr>
              <w:t>。苯乙烯有组织排放量为0.8436t/a×80%×（1-75%）=0.1687t/a，</w:t>
            </w:r>
            <w:r>
              <w:rPr>
                <w:rFonts w:hint="default" w:ascii="Times New Roman" w:hAnsi="Times New Roman" w:eastAsia="宋体" w:cs="Times New Roman"/>
                <w:bCs/>
                <w:color w:val="auto"/>
                <w:sz w:val="24"/>
                <w:szCs w:val="24"/>
                <w:lang w:val="en-US" w:eastAsia="zh-CN"/>
              </w:rPr>
              <w:t>排放速率为</w:t>
            </w:r>
            <w:r>
              <w:rPr>
                <w:rFonts w:hint="eastAsia" w:cs="Times New Roman"/>
                <w:bCs/>
                <w:color w:val="auto"/>
                <w:sz w:val="24"/>
                <w:szCs w:val="24"/>
                <w:lang w:val="en-US" w:eastAsia="zh-CN"/>
              </w:rPr>
              <w:t>0.1687</w:t>
            </w:r>
            <w:r>
              <w:rPr>
                <w:rFonts w:hint="default" w:ascii="Times New Roman" w:hAnsi="Times New Roman" w:eastAsia="宋体" w:cs="Times New Roman"/>
                <w:bCs/>
                <w:color w:val="auto"/>
                <w:sz w:val="24"/>
                <w:szCs w:val="24"/>
                <w:lang w:val="en-US" w:eastAsia="zh-CN"/>
              </w:rPr>
              <w:t>t/a</w:t>
            </w:r>
            <w:r>
              <w:rPr>
                <w:rFonts w:hint="eastAsia" w:cs="Times New Roman"/>
                <w:bCs/>
                <w:color w:val="auto"/>
                <w:sz w:val="24"/>
                <w:szCs w:val="24"/>
                <w:lang w:val="en-US" w:eastAsia="zh-CN"/>
              </w:rPr>
              <w:t>×1000</w:t>
            </w:r>
            <w:r>
              <w:rPr>
                <w:rFonts w:hint="default" w:ascii="Times New Roman" w:hAnsi="Times New Roman" w:eastAsia="宋体" w:cs="Times New Roman"/>
                <w:bCs/>
                <w:color w:val="auto"/>
                <w:sz w:val="24"/>
                <w:szCs w:val="24"/>
                <w:lang w:val="en-US" w:eastAsia="zh-CN"/>
              </w:rPr>
              <w:t>÷（3</w:t>
            </w:r>
            <w:r>
              <w:rPr>
                <w:rFonts w:hint="eastAsia" w:cs="Times New Roman"/>
                <w:bCs/>
                <w:color w:val="auto"/>
                <w:sz w:val="24"/>
                <w:szCs w:val="24"/>
                <w:lang w:val="en-US" w:eastAsia="zh-CN"/>
              </w:rPr>
              <w:t>30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0.0213</w:t>
            </w:r>
            <w:r>
              <w:rPr>
                <w:rFonts w:hint="default" w:ascii="Times New Roman" w:hAnsi="Times New Roman" w:eastAsia="宋体" w:cs="Times New Roman"/>
                <w:bCs/>
                <w:color w:val="auto"/>
                <w:sz w:val="24"/>
                <w:szCs w:val="24"/>
                <w:lang w:val="en-US" w:eastAsia="zh-CN"/>
              </w:rPr>
              <w:t>kg/h</w:t>
            </w:r>
            <w:r>
              <w:rPr>
                <w:rFonts w:hint="eastAsia" w:cs="Times New Roman"/>
                <w:bCs/>
                <w:color w:val="auto"/>
                <w:sz w:val="24"/>
                <w:szCs w:val="24"/>
                <w:lang w:val="en-US" w:eastAsia="zh-CN"/>
              </w:rPr>
              <w:t>，排放</w:t>
            </w:r>
            <w:r>
              <w:rPr>
                <w:rFonts w:hint="eastAsia"/>
                <w:bCs/>
                <w:color w:val="auto"/>
                <w:sz w:val="24"/>
                <w:lang w:val="en-US" w:eastAsia="zh-CN"/>
              </w:rPr>
              <w:t>浓度为5.33×（1-75%）=1.33mg/m</w:t>
            </w:r>
            <w:r>
              <w:rPr>
                <w:rFonts w:hint="eastAsia"/>
                <w:bCs/>
                <w:color w:val="auto"/>
                <w:sz w:val="24"/>
                <w:vertAlign w:val="superscript"/>
                <w:lang w:val="en-US" w:eastAsia="zh-CN"/>
              </w:rPr>
              <w:t>3</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苯乙烯</w:t>
            </w:r>
            <w:r>
              <w:rPr>
                <w:rFonts w:hint="default" w:ascii="Times New Roman" w:hAnsi="Times New Roman" w:eastAsia="宋体" w:cs="Times New Roman"/>
                <w:bCs/>
                <w:color w:val="auto"/>
                <w:sz w:val="24"/>
                <w:szCs w:val="24"/>
                <w:lang w:val="en-US" w:eastAsia="zh-CN"/>
              </w:rPr>
              <w:t>无组织排放量</w:t>
            </w:r>
            <w:r>
              <w:rPr>
                <w:rFonts w:hint="eastAsia" w:cs="Times New Roman"/>
                <w:bCs/>
                <w:color w:val="auto"/>
                <w:sz w:val="24"/>
                <w:szCs w:val="24"/>
                <w:lang w:val="en-US" w:eastAsia="zh-CN"/>
              </w:rPr>
              <w:t>0.8436</w:t>
            </w:r>
            <w:r>
              <w:rPr>
                <w:rFonts w:hint="default" w:ascii="Times New Roman" w:hAnsi="Times New Roman" w:eastAsia="宋体" w:cs="Times New Roman"/>
                <w:bCs/>
                <w:color w:val="auto"/>
                <w:sz w:val="24"/>
                <w:szCs w:val="24"/>
                <w:lang w:val="en-US" w:eastAsia="zh-CN"/>
              </w:rPr>
              <w:t>t/a×（1-</w:t>
            </w:r>
            <w:r>
              <w:rPr>
                <w:rFonts w:hint="eastAsia" w:cs="Times New Roman"/>
                <w:bCs/>
                <w:color w:val="auto"/>
                <w:sz w:val="24"/>
                <w:szCs w:val="24"/>
                <w:lang w:val="en-US" w:eastAsia="zh-CN"/>
              </w:rPr>
              <w:t>8</w:t>
            </w:r>
            <w:r>
              <w:rPr>
                <w:rFonts w:hint="default" w:ascii="Times New Roman" w:hAnsi="Times New Roman" w:eastAsia="宋体" w:cs="Times New Roman"/>
                <w:bCs/>
                <w:color w:val="auto"/>
                <w:sz w:val="24"/>
                <w:szCs w:val="24"/>
                <w:lang w:val="en-US" w:eastAsia="zh-CN"/>
              </w:rPr>
              <w:t>0%）=</w:t>
            </w:r>
            <w:r>
              <w:rPr>
                <w:rFonts w:hint="eastAsia" w:cs="Times New Roman"/>
                <w:bCs/>
                <w:color w:val="auto"/>
                <w:sz w:val="24"/>
                <w:szCs w:val="24"/>
                <w:lang w:val="en-US" w:eastAsia="zh-CN"/>
              </w:rPr>
              <w:t>0.1687</w:t>
            </w:r>
            <w:r>
              <w:rPr>
                <w:rFonts w:hint="default" w:ascii="Times New Roman" w:hAnsi="Times New Roman" w:eastAsia="宋体" w:cs="Times New Roman"/>
                <w:bCs/>
                <w:color w:val="auto"/>
                <w:sz w:val="24"/>
                <w:szCs w:val="24"/>
                <w:lang w:val="en-US" w:eastAsia="zh-CN"/>
              </w:rPr>
              <w:t>t/a，排放效率为</w:t>
            </w:r>
            <w:r>
              <w:rPr>
                <w:rFonts w:hint="eastAsia" w:cs="Times New Roman"/>
                <w:bCs/>
                <w:color w:val="auto"/>
                <w:sz w:val="24"/>
                <w:szCs w:val="24"/>
                <w:lang w:val="en-US" w:eastAsia="zh-CN"/>
              </w:rPr>
              <w:t>0.1687</w:t>
            </w:r>
            <w:r>
              <w:rPr>
                <w:rFonts w:hint="default" w:ascii="Times New Roman" w:hAnsi="Times New Roman" w:eastAsia="宋体" w:cs="Times New Roman"/>
                <w:bCs/>
                <w:color w:val="auto"/>
                <w:sz w:val="24"/>
                <w:szCs w:val="24"/>
                <w:lang w:val="en-US" w:eastAsia="zh-CN"/>
              </w:rPr>
              <w:t>t/a×1000÷（3</w:t>
            </w:r>
            <w:r>
              <w:rPr>
                <w:rFonts w:hint="eastAsia" w:cs="Times New Roman"/>
                <w:bCs/>
                <w:color w:val="auto"/>
                <w:sz w:val="24"/>
                <w:szCs w:val="24"/>
                <w:lang w:val="en-US" w:eastAsia="zh-CN"/>
              </w:rPr>
              <w:t>30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0.0213</w:t>
            </w:r>
            <w:r>
              <w:rPr>
                <w:rFonts w:hint="default" w:ascii="Times New Roman" w:hAnsi="Times New Roman" w:eastAsia="宋体" w:cs="Times New Roman"/>
                <w:bCs/>
                <w:color w:val="auto"/>
                <w:sz w:val="24"/>
                <w:szCs w:val="24"/>
                <w:lang w:val="en-US" w:eastAsia="zh-CN"/>
              </w:rPr>
              <w:t>kg/h</w:t>
            </w:r>
            <w:r>
              <w:rPr>
                <w:rFonts w:hint="eastAsia" w:cs="Times New Roman"/>
                <w:color w:val="auto"/>
                <w:sz w:val="24"/>
                <w:szCs w:val="24"/>
                <w:highlight w:val="none"/>
                <w:lang w:val="en-US" w:eastAsia="zh-CN"/>
              </w:rPr>
              <w:t>。</w:t>
            </w:r>
          </w:p>
          <w:p w14:paraId="23291A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bCs/>
                <w:color w:val="auto"/>
                <w:sz w:val="24"/>
                <w:szCs w:val="24"/>
                <w:lang w:val="en-US" w:eastAsia="zh-CN"/>
              </w:rPr>
              <w:t>污染物产生及排放情况详见表4.1-2。</w:t>
            </w:r>
          </w:p>
        </w:tc>
      </w:tr>
    </w:tbl>
    <w:p w14:paraId="01E29A21">
      <w:pPr>
        <w:jc w:val="center"/>
        <w:rPr>
          <w:rFonts w:hint="default" w:ascii="Times New Roman" w:hAnsi="Times New Roman" w:eastAsia="宋体" w:cs="Times New Roman"/>
          <w:color w:val="auto"/>
          <w:kern w:val="0"/>
          <w:sz w:val="24"/>
          <w:szCs w:val="24"/>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4"/>
        <w:tblW w:w="13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3338"/>
      </w:tblGrid>
      <w:tr w14:paraId="3F2D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536" w:type="dxa"/>
            <w:vAlign w:val="center"/>
          </w:tcPr>
          <w:p w14:paraId="47FB3440">
            <w:pPr>
              <w:jc w:val="center"/>
              <w:rPr>
                <w:rFonts w:hint="default" w:ascii="Times New Roman" w:hAnsi="Times New Roman" w:eastAsia="宋体" w:cs="Times New Roman"/>
                <w:color w:val="auto"/>
                <w:kern w:val="0"/>
                <w:sz w:val="24"/>
                <w:szCs w:val="24"/>
                <w:lang w:val="en-US" w:eastAsia="zh-CN"/>
              </w:rPr>
            </w:pPr>
          </w:p>
        </w:tc>
        <w:tc>
          <w:tcPr>
            <w:tcW w:w="13338" w:type="dxa"/>
          </w:tcPr>
          <w:p w14:paraId="66C52710">
            <w:pPr>
              <w:keepNext/>
              <w:keepLines w:val="0"/>
              <w:pageBreakBefore w:val="0"/>
              <w:widowControl w:val="0"/>
              <w:kinsoku/>
              <w:wordWrap/>
              <w:overflowPunct w:val="0"/>
              <w:topLinePunct w:val="0"/>
              <w:autoSpaceDE/>
              <w:autoSpaceDN/>
              <w:bidi w:val="0"/>
              <w:adjustRightInd w:val="0"/>
              <w:snapToGrid w:val="0"/>
              <w:spacing w:line="240" w:lineRule="auto"/>
              <w:ind w:left="431" w:hanging="431"/>
              <w:textAlignment w:val="auto"/>
              <w:outlineLvl w:val="2"/>
              <w:rPr>
                <w:rFonts w:hint="default"/>
                <w:b/>
                <w:color w:val="262626"/>
                <w:kern w:val="0"/>
                <w:sz w:val="24"/>
                <w:lang w:val="en-US" w:eastAsia="zh-CN"/>
              </w:rPr>
            </w:pPr>
            <w:bookmarkStart w:id="159" w:name="_Toc16291"/>
            <w:bookmarkStart w:id="160" w:name="_Toc25571"/>
            <w:r>
              <w:rPr>
                <w:rFonts w:hint="eastAsia"/>
                <w:b/>
                <w:color w:val="262626"/>
                <w:kern w:val="0"/>
                <w:sz w:val="24"/>
                <w:lang w:val="en-US" w:eastAsia="zh-CN"/>
              </w:rPr>
              <w:t>4.1.2废气产排情况一览表</w:t>
            </w:r>
            <w:bookmarkEnd w:id="159"/>
            <w:bookmarkEnd w:id="160"/>
          </w:p>
          <w:p w14:paraId="196F787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表4.1-</w:t>
            </w:r>
            <w:r>
              <w:rPr>
                <w:rFonts w:hint="eastAsia" w:cs="Times New Roman"/>
                <w:b/>
                <w:bCs/>
                <w:color w:val="auto"/>
                <w:sz w:val="24"/>
                <w:szCs w:val="24"/>
                <w:u w:val="none"/>
                <w:lang w:val="en-US" w:eastAsia="zh-CN"/>
              </w:rPr>
              <w:t>2</w:t>
            </w:r>
            <w:r>
              <w:rPr>
                <w:rFonts w:hint="eastAsia" w:ascii="Times New Roman" w:hAnsi="Times New Roman" w:eastAsia="宋体" w:cs="Times New Roman"/>
                <w:b/>
                <w:bCs/>
                <w:color w:val="auto"/>
                <w:sz w:val="24"/>
                <w:szCs w:val="24"/>
                <w:u w:val="none"/>
                <w:lang w:val="en-US" w:eastAsia="zh-CN"/>
              </w:rPr>
              <w:t>项目废气产排情况一览表</w:t>
            </w:r>
          </w:p>
          <w:tbl>
            <w:tblPr>
              <w:tblStyle w:val="24"/>
              <w:tblW w:w="131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681"/>
              <w:gridCol w:w="942"/>
              <w:gridCol w:w="388"/>
              <w:gridCol w:w="362"/>
              <w:gridCol w:w="845"/>
              <w:gridCol w:w="805"/>
              <w:gridCol w:w="818"/>
              <w:gridCol w:w="2179"/>
              <w:gridCol w:w="810"/>
              <w:gridCol w:w="825"/>
              <w:gridCol w:w="960"/>
              <w:gridCol w:w="885"/>
              <w:gridCol w:w="669"/>
              <w:gridCol w:w="216"/>
              <w:gridCol w:w="690"/>
              <w:gridCol w:w="649"/>
            </w:tblGrid>
            <w:tr w14:paraId="3AFDE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dxa"/>
                  <w:vMerge w:val="restart"/>
                  <w:tcBorders>
                    <w:tl2br w:val="nil"/>
                    <w:tr2bl w:val="nil"/>
                  </w:tcBorders>
                  <w:vAlign w:val="center"/>
                </w:tcPr>
                <w:p w14:paraId="1785B9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排放形式</w:t>
                  </w:r>
                </w:p>
              </w:tc>
              <w:tc>
                <w:tcPr>
                  <w:tcW w:w="681" w:type="dxa"/>
                  <w:vMerge w:val="restart"/>
                  <w:tcBorders>
                    <w:tl2br w:val="nil"/>
                    <w:tr2bl w:val="nil"/>
                  </w:tcBorders>
                  <w:vAlign w:val="center"/>
                </w:tcPr>
                <w:p w14:paraId="5B5BDD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产污工序</w:t>
                  </w:r>
                </w:p>
              </w:tc>
              <w:tc>
                <w:tcPr>
                  <w:tcW w:w="942" w:type="dxa"/>
                  <w:vMerge w:val="restart"/>
                  <w:tcBorders>
                    <w:tl2br w:val="nil"/>
                    <w:tr2bl w:val="nil"/>
                  </w:tcBorders>
                  <w:vAlign w:val="center"/>
                </w:tcPr>
                <w:p w14:paraId="6C9C13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污染物</w:t>
                  </w:r>
                </w:p>
              </w:tc>
              <w:tc>
                <w:tcPr>
                  <w:tcW w:w="750" w:type="dxa"/>
                  <w:gridSpan w:val="2"/>
                  <w:vMerge w:val="restart"/>
                  <w:tcBorders>
                    <w:tl2br w:val="nil"/>
                    <w:tr2bl w:val="nil"/>
                  </w:tcBorders>
                  <w:vAlign w:val="center"/>
                </w:tcPr>
                <w:p w14:paraId="3F9238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设计</w:t>
                  </w:r>
                  <w:r>
                    <w:rPr>
                      <w:rFonts w:hint="default" w:ascii="Times New Roman" w:hAnsi="Times New Roman" w:eastAsia="宋体" w:cs="Times New Roman"/>
                      <w:b w:val="0"/>
                      <w:bCs w:val="0"/>
                      <w:color w:val="auto"/>
                      <w:sz w:val="21"/>
                      <w:szCs w:val="21"/>
                      <w:u w:val="none"/>
                      <w:vertAlign w:val="baseline"/>
                      <w:lang w:val="en-US" w:eastAsia="zh-CN"/>
                    </w:rPr>
                    <w:t>风量</w:t>
                  </w:r>
                  <w:r>
                    <w:rPr>
                      <w:rFonts w:hint="default" w:ascii="Times New Roman" w:hAnsi="Times New Roman" w:eastAsia="宋体" w:cs="Times New Roman"/>
                      <w:b w:val="0"/>
                      <w:bCs w:val="0"/>
                      <w:color w:val="auto"/>
                      <w:sz w:val="21"/>
                      <w:szCs w:val="21"/>
                      <w:highlight w:val="none"/>
                      <w:u w:val="none"/>
                      <w:vertAlign w:val="baseline"/>
                      <w:lang w:val="en-US" w:eastAsia="zh-CN"/>
                    </w:rPr>
                    <w:t>m</w:t>
                  </w:r>
                  <w:r>
                    <w:rPr>
                      <w:rFonts w:hint="default" w:ascii="Times New Roman" w:hAnsi="Times New Roman" w:eastAsia="宋体"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/h</w:t>
                  </w:r>
                </w:p>
              </w:tc>
              <w:tc>
                <w:tcPr>
                  <w:tcW w:w="2468" w:type="dxa"/>
                  <w:gridSpan w:val="3"/>
                  <w:tcBorders>
                    <w:tl2br w:val="nil"/>
                    <w:tr2bl w:val="nil"/>
                  </w:tcBorders>
                  <w:vAlign w:val="center"/>
                </w:tcPr>
                <w:p w14:paraId="6FE62D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产生情况</w:t>
                  </w:r>
                </w:p>
              </w:tc>
              <w:tc>
                <w:tcPr>
                  <w:tcW w:w="2179" w:type="dxa"/>
                  <w:vMerge w:val="restart"/>
                  <w:tcBorders>
                    <w:tl2br w:val="nil"/>
                    <w:tr2bl w:val="nil"/>
                  </w:tcBorders>
                  <w:vAlign w:val="center"/>
                </w:tcPr>
                <w:p w14:paraId="3FA7E7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治理措施</w:t>
                  </w:r>
                </w:p>
              </w:tc>
              <w:tc>
                <w:tcPr>
                  <w:tcW w:w="2595" w:type="dxa"/>
                  <w:gridSpan w:val="3"/>
                  <w:tcBorders>
                    <w:tl2br w:val="nil"/>
                    <w:tr2bl w:val="nil"/>
                  </w:tcBorders>
                  <w:vAlign w:val="center"/>
                </w:tcPr>
                <w:p w14:paraId="2ACBB2AF">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排放情况</w:t>
                  </w:r>
                </w:p>
              </w:tc>
              <w:tc>
                <w:tcPr>
                  <w:tcW w:w="3109" w:type="dxa"/>
                  <w:gridSpan w:val="5"/>
                  <w:tcBorders>
                    <w:tl2br w:val="nil"/>
                    <w:tr2bl w:val="nil"/>
                  </w:tcBorders>
                  <w:vAlign w:val="center"/>
                </w:tcPr>
                <w:p w14:paraId="5B2AB42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排气口基本情况</w:t>
                  </w:r>
                </w:p>
              </w:tc>
            </w:tr>
            <w:tr w14:paraId="2CC18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391" w:type="dxa"/>
                  <w:vMerge w:val="continue"/>
                  <w:tcBorders>
                    <w:tl2br w:val="nil"/>
                    <w:tr2bl w:val="nil"/>
                  </w:tcBorders>
                  <w:vAlign w:val="center"/>
                </w:tcPr>
                <w:p w14:paraId="59089D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p>
              </w:tc>
              <w:tc>
                <w:tcPr>
                  <w:tcW w:w="681" w:type="dxa"/>
                  <w:vMerge w:val="continue"/>
                  <w:tcBorders>
                    <w:tl2br w:val="nil"/>
                    <w:tr2bl w:val="nil"/>
                  </w:tcBorders>
                  <w:vAlign w:val="center"/>
                </w:tcPr>
                <w:p w14:paraId="4C4CFC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p>
              </w:tc>
              <w:tc>
                <w:tcPr>
                  <w:tcW w:w="942" w:type="dxa"/>
                  <w:vMerge w:val="continue"/>
                  <w:tcBorders>
                    <w:tl2br w:val="nil"/>
                    <w:tr2bl w:val="nil"/>
                  </w:tcBorders>
                  <w:vAlign w:val="center"/>
                </w:tcPr>
                <w:p w14:paraId="40F6FE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p>
              </w:tc>
              <w:tc>
                <w:tcPr>
                  <w:tcW w:w="750" w:type="dxa"/>
                  <w:gridSpan w:val="2"/>
                  <w:vMerge w:val="continue"/>
                  <w:tcBorders>
                    <w:tl2br w:val="nil"/>
                    <w:tr2bl w:val="nil"/>
                  </w:tcBorders>
                  <w:vAlign w:val="center"/>
                </w:tcPr>
                <w:p w14:paraId="3EBF53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p>
              </w:tc>
              <w:tc>
                <w:tcPr>
                  <w:tcW w:w="845" w:type="dxa"/>
                  <w:tcBorders>
                    <w:tl2br w:val="nil"/>
                    <w:tr2bl w:val="nil"/>
                  </w:tcBorders>
                  <w:vAlign w:val="center"/>
                </w:tcPr>
                <w:p w14:paraId="4AC476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产生量</w:t>
                  </w:r>
                </w:p>
                <w:p w14:paraId="4A52E2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t/a</w:t>
                  </w:r>
                </w:p>
              </w:tc>
              <w:tc>
                <w:tcPr>
                  <w:tcW w:w="805" w:type="dxa"/>
                  <w:tcBorders>
                    <w:tl2br w:val="nil"/>
                    <w:tr2bl w:val="nil"/>
                  </w:tcBorders>
                  <w:vAlign w:val="center"/>
                </w:tcPr>
                <w:p w14:paraId="3B7044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产生速率</w:t>
                  </w:r>
                  <w:r>
                    <w:rPr>
                      <w:rFonts w:hint="default" w:ascii="Times New Roman" w:hAnsi="Times New Roman" w:eastAsia="宋体" w:cs="Times New Roman"/>
                      <w:b w:val="0"/>
                      <w:bCs w:val="0"/>
                      <w:color w:val="auto"/>
                      <w:sz w:val="21"/>
                      <w:szCs w:val="21"/>
                      <w:highlight w:val="none"/>
                      <w:u w:val="none"/>
                      <w:vertAlign w:val="baseline"/>
                      <w:lang w:val="en-US" w:eastAsia="zh-CN"/>
                    </w:rPr>
                    <w:t>kg/h</w:t>
                  </w:r>
                </w:p>
              </w:tc>
              <w:tc>
                <w:tcPr>
                  <w:tcW w:w="818" w:type="dxa"/>
                  <w:tcBorders>
                    <w:tl2br w:val="nil"/>
                    <w:tr2bl w:val="nil"/>
                  </w:tcBorders>
                  <w:vAlign w:val="center"/>
                </w:tcPr>
                <w:p w14:paraId="26DDE5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w:t>
                  </w:r>
                </w:p>
                <w:p w14:paraId="1FA95A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浓</w:t>
                  </w:r>
                  <w:r>
                    <w:rPr>
                      <w:rFonts w:hint="default" w:ascii="Times New Roman" w:hAnsi="Times New Roman" w:eastAsia="宋体" w:cs="Times New Roman"/>
                      <w:b w:val="0"/>
                      <w:bCs w:val="0"/>
                      <w:color w:val="auto"/>
                      <w:sz w:val="21"/>
                      <w:szCs w:val="21"/>
                      <w:u w:val="none"/>
                      <w:vertAlign w:val="baseline"/>
                      <w:lang w:val="en-US" w:eastAsia="zh-CN"/>
                    </w:rPr>
                    <w:t>度</w:t>
                  </w:r>
                  <w:r>
                    <w:rPr>
                      <w:rFonts w:hint="default" w:ascii="Times New Roman" w:hAnsi="Times New Roman" w:eastAsia="宋体" w:cs="Times New Roman"/>
                      <w:b w:val="0"/>
                      <w:bCs w:val="0"/>
                      <w:color w:val="auto"/>
                      <w:sz w:val="21"/>
                      <w:szCs w:val="21"/>
                      <w:highlight w:val="none"/>
                      <w:u w:val="none"/>
                      <w:vertAlign w:val="baseli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2179" w:type="dxa"/>
                  <w:vMerge w:val="continue"/>
                  <w:tcBorders>
                    <w:tl2br w:val="nil"/>
                    <w:tr2bl w:val="nil"/>
                  </w:tcBorders>
                  <w:vAlign w:val="center"/>
                </w:tcPr>
                <w:p w14:paraId="7D23AF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810" w:type="dxa"/>
                  <w:tcBorders>
                    <w:tl2br w:val="nil"/>
                    <w:tr2bl w:val="nil"/>
                  </w:tcBorders>
                  <w:vAlign w:val="center"/>
                </w:tcPr>
                <w:p w14:paraId="2409F8EF">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排放量</w:t>
                  </w:r>
                </w:p>
                <w:p w14:paraId="47366A3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t/a</w:t>
                  </w:r>
                </w:p>
              </w:tc>
              <w:tc>
                <w:tcPr>
                  <w:tcW w:w="825" w:type="dxa"/>
                  <w:tcBorders>
                    <w:tl2br w:val="nil"/>
                    <w:tr2bl w:val="nil"/>
                  </w:tcBorders>
                  <w:vAlign w:val="center"/>
                </w:tcPr>
                <w:p w14:paraId="6CC499C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排放速率kg/h</w:t>
                  </w:r>
                </w:p>
              </w:tc>
              <w:tc>
                <w:tcPr>
                  <w:tcW w:w="960" w:type="dxa"/>
                  <w:tcBorders>
                    <w:tl2br w:val="nil"/>
                    <w:tr2bl w:val="nil"/>
                  </w:tcBorders>
                  <w:vAlign w:val="center"/>
                </w:tcPr>
                <w:p w14:paraId="14AC707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排放浓度mg/m</w:t>
                  </w:r>
                  <w:r>
                    <w:rPr>
                      <w:rFonts w:hint="eastAsia" w:eastAsia="宋体" w:cs="Times New Roman"/>
                      <w:b w:val="0"/>
                      <w:bCs w:val="0"/>
                      <w:color w:val="auto"/>
                      <w:sz w:val="21"/>
                      <w:szCs w:val="21"/>
                      <w:u w:val="none"/>
                      <w:vertAlign w:val="superscript"/>
                      <w:lang w:val="en-US" w:eastAsia="zh-CN"/>
                    </w:rPr>
                    <w:t>3</w:t>
                  </w:r>
                </w:p>
              </w:tc>
              <w:tc>
                <w:tcPr>
                  <w:tcW w:w="885" w:type="dxa"/>
                  <w:tcBorders>
                    <w:tl2br w:val="nil"/>
                    <w:tr2bl w:val="nil"/>
                  </w:tcBorders>
                  <w:vAlign w:val="center"/>
                </w:tcPr>
                <w:p w14:paraId="6871B50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排气筒编号</w:t>
                  </w:r>
                </w:p>
              </w:tc>
              <w:tc>
                <w:tcPr>
                  <w:tcW w:w="885" w:type="dxa"/>
                  <w:gridSpan w:val="2"/>
                  <w:tcBorders>
                    <w:tl2br w:val="nil"/>
                    <w:tr2bl w:val="nil"/>
                  </w:tcBorders>
                  <w:vAlign w:val="center"/>
                </w:tcPr>
                <w:p w14:paraId="77518BD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类型</w:t>
                  </w:r>
                </w:p>
              </w:tc>
              <w:tc>
                <w:tcPr>
                  <w:tcW w:w="690" w:type="dxa"/>
                  <w:tcBorders>
                    <w:tl2br w:val="nil"/>
                    <w:tr2bl w:val="nil"/>
                  </w:tcBorders>
                  <w:vAlign w:val="center"/>
                </w:tcPr>
                <w:p w14:paraId="328C42F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排气筒高度</w:t>
                  </w:r>
                </w:p>
              </w:tc>
              <w:tc>
                <w:tcPr>
                  <w:tcW w:w="649" w:type="dxa"/>
                  <w:tcBorders>
                    <w:tl2br w:val="nil"/>
                    <w:tr2bl w:val="nil"/>
                  </w:tcBorders>
                  <w:vAlign w:val="center"/>
                </w:tcPr>
                <w:p w14:paraId="241178A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排气筒温度</w:t>
                  </w:r>
                </w:p>
              </w:tc>
            </w:tr>
            <w:tr w14:paraId="6F1D5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391" w:type="dxa"/>
                  <w:vMerge w:val="restart"/>
                  <w:tcBorders>
                    <w:tl2br w:val="nil"/>
                    <w:tr2bl w:val="nil"/>
                  </w:tcBorders>
                  <w:vAlign w:val="center"/>
                </w:tcPr>
                <w:p w14:paraId="2CA760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681" w:type="dxa"/>
                  <w:vMerge w:val="restart"/>
                  <w:tcBorders>
                    <w:tl2br w:val="nil"/>
                    <w:tr2bl w:val="nil"/>
                  </w:tcBorders>
                  <w:vAlign w:val="center"/>
                </w:tcPr>
                <w:p w14:paraId="561797D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r>
                    <w:rPr>
                      <w:rFonts w:hint="eastAsia" w:eastAsia="宋体" w:cs="Times New Roman"/>
                      <w:b w:val="0"/>
                      <w:bCs w:val="0"/>
                      <w:color w:val="auto"/>
                      <w:sz w:val="21"/>
                      <w:szCs w:val="21"/>
                      <w:highlight w:val="none"/>
                      <w:u w:val="none"/>
                      <w:lang w:val="en-US" w:eastAsia="zh-CN"/>
                    </w:rPr>
                    <w:t>预发、成型工序</w:t>
                  </w:r>
                </w:p>
              </w:tc>
              <w:tc>
                <w:tcPr>
                  <w:tcW w:w="942" w:type="dxa"/>
                  <w:tcBorders>
                    <w:tl2br w:val="nil"/>
                    <w:tr2bl w:val="nil"/>
                  </w:tcBorders>
                  <w:vAlign w:val="center"/>
                </w:tcPr>
                <w:p w14:paraId="695CE5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非甲烷总烃</w:t>
                  </w:r>
                </w:p>
              </w:tc>
              <w:tc>
                <w:tcPr>
                  <w:tcW w:w="750" w:type="dxa"/>
                  <w:gridSpan w:val="2"/>
                  <w:tcBorders>
                    <w:tl2br w:val="nil"/>
                    <w:tr2bl w:val="nil"/>
                  </w:tcBorders>
                  <w:vAlign w:val="center"/>
                </w:tcPr>
                <w:p w14:paraId="185760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845" w:type="dxa"/>
                  <w:tcBorders>
                    <w:tl2br w:val="nil"/>
                    <w:tr2bl w:val="nil"/>
                  </w:tcBorders>
                  <w:vAlign w:val="center"/>
                </w:tcPr>
                <w:p w14:paraId="0FA754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2.8945</w:t>
                  </w:r>
                </w:p>
              </w:tc>
              <w:tc>
                <w:tcPr>
                  <w:tcW w:w="805" w:type="dxa"/>
                  <w:tcBorders>
                    <w:tl2br w:val="nil"/>
                    <w:tr2bl w:val="nil"/>
                  </w:tcBorders>
                  <w:vAlign w:val="center"/>
                </w:tcPr>
                <w:p w14:paraId="6BE230E6">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0.3655</w:t>
                  </w:r>
                </w:p>
              </w:tc>
              <w:tc>
                <w:tcPr>
                  <w:tcW w:w="818" w:type="dxa"/>
                  <w:tcBorders>
                    <w:tl2br w:val="nil"/>
                    <w:tr2bl w:val="nil"/>
                  </w:tcBorders>
                  <w:vAlign w:val="center"/>
                </w:tcPr>
                <w:p w14:paraId="1EB840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18.27</w:t>
                  </w:r>
                </w:p>
              </w:tc>
              <w:tc>
                <w:tcPr>
                  <w:tcW w:w="2179" w:type="dxa"/>
                  <w:vMerge w:val="restart"/>
                  <w:tcBorders>
                    <w:tl2br w:val="nil"/>
                    <w:tr2bl w:val="nil"/>
                  </w:tcBorders>
                  <w:vAlign w:val="center"/>
                </w:tcPr>
                <w:p w14:paraId="412C87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b w:val="0"/>
                      <w:bCs w:val="0"/>
                      <w:color w:val="auto"/>
                      <w:sz w:val="21"/>
                      <w:szCs w:val="21"/>
                      <w:highlight w:val="none"/>
                      <w:u w:val="none"/>
                      <w:vertAlign w:val="baseline"/>
                      <w:lang w:val="en-US" w:eastAsia="zh-CN"/>
                    </w:rPr>
                    <w:t>+15m生产废气排气筒（DA001）</w:t>
                  </w:r>
                </w:p>
              </w:tc>
              <w:tc>
                <w:tcPr>
                  <w:tcW w:w="810" w:type="dxa"/>
                  <w:tcBorders>
                    <w:tl2br w:val="nil"/>
                    <w:tr2bl w:val="nil"/>
                  </w:tcBorders>
                  <w:vAlign w:val="center"/>
                </w:tcPr>
                <w:p w14:paraId="089F5E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0.5789</w:t>
                  </w:r>
                </w:p>
              </w:tc>
              <w:tc>
                <w:tcPr>
                  <w:tcW w:w="825" w:type="dxa"/>
                  <w:tcBorders>
                    <w:tl2br w:val="nil"/>
                    <w:tr2bl w:val="nil"/>
                  </w:tcBorders>
                  <w:vAlign w:val="center"/>
                </w:tcPr>
                <w:p w14:paraId="04D3AA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0.0731</w:t>
                  </w:r>
                </w:p>
              </w:tc>
              <w:tc>
                <w:tcPr>
                  <w:tcW w:w="960" w:type="dxa"/>
                  <w:tcBorders>
                    <w:tl2br w:val="nil"/>
                    <w:tr2bl w:val="nil"/>
                  </w:tcBorders>
                  <w:vAlign w:val="center"/>
                </w:tcPr>
                <w:p w14:paraId="1D88DA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4.57</w:t>
                  </w:r>
                </w:p>
              </w:tc>
              <w:tc>
                <w:tcPr>
                  <w:tcW w:w="885" w:type="dxa"/>
                  <w:tcBorders>
                    <w:tl2br w:val="nil"/>
                    <w:tr2bl w:val="nil"/>
                  </w:tcBorders>
                  <w:vAlign w:val="center"/>
                </w:tcPr>
                <w:p w14:paraId="015C45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DA001</w:t>
                  </w:r>
                </w:p>
              </w:tc>
              <w:tc>
                <w:tcPr>
                  <w:tcW w:w="885" w:type="dxa"/>
                  <w:gridSpan w:val="2"/>
                  <w:tcBorders>
                    <w:tl2br w:val="nil"/>
                    <w:tr2bl w:val="nil"/>
                  </w:tcBorders>
                  <w:vAlign w:val="center"/>
                </w:tcPr>
                <w:p w14:paraId="6207E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一般排放口</w:t>
                  </w:r>
                </w:p>
              </w:tc>
              <w:tc>
                <w:tcPr>
                  <w:tcW w:w="690" w:type="dxa"/>
                  <w:tcBorders>
                    <w:tl2br w:val="nil"/>
                    <w:tr2bl w:val="nil"/>
                  </w:tcBorders>
                  <w:vAlign w:val="center"/>
                </w:tcPr>
                <w:p w14:paraId="4F5DA2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15m</w:t>
                  </w:r>
                </w:p>
              </w:tc>
              <w:tc>
                <w:tcPr>
                  <w:tcW w:w="649" w:type="dxa"/>
                  <w:tcBorders>
                    <w:tl2br w:val="nil"/>
                    <w:tr2bl w:val="nil"/>
                  </w:tcBorders>
                  <w:vAlign w:val="center"/>
                </w:tcPr>
                <w:p w14:paraId="7B468B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70864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391" w:type="dxa"/>
                  <w:vMerge w:val="continue"/>
                  <w:tcBorders>
                    <w:tl2br w:val="nil"/>
                    <w:tr2bl w:val="nil"/>
                  </w:tcBorders>
                  <w:vAlign w:val="center"/>
                </w:tcPr>
                <w:p w14:paraId="3C06E9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681" w:type="dxa"/>
                  <w:vMerge w:val="continue"/>
                  <w:tcBorders>
                    <w:tl2br w:val="nil"/>
                    <w:tr2bl w:val="nil"/>
                  </w:tcBorders>
                  <w:vAlign w:val="center"/>
                </w:tcPr>
                <w:p w14:paraId="6D54A40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p>
              </w:tc>
              <w:tc>
                <w:tcPr>
                  <w:tcW w:w="942" w:type="dxa"/>
                  <w:tcBorders>
                    <w:tl2br w:val="nil"/>
                    <w:tr2bl w:val="nil"/>
                  </w:tcBorders>
                  <w:vAlign w:val="center"/>
                </w:tcPr>
                <w:p w14:paraId="6B1E4D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苯乙烯</w:t>
                  </w:r>
                </w:p>
              </w:tc>
              <w:tc>
                <w:tcPr>
                  <w:tcW w:w="750" w:type="dxa"/>
                  <w:gridSpan w:val="2"/>
                  <w:tcBorders>
                    <w:tl2br w:val="nil"/>
                    <w:tr2bl w:val="nil"/>
                  </w:tcBorders>
                  <w:vAlign w:val="center"/>
                </w:tcPr>
                <w:p w14:paraId="7B5E55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845" w:type="dxa"/>
                  <w:tcBorders>
                    <w:tl2br w:val="nil"/>
                    <w:tr2bl w:val="nil"/>
                  </w:tcBorders>
                  <w:vAlign w:val="center"/>
                </w:tcPr>
                <w:p w14:paraId="6F9BB6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0.8436</w:t>
                  </w:r>
                </w:p>
              </w:tc>
              <w:tc>
                <w:tcPr>
                  <w:tcW w:w="805" w:type="dxa"/>
                  <w:tcBorders>
                    <w:tl2br w:val="nil"/>
                    <w:tr2bl w:val="nil"/>
                  </w:tcBorders>
                  <w:vAlign w:val="center"/>
                </w:tcPr>
                <w:p w14:paraId="1A1746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0.1065</w:t>
                  </w:r>
                </w:p>
              </w:tc>
              <w:tc>
                <w:tcPr>
                  <w:tcW w:w="818" w:type="dxa"/>
                  <w:tcBorders>
                    <w:tl2br w:val="nil"/>
                    <w:tr2bl w:val="nil"/>
                  </w:tcBorders>
                  <w:vAlign w:val="center"/>
                </w:tcPr>
                <w:p w14:paraId="3F597F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5.33</w:t>
                  </w:r>
                </w:p>
              </w:tc>
              <w:tc>
                <w:tcPr>
                  <w:tcW w:w="2179" w:type="dxa"/>
                  <w:vMerge w:val="continue"/>
                  <w:tcBorders>
                    <w:tl2br w:val="nil"/>
                    <w:tr2bl w:val="nil"/>
                  </w:tcBorders>
                  <w:vAlign w:val="center"/>
                </w:tcPr>
                <w:p w14:paraId="11BB35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810" w:type="dxa"/>
                  <w:tcBorders>
                    <w:tl2br w:val="nil"/>
                    <w:tr2bl w:val="nil"/>
                  </w:tcBorders>
                  <w:vAlign w:val="center"/>
                </w:tcPr>
                <w:p w14:paraId="281055F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0.1687</w:t>
                  </w:r>
                </w:p>
              </w:tc>
              <w:tc>
                <w:tcPr>
                  <w:tcW w:w="825" w:type="dxa"/>
                  <w:tcBorders>
                    <w:tl2br w:val="nil"/>
                    <w:tr2bl w:val="nil"/>
                  </w:tcBorders>
                  <w:vAlign w:val="center"/>
                </w:tcPr>
                <w:p w14:paraId="7C2ED52B">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1.33</w:t>
                  </w:r>
                </w:p>
              </w:tc>
              <w:tc>
                <w:tcPr>
                  <w:tcW w:w="960" w:type="dxa"/>
                  <w:tcBorders>
                    <w:tl2br w:val="nil"/>
                    <w:tr2bl w:val="nil"/>
                  </w:tcBorders>
                  <w:vAlign w:val="center"/>
                </w:tcPr>
                <w:p w14:paraId="7B7414A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1.33</w:t>
                  </w:r>
                </w:p>
              </w:tc>
              <w:tc>
                <w:tcPr>
                  <w:tcW w:w="885" w:type="dxa"/>
                  <w:tcBorders>
                    <w:tl2br w:val="nil"/>
                    <w:tr2bl w:val="nil"/>
                  </w:tcBorders>
                  <w:shd w:val="clear" w:color="auto" w:fill="auto"/>
                  <w:vAlign w:val="center"/>
                </w:tcPr>
                <w:p w14:paraId="26DEC49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885" w:type="dxa"/>
                  <w:gridSpan w:val="2"/>
                  <w:tcBorders>
                    <w:tl2br w:val="nil"/>
                    <w:tr2bl w:val="nil"/>
                  </w:tcBorders>
                  <w:shd w:val="clear" w:color="auto" w:fill="auto"/>
                  <w:vAlign w:val="center"/>
                </w:tcPr>
                <w:p w14:paraId="16CC422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690" w:type="dxa"/>
                  <w:tcBorders>
                    <w:tl2br w:val="nil"/>
                    <w:tr2bl w:val="nil"/>
                  </w:tcBorders>
                  <w:shd w:val="clear" w:color="auto" w:fill="auto"/>
                  <w:vAlign w:val="center"/>
                </w:tcPr>
                <w:p w14:paraId="1A574C2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649" w:type="dxa"/>
                  <w:tcBorders>
                    <w:tl2br w:val="nil"/>
                    <w:tr2bl w:val="nil"/>
                  </w:tcBorders>
                  <w:shd w:val="clear" w:color="auto" w:fill="auto"/>
                  <w:vAlign w:val="center"/>
                </w:tcPr>
                <w:p w14:paraId="504166A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53568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391" w:type="dxa"/>
                  <w:vMerge w:val="restart"/>
                  <w:tcBorders>
                    <w:tl2br w:val="nil"/>
                    <w:tr2bl w:val="nil"/>
                  </w:tcBorders>
                  <w:vAlign w:val="center"/>
                </w:tcPr>
                <w:p w14:paraId="6905B7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无组织</w:t>
                  </w:r>
                </w:p>
              </w:tc>
              <w:tc>
                <w:tcPr>
                  <w:tcW w:w="681" w:type="dxa"/>
                  <w:vMerge w:val="restart"/>
                  <w:tcBorders>
                    <w:tl2br w:val="nil"/>
                    <w:tr2bl w:val="nil"/>
                  </w:tcBorders>
                  <w:shd w:val="clear" w:color="auto" w:fill="auto"/>
                  <w:vAlign w:val="center"/>
                </w:tcPr>
                <w:p w14:paraId="10EDD5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lang w:val="en-US" w:eastAsia="zh-CN" w:bidi="ar-SA"/>
                    </w:rPr>
                  </w:pPr>
                  <w:r>
                    <w:rPr>
                      <w:rFonts w:hint="eastAsia" w:eastAsia="宋体" w:cs="Times New Roman"/>
                      <w:b w:val="0"/>
                      <w:bCs w:val="0"/>
                      <w:color w:val="auto"/>
                      <w:sz w:val="21"/>
                      <w:szCs w:val="21"/>
                      <w:highlight w:val="none"/>
                      <w:u w:val="none"/>
                      <w:lang w:val="en-US" w:eastAsia="zh-CN"/>
                    </w:rPr>
                    <w:t>预发、成型工序</w:t>
                  </w:r>
                </w:p>
              </w:tc>
              <w:tc>
                <w:tcPr>
                  <w:tcW w:w="942" w:type="dxa"/>
                  <w:tcBorders>
                    <w:tl2br w:val="nil"/>
                    <w:tr2bl w:val="nil"/>
                  </w:tcBorders>
                  <w:shd w:val="clear" w:color="auto" w:fill="auto"/>
                  <w:vAlign w:val="center"/>
                </w:tcPr>
                <w:p w14:paraId="640AD0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非甲烷总烃</w:t>
                  </w:r>
                </w:p>
              </w:tc>
              <w:tc>
                <w:tcPr>
                  <w:tcW w:w="750" w:type="dxa"/>
                  <w:gridSpan w:val="2"/>
                  <w:tcBorders>
                    <w:tl2br w:val="nil"/>
                    <w:tr2bl w:val="nil"/>
                  </w:tcBorders>
                  <w:vAlign w:val="center"/>
                </w:tcPr>
                <w:p w14:paraId="1EBB91C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45" w:type="dxa"/>
                  <w:tcBorders>
                    <w:tl2br w:val="nil"/>
                    <w:tr2bl w:val="nil"/>
                  </w:tcBorders>
                  <w:vAlign w:val="center"/>
                </w:tcPr>
                <w:p w14:paraId="59B05F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0.5789</w:t>
                  </w:r>
                </w:p>
              </w:tc>
              <w:tc>
                <w:tcPr>
                  <w:tcW w:w="805" w:type="dxa"/>
                  <w:tcBorders>
                    <w:tl2br w:val="nil"/>
                    <w:tr2bl w:val="nil"/>
                  </w:tcBorders>
                  <w:vAlign w:val="center"/>
                </w:tcPr>
                <w:p w14:paraId="2299C1E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18" w:type="dxa"/>
                  <w:tcBorders>
                    <w:tl2br w:val="nil"/>
                    <w:tr2bl w:val="nil"/>
                  </w:tcBorders>
                  <w:vAlign w:val="center"/>
                </w:tcPr>
                <w:p w14:paraId="0DA8B7E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2179" w:type="dxa"/>
                  <w:vMerge w:val="restart"/>
                  <w:tcBorders>
                    <w:tl2br w:val="nil"/>
                    <w:tr2bl w:val="nil"/>
                  </w:tcBorders>
                  <w:vAlign w:val="center"/>
                </w:tcPr>
                <w:p w14:paraId="75C55B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加强废气的收集及活性炭吸附净化装置维护保养，防止废气事故无组织排放；生产过程中门窗关闭，保持一个相对密闭的空间，合理设计送排风系统</w:t>
                  </w:r>
                </w:p>
              </w:tc>
              <w:tc>
                <w:tcPr>
                  <w:tcW w:w="810" w:type="dxa"/>
                  <w:tcBorders>
                    <w:tl2br w:val="nil"/>
                    <w:tr2bl w:val="nil"/>
                  </w:tcBorders>
                  <w:shd w:val="clear" w:color="auto" w:fill="auto"/>
                  <w:vAlign w:val="center"/>
                </w:tcPr>
                <w:p w14:paraId="496440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0.5789</w:t>
                  </w:r>
                </w:p>
              </w:tc>
              <w:tc>
                <w:tcPr>
                  <w:tcW w:w="825" w:type="dxa"/>
                  <w:tcBorders>
                    <w:tl2br w:val="nil"/>
                    <w:tr2bl w:val="nil"/>
                  </w:tcBorders>
                  <w:vAlign w:val="center"/>
                </w:tcPr>
                <w:p w14:paraId="0300045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0.0731</w:t>
                  </w:r>
                </w:p>
              </w:tc>
              <w:tc>
                <w:tcPr>
                  <w:tcW w:w="960" w:type="dxa"/>
                  <w:tcBorders>
                    <w:tl2br w:val="nil"/>
                    <w:tr2bl w:val="nil"/>
                  </w:tcBorders>
                  <w:vAlign w:val="center"/>
                </w:tcPr>
                <w:p w14:paraId="4264A37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85" w:type="dxa"/>
                  <w:tcBorders>
                    <w:tl2br w:val="nil"/>
                    <w:tr2bl w:val="nil"/>
                  </w:tcBorders>
                  <w:shd w:val="clear" w:color="auto" w:fill="auto"/>
                  <w:vAlign w:val="center"/>
                </w:tcPr>
                <w:p w14:paraId="0B26FB6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885" w:type="dxa"/>
                  <w:gridSpan w:val="2"/>
                  <w:tcBorders>
                    <w:tl2br w:val="nil"/>
                    <w:tr2bl w:val="nil"/>
                  </w:tcBorders>
                  <w:shd w:val="clear" w:color="auto" w:fill="auto"/>
                  <w:vAlign w:val="center"/>
                </w:tcPr>
                <w:p w14:paraId="144CB32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690" w:type="dxa"/>
                  <w:tcBorders>
                    <w:tl2br w:val="nil"/>
                    <w:tr2bl w:val="nil"/>
                  </w:tcBorders>
                  <w:shd w:val="clear" w:color="auto" w:fill="auto"/>
                  <w:vAlign w:val="center"/>
                </w:tcPr>
                <w:p w14:paraId="541ECCA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649" w:type="dxa"/>
                  <w:tcBorders>
                    <w:tl2br w:val="nil"/>
                    <w:tr2bl w:val="nil"/>
                  </w:tcBorders>
                  <w:shd w:val="clear" w:color="auto" w:fill="auto"/>
                  <w:vAlign w:val="center"/>
                </w:tcPr>
                <w:p w14:paraId="7963C4F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48424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391" w:type="dxa"/>
                  <w:vMerge w:val="continue"/>
                  <w:tcBorders>
                    <w:tl2br w:val="nil"/>
                    <w:tr2bl w:val="nil"/>
                  </w:tcBorders>
                  <w:vAlign w:val="center"/>
                </w:tcPr>
                <w:p w14:paraId="2D0812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681" w:type="dxa"/>
                  <w:vMerge w:val="continue"/>
                  <w:tcBorders>
                    <w:tl2br w:val="nil"/>
                    <w:tr2bl w:val="nil"/>
                  </w:tcBorders>
                  <w:shd w:val="clear" w:color="auto" w:fill="auto"/>
                  <w:vAlign w:val="center"/>
                </w:tcPr>
                <w:p w14:paraId="56429A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lang w:val="en-US" w:eastAsia="zh-CN" w:bidi="ar-SA"/>
                    </w:rPr>
                  </w:pPr>
                </w:p>
              </w:tc>
              <w:tc>
                <w:tcPr>
                  <w:tcW w:w="942" w:type="dxa"/>
                  <w:tcBorders>
                    <w:tl2br w:val="nil"/>
                    <w:tr2bl w:val="nil"/>
                  </w:tcBorders>
                  <w:shd w:val="clear" w:color="auto" w:fill="auto"/>
                  <w:vAlign w:val="center"/>
                </w:tcPr>
                <w:p w14:paraId="0C31ED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苯乙烯</w:t>
                  </w:r>
                </w:p>
              </w:tc>
              <w:tc>
                <w:tcPr>
                  <w:tcW w:w="750" w:type="dxa"/>
                  <w:gridSpan w:val="2"/>
                  <w:tcBorders>
                    <w:tl2br w:val="nil"/>
                    <w:tr2bl w:val="nil"/>
                  </w:tcBorders>
                  <w:vAlign w:val="center"/>
                </w:tcPr>
                <w:p w14:paraId="79726B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45" w:type="dxa"/>
                  <w:tcBorders>
                    <w:tl2br w:val="nil"/>
                    <w:tr2bl w:val="nil"/>
                  </w:tcBorders>
                  <w:vAlign w:val="center"/>
                </w:tcPr>
                <w:p w14:paraId="037BB9C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0.1687</w:t>
                  </w:r>
                </w:p>
              </w:tc>
              <w:tc>
                <w:tcPr>
                  <w:tcW w:w="805" w:type="dxa"/>
                  <w:tcBorders>
                    <w:tl2br w:val="nil"/>
                    <w:tr2bl w:val="nil"/>
                  </w:tcBorders>
                  <w:vAlign w:val="center"/>
                </w:tcPr>
                <w:p w14:paraId="4F77930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18" w:type="dxa"/>
                  <w:tcBorders>
                    <w:tl2br w:val="nil"/>
                    <w:tr2bl w:val="nil"/>
                  </w:tcBorders>
                  <w:vAlign w:val="center"/>
                </w:tcPr>
                <w:p w14:paraId="2391372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2179" w:type="dxa"/>
                  <w:vMerge w:val="continue"/>
                  <w:tcBorders>
                    <w:tl2br w:val="nil"/>
                    <w:tr2bl w:val="nil"/>
                  </w:tcBorders>
                  <w:vAlign w:val="center"/>
                </w:tcPr>
                <w:p w14:paraId="6DA6A9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810" w:type="dxa"/>
                  <w:tcBorders>
                    <w:tl2br w:val="nil"/>
                    <w:tr2bl w:val="nil"/>
                  </w:tcBorders>
                  <w:shd w:val="clear" w:color="auto" w:fill="auto"/>
                  <w:vAlign w:val="center"/>
                </w:tcPr>
                <w:p w14:paraId="41AAAA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0.1687</w:t>
                  </w:r>
                </w:p>
              </w:tc>
              <w:tc>
                <w:tcPr>
                  <w:tcW w:w="825" w:type="dxa"/>
                  <w:tcBorders>
                    <w:tl2br w:val="nil"/>
                    <w:tr2bl w:val="nil"/>
                  </w:tcBorders>
                  <w:vAlign w:val="center"/>
                </w:tcPr>
                <w:p w14:paraId="7CEBF72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0.0213</w:t>
                  </w:r>
                </w:p>
              </w:tc>
              <w:tc>
                <w:tcPr>
                  <w:tcW w:w="960" w:type="dxa"/>
                  <w:tcBorders>
                    <w:tl2br w:val="nil"/>
                    <w:tr2bl w:val="nil"/>
                  </w:tcBorders>
                  <w:vAlign w:val="center"/>
                </w:tcPr>
                <w:p w14:paraId="14C1DF6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85" w:type="dxa"/>
                  <w:tcBorders>
                    <w:tl2br w:val="nil"/>
                    <w:tr2bl w:val="nil"/>
                  </w:tcBorders>
                  <w:shd w:val="clear" w:color="auto" w:fill="auto"/>
                  <w:vAlign w:val="center"/>
                </w:tcPr>
                <w:p w14:paraId="731DB5A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885" w:type="dxa"/>
                  <w:gridSpan w:val="2"/>
                  <w:tcBorders>
                    <w:tl2br w:val="nil"/>
                    <w:tr2bl w:val="nil"/>
                  </w:tcBorders>
                  <w:shd w:val="clear" w:color="auto" w:fill="auto"/>
                  <w:vAlign w:val="center"/>
                </w:tcPr>
                <w:p w14:paraId="29B22B4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690" w:type="dxa"/>
                  <w:tcBorders>
                    <w:tl2br w:val="nil"/>
                    <w:tr2bl w:val="nil"/>
                  </w:tcBorders>
                  <w:shd w:val="clear" w:color="auto" w:fill="auto"/>
                  <w:vAlign w:val="center"/>
                </w:tcPr>
                <w:p w14:paraId="1D9685E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649" w:type="dxa"/>
                  <w:tcBorders>
                    <w:tl2br w:val="nil"/>
                    <w:tr2bl w:val="nil"/>
                  </w:tcBorders>
                  <w:shd w:val="clear" w:color="auto" w:fill="auto"/>
                  <w:vAlign w:val="center"/>
                </w:tcPr>
                <w:p w14:paraId="4EF7177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42445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91" w:type="dxa"/>
                  <w:vMerge w:val="restart"/>
                  <w:vAlign w:val="center"/>
                </w:tcPr>
                <w:p w14:paraId="3670DC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合计</w:t>
                  </w:r>
                </w:p>
              </w:tc>
              <w:tc>
                <w:tcPr>
                  <w:tcW w:w="4023" w:type="dxa"/>
                  <w:gridSpan w:val="6"/>
                  <w:vAlign w:val="center"/>
                </w:tcPr>
                <w:p w14:paraId="534197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污染物名称</w:t>
                  </w:r>
                </w:p>
              </w:tc>
              <w:tc>
                <w:tcPr>
                  <w:tcW w:w="2997" w:type="dxa"/>
                  <w:gridSpan w:val="2"/>
                  <w:shd w:val="clear" w:color="auto" w:fill="auto"/>
                  <w:vAlign w:val="center"/>
                </w:tcPr>
                <w:p w14:paraId="29B707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有组织排放量</w:t>
                  </w:r>
                </w:p>
              </w:tc>
              <w:tc>
                <w:tcPr>
                  <w:tcW w:w="2595" w:type="dxa"/>
                  <w:gridSpan w:val="3"/>
                  <w:shd w:val="clear" w:color="auto" w:fill="auto"/>
                  <w:vAlign w:val="center"/>
                </w:tcPr>
                <w:p w14:paraId="6F53FE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无组织排放量</w:t>
                  </w:r>
                </w:p>
              </w:tc>
              <w:tc>
                <w:tcPr>
                  <w:tcW w:w="3109" w:type="dxa"/>
                  <w:gridSpan w:val="5"/>
                  <w:vAlign w:val="center"/>
                </w:tcPr>
                <w:p w14:paraId="7DC123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合计</w:t>
                  </w:r>
                </w:p>
              </w:tc>
            </w:tr>
            <w:tr w14:paraId="728E8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91" w:type="dxa"/>
                  <w:vMerge w:val="continue"/>
                  <w:vAlign w:val="center"/>
                </w:tcPr>
                <w:p w14:paraId="261BA3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011" w:type="dxa"/>
                  <w:gridSpan w:val="3"/>
                  <w:vMerge w:val="restart"/>
                  <w:vAlign w:val="center"/>
                </w:tcPr>
                <w:p w14:paraId="62DCAC9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挥发性有机物</w:t>
                  </w:r>
                </w:p>
                <w:p w14:paraId="5E745D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w:t>
                  </w:r>
                  <w:r>
                    <w:rPr>
                      <w:rFonts w:hint="eastAsia" w:ascii="Times New Roman" w:hAnsi="Times New Roman" w:eastAsia="宋体" w:cs="Times New Roman"/>
                      <w:b w:val="0"/>
                      <w:bCs w:val="0"/>
                      <w:color w:val="auto"/>
                      <w:sz w:val="21"/>
                      <w:szCs w:val="21"/>
                      <w:u w:val="none"/>
                      <w:lang w:val="en-US" w:eastAsia="zh-CN"/>
                    </w:rPr>
                    <w:t>t/a</w:t>
                  </w:r>
                  <w:r>
                    <w:rPr>
                      <w:rFonts w:hint="eastAsia" w:cs="Times New Roman"/>
                      <w:b w:val="0"/>
                      <w:bCs w:val="0"/>
                      <w:color w:val="auto"/>
                      <w:sz w:val="21"/>
                      <w:szCs w:val="21"/>
                      <w:u w:val="none"/>
                      <w:lang w:val="en-US" w:eastAsia="zh-CN"/>
                    </w:rPr>
                    <w:t>)</w:t>
                  </w:r>
                </w:p>
              </w:tc>
              <w:tc>
                <w:tcPr>
                  <w:tcW w:w="2012" w:type="dxa"/>
                  <w:gridSpan w:val="3"/>
                  <w:vAlign w:val="center"/>
                </w:tcPr>
                <w:p w14:paraId="35F262B2">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非甲烷总烃（t/a）</w:t>
                  </w:r>
                </w:p>
              </w:tc>
              <w:tc>
                <w:tcPr>
                  <w:tcW w:w="2997" w:type="dxa"/>
                  <w:gridSpan w:val="2"/>
                  <w:shd w:val="clear" w:color="auto" w:fill="auto"/>
                  <w:vAlign w:val="center"/>
                </w:tcPr>
                <w:p w14:paraId="1DDD9F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0.5789</w:t>
                  </w:r>
                </w:p>
              </w:tc>
              <w:tc>
                <w:tcPr>
                  <w:tcW w:w="2595" w:type="dxa"/>
                  <w:gridSpan w:val="3"/>
                  <w:shd w:val="clear" w:color="auto" w:fill="auto"/>
                  <w:vAlign w:val="center"/>
                </w:tcPr>
                <w:p w14:paraId="685B6930">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0.5789</w:t>
                  </w:r>
                </w:p>
              </w:tc>
              <w:tc>
                <w:tcPr>
                  <w:tcW w:w="1554" w:type="dxa"/>
                  <w:gridSpan w:val="2"/>
                  <w:vAlign w:val="center"/>
                </w:tcPr>
                <w:p w14:paraId="30A48EA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1.1578</w:t>
                  </w:r>
                </w:p>
              </w:tc>
              <w:tc>
                <w:tcPr>
                  <w:tcW w:w="1555" w:type="dxa"/>
                  <w:gridSpan w:val="3"/>
                  <w:vMerge w:val="restart"/>
                  <w:vAlign w:val="center"/>
                </w:tcPr>
                <w:p w14:paraId="3046842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1.4952</w:t>
                  </w:r>
                </w:p>
              </w:tc>
            </w:tr>
            <w:tr w14:paraId="4771A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91" w:type="dxa"/>
                  <w:vMerge w:val="continue"/>
                  <w:vAlign w:val="center"/>
                </w:tcPr>
                <w:p w14:paraId="4E821D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011" w:type="dxa"/>
                  <w:gridSpan w:val="3"/>
                  <w:vMerge w:val="continue"/>
                  <w:vAlign w:val="center"/>
                </w:tcPr>
                <w:p w14:paraId="014986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p>
              </w:tc>
              <w:tc>
                <w:tcPr>
                  <w:tcW w:w="2012" w:type="dxa"/>
                  <w:gridSpan w:val="3"/>
                  <w:vAlign w:val="center"/>
                </w:tcPr>
                <w:p w14:paraId="514D474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苯乙烯（t/a）</w:t>
                  </w:r>
                </w:p>
              </w:tc>
              <w:tc>
                <w:tcPr>
                  <w:tcW w:w="2997" w:type="dxa"/>
                  <w:gridSpan w:val="2"/>
                  <w:shd w:val="clear" w:color="auto" w:fill="auto"/>
                  <w:vAlign w:val="center"/>
                </w:tcPr>
                <w:p w14:paraId="635D4F6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0.1687</w:t>
                  </w:r>
                </w:p>
              </w:tc>
              <w:tc>
                <w:tcPr>
                  <w:tcW w:w="2595" w:type="dxa"/>
                  <w:gridSpan w:val="3"/>
                  <w:shd w:val="clear" w:color="auto" w:fill="auto"/>
                  <w:vAlign w:val="center"/>
                </w:tcPr>
                <w:p w14:paraId="7188A4F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0.1687</w:t>
                  </w:r>
                </w:p>
              </w:tc>
              <w:tc>
                <w:tcPr>
                  <w:tcW w:w="1554" w:type="dxa"/>
                  <w:gridSpan w:val="2"/>
                  <w:vAlign w:val="center"/>
                </w:tcPr>
                <w:p w14:paraId="4C0E133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0.3374</w:t>
                  </w:r>
                </w:p>
              </w:tc>
              <w:tc>
                <w:tcPr>
                  <w:tcW w:w="1555" w:type="dxa"/>
                  <w:gridSpan w:val="3"/>
                  <w:vMerge w:val="continue"/>
                  <w:vAlign w:val="center"/>
                </w:tcPr>
                <w:p w14:paraId="10396A9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u w:val="none"/>
                      <w:vertAlign w:val="baseline"/>
                      <w:lang w:val="en-US" w:eastAsia="zh-CN"/>
                    </w:rPr>
                  </w:pPr>
                </w:p>
              </w:tc>
            </w:tr>
          </w:tbl>
          <w:p w14:paraId="6C5908E6">
            <w:pPr>
              <w:numPr>
                <w:ilvl w:val="0"/>
                <w:numId w:val="0"/>
              </w:numPr>
              <w:adjustRightInd w:val="0"/>
              <w:snapToGrid w:val="0"/>
              <w:spacing w:line="348" w:lineRule="auto"/>
              <w:rPr>
                <w:rFonts w:hint="default" w:cs="Times New Roman"/>
                <w:color w:val="262626"/>
                <w:sz w:val="24"/>
                <w:lang w:val="en-US" w:eastAsia="zh-CN"/>
              </w:rPr>
            </w:pPr>
          </w:p>
        </w:tc>
      </w:tr>
    </w:tbl>
    <w:p w14:paraId="3338B56E">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813"/>
      </w:tblGrid>
      <w:tr w14:paraId="7B86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3" w:hRule="atLeast"/>
        </w:trPr>
        <w:tc>
          <w:tcPr>
            <w:tcW w:w="468" w:type="dxa"/>
            <w:vAlign w:val="center"/>
          </w:tcPr>
          <w:p w14:paraId="228F6623">
            <w:pPr>
              <w:jc w:val="center"/>
              <w:rPr>
                <w:rFonts w:hint="default" w:ascii="Times New Roman" w:hAnsi="Times New Roman" w:eastAsia="宋体" w:cs="Times New Roman"/>
                <w:color w:val="auto"/>
                <w:kern w:val="0"/>
                <w:sz w:val="24"/>
                <w:szCs w:val="24"/>
                <w:lang w:val="en-US" w:eastAsia="zh-CN"/>
              </w:rPr>
            </w:pPr>
          </w:p>
        </w:tc>
        <w:tc>
          <w:tcPr>
            <w:tcW w:w="8813" w:type="dxa"/>
          </w:tcPr>
          <w:p w14:paraId="4E928DD0">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61" w:name="_Toc19361"/>
            <w:bookmarkStart w:id="162" w:name="_Toc13376"/>
            <w:r>
              <w:rPr>
                <w:rFonts w:hint="eastAsia"/>
                <w:b/>
                <w:color w:val="262626"/>
                <w:kern w:val="0"/>
                <w:sz w:val="24"/>
                <w:lang w:val="en-US" w:eastAsia="zh-CN"/>
              </w:rPr>
              <w:t>4.1.3运营期大气污染防治措施合理性分析</w:t>
            </w:r>
            <w:bookmarkEnd w:id="161"/>
            <w:bookmarkEnd w:id="162"/>
          </w:p>
          <w:p w14:paraId="113465CD">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运营期产生的废气污染物因子为</w:t>
            </w:r>
            <w:r>
              <w:rPr>
                <w:rFonts w:hint="eastAsia" w:ascii="Times New Roman" w:hAnsi="Times New Roman" w:cs="Times New Roman"/>
                <w:color w:val="auto"/>
                <w:sz w:val="24"/>
                <w:szCs w:val="24"/>
                <w:lang w:val="en-US" w:eastAsia="zh-CN"/>
              </w:rPr>
              <w:t>挥发性有机物</w:t>
            </w:r>
            <w:r>
              <w:rPr>
                <w:rFonts w:hint="default" w:ascii="Times New Roman" w:hAnsi="Times New Roman" w:eastAsia="宋体" w:cs="Times New Roman"/>
                <w:color w:val="auto"/>
                <w:sz w:val="24"/>
                <w:szCs w:val="24"/>
                <w:lang w:val="en-US" w:eastAsia="zh-CN"/>
              </w:rPr>
              <w:t>。</w:t>
            </w:r>
          </w:p>
          <w:p w14:paraId="1914B813">
            <w:pPr>
              <w:pStyle w:val="46"/>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312AA75F">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w:t>
            </w:r>
            <w:r>
              <w:rPr>
                <w:rFonts w:hint="eastAsia" w:ascii="Times New Roman" w:hAnsi="Times New Roman" w:cs="Times New Roman"/>
                <w:color w:val="auto"/>
                <w:sz w:val="24"/>
                <w:szCs w:val="24"/>
                <w:lang w:val="en-US" w:eastAsia="zh-CN"/>
              </w:rPr>
              <w:t>1#生产</w:t>
            </w:r>
            <w:r>
              <w:rPr>
                <w:rFonts w:hint="eastAsia" w:ascii="Times New Roman" w:hAnsi="Times New Roman" w:eastAsia="宋体" w:cs="Times New Roman"/>
                <w:color w:val="auto"/>
                <w:sz w:val="24"/>
                <w:szCs w:val="24"/>
                <w:lang w:val="en-US" w:eastAsia="zh-CN"/>
              </w:rPr>
              <w:t>车间内，</w:t>
            </w:r>
            <w:r>
              <w:rPr>
                <w:rFonts w:hint="eastAsia" w:ascii="Times New Roman" w:hAnsi="Times New Roman" w:cs="Times New Roman"/>
                <w:color w:val="auto"/>
                <w:sz w:val="24"/>
                <w:szCs w:val="24"/>
                <w:lang w:val="en-US" w:eastAsia="zh-CN"/>
              </w:rPr>
              <w:t>加强车间密闭管理，</w:t>
            </w:r>
            <w:r>
              <w:rPr>
                <w:rFonts w:hint="eastAsia" w:ascii="Times New Roman" w:hAnsi="Times New Roman" w:eastAsia="宋体" w:cs="Times New Roman"/>
                <w:color w:val="auto"/>
                <w:sz w:val="24"/>
                <w:szCs w:val="24"/>
                <w:lang w:val="en-US" w:eastAsia="zh-CN"/>
              </w:rPr>
              <w:t>可减少污染物无组织扩散。</w:t>
            </w:r>
          </w:p>
          <w:p w14:paraId="0FF9B397">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分析</w:t>
            </w:r>
          </w:p>
          <w:p w14:paraId="08BDCB7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预发、成型工序生产废</w:t>
            </w:r>
            <w:r>
              <w:rPr>
                <w:rFonts w:hint="eastAsia" w:ascii="Times New Roman" w:hAnsi="Times New Roman" w:cs="Times New Roman"/>
                <w:color w:val="auto"/>
                <w:kern w:val="0"/>
                <w:sz w:val="24"/>
                <w:szCs w:val="24"/>
                <w:highlight w:val="none"/>
                <w:lang w:val="en-US" w:eastAsia="zh-CN" w:bidi="ar-SA"/>
              </w:rPr>
              <w:t>气</w:t>
            </w:r>
            <w:r>
              <w:rPr>
                <w:rFonts w:hint="eastAsia" w:cs="Times New Roman"/>
                <w:color w:val="auto"/>
                <w:kern w:val="0"/>
                <w:sz w:val="24"/>
                <w:szCs w:val="24"/>
                <w:highlight w:val="none"/>
                <w:lang w:val="en-US" w:eastAsia="zh-CN" w:bidi="ar-SA"/>
              </w:rPr>
              <w:t>（非甲烷总烃、苯乙烯）</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m高排气筒（DA001）排放</w:t>
            </w:r>
            <w:r>
              <w:rPr>
                <w:rFonts w:hint="eastAsia" w:cs="Times New Roman"/>
                <w:color w:val="auto"/>
                <w:kern w:val="0"/>
                <w:sz w:val="24"/>
                <w:szCs w:val="24"/>
                <w:highlight w:val="none"/>
                <w:lang w:val="en-US" w:eastAsia="zh-CN" w:bidi="ar-SA"/>
              </w:rPr>
              <w:t>。</w:t>
            </w:r>
          </w:p>
          <w:p w14:paraId="360ABCE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预发</w:t>
            </w:r>
            <w:r>
              <w:rPr>
                <w:rFonts w:hint="eastAsia" w:ascii="Times New Roman" w:hAnsi="Times New Roman" w:eastAsia="宋体" w:cs="Times New Roman"/>
                <w:color w:val="auto"/>
                <w:kern w:val="0"/>
                <w:sz w:val="24"/>
                <w:szCs w:val="24"/>
                <w:highlight w:val="none"/>
                <w:lang w:val="en-US" w:eastAsia="zh-CN" w:bidi="ar-SA"/>
              </w:rPr>
              <w:t>工序与</w:t>
            </w:r>
            <w:r>
              <w:rPr>
                <w:rFonts w:hint="eastAsia" w:cs="Times New Roman"/>
                <w:color w:val="auto"/>
                <w:kern w:val="0"/>
                <w:sz w:val="24"/>
                <w:szCs w:val="24"/>
                <w:highlight w:val="none"/>
                <w:lang w:val="en-US" w:eastAsia="zh-CN" w:bidi="ar-SA"/>
              </w:rPr>
              <w:t>成型工序</w:t>
            </w:r>
            <w:r>
              <w:rPr>
                <w:rFonts w:hint="eastAsia" w:ascii="Times New Roman" w:hAnsi="Times New Roman" w:eastAsia="宋体" w:cs="Times New Roman"/>
                <w:color w:val="auto"/>
                <w:kern w:val="0"/>
                <w:sz w:val="24"/>
                <w:szCs w:val="24"/>
                <w:highlight w:val="none"/>
                <w:lang w:val="en-US" w:eastAsia="zh-CN" w:bidi="ar-SA"/>
              </w:rPr>
              <w:t>所产生的废气执行相同的排放标准</w:t>
            </w:r>
            <w:r>
              <w:rPr>
                <w:rFonts w:hint="eastAsia" w:cs="Times New Roman"/>
                <w:color w:val="auto"/>
                <w:kern w:val="0"/>
                <w:sz w:val="24"/>
                <w:szCs w:val="24"/>
                <w:highlight w:val="none"/>
                <w:lang w:val="en-US" w:eastAsia="zh-CN" w:bidi="ar-SA"/>
              </w:rPr>
              <w:t>且</w:t>
            </w:r>
            <w:r>
              <w:rPr>
                <w:rFonts w:hint="eastAsia" w:ascii="Times New Roman" w:hAnsi="Times New Roman" w:eastAsia="宋体" w:cs="Times New Roman"/>
                <w:color w:val="auto"/>
                <w:kern w:val="0"/>
                <w:sz w:val="24"/>
                <w:szCs w:val="24"/>
                <w:highlight w:val="none"/>
                <w:lang w:val="en-US" w:eastAsia="zh-CN" w:bidi="ar-SA"/>
              </w:rPr>
              <w:t>污染源位置相近，具备合并排放的先决条件。将两根排气筒合并具有充分的合理性：技术上，合并后可建设更高规格的排气筒，利用更强的烟囱效应提升污染物扩散效率</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确保稳定满足环保标准</w:t>
            </w:r>
            <w:r>
              <w:rPr>
                <w:rFonts w:hint="eastAsia" w:cs="Times New Roman"/>
                <w:color w:val="auto"/>
                <w:kern w:val="0"/>
                <w:sz w:val="24"/>
                <w:szCs w:val="24"/>
                <w:highlight w:val="none"/>
                <w:lang w:val="en-US" w:eastAsia="zh-CN" w:bidi="ar-SA"/>
              </w:rPr>
              <w:t>；在</w:t>
            </w:r>
            <w:r>
              <w:rPr>
                <w:rFonts w:hint="eastAsia" w:ascii="Times New Roman" w:hAnsi="Times New Roman" w:eastAsia="宋体" w:cs="Times New Roman"/>
                <w:color w:val="auto"/>
                <w:kern w:val="0"/>
                <w:sz w:val="24"/>
                <w:szCs w:val="24"/>
                <w:highlight w:val="none"/>
                <w:lang w:val="en-US" w:eastAsia="zh-CN" w:bidi="ar-SA"/>
              </w:rPr>
              <w:t>经济与管理上，可实现净化设施的集中配置与统一运维，显著降低投资与长期运营成本，并简化监测与监管流程。因此，</w:t>
            </w:r>
            <w:r>
              <w:rPr>
                <w:rFonts w:hint="eastAsia" w:cs="Times New Roman"/>
                <w:color w:val="auto"/>
                <w:kern w:val="0"/>
                <w:sz w:val="24"/>
                <w:szCs w:val="24"/>
                <w:highlight w:val="none"/>
                <w:lang w:val="en-US" w:eastAsia="zh-CN" w:bidi="ar-SA"/>
              </w:rPr>
              <w:t>预发</w:t>
            </w:r>
            <w:r>
              <w:rPr>
                <w:rFonts w:hint="eastAsia" w:ascii="Times New Roman" w:hAnsi="Times New Roman" w:eastAsia="宋体" w:cs="Times New Roman"/>
                <w:color w:val="auto"/>
                <w:kern w:val="0"/>
                <w:sz w:val="24"/>
                <w:szCs w:val="24"/>
                <w:highlight w:val="none"/>
                <w:lang w:val="en-US" w:eastAsia="zh-CN" w:bidi="ar-SA"/>
              </w:rPr>
              <w:t>废气与</w:t>
            </w:r>
            <w:r>
              <w:rPr>
                <w:rFonts w:hint="eastAsia" w:cs="Times New Roman"/>
                <w:color w:val="auto"/>
                <w:kern w:val="0"/>
                <w:sz w:val="24"/>
                <w:szCs w:val="24"/>
                <w:highlight w:val="none"/>
                <w:lang w:val="en-US" w:eastAsia="zh-CN" w:bidi="ar-SA"/>
              </w:rPr>
              <w:t>成型</w:t>
            </w:r>
            <w:r>
              <w:rPr>
                <w:rFonts w:hint="eastAsia" w:ascii="Times New Roman" w:hAnsi="Times New Roman" w:eastAsia="宋体" w:cs="Times New Roman"/>
                <w:color w:val="auto"/>
                <w:kern w:val="0"/>
                <w:sz w:val="24"/>
                <w:szCs w:val="24"/>
                <w:highlight w:val="none"/>
                <w:lang w:val="en-US" w:eastAsia="zh-CN" w:bidi="ar-SA"/>
              </w:rPr>
              <w:t>废气合并一根排气筒排放方案可行。项目车间废气处理工艺流程图详见图4.</w:t>
            </w:r>
            <w:r>
              <w:rPr>
                <w:rFonts w:hint="eastAsia" w:ascii="Times New Roman" w:hAnsi="Times New Roman" w:cs="Times New Roman"/>
                <w:color w:val="auto"/>
                <w:kern w:val="0"/>
                <w:sz w:val="24"/>
                <w:szCs w:val="24"/>
                <w:highlight w:val="none"/>
                <w:lang w:val="en-US" w:eastAsia="zh-CN" w:bidi="ar-SA"/>
              </w:rPr>
              <w:t>1</w:t>
            </w:r>
            <w:r>
              <w:rPr>
                <w:rFonts w:hint="eastAsia" w:ascii="Times New Roman" w:hAnsi="Times New Roman" w:eastAsia="宋体" w:cs="Times New Roman"/>
                <w:color w:val="auto"/>
                <w:kern w:val="0"/>
                <w:sz w:val="24"/>
                <w:szCs w:val="24"/>
                <w:highlight w:val="none"/>
                <w:lang w:val="en-US" w:eastAsia="zh-CN" w:bidi="ar-SA"/>
              </w:rPr>
              <w:t>-1。</w:t>
            </w:r>
          </w:p>
          <w:p w14:paraId="0B9A0F30">
            <w:pPr>
              <w:pStyle w:val="51"/>
              <w:ind w:left="0" w:leftChars="0" w:firstLine="0" w:firstLine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5429250" cy="1988820"/>
                  <wp:effectExtent l="0" t="0" r="0" b="11430"/>
                  <wp:docPr id="2" name="F360BE8B-6686-4F3D-AEAF-501FE73E4058-3" descr="C:/Users/AA/AppData/Local/Temp/瑞昌废气处理工艺流程图.png瑞昌废气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3" descr="C:/Users/AA/AppData/Local/Temp/瑞昌废气处理工艺流程图.png瑞昌废气处理工艺流程图"/>
                          <pic:cNvPicPr>
                            <a:picLocks noChangeAspect="1"/>
                          </pic:cNvPicPr>
                        </pic:nvPicPr>
                        <pic:blipFill>
                          <a:blip r:embed="rId13"/>
                          <a:stretch>
                            <a:fillRect/>
                          </a:stretch>
                        </pic:blipFill>
                        <pic:spPr>
                          <a:xfrm>
                            <a:off x="0" y="0"/>
                            <a:ext cx="5429250" cy="1988820"/>
                          </a:xfrm>
                          <a:prstGeom prst="rect">
                            <a:avLst/>
                          </a:prstGeom>
                        </pic:spPr>
                      </pic:pic>
                    </a:graphicData>
                  </a:graphic>
                </wp:inline>
              </w:drawing>
            </w:r>
          </w:p>
          <w:p w14:paraId="279A637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图4.1-1项目废气处理工艺流程图</w:t>
            </w:r>
          </w:p>
          <w:p w14:paraId="2CE4377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59D82A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本项目采用颗粒</w:t>
            </w:r>
            <w:r>
              <w:rPr>
                <w:rFonts w:hint="default" w:ascii="Times New Roman" w:hAnsi="Times New Roman" w:eastAsia="宋体" w:cs="Times New Roman"/>
                <w:color w:val="auto"/>
                <w:sz w:val="24"/>
                <w:szCs w:val="24"/>
                <w:lang w:val="en-US" w:eastAsia="zh-CN"/>
              </w:rPr>
              <w:t>活性炭，是一种具有多孔结构和大的内部比表面积的材料。由于其大的比表面积、微孔结构、高的吸附能力和很高的表</w:t>
            </w:r>
            <w:r>
              <w:rPr>
                <w:rFonts w:hint="default" w:ascii="Times New Roman" w:hAnsi="Times New Roman" w:eastAsia="宋体" w:cs="Times New Roman"/>
                <w:color w:val="000000"/>
                <w:sz w:val="24"/>
                <w:szCs w:val="24"/>
                <w:lang w:val="en-US" w:eastAsia="zh-CN"/>
              </w:rPr>
              <w:t>面活性而成为独特的多功能吸附剂</w:t>
            </w:r>
            <w:r>
              <w:rPr>
                <w:rFonts w:hint="eastAsia" w:cs="Times New Roman"/>
                <w:color w:val="000000"/>
                <w:sz w:val="24"/>
                <w:szCs w:val="24"/>
                <w:lang w:val="en-US" w:eastAsia="zh-CN"/>
              </w:rPr>
              <w:t>且</w:t>
            </w:r>
            <w:r>
              <w:rPr>
                <w:rFonts w:hint="default" w:ascii="Times New Roman" w:hAnsi="Times New Roman" w:eastAsia="宋体" w:cs="Times New Roman"/>
                <w:color w:val="000000"/>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w:t>
            </w:r>
            <w:r>
              <w:rPr>
                <w:rFonts w:hint="default" w:ascii="Times New Roman" w:hAnsi="Times New Roman" w:eastAsia="宋体" w:cs="Times New Roman"/>
                <w:color w:val="auto"/>
                <w:sz w:val="24"/>
                <w:szCs w:val="24"/>
                <w:lang w:val="en-US" w:eastAsia="zh-CN"/>
              </w:rPr>
              <w:t>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w:t>
            </w:r>
            <w:r>
              <w:rPr>
                <w:rFonts w:hint="default" w:ascii="Times New Roman" w:hAnsi="Times New Roman" w:eastAsia="宋体" w:cs="Times New Roman"/>
                <w:color w:val="000000"/>
                <w:sz w:val="24"/>
                <w:szCs w:val="24"/>
                <w:lang w:val="en-US" w:eastAsia="zh-CN"/>
              </w:rPr>
              <w:t>有机废气具有良好的吸附效果，可使得有机废气处理能力达</w:t>
            </w:r>
            <w:r>
              <w:rPr>
                <w:rFonts w:hint="default" w:ascii="Times New Roman" w:hAnsi="Times New Roman" w:eastAsia="宋体" w:cs="Times New Roman"/>
                <w:color w:val="auto"/>
                <w:sz w:val="24"/>
                <w:szCs w:val="24"/>
                <w:lang w:val="en-US" w:eastAsia="zh-CN"/>
              </w:rPr>
              <w:t>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3F6DF5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380A30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1排气筒配套的活性炭吸附装置对应的风量为</w:t>
            </w:r>
            <w:r>
              <w:rPr>
                <w:rFonts w:hint="eastAsia" w:cs="Times New Roman"/>
                <w:color w:val="auto"/>
                <w:sz w:val="24"/>
                <w:szCs w:val="24"/>
                <w:highlight w:val="none"/>
                <w:lang w:val="en-US" w:eastAsia="zh-CN"/>
              </w:rPr>
              <w:t>25000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eastAsia" w:cs="Times New Roman"/>
                <w:color w:val="auto"/>
                <w:sz w:val="24"/>
                <w:szCs w:val="24"/>
                <w:highlight w:val="none"/>
                <w:lang w:val="en-US" w:eastAsia="zh-CN"/>
              </w:rPr>
              <w:t>/长度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/0.75=</w:t>
            </w:r>
            <w:r>
              <w:rPr>
                <w:rFonts w:hint="eastAsia" w:cs="Times New Roman"/>
                <w:color w:val="auto"/>
                <w:sz w:val="24"/>
                <w:szCs w:val="24"/>
                <w:highlight w:val="none"/>
                <w:lang w:val="en-US" w:eastAsia="zh-CN"/>
              </w:rPr>
              <w:t>1.1574</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w:t>
            </w:r>
            <w:r>
              <w:rPr>
                <w:rFonts w:hint="eastAsia" w:cs="Times New Roman"/>
                <w:color w:val="auto"/>
                <w:sz w:val="24"/>
                <w:szCs w:val="24"/>
                <w:highlight w:val="none"/>
                <w:lang w:val="en-US" w:eastAsia="zh-CN"/>
              </w:rPr>
              <w:t>《吸附法工业有机废气治理工程技术规范》（HJ2026-2013）</w:t>
            </w:r>
            <w:r>
              <w:rPr>
                <w:rFonts w:hint="eastAsia"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采用蜂窝状吸附剂时，气体流速宜低于1.2m/s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1.1574=2.16</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426BA6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52550E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90d</w:t>
            </w:r>
            <w:r>
              <w:rPr>
                <w:rFonts w:hint="eastAsia" w:ascii="Times New Roman" w:hAnsi="Times New Roman" w:eastAsia="宋体" w:cs="Times New Roman"/>
                <w:color w:val="auto"/>
                <w:sz w:val="24"/>
                <w:szCs w:val="24"/>
                <w:highlight w:val="none"/>
                <w:lang w:val="en-US" w:eastAsia="zh-CN"/>
              </w:rPr>
              <w:t>，满足该规范要求。</w:t>
            </w:r>
          </w:p>
          <w:p w14:paraId="31626F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×106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7DF4D1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drawing>
                <wp:inline distT="0" distB="0" distL="114300" distR="114300">
                  <wp:extent cx="5337175" cy="3691255"/>
                  <wp:effectExtent l="0" t="0" r="1587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337175" cy="3691255"/>
                          </a:xfrm>
                          <a:prstGeom prst="rect">
                            <a:avLst/>
                          </a:prstGeom>
                          <a:noFill/>
                          <a:ln>
                            <a:noFill/>
                          </a:ln>
                        </pic:spPr>
                      </pic:pic>
                    </a:graphicData>
                  </a:graphic>
                </wp:inline>
              </w:drawing>
            </w:r>
          </w:p>
          <w:p w14:paraId="58106FF5">
            <w:pPr>
              <w:pStyle w:val="52"/>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w:t>
            </w:r>
            <w:r>
              <w:rPr>
                <w:rFonts w:hint="eastAsia"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更换周期参数表</w:t>
            </w:r>
          </w:p>
          <w:tbl>
            <w:tblPr>
              <w:tblStyle w:val="24"/>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202"/>
              <w:gridCol w:w="1202"/>
              <w:gridCol w:w="1202"/>
              <w:gridCol w:w="1202"/>
              <w:gridCol w:w="1202"/>
              <w:gridCol w:w="1202"/>
            </w:tblGrid>
            <w:tr w14:paraId="43AA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01" w:type="dxa"/>
                  <w:vAlign w:val="center"/>
                </w:tcPr>
                <w:p w14:paraId="0C7CCC7F">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1202" w:type="dxa"/>
                  <w:vAlign w:val="center"/>
                </w:tcPr>
                <w:p w14:paraId="03087A98">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1202" w:type="dxa"/>
                  <w:vAlign w:val="center"/>
                </w:tcPr>
                <w:p w14:paraId="4F50A50D">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1202" w:type="dxa"/>
                  <w:vAlign w:val="center"/>
                </w:tcPr>
                <w:p w14:paraId="415E02F7">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1202" w:type="dxa"/>
                  <w:vAlign w:val="center"/>
                </w:tcPr>
                <w:p w14:paraId="02313614">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1202" w:type="dxa"/>
                  <w:vAlign w:val="center"/>
                </w:tcPr>
                <w:p w14:paraId="345AECA1">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1202" w:type="dxa"/>
                  <w:vAlign w:val="center"/>
                </w:tcPr>
                <w:p w14:paraId="65E74D38">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7526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01" w:type="dxa"/>
                  <w:vAlign w:val="center"/>
                </w:tcPr>
                <w:p w14:paraId="7E8C29C4">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1202" w:type="dxa"/>
                  <w:vAlign w:val="center"/>
                </w:tcPr>
                <w:p w14:paraId="720F7F82">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1202" w:type="dxa"/>
                  <w:vAlign w:val="center"/>
                </w:tcPr>
                <w:p w14:paraId="7D49F0D6">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1202" w:type="dxa"/>
                  <w:vAlign w:val="center"/>
                </w:tcPr>
                <w:p w14:paraId="31BF563E">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1202" w:type="dxa"/>
                  <w:vAlign w:val="center"/>
                </w:tcPr>
                <w:p w14:paraId="4B085670">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1202" w:type="dxa"/>
                  <w:vAlign w:val="center"/>
                </w:tcPr>
                <w:p w14:paraId="2E2E3FA7">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1202" w:type="dxa"/>
                  <w:vAlign w:val="center"/>
                </w:tcPr>
                <w:p w14:paraId="46632A1B">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537A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201" w:type="dxa"/>
                  <w:vAlign w:val="center"/>
                </w:tcPr>
                <w:p w14:paraId="62CB7A93">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1202" w:type="dxa"/>
                  <w:vAlign w:val="center"/>
                </w:tcPr>
                <w:p w14:paraId="13BF476B">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3000</w:t>
                  </w:r>
                </w:p>
              </w:tc>
              <w:tc>
                <w:tcPr>
                  <w:tcW w:w="1202" w:type="dxa"/>
                  <w:vAlign w:val="center"/>
                </w:tcPr>
                <w:p w14:paraId="2A229CC8">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p>
              </w:tc>
              <w:tc>
                <w:tcPr>
                  <w:tcW w:w="1202" w:type="dxa"/>
                  <w:vAlign w:val="center"/>
                </w:tcPr>
                <w:p w14:paraId="1F1F3AB6">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17.33</w:t>
                  </w:r>
                </w:p>
              </w:tc>
              <w:tc>
                <w:tcPr>
                  <w:tcW w:w="1202" w:type="dxa"/>
                  <w:vAlign w:val="center"/>
                </w:tcPr>
                <w:p w14:paraId="22348228">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20000</w:t>
                  </w:r>
                </w:p>
              </w:tc>
              <w:tc>
                <w:tcPr>
                  <w:tcW w:w="1202" w:type="dxa"/>
                  <w:vAlign w:val="center"/>
                </w:tcPr>
                <w:p w14:paraId="193A9F8F">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24</w:t>
                  </w:r>
                </w:p>
              </w:tc>
              <w:tc>
                <w:tcPr>
                  <w:tcW w:w="1202" w:type="dxa"/>
                  <w:vAlign w:val="center"/>
                </w:tcPr>
                <w:p w14:paraId="147ABCA7">
                  <w:pPr>
                    <w:pStyle w:val="52"/>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60</w:t>
                  </w:r>
                </w:p>
              </w:tc>
            </w:tr>
          </w:tbl>
          <w:p w14:paraId="31ABA894">
            <w:pPr>
              <w:pStyle w:val="52"/>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59C029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77EDF4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生态环境部发布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关于印发〈主要污染物总量减排核算技术指南（2022年修订）〉的通知》〔2022〕350号中规定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一次性活性炭的吸附效率50%。采用二级活性炭吸附效率为1-（1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为保证废气与活性炭的接触时间和吸附效果，要求控制吸附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置吸附层的风速，一般取0.10m/s～0.15m/s之间；吸附剂和气体的接触时间宜按不低于3s计；同时确保项目活性炭吸附装置一次性装置量，定期更换活性纤维，采取以上治理措</w:t>
            </w:r>
            <w:r>
              <w:rPr>
                <w:rFonts w:hint="eastAsia" w:cs="Times New Roman"/>
                <w:color w:val="000000" w:themeColor="text1"/>
                <w:sz w:val="24"/>
                <w:szCs w:val="24"/>
                <w:lang w:val="en-US" w:eastAsia="zh-CN"/>
                <w14:textFill>
                  <w14:solidFill>
                    <w14:schemeClr w14:val="tx1"/>
                  </w14:solidFill>
                </w14:textFill>
              </w:rPr>
              <w:t>施和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综合治理措施后，本评价废气设施去除效率按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%计，根据预测，有机废气污染物非甲烷总烃可以达标排放，因此，项目有机废气经处理后对环境影响较小，采取的措施可行。</w:t>
            </w:r>
          </w:p>
          <w:p w14:paraId="3B9DD15B">
            <w:pPr>
              <w:pStyle w:val="51"/>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（3）集气罩收集效率可行性分析</w:t>
            </w:r>
          </w:p>
          <w:p w14:paraId="2CAD7C0D">
            <w:pPr>
              <w:pStyle w:val="51"/>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根据《废气处理工程设计手册》（王纯、张殷印主编）中的经验公式：</w:t>
            </w:r>
          </w:p>
          <w:p w14:paraId="50A18782">
            <w:pPr>
              <w:pStyle w:val="51"/>
              <w:ind w:firstLine="48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Q=3600Fvβ</w:t>
            </w:r>
          </w:p>
          <w:p w14:paraId="3332847D">
            <w:pPr>
              <w:pStyle w:val="51"/>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其中：Q为集气罩的计算风量m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t>
            </w:r>
          </w:p>
          <w:p w14:paraId="2DE0D01D">
            <w:pPr>
              <w:pStyle w:val="51"/>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V罩口平均速度，m/s。可取0.5~1.5。本项目取0.5。</w:t>
            </w:r>
          </w:p>
          <w:p w14:paraId="2D06486F">
            <w:pPr>
              <w:pStyle w:val="51"/>
              <w:ind w:firstLine="480"/>
              <w:jc w:val="both"/>
              <w:rPr>
                <w:rFonts w:hint="default" w:ascii="Times New Roman" w:hAnsi="Times New Roman" w:eastAsia="宋体" w:cs="Times New Roman"/>
                <w:color w:val="000000" w:themeColor="text1"/>
                <w:sz w:val="84"/>
                <w:szCs w:val="8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F罩口面积m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发泡机、机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上方集气罩尺寸</w:t>
            </w:r>
            <w:r>
              <w:rPr>
                <w:rFonts w:hint="eastAsia" w:cs="Times New Roman"/>
                <w:color w:val="000000" w:themeColor="text1"/>
                <w:sz w:val="24"/>
                <w:szCs w:val="24"/>
                <w:lang w:val="en-US" w:eastAsia="zh-CN"/>
                <w14:textFill>
                  <w14:solidFill>
                    <w14:schemeClr w14:val="tx1"/>
                  </w14:solidFill>
                </w14:textFill>
              </w:rPr>
              <w:t>为0.9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m，共计设置</w:t>
            </w:r>
            <w:r>
              <w:rPr>
                <w:rFonts w:hint="eastAsia"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个，则集气罩共计面积为</w:t>
            </w:r>
            <w:r>
              <w:rPr>
                <w:rFonts w:hint="eastAsia" w:cs="Times New Roman"/>
                <w:color w:val="000000" w:themeColor="text1"/>
                <w:sz w:val="24"/>
                <w:szCs w:val="24"/>
                <w:lang w:val="en-US" w:eastAsia="zh-CN"/>
                <w14:textFill>
                  <w14:solidFill>
                    <w14:schemeClr w14:val="tx1"/>
                  </w14:solidFill>
                </w14:textFill>
              </w:rPr>
              <w:t>10.35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E97307D">
            <w:pPr>
              <w:pStyle w:val="51"/>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β—安全系数，一般取1.05~1.1，本环评取1.1：</w:t>
            </w:r>
          </w:p>
          <w:p w14:paraId="47345331">
            <w:pPr>
              <w:pStyle w:val="51"/>
              <w:ind w:firstLine="480"/>
              <w:jc w:val="both"/>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计算可得，风机总风量为</w:t>
            </w:r>
            <w:r>
              <w:rPr>
                <w:rFonts w:hint="eastAsia" w:cs="Times New Roman"/>
                <w:color w:val="000000" w:themeColor="text1"/>
                <w:sz w:val="24"/>
                <w:szCs w:val="24"/>
                <w:lang w:val="en-US" w:eastAsia="zh-CN"/>
                <w14:textFill>
                  <w14:solidFill>
                    <w14:schemeClr w14:val="tx1"/>
                  </w14:solidFill>
                </w14:textFill>
              </w:rPr>
              <w:t>20493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/h，考虑管阻等因素，引风机风量按不低于120%的集气罩风量进行设计，项目引风机风量按</w:t>
            </w:r>
            <w:r>
              <w:rPr>
                <w:rFonts w:hint="eastAsia" w:cs="Times New Roman"/>
                <w:color w:val="000000" w:themeColor="text1"/>
                <w:sz w:val="24"/>
                <w:szCs w:val="24"/>
                <w:lang w:val="en-US" w:eastAsia="zh-CN"/>
                <w14:textFill>
                  <w14:solidFill>
                    <w14:schemeClr w14:val="tx1"/>
                  </w14:solidFill>
                </w14:textFill>
              </w:rPr>
              <w:t>20000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/h进行设计。</w:t>
            </w:r>
          </w:p>
          <w:p w14:paraId="4BD26C21">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（3）污染物达标分析</w:t>
            </w:r>
          </w:p>
          <w:p w14:paraId="5DE83B7A">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有组织排放浓度为</w:t>
            </w:r>
            <w:r>
              <w:rPr>
                <w:rFonts w:hint="eastAsia" w:ascii="Times New Roman" w:hAnsi="Times New Roman" w:cs="Times New Roman"/>
                <w:color w:val="000000" w:themeColor="text1"/>
                <w:highlight w:val="none"/>
                <w:lang w:val="en-US" w:eastAsia="zh-CN"/>
                <w14:textFill>
                  <w14:solidFill>
                    <w14:schemeClr w14:val="tx1"/>
                  </w14:solidFill>
                </w14:textFill>
              </w:rPr>
              <w:t>5.61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0.1009</w:t>
            </w:r>
            <w:r>
              <w:rPr>
                <w:rFonts w:hint="eastAsia" w:ascii="Times New Roman" w:hAnsi="Times New Roman" w:eastAsia="宋体" w:cs="Times New Roman"/>
                <w:color w:val="000000" w:themeColor="text1"/>
                <w:highlight w:val="none"/>
                <w:lang w:val="en-US" w:eastAsia="zh-CN"/>
                <w14:textFill>
                  <w14:solidFill>
                    <w14:schemeClr w14:val="tx1"/>
                  </w14:solidFill>
                </w14:textFill>
              </w:rPr>
              <w:t>kg/h；</w:t>
            </w:r>
            <w:r>
              <w:rPr>
                <w:rFonts w:hint="eastAsia" w:ascii="Times New Roman" w:hAnsi="Times New Roman" w:cs="Times New Roman"/>
                <w:color w:val="000000" w:themeColor="text1"/>
                <w:highlight w:val="none"/>
                <w:lang w:val="en-US" w:eastAsia="zh-CN"/>
                <w14:textFill>
                  <w14:solidFill>
                    <w14:schemeClr w14:val="tx1"/>
                  </w14:solidFill>
                </w14:textFill>
              </w:rPr>
              <w:t>苯乙烯</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有组织排放浓度为</w:t>
            </w:r>
            <w:r>
              <w:rPr>
                <w:rFonts w:hint="eastAsia" w:ascii="Times New Roman" w:hAnsi="Times New Roman" w:cs="Times New Roman"/>
                <w:color w:val="000000" w:themeColor="text1"/>
                <w:highlight w:val="none"/>
                <w:lang w:val="en-US" w:eastAsia="zh-CN"/>
                <w14:textFill>
                  <w14:solidFill>
                    <w14:schemeClr w14:val="tx1"/>
                  </w14:solidFill>
                </w14:textFill>
              </w:rPr>
              <w:t>1.69</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0.0304kg</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/h。可达到</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《合成树脂工艺污染物排放标准限值》（GB31572-2015）表5特别标准限值</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（即</w:t>
            </w: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有组织排放≤</w:t>
            </w:r>
            <w:r>
              <w:rPr>
                <w:rFonts w:hint="eastAsia" w:ascii="Times New Roman" w:hAnsi="Times New Roman" w:cs="Times New Roman"/>
                <w:color w:val="000000" w:themeColor="text1"/>
                <w:highlight w:val="none"/>
                <w:lang w:val="en-US" w:eastAsia="zh-CN"/>
                <w14:textFill>
                  <w14:solidFill>
                    <w14:schemeClr w14:val="tx1"/>
                  </w14:solidFill>
                </w14:textFill>
              </w:rPr>
              <w:t>60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苯乙烯</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有组织排放≤</w:t>
            </w:r>
            <w:r>
              <w:rPr>
                <w:rFonts w:hint="eastAsia" w:ascii="Times New Roman" w:hAnsi="Times New Roman" w:cs="Times New Roman"/>
                <w:color w:val="000000" w:themeColor="text1"/>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项目废气经处理后对环境影响较小，</w:t>
            </w:r>
            <w:r>
              <w:rPr>
                <w:rFonts w:hint="default" w:ascii="Times New Roman" w:hAnsi="Times New Roman" w:eastAsia="宋体" w:cs="Times New Roman"/>
                <w:color w:val="000000" w:themeColor="text1"/>
                <w:highlight w:val="none"/>
                <w:lang w:val="en-US" w:eastAsia="zh-CN"/>
                <w14:textFill>
                  <w14:solidFill>
                    <w14:schemeClr w14:val="tx1"/>
                  </w14:solidFill>
                </w14:textFill>
              </w:rPr>
              <w:t>采取的措施可行。</w:t>
            </w:r>
          </w:p>
          <w:p w14:paraId="589C3BE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环境防护距离分析</w:t>
            </w:r>
          </w:p>
          <w:p w14:paraId="0F226A1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根据生态环境部环境工程评估中心发布的：“《建设项目环境影响报告表》内容、格式及编制技术指南常见问题解答”一文中第三点：《建设项目环境影响评价技术导则 总纲》（HJ2.1-2016）未对大气防护距离提出评价要求，建设项目环境影响报告表编制技术指南（以下简称技术指南）不作要求。对于判定为需要开展大气专项评价的建设项目，根据《环境影响评价技术导则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大气环境》（HJ2.2-2018）需要计算大气环境防护距离的，应按要求计算。本项目无需开展大气专项评价，无需设置大气防护距离。</w:t>
            </w:r>
          </w:p>
          <w:p w14:paraId="6EC2805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制定地方大气污染物排放标准的技术方法》(GB/T3840-91)7.2章节相关内容“无组织排放的有毒有害气体进入呼吸带大气层时，其浓度超过GB3095与TJ36规定的居住区容许浓度限值，则无组织排放源所在的生产单元(生产区、车间或工段)与居住区之间应设置卫生防护距离”</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根据表4.2-</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本项目(</w:t>
            </w:r>
            <w:r>
              <w:rPr>
                <w:rFonts w:hint="default" w:ascii="Times New Roman" w:hAnsi="Times New Roman" w:eastAsia="宋体" w:cs="Times New Roman"/>
                <w:color w:val="000000"/>
                <w:sz w:val="24"/>
                <w:szCs w:val="24"/>
                <w:lang w:eastAsia="zh-CN"/>
              </w:rPr>
              <w:t>非甲烷总烃</w:t>
            </w:r>
            <w:r>
              <w:rPr>
                <w:rFonts w:hint="default" w:ascii="Times New Roman" w:hAnsi="Times New Roman" w:eastAsia="宋体" w:cs="Times New Roman"/>
                <w:color w:val="000000"/>
                <w:sz w:val="24"/>
                <w:szCs w:val="24"/>
              </w:rPr>
              <w:t>)无浓度超标点，因此，本项目可不设置卫生防护距离。</w:t>
            </w:r>
          </w:p>
          <w:p w14:paraId="7CA794AA">
            <w:pPr>
              <w:pStyle w:val="89"/>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color w:val="000000"/>
                <w:sz w:val="24"/>
                <w:szCs w:val="24"/>
              </w:rPr>
              <w:t>同时参照《大气影响评价实用技术》第10章“大气环境防护距离与卫生防护距离”</w:t>
            </w: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rPr>
              <w:t>10.2.2.2章计算确定卫生防护距离技术要点章节相关内容：“在污染源所有影响区域范围内，排放到环境中的污染物浓度如超过环境空气质量标准，包括厂区内、厂界、厂界外，则需设置卫生防护距离，如在厂区内满足GB3095及TJ36要求，可不设置卫生防护距离”，综上所述，本项目不增设卫生防护距离。</w:t>
            </w:r>
          </w:p>
          <w:p w14:paraId="7658176F">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000000" w:themeColor="text1"/>
                <w:kern w:val="0"/>
                <w:sz w:val="24"/>
                <w:lang w:val="en-US" w:eastAsia="zh-CN"/>
                <w14:textFill>
                  <w14:solidFill>
                    <w14:schemeClr w14:val="tx1"/>
                  </w14:solidFill>
                </w14:textFill>
              </w:rPr>
            </w:pPr>
            <w:bookmarkStart w:id="163" w:name="_Toc15418"/>
            <w:bookmarkStart w:id="164" w:name="_Toc25956"/>
            <w:r>
              <w:rPr>
                <w:rFonts w:hint="eastAsia"/>
                <w:b/>
                <w:color w:val="000000" w:themeColor="text1"/>
                <w:kern w:val="0"/>
                <w:sz w:val="24"/>
                <w:lang w:val="en-US" w:eastAsia="zh-CN"/>
                <w14:textFill>
                  <w14:solidFill>
                    <w14:schemeClr w14:val="tx1"/>
                  </w14:solidFill>
                </w14:textFill>
              </w:rPr>
              <w:t>4.1.4非正常工况排放量核算</w:t>
            </w:r>
            <w:bookmarkEnd w:id="163"/>
            <w:bookmarkEnd w:id="164"/>
          </w:p>
          <w:p w14:paraId="68075F53">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（1）非正常排放情形及排放源强</w:t>
            </w:r>
          </w:p>
          <w:p w14:paraId="077ADC33">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4D237F1D">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有机废气处理设施故障，导致有机废气非正常排放。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本评价按最不利情况考虑，即废气处理效率降低为0</w:t>
            </w:r>
            <w:r>
              <w:rPr>
                <w:rFonts w:hint="default" w:ascii="Times New Roman" w:hAnsi="Times New Roman" w:eastAsia="宋体" w:cs="Times New Roman"/>
                <w:color w:val="000000"/>
                <w:kern w:val="2"/>
                <w:sz w:val="24"/>
                <w:szCs w:val="24"/>
                <w:lang w:val="en-US" w:eastAsia="zh-CN" w:bidi="ar-SA"/>
              </w:rPr>
              <w:t>%的情况下污染物排放对周边环境的影响。由于有机废气事故排放效果不显著，短时间内难以发现，非正常工况持续时间按1h计，发生频率按1次/年。非正常工况下废气排放源强核算结果见下表4.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5</w:t>
            </w:r>
            <w:r>
              <w:rPr>
                <w:rFonts w:hint="default" w:ascii="Times New Roman" w:hAnsi="Times New Roman" w:eastAsia="宋体" w:cs="Times New Roman"/>
                <w:color w:val="000000"/>
                <w:kern w:val="2"/>
                <w:sz w:val="24"/>
                <w:szCs w:val="24"/>
                <w:lang w:val="en-US" w:eastAsia="zh-CN" w:bidi="ar-SA"/>
              </w:rPr>
              <w:t>。</w:t>
            </w:r>
          </w:p>
          <w:p w14:paraId="46DC68BF">
            <w:pPr>
              <w:pStyle w:val="52"/>
              <w:keepNext w:val="0"/>
              <w:keepLines w:val="0"/>
              <w:pageBreakBefore w:val="0"/>
              <w:widowControl w:val="0"/>
              <w:kinsoku/>
              <w:wordWrap/>
              <w:overflowPunct/>
              <w:topLinePunct w:val="0"/>
              <w:autoSpaceDE/>
              <w:autoSpaceDN/>
              <w:bidi w:val="0"/>
              <w:adjustRightInd w:val="0"/>
              <w:snapToGrid w:val="0"/>
              <w:spacing w:before="163" w:beforeLines="5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污染源非正常排放量核算</w:t>
            </w:r>
          </w:p>
          <w:tbl>
            <w:tblPr>
              <w:tblStyle w:val="24"/>
              <w:tblW w:w="85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9"/>
              <w:gridCol w:w="696"/>
              <w:gridCol w:w="933"/>
              <w:gridCol w:w="1447"/>
              <w:gridCol w:w="1244"/>
              <w:gridCol w:w="1231"/>
              <w:gridCol w:w="720"/>
              <w:gridCol w:w="705"/>
              <w:gridCol w:w="1142"/>
            </w:tblGrid>
            <w:tr w14:paraId="16E4D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9" w:type="dxa"/>
                  <w:tcBorders>
                    <w:tl2br w:val="nil"/>
                    <w:tr2bl w:val="nil"/>
                  </w:tcBorders>
                  <w:vAlign w:val="center"/>
                </w:tcPr>
                <w:p w14:paraId="0D0B9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序号</w:t>
                  </w:r>
                </w:p>
              </w:tc>
              <w:tc>
                <w:tcPr>
                  <w:tcW w:w="696" w:type="dxa"/>
                  <w:tcBorders>
                    <w:tl2br w:val="nil"/>
                    <w:tr2bl w:val="nil"/>
                  </w:tcBorders>
                  <w:vAlign w:val="center"/>
                </w:tcPr>
                <w:p w14:paraId="788617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排放源</w:t>
                  </w:r>
                </w:p>
              </w:tc>
              <w:tc>
                <w:tcPr>
                  <w:tcW w:w="933" w:type="dxa"/>
                  <w:tcBorders>
                    <w:tl2br w:val="nil"/>
                    <w:tr2bl w:val="nil"/>
                  </w:tcBorders>
                  <w:vAlign w:val="center"/>
                </w:tcPr>
                <w:p w14:paraId="2EDAA2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非正常排放原因</w:t>
                  </w:r>
                </w:p>
              </w:tc>
              <w:tc>
                <w:tcPr>
                  <w:tcW w:w="1447" w:type="dxa"/>
                  <w:tcBorders>
                    <w:tl2br w:val="nil"/>
                    <w:tr2bl w:val="nil"/>
                  </w:tcBorders>
                  <w:vAlign w:val="center"/>
                </w:tcPr>
                <w:p w14:paraId="654C4B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污染源</w:t>
                  </w:r>
                </w:p>
              </w:tc>
              <w:tc>
                <w:tcPr>
                  <w:tcW w:w="1244" w:type="dxa"/>
                  <w:tcBorders>
                    <w:tl2br w:val="nil"/>
                    <w:tr2bl w:val="nil"/>
                  </w:tcBorders>
                  <w:vAlign w:val="center"/>
                </w:tcPr>
                <w:p w14:paraId="57C86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非正常排放浓度mg/m</w:t>
                  </w:r>
                  <w:r>
                    <w:rPr>
                      <w:rFonts w:hint="eastAsia" w:ascii="Times New Roman" w:hAnsi="Times New Roman" w:eastAsia="宋体" w:cs="Times New Roman"/>
                      <w:color w:val="000000"/>
                      <w:kern w:val="0"/>
                      <w:sz w:val="21"/>
                      <w:szCs w:val="21"/>
                      <w:vertAlign w:val="superscript"/>
                      <w:lang w:val="en-US" w:eastAsia="zh-CN" w:bidi="ar-SA"/>
                    </w:rPr>
                    <w:t>3</w:t>
                  </w:r>
                </w:p>
              </w:tc>
              <w:tc>
                <w:tcPr>
                  <w:tcW w:w="1231" w:type="dxa"/>
                  <w:tcBorders>
                    <w:tl2br w:val="nil"/>
                    <w:tr2bl w:val="nil"/>
                  </w:tcBorders>
                  <w:vAlign w:val="center"/>
                </w:tcPr>
                <w:p w14:paraId="6AEC06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非正常排放速率kg/h</w:t>
                  </w:r>
                </w:p>
              </w:tc>
              <w:tc>
                <w:tcPr>
                  <w:tcW w:w="720" w:type="dxa"/>
                  <w:tcBorders>
                    <w:tl2br w:val="nil"/>
                    <w:tr2bl w:val="nil"/>
                  </w:tcBorders>
                  <w:vAlign w:val="center"/>
                </w:tcPr>
                <w:p w14:paraId="294BC6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单次维持时间</w:t>
                  </w:r>
                </w:p>
              </w:tc>
              <w:tc>
                <w:tcPr>
                  <w:tcW w:w="705" w:type="dxa"/>
                  <w:tcBorders>
                    <w:tl2br w:val="nil"/>
                    <w:tr2bl w:val="nil"/>
                  </w:tcBorders>
                  <w:vAlign w:val="center"/>
                </w:tcPr>
                <w:p w14:paraId="167629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年发生次数</w:t>
                  </w:r>
                </w:p>
              </w:tc>
              <w:tc>
                <w:tcPr>
                  <w:tcW w:w="1142" w:type="dxa"/>
                  <w:tcBorders>
                    <w:tl2br w:val="nil"/>
                    <w:tr2bl w:val="nil"/>
                  </w:tcBorders>
                  <w:vAlign w:val="center"/>
                </w:tcPr>
                <w:p w14:paraId="53ADC1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应对措施</w:t>
                  </w:r>
                </w:p>
              </w:tc>
            </w:tr>
            <w:tr w14:paraId="1EC33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469" w:type="dxa"/>
                  <w:vMerge w:val="restart"/>
                  <w:tcBorders>
                    <w:tl2br w:val="nil"/>
                    <w:tr2bl w:val="nil"/>
                  </w:tcBorders>
                  <w:vAlign w:val="center"/>
                </w:tcPr>
                <w:p w14:paraId="57225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w:t>
                  </w:r>
                </w:p>
              </w:tc>
              <w:tc>
                <w:tcPr>
                  <w:tcW w:w="696" w:type="dxa"/>
                  <w:vMerge w:val="restart"/>
                  <w:tcBorders>
                    <w:tl2br w:val="nil"/>
                    <w:tr2bl w:val="nil"/>
                  </w:tcBorders>
                  <w:vAlign w:val="center"/>
                </w:tcPr>
                <w:p w14:paraId="04FD78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DA001</w:t>
                  </w:r>
                </w:p>
              </w:tc>
              <w:tc>
                <w:tcPr>
                  <w:tcW w:w="933" w:type="dxa"/>
                  <w:vMerge w:val="restart"/>
                  <w:tcBorders>
                    <w:tl2br w:val="nil"/>
                    <w:tr2bl w:val="nil"/>
                  </w:tcBorders>
                  <w:vAlign w:val="center"/>
                </w:tcPr>
                <w:p w14:paraId="53F167A7">
                  <w:pPr>
                    <w:pStyle w:val="53"/>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处理设施故障</w:t>
                  </w:r>
                </w:p>
              </w:tc>
              <w:tc>
                <w:tcPr>
                  <w:tcW w:w="1447" w:type="dxa"/>
                  <w:tcBorders>
                    <w:tl2br w:val="nil"/>
                    <w:tr2bl w:val="nil"/>
                  </w:tcBorders>
                  <w:vAlign w:val="center"/>
                </w:tcPr>
                <w:p w14:paraId="4BF7C321">
                  <w:pPr>
                    <w:pStyle w:val="53"/>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非甲烷总烃</w:t>
                  </w:r>
                </w:p>
              </w:tc>
              <w:tc>
                <w:tcPr>
                  <w:tcW w:w="1244" w:type="dxa"/>
                  <w:tcBorders>
                    <w:tl2br w:val="nil"/>
                    <w:tr2bl w:val="nil"/>
                  </w:tcBorders>
                  <w:vAlign w:val="center"/>
                </w:tcPr>
                <w:p w14:paraId="35FAFE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22.43</w:t>
                  </w:r>
                </w:p>
              </w:tc>
              <w:tc>
                <w:tcPr>
                  <w:tcW w:w="1231" w:type="dxa"/>
                  <w:tcBorders>
                    <w:tl2br w:val="nil"/>
                    <w:tr2bl w:val="nil"/>
                  </w:tcBorders>
                  <w:vAlign w:val="center"/>
                </w:tcPr>
                <w:p w14:paraId="4B269E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0.4485</w:t>
                  </w:r>
                </w:p>
              </w:tc>
              <w:tc>
                <w:tcPr>
                  <w:tcW w:w="720" w:type="dxa"/>
                  <w:vMerge w:val="restart"/>
                  <w:tcBorders>
                    <w:tl2br w:val="nil"/>
                    <w:tr2bl w:val="nil"/>
                  </w:tcBorders>
                  <w:vAlign w:val="center"/>
                </w:tcPr>
                <w:p w14:paraId="67B03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1h</w:t>
                  </w:r>
                </w:p>
              </w:tc>
              <w:tc>
                <w:tcPr>
                  <w:tcW w:w="705" w:type="dxa"/>
                  <w:vMerge w:val="restart"/>
                  <w:tcBorders>
                    <w:tl2br w:val="nil"/>
                    <w:tr2bl w:val="nil"/>
                  </w:tcBorders>
                  <w:vAlign w:val="center"/>
                </w:tcPr>
                <w:p w14:paraId="25F28A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1次</w:t>
                  </w:r>
                </w:p>
              </w:tc>
              <w:tc>
                <w:tcPr>
                  <w:tcW w:w="1142" w:type="dxa"/>
                  <w:vMerge w:val="restart"/>
                  <w:tcBorders>
                    <w:tl2br w:val="nil"/>
                    <w:tr2bl w:val="nil"/>
                  </w:tcBorders>
                  <w:vAlign w:val="center"/>
                </w:tcPr>
                <w:p w14:paraId="59A3A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立即停产，修复后生产</w:t>
                  </w:r>
                </w:p>
              </w:tc>
            </w:tr>
            <w:tr w14:paraId="26697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469" w:type="dxa"/>
                  <w:vMerge w:val="continue"/>
                  <w:tcBorders>
                    <w:tl2br w:val="nil"/>
                    <w:tr2bl w:val="nil"/>
                  </w:tcBorders>
                  <w:vAlign w:val="center"/>
                </w:tcPr>
                <w:p w14:paraId="72652F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696" w:type="dxa"/>
                  <w:vMerge w:val="continue"/>
                  <w:tcBorders>
                    <w:tl2br w:val="nil"/>
                    <w:tr2bl w:val="nil"/>
                  </w:tcBorders>
                  <w:vAlign w:val="center"/>
                </w:tcPr>
                <w:p w14:paraId="3EE18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933" w:type="dxa"/>
                  <w:vMerge w:val="continue"/>
                  <w:tcBorders>
                    <w:tl2br w:val="nil"/>
                    <w:tr2bl w:val="nil"/>
                  </w:tcBorders>
                  <w:vAlign w:val="center"/>
                </w:tcPr>
                <w:p w14:paraId="35F79145">
                  <w:pPr>
                    <w:pStyle w:val="53"/>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sz w:val="21"/>
                      <w:szCs w:val="21"/>
                      <w:lang w:val="en-US" w:eastAsia="zh-CN"/>
                    </w:rPr>
                  </w:pPr>
                </w:p>
              </w:tc>
              <w:tc>
                <w:tcPr>
                  <w:tcW w:w="1447" w:type="dxa"/>
                  <w:tcBorders>
                    <w:tl2br w:val="nil"/>
                    <w:tr2bl w:val="nil"/>
                  </w:tcBorders>
                  <w:vAlign w:val="center"/>
                </w:tcPr>
                <w:p w14:paraId="1D286236">
                  <w:pPr>
                    <w:pStyle w:val="53"/>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kern w:val="0"/>
                      <w:sz w:val="21"/>
                      <w:szCs w:val="21"/>
                      <w:lang w:val="en-US" w:eastAsia="zh-CN" w:bidi="ar-SA"/>
                    </w:rPr>
                  </w:pPr>
                  <w:r>
                    <w:rPr>
                      <w:rFonts w:hint="eastAsia" w:cs="Times New Roman"/>
                      <w:color w:val="000000"/>
                      <w:kern w:val="0"/>
                      <w:sz w:val="21"/>
                      <w:szCs w:val="21"/>
                      <w:lang w:val="en-US" w:eastAsia="zh-CN" w:bidi="ar-SA"/>
                    </w:rPr>
                    <w:t>苯乙烯</w:t>
                  </w:r>
                </w:p>
              </w:tc>
              <w:tc>
                <w:tcPr>
                  <w:tcW w:w="1244" w:type="dxa"/>
                  <w:tcBorders>
                    <w:tl2br w:val="nil"/>
                    <w:tr2bl w:val="nil"/>
                  </w:tcBorders>
                  <w:vAlign w:val="center"/>
                </w:tcPr>
                <w:p w14:paraId="1619B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6.75</w:t>
                  </w:r>
                </w:p>
              </w:tc>
              <w:tc>
                <w:tcPr>
                  <w:tcW w:w="1231" w:type="dxa"/>
                  <w:tcBorders>
                    <w:tl2br w:val="nil"/>
                    <w:tr2bl w:val="nil"/>
                  </w:tcBorders>
                  <w:vAlign w:val="center"/>
                </w:tcPr>
                <w:p w14:paraId="74091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lang w:val="en-US" w:eastAsia="zh-CN"/>
                    </w:rPr>
                  </w:pPr>
                  <w:r>
                    <w:rPr>
                      <w:rFonts w:hint="eastAsia" w:cs="Times New Roman"/>
                      <w:color w:val="000000"/>
                      <w:lang w:val="en-US" w:eastAsia="zh-CN"/>
                    </w:rPr>
                    <w:t>0.1350</w:t>
                  </w:r>
                </w:p>
              </w:tc>
              <w:tc>
                <w:tcPr>
                  <w:tcW w:w="720" w:type="dxa"/>
                  <w:vMerge w:val="continue"/>
                  <w:tcBorders>
                    <w:tl2br w:val="nil"/>
                    <w:tr2bl w:val="nil"/>
                  </w:tcBorders>
                  <w:vAlign w:val="center"/>
                </w:tcPr>
                <w:p w14:paraId="3BEF52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705" w:type="dxa"/>
                  <w:vMerge w:val="continue"/>
                  <w:tcBorders>
                    <w:tl2br w:val="nil"/>
                    <w:tr2bl w:val="nil"/>
                  </w:tcBorders>
                  <w:vAlign w:val="center"/>
                </w:tcPr>
                <w:p w14:paraId="7FB019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1142" w:type="dxa"/>
                  <w:vMerge w:val="continue"/>
                  <w:tcBorders>
                    <w:tl2br w:val="nil"/>
                    <w:tr2bl w:val="nil"/>
                  </w:tcBorders>
                  <w:vAlign w:val="center"/>
                </w:tcPr>
                <w:p w14:paraId="06D4F5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r>
          </w:tbl>
          <w:p w14:paraId="39DB3D9C">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2</w:t>
            </w:r>
            <w:r>
              <w:rPr>
                <w:rFonts w:hint="eastAsia" w:ascii="Times New Roman" w:hAnsi="Times New Roman" w:eastAsia="宋体" w:cs="Times New Roman"/>
                <w:color w:val="000000"/>
                <w:lang w:val="en-US" w:eastAsia="zh-CN"/>
              </w:rPr>
              <w:t>）非正常排放防治措施</w:t>
            </w:r>
          </w:p>
          <w:p w14:paraId="638544A9">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针对以上非正常排放情形，本评价建议建设单位在生产运营期间采取以下控制措施以避免或减少废气非正常排放。</w:t>
            </w:r>
          </w:p>
          <w:p w14:paraId="2756FF20">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①规范车间生产操作，避免因员工操作不当导致工艺设备、环保设施故障引发废气事故排放。</w:t>
            </w:r>
          </w:p>
          <w:p w14:paraId="51DB7B7E">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②定期对生产设施及废气处理设施进行检查维护，杜绝非正常工况发生，避免非正常排放出现后才采取维护措施。</w:t>
            </w:r>
          </w:p>
          <w:p w14:paraId="0689D2D1">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1BE4569C">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65" w:name="_Toc2614"/>
            <w:bookmarkStart w:id="166" w:name="_Toc22563"/>
            <w:r>
              <w:rPr>
                <w:rFonts w:hint="eastAsia" w:ascii="Times New Roman" w:hAnsi="Times New Roman" w:eastAsia="宋体" w:cs="Times New Roman"/>
                <w:color w:val="auto"/>
                <w:sz w:val="28"/>
                <w:szCs w:val="28"/>
                <w:u w:val="none"/>
                <w:lang w:val="en-US" w:eastAsia="zh-CN"/>
              </w:rPr>
              <w:t>4.2水环境影响分析和污染防治措施</w:t>
            </w:r>
            <w:bookmarkEnd w:id="165"/>
            <w:bookmarkEnd w:id="166"/>
          </w:p>
          <w:p w14:paraId="47CA252C">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ascii="Times New Roman" w:hAnsi="Times New Roman" w:eastAsia="宋体" w:cs="Times New Roman"/>
                <w:bCs/>
                <w:color w:val="auto"/>
                <w:kern w:val="2"/>
                <w:sz w:val="24"/>
                <w:szCs w:val="24"/>
                <w:highlight w:val="none"/>
                <w:lang w:val="en-US" w:eastAsia="zh-CN" w:bidi="ar-SA"/>
              </w:rPr>
            </w:pPr>
            <w:bookmarkStart w:id="167" w:name="_Toc22065"/>
            <w:bookmarkStart w:id="168" w:name="_Toc30971"/>
            <w:r>
              <w:rPr>
                <w:rFonts w:hint="eastAsia"/>
                <w:b/>
                <w:color w:val="262626"/>
                <w:kern w:val="0"/>
                <w:sz w:val="24"/>
                <w:lang w:val="en-US" w:eastAsia="zh-CN"/>
              </w:rPr>
              <w:t>4.2.1运营期废水源强分析</w:t>
            </w:r>
            <w:bookmarkEnd w:id="167"/>
            <w:bookmarkEnd w:id="168"/>
          </w:p>
          <w:p w14:paraId="0032AA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bookmarkStart w:id="169" w:name="_Toc25032"/>
            <w:r>
              <w:rPr>
                <w:rFonts w:hint="default"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生产过程中</w:t>
            </w:r>
            <w:r>
              <w:rPr>
                <w:rFonts w:hint="default" w:ascii="Times New Roman" w:hAnsi="Times New Roman" w:eastAsia="宋体" w:cs="Times New Roman"/>
                <w:color w:val="auto"/>
                <w:sz w:val="24"/>
                <w:szCs w:val="24"/>
                <w:highlight w:val="none"/>
                <w:lang w:val="en-US" w:eastAsia="zh-CN"/>
              </w:rPr>
              <w:t>用水主要为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熟化过程产生的模具冷却水和烘干过</w:t>
            </w:r>
            <w:r>
              <w:rPr>
                <w:rFonts w:hint="eastAsia" w:cs="Times New Roman"/>
                <w:b w:val="0"/>
                <w:bCs w:val="0"/>
                <w:color w:val="000000" w:themeColor="text1"/>
                <w:sz w:val="24"/>
                <w:szCs w:val="24"/>
                <w:highlight w:val="none"/>
                <w:lang w:val="en-US" w:eastAsia="zh-CN"/>
                <w14:textFill>
                  <w14:solidFill>
                    <w14:schemeClr w14:val="tx1"/>
                  </w14:solidFill>
                </w14:textFill>
              </w:rPr>
              <w:t>程中</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产生的蒸汽冷凝水</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处理</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后回用</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于模具冷却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，不外排</w:t>
            </w:r>
            <w:r>
              <w:rPr>
                <w:rFonts w:hint="default" w:ascii="Times New Roman" w:hAnsi="Times New Roman" w:eastAsia="宋体" w:cs="Times New Roman"/>
                <w:color w:val="auto"/>
                <w:sz w:val="24"/>
                <w:szCs w:val="24"/>
                <w:highlight w:val="none"/>
                <w:lang w:val="en-US" w:eastAsia="zh-CN"/>
              </w:rPr>
              <w:t>。生活污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水经化粪池处理后排入市政污水管网，送往</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进行处理。</w:t>
            </w:r>
            <w:bookmarkEnd w:id="169"/>
          </w:p>
          <w:p w14:paraId="431B2A45">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eastAsia="宋体"/>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14:textFill>
                  <w14:solidFill>
                    <w14:schemeClr w14:val="tx1"/>
                  </w14:solidFill>
                </w14:textFill>
              </w:rPr>
              <w:t>（</w:t>
            </w:r>
            <w:r>
              <w:rPr>
                <w:rFonts w:hint="eastAsia"/>
                <w:b w:val="0"/>
                <w:bCs/>
                <w:color w:val="000000" w:themeColor="text1"/>
                <w:sz w:val="24"/>
                <w:highlight w:val="none"/>
                <w:lang w:val="en-US" w:eastAsia="zh-CN"/>
                <w14:textFill>
                  <w14:solidFill>
                    <w14:schemeClr w14:val="tx1"/>
                  </w14:solidFill>
                </w14:textFill>
              </w:rPr>
              <w:t>1</w:t>
            </w:r>
            <w:r>
              <w:rPr>
                <w:rFonts w:hint="eastAsia"/>
                <w:b w:val="0"/>
                <w:bCs/>
                <w:color w:val="000000" w:themeColor="text1"/>
                <w:sz w:val="24"/>
                <w:highlight w:val="none"/>
                <w14:textFill>
                  <w14:solidFill>
                    <w14:schemeClr w14:val="tx1"/>
                  </w14:solidFill>
                </w14:textFill>
              </w:rPr>
              <w:t>）</w:t>
            </w:r>
            <w:r>
              <w:rPr>
                <w:rFonts w:hint="eastAsia"/>
                <w:b w:val="0"/>
                <w:bCs/>
                <w:color w:val="000000" w:themeColor="text1"/>
                <w:sz w:val="24"/>
                <w:highlight w:val="none"/>
                <w:lang w:val="en-US" w:eastAsia="zh-CN"/>
                <w14:textFill>
                  <w14:solidFill>
                    <w14:schemeClr w14:val="tx1"/>
                  </w14:solidFill>
                </w14:textFill>
              </w:rPr>
              <w:t>模具</w:t>
            </w:r>
            <w:r>
              <w:rPr>
                <w:rFonts w:hint="eastAsia"/>
                <w:b w:val="0"/>
                <w:bCs/>
                <w:color w:val="000000" w:themeColor="text1"/>
                <w:sz w:val="24"/>
                <w:highlight w:val="none"/>
                <w14:textFill>
                  <w14:solidFill>
                    <w14:schemeClr w14:val="tx1"/>
                  </w14:solidFill>
                </w14:textFill>
              </w:rPr>
              <w:t>冷却水</w:t>
            </w:r>
            <w:r>
              <w:rPr>
                <w:rFonts w:hint="eastAsia"/>
                <w:b w:val="0"/>
                <w:bCs/>
                <w:color w:val="000000" w:themeColor="text1"/>
                <w:sz w:val="24"/>
                <w:highlight w:val="none"/>
                <w:lang w:val="en-US" w:eastAsia="zh-CN"/>
                <w14:textFill>
                  <w14:solidFill>
                    <w14:schemeClr w14:val="tx1"/>
                  </w14:solidFill>
                </w14:textFill>
              </w:rPr>
              <w:t>及蒸气冷凝水</w:t>
            </w:r>
          </w:p>
          <w:p w14:paraId="37405238">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项目生产废水主要是模具冷却水及蒸汽冷凝水，生产废水经</w:t>
            </w:r>
            <w:r>
              <w:rPr>
                <w:rFonts w:hint="eastAsia" w:cs="Times New Roman"/>
                <w:b w:val="0"/>
                <w:bCs/>
                <w:color w:val="auto"/>
                <w:sz w:val="24"/>
                <w:szCs w:val="24"/>
                <w:u w:val="none"/>
                <w:vertAlign w:val="baseline"/>
                <w:lang w:val="en-US" w:eastAsia="zh-CN"/>
              </w:rPr>
              <w:t>“</w:t>
            </w:r>
            <w:r>
              <w:rPr>
                <w:rFonts w:hint="eastAsia" w:ascii="宋体" w:hAnsi="宋体" w:cs="宋体"/>
                <w:b w:val="0"/>
                <w:bCs/>
                <w:color w:val="auto"/>
                <w:sz w:val="24"/>
                <w:szCs w:val="24"/>
                <w:u w:val="none"/>
                <w:vertAlign w:val="baseline"/>
                <w:lang w:val="en-US" w:eastAsia="zh-CN"/>
              </w:rPr>
              <w:t>冷却水</w:t>
            </w:r>
            <w:r>
              <w:rPr>
                <w:rFonts w:hint="eastAsia" w:ascii="宋体" w:hAnsi="宋体" w:eastAsia="宋体" w:cs="宋体"/>
                <w:b w:val="0"/>
                <w:bCs/>
                <w:color w:val="auto"/>
                <w:sz w:val="24"/>
                <w:szCs w:val="24"/>
                <w:u w:val="none"/>
                <w:vertAlign w:val="baseline"/>
                <w:lang w:val="en-US" w:eastAsia="zh-CN"/>
              </w:rPr>
              <w:t>循环沉淀池</w:t>
            </w:r>
            <w:r>
              <w:rPr>
                <w:rFonts w:hint="eastAsia" w:ascii="宋体" w:hAnsi="宋体" w:cs="宋体"/>
                <w:b w:val="0"/>
                <w:bCs/>
                <w:color w:val="auto"/>
                <w:sz w:val="24"/>
                <w:szCs w:val="24"/>
                <w:u w:val="none"/>
                <w:vertAlign w:val="baseline"/>
                <w:lang w:val="en-US" w:eastAsia="zh-CN"/>
              </w:rPr>
              <w:t>+冷却塔”</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处理后回用于模具冷却，根据《福建恒润包装</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有限公司年产1800吨EPS包装泡沫项目环境影响报告表》年产1800吨包装泡沫时冷却用水需要补充新鲜用水1.0t/d(330ta</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，本项目建成后全厂年生产EPS包装泡沫7800吨、EPP包装泡沫900吨、EPP包装泡沫1200吨，则本项目扩建后全厂冷却水需补充新鲜用水1t/d÷1800t×9900t=5.5t/d（1815t/a），生产废水循环使用，不外排。</w:t>
            </w:r>
          </w:p>
          <w:p w14:paraId="3C34B417">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highlight w:val="none"/>
                <w14:textFill>
                  <w14:solidFill>
                    <w14:schemeClr w14:val="tx1"/>
                  </w14:solidFill>
                </w14:textFill>
              </w:rPr>
              <w:t>）生活污水</w:t>
            </w:r>
          </w:p>
          <w:p w14:paraId="047ED6DA">
            <w:pPr>
              <w:pStyle w:val="54"/>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Cs/>
                <w:color w:val="auto"/>
                <w:sz w:val="24"/>
                <w:szCs w:val="24"/>
                <w:highlight w:val="none"/>
                <w:lang w:eastAsia="zh-CN"/>
              </w:rPr>
            </w:pPr>
            <w:bookmarkStart w:id="170" w:name="_Toc28146"/>
            <w:bookmarkStart w:id="171" w:name="_Toc4624"/>
            <w:bookmarkStart w:id="172" w:name="_Toc22817"/>
            <w:r>
              <w:rPr>
                <w:rFonts w:hint="default" w:ascii="Times New Roman" w:hAnsi="Times New Roman" w:eastAsia="宋体" w:cs="Times New Roman"/>
                <w:b w:val="0"/>
                <w:bCs w:val="0"/>
                <w:color w:val="auto"/>
                <w:sz w:val="24"/>
                <w:szCs w:val="24"/>
                <w:highlight w:val="none"/>
                <w:lang w:val="en-US" w:eastAsia="zh-CN"/>
              </w:rPr>
              <w:t>本项目劳动定员80人，均不住厂，根据《建筑给水排水设计标准》（GB50015-2019），车间工作人员的生活用水额定应根据车间性质确定，一般宜采用30～50L/人·班，本项目不住厂职工生活用水额定按50L/人·班</w:t>
            </w:r>
            <w:r>
              <w:rPr>
                <w:rFonts w:hint="eastAsia" w:eastAsia="宋体" w:cs="Times New Roman"/>
                <w:b w:val="0"/>
                <w:bCs w:val="0"/>
                <w:color w:val="auto"/>
                <w:sz w:val="24"/>
                <w:szCs w:val="24"/>
                <w:highlight w:val="none"/>
                <w:lang w:val="en-US" w:eastAsia="zh-CN"/>
              </w:rPr>
              <w:t>计算</w:t>
            </w:r>
            <w:r>
              <w:rPr>
                <w:rFonts w:hint="default" w:ascii="Times New Roman" w:hAnsi="Times New Roman" w:eastAsia="宋体" w:cs="Times New Roman"/>
                <w:b w:val="0"/>
                <w:bCs w:val="0"/>
                <w:color w:val="auto"/>
                <w:sz w:val="24"/>
                <w:szCs w:val="24"/>
                <w:highlight w:val="none"/>
                <w:lang w:val="en-US" w:eastAsia="zh-CN"/>
              </w:rPr>
              <w:t>。项目年工作日按330天计，则本项目职工生活用水量约4t/d（1320t/a），根据《排水源统计调查产排污计算方法和核算手册》中《生活源产排污系数手册》，人均日生活用水量≤150升/人·天时，折污系数取0.8，则项目生活污水产生量约3.2t/d（1056t/a）。生活污水依托厂区现有的化粪池处理达标后排入市政污水管网，最终</w:t>
            </w:r>
            <w:bookmarkEnd w:id="170"/>
            <w:bookmarkEnd w:id="171"/>
            <w:bookmarkEnd w:id="172"/>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纳入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集中处理</w:t>
            </w:r>
            <w:r>
              <w:rPr>
                <w:rFonts w:hint="default" w:ascii="Times New Roman" w:hAnsi="Times New Roman" w:eastAsia="宋体" w:cs="Times New Roman"/>
                <w:b w:val="0"/>
                <w:bCs w:val="0"/>
                <w:color w:val="auto"/>
                <w:sz w:val="24"/>
                <w:szCs w:val="24"/>
                <w:highlight w:val="none"/>
                <w:lang w:val="en-US" w:eastAsia="zh-CN"/>
              </w:rPr>
              <w:t>。</w:t>
            </w:r>
          </w:p>
          <w:p w14:paraId="2AD9FFE8">
            <w:pPr>
              <w:pStyle w:val="54"/>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173" w:name="_Toc6977"/>
            <w:bookmarkStart w:id="174" w:name="_Toc22915"/>
            <w:bookmarkStart w:id="175" w:name="_Toc14324"/>
            <w:r>
              <w:rPr>
                <w:rFonts w:hint="default" w:ascii="Times New Roman" w:hAnsi="Times New Roman" w:eastAsia="宋体" w:cs="Times New Roman"/>
                <w:b w:val="0"/>
                <w:bCs w:val="0"/>
                <w:color w:val="auto"/>
                <w:sz w:val="24"/>
                <w:szCs w:val="24"/>
                <w:highlight w:val="none"/>
                <w:lang w:val="en-US" w:eastAsia="zh-CN"/>
              </w:rPr>
              <w:t>参考《给排水设计手册》第五册《城镇排水》表4-1典型生活污水水质示例的低浓度；因此，不住厂职工产生的生活污水中各主要污染物浓度按CODcr：250mg/L、BOD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110mg/L、NH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-N：24mg/L、SS：100mg/L。参考环评手册中《常用污水处理设备及去除率》，化粪池对生活污水中COD、BOD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、SS、NH3-N的处理效率分别为20%、15%、30%、0%，则生活污水中各污染物产排情况详见表4.2-1。</w:t>
            </w:r>
            <w:bookmarkEnd w:id="173"/>
            <w:bookmarkEnd w:id="174"/>
            <w:bookmarkEnd w:id="175"/>
          </w:p>
          <w:p w14:paraId="50299E8A">
            <w:pPr>
              <w:pStyle w:val="52"/>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p>
          <w:p w14:paraId="14E77977">
            <w:pPr>
              <w:pStyle w:val="52"/>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-1废水污染物产生及排放情况一览表</w:t>
            </w:r>
          </w:p>
          <w:tbl>
            <w:tblPr>
              <w:tblStyle w:val="24"/>
              <w:tblW w:w="85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3505"/>
              <w:gridCol w:w="970"/>
              <w:gridCol w:w="882"/>
              <w:gridCol w:w="994"/>
              <w:gridCol w:w="849"/>
            </w:tblGrid>
            <w:tr w14:paraId="36C93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394" w:type="dxa"/>
                  <w:tcBorders>
                    <w:tl2br w:val="nil"/>
                    <w:tr2bl w:val="nil"/>
                  </w:tcBorders>
                  <w:vAlign w:val="center"/>
                </w:tcPr>
                <w:p w14:paraId="7A3070FB">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3505" w:type="dxa"/>
                  <w:tcBorders>
                    <w:tl2br w:val="nil"/>
                    <w:tr2bl w:val="nil"/>
                  </w:tcBorders>
                  <w:vAlign w:val="center"/>
                </w:tcPr>
                <w:p w14:paraId="5E367FD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970" w:type="dxa"/>
                  <w:tcBorders>
                    <w:tl2br w:val="nil"/>
                    <w:tr2bl w:val="nil"/>
                  </w:tcBorders>
                  <w:vAlign w:val="center"/>
                </w:tcPr>
                <w:p w14:paraId="2190A2F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882" w:type="dxa"/>
                  <w:tcBorders>
                    <w:tl2br w:val="nil"/>
                    <w:tr2bl w:val="nil"/>
                  </w:tcBorders>
                  <w:vAlign w:val="center"/>
                </w:tcPr>
                <w:p w14:paraId="037F3AE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994" w:type="dxa"/>
                  <w:tcBorders>
                    <w:tl2br w:val="nil"/>
                    <w:tr2bl w:val="nil"/>
                  </w:tcBorders>
                  <w:vAlign w:val="center"/>
                </w:tcPr>
                <w:p w14:paraId="04559569">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849" w:type="dxa"/>
                  <w:tcBorders>
                    <w:tl2br w:val="nil"/>
                    <w:tr2bl w:val="nil"/>
                  </w:tcBorders>
                  <w:vAlign w:val="center"/>
                </w:tcPr>
                <w:p w14:paraId="292E965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5F045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94" w:type="dxa"/>
                  <w:vMerge w:val="restart"/>
                  <w:tcBorders>
                    <w:tl2br w:val="nil"/>
                    <w:tr2bl w:val="nil"/>
                  </w:tcBorders>
                  <w:vAlign w:val="center"/>
                </w:tcPr>
                <w:p w14:paraId="36CCEDC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1320</w:t>
                  </w:r>
                  <w:r>
                    <w:rPr>
                      <w:rFonts w:hint="default" w:ascii="Times New Roman" w:hAnsi="Times New Roman" w:eastAsia="宋体" w:cs="Times New Roman"/>
                      <w:color w:val="auto"/>
                      <w:sz w:val="21"/>
                      <w:szCs w:val="21"/>
                      <w:vertAlign w:val="baseline"/>
                      <w:lang w:val="en-US" w:eastAsia="zh-CN"/>
                    </w:rPr>
                    <w:t>t/a）</w:t>
                  </w:r>
                </w:p>
              </w:tc>
              <w:tc>
                <w:tcPr>
                  <w:tcW w:w="3505" w:type="dxa"/>
                  <w:tcBorders>
                    <w:tl2br w:val="nil"/>
                    <w:tr2bl w:val="nil"/>
                  </w:tcBorders>
                  <w:vAlign w:val="center"/>
                </w:tcPr>
                <w:p w14:paraId="6AC8B82D">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970" w:type="dxa"/>
                  <w:tcBorders>
                    <w:tl2br w:val="nil"/>
                    <w:tr2bl w:val="nil"/>
                  </w:tcBorders>
                  <w:vAlign w:val="center"/>
                </w:tcPr>
                <w:p w14:paraId="3909118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882" w:type="dxa"/>
                  <w:tcBorders>
                    <w:tl2br w:val="nil"/>
                    <w:tr2bl w:val="nil"/>
                  </w:tcBorders>
                  <w:vAlign w:val="center"/>
                </w:tcPr>
                <w:p w14:paraId="2C145BD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994" w:type="dxa"/>
                  <w:tcBorders>
                    <w:tl2br w:val="nil"/>
                    <w:tr2bl w:val="nil"/>
                  </w:tcBorders>
                  <w:vAlign w:val="center"/>
                </w:tcPr>
                <w:p w14:paraId="03EF0AE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849" w:type="dxa"/>
                  <w:tcBorders>
                    <w:tl2br w:val="nil"/>
                    <w:tr2bl w:val="nil"/>
                  </w:tcBorders>
                  <w:vAlign w:val="center"/>
                </w:tcPr>
                <w:p w14:paraId="20A6FB9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60EB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394" w:type="dxa"/>
                  <w:vMerge w:val="continue"/>
                  <w:tcBorders>
                    <w:tl2br w:val="nil"/>
                    <w:tr2bl w:val="nil"/>
                  </w:tcBorders>
                  <w:vAlign w:val="center"/>
                </w:tcPr>
                <w:p w14:paraId="312DD6C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505" w:type="dxa"/>
                  <w:tcBorders>
                    <w:tl2br w:val="nil"/>
                    <w:tr2bl w:val="nil"/>
                  </w:tcBorders>
                  <w:vAlign w:val="center"/>
                </w:tcPr>
                <w:p w14:paraId="20D56162">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970" w:type="dxa"/>
                  <w:tcBorders>
                    <w:tl2br w:val="nil"/>
                    <w:tr2bl w:val="nil"/>
                  </w:tcBorders>
                  <w:vAlign w:val="center"/>
                </w:tcPr>
                <w:p w14:paraId="32F7D13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33</w:t>
                  </w:r>
                </w:p>
              </w:tc>
              <w:tc>
                <w:tcPr>
                  <w:tcW w:w="882" w:type="dxa"/>
                  <w:tcBorders>
                    <w:tl2br w:val="nil"/>
                    <w:tr2bl w:val="nil"/>
                  </w:tcBorders>
                  <w:vAlign w:val="center"/>
                </w:tcPr>
                <w:p w14:paraId="09782F5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1452</w:t>
                  </w:r>
                </w:p>
              </w:tc>
              <w:tc>
                <w:tcPr>
                  <w:tcW w:w="994" w:type="dxa"/>
                  <w:tcBorders>
                    <w:tl2br w:val="nil"/>
                    <w:tr2bl w:val="nil"/>
                  </w:tcBorders>
                  <w:vAlign w:val="center"/>
                </w:tcPr>
                <w:p w14:paraId="6B3929C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132</w:t>
                  </w:r>
                </w:p>
              </w:tc>
              <w:tc>
                <w:tcPr>
                  <w:tcW w:w="849" w:type="dxa"/>
                  <w:tcBorders>
                    <w:tl2br w:val="nil"/>
                    <w:tr2bl w:val="nil"/>
                  </w:tcBorders>
                  <w:vAlign w:val="center"/>
                </w:tcPr>
                <w:p w14:paraId="3CD8E9A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317</w:t>
                  </w:r>
                </w:p>
              </w:tc>
            </w:tr>
            <w:tr w14:paraId="663C2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94" w:type="dxa"/>
                  <w:tcBorders>
                    <w:tl2br w:val="nil"/>
                    <w:tr2bl w:val="nil"/>
                  </w:tcBorders>
                  <w:vAlign w:val="center"/>
                </w:tcPr>
                <w:p w14:paraId="3C3853C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7200" w:type="dxa"/>
                  <w:gridSpan w:val="5"/>
                  <w:tcBorders>
                    <w:tl2br w:val="nil"/>
                    <w:tr2bl w:val="nil"/>
                  </w:tcBorders>
                  <w:vAlign w:val="center"/>
                </w:tcPr>
                <w:p w14:paraId="56CB0DE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入</w:t>
                  </w:r>
                  <w:r>
                    <w:rPr>
                      <w:rFonts w:hint="eastAsia" w:ascii="Times New Roman" w:hAnsi="Times New Roman" w:eastAsia="宋体" w:cs="Times New Roman"/>
                      <w:b w:val="0"/>
                      <w:bCs/>
                      <w:color w:val="000000"/>
                      <w:kern w:val="0"/>
                      <w:sz w:val="21"/>
                      <w:szCs w:val="21"/>
                      <w:highlight w:val="none"/>
                      <w:lang w:val="en-US" w:eastAsia="zh-CN"/>
                    </w:rPr>
                    <w:t>江阴污水处理厂（江阴港城经济区污水处理厂）</w:t>
                  </w:r>
                  <w:r>
                    <w:rPr>
                      <w:rFonts w:hint="eastAsia" w:ascii="Times New Roman" w:hAnsi="Times New Roman" w:eastAsia="宋体" w:cs="Times New Roman"/>
                      <w:color w:val="auto"/>
                      <w:sz w:val="21"/>
                      <w:szCs w:val="21"/>
                      <w:highlight w:val="none"/>
                      <w:vertAlign w:val="baseline"/>
                      <w:lang w:val="en-US" w:eastAsia="zh-CN"/>
                    </w:rPr>
                    <w:t>处理</w:t>
                  </w:r>
                </w:p>
              </w:tc>
            </w:tr>
            <w:tr w14:paraId="06F62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394" w:type="dxa"/>
                  <w:vMerge w:val="restart"/>
                  <w:tcBorders>
                    <w:tl2br w:val="nil"/>
                    <w:tr2bl w:val="nil"/>
                  </w:tcBorders>
                  <w:vAlign w:val="center"/>
                </w:tcPr>
                <w:p w14:paraId="4875E5B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ascii="Times New Roman" w:hAnsi="Times New Roman" w:cs="Times New Roman"/>
                      <w:color w:val="auto"/>
                      <w:sz w:val="21"/>
                      <w:szCs w:val="21"/>
                      <w:vertAlign w:val="baseline"/>
                      <w:lang w:val="en-US" w:eastAsia="zh-CN"/>
                    </w:rPr>
                    <w:t>1056</w:t>
                  </w:r>
                  <w:r>
                    <w:rPr>
                      <w:rFonts w:hint="default" w:ascii="Times New Roman" w:hAnsi="Times New Roman" w:eastAsia="宋体" w:cs="Times New Roman"/>
                      <w:color w:val="auto"/>
                      <w:sz w:val="21"/>
                      <w:szCs w:val="21"/>
                      <w:vertAlign w:val="baseline"/>
                      <w:lang w:val="en-US" w:eastAsia="zh-CN"/>
                    </w:rPr>
                    <w:t>t/a）</w:t>
                  </w:r>
                </w:p>
              </w:tc>
              <w:tc>
                <w:tcPr>
                  <w:tcW w:w="3505" w:type="dxa"/>
                  <w:tcBorders>
                    <w:tl2br w:val="nil"/>
                    <w:tr2bl w:val="nil"/>
                  </w:tcBorders>
                  <w:vAlign w:val="center"/>
                </w:tcPr>
                <w:p w14:paraId="7BEF7F22">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970" w:type="dxa"/>
                  <w:tcBorders>
                    <w:tl2br w:val="nil"/>
                    <w:tr2bl w:val="nil"/>
                  </w:tcBorders>
                  <w:vAlign w:val="center"/>
                </w:tcPr>
                <w:p w14:paraId="0BBA3A8D">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882" w:type="dxa"/>
                  <w:tcBorders>
                    <w:tl2br w:val="nil"/>
                    <w:tr2bl w:val="nil"/>
                  </w:tcBorders>
                  <w:vAlign w:val="center"/>
                </w:tcPr>
                <w:p w14:paraId="79C6C693">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94" w:type="dxa"/>
                  <w:tcBorders>
                    <w:tl2br w:val="nil"/>
                    <w:tr2bl w:val="nil"/>
                  </w:tcBorders>
                  <w:vAlign w:val="center"/>
                </w:tcPr>
                <w:p w14:paraId="679CA1C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849" w:type="dxa"/>
                  <w:tcBorders>
                    <w:tl2br w:val="nil"/>
                    <w:tr2bl w:val="nil"/>
                  </w:tcBorders>
                  <w:vAlign w:val="center"/>
                </w:tcPr>
                <w:p w14:paraId="0DD5D83B">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7DE0D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394" w:type="dxa"/>
                  <w:vMerge w:val="continue"/>
                  <w:tcBorders>
                    <w:tl2br w:val="nil"/>
                    <w:tr2bl w:val="nil"/>
                  </w:tcBorders>
                  <w:vAlign w:val="center"/>
                </w:tcPr>
                <w:p w14:paraId="67972F8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505" w:type="dxa"/>
                  <w:tcBorders>
                    <w:tl2br w:val="nil"/>
                    <w:tr2bl w:val="nil"/>
                  </w:tcBorders>
                  <w:vAlign w:val="center"/>
                </w:tcPr>
                <w:p w14:paraId="2DF1CBF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970" w:type="dxa"/>
                  <w:tcBorders>
                    <w:tl2br w:val="nil"/>
                    <w:tr2bl w:val="nil"/>
                  </w:tcBorders>
                  <w:vAlign w:val="center"/>
                </w:tcPr>
                <w:p w14:paraId="675F6BE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882" w:type="dxa"/>
                  <w:tcBorders>
                    <w:tl2br w:val="nil"/>
                    <w:tr2bl w:val="nil"/>
                  </w:tcBorders>
                  <w:vAlign w:val="center"/>
                </w:tcPr>
                <w:p w14:paraId="3669E09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994" w:type="dxa"/>
                  <w:tcBorders>
                    <w:tl2br w:val="nil"/>
                    <w:tr2bl w:val="nil"/>
                  </w:tcBorders>
                  <w:vAlign w:val="center"/>
                </w:tcPr>
                <w:p w14:paraId="3D04A47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849" w:type="dxa"/>
                  <w:tcBorders>
                    <w:tl2br w:val="nil"/>
                    <w:tr2bl w:val="nil"/>
                  </w:tcBorders>
                  <w:vAlign w:val="center"/>
                </w:tcPr>
                <w:p w14:paraId="6E66AD7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0A511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94" w:type="dxa"/>
                  <w:vMerge w:val="continue"/>
                  <w:tcBorders>
                    <w:tl2br w:val="nil"/>
                    <w:tr2bl w:val="nil"/>
                  </w:tcBorders>
                  <w:vAlign w:val="center"/>
                </w:tcPr>
                <w:p w14:paraId="65BDDD9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505" w:type="dxa"/>
                  <w:tcBorders>
                    <w:tl2br w:val="nil"/>
                    <w:tr2bl w:val="nil"/>
                  </w:tcBorders>
                  <w:vAlign w:val="center"/>
                </w:tcPr>
                <w:p w14:paraId="07E26F1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970" w:type="dxa"/>
                  <w:tcBorders>
                    <w:tl2br w:val="nil"/>
                    <w:tr2bl w:val="nil"/>
                  </w:tcBorders>
                  <w:vAlign w:val="center"/>
                </w:tcPr>
                <w:p w14:paraId="189F1F83">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2112</w:t>
                  </w:r>
                </w:p>
              </w:tc>
              <w:tc>
                <w:tcPr>
                  <w:tcW w:w="882" w:type="dxa"/>
                  <w:tcBorders>
                    <w:tl2br w:val="nil"/>
                    <w:tr2bl w:val="nil"/>
                  </w:tcBorders>
                  <w:vAlign w:val="center"/>
                </w:tcPr>
                <w:p w14:paraId="6C87F14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0987</w:t>
                  </w:r>
                </w:p>
              </w:tc>
              <w:tc>
                <w:tcPr>
                  <w:tcW w:w="994" w:type="dxa"/>
                  <w:tcBorders>
                    <w:tl2br w:val="nil"/>
                    <w:tr2bl w:val="nil"/>
                  </w:tcBorders>
                  <w:vAlign w:val="center"/>
                </w:tcPr>
                <w:p w14:paraId="73F7A7DB">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0739</w:t>
                  </w:r>
                </w:p>
              </w:tc>
              <w:tc>
                <w:tcPr>
                  <w:tcW w:w="849" w:type="dxa"/>
                  <w:tcBorders>
                    <w:tl2br w:val="nil"/>
                    <w:tr2bl w:val="nil"/>
                  </w:tcBorders>
                  <w:vAlign w:val="center"/>
                </w:tcPr>
                <w:p w14:paraId="2F66555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253</w:t>
                  </w:r>
                </w:p>
              </w:tc>
            </w:tr>
            <w:tr w14:paraId="1A1C4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4899" w:type="dxa"/>
                  <w:gridSpan w:val="2"/>
                  <w:tcBorders>
                    <w:tl2br w:val="nil"/>
                    <w:tr2bl w:val="nil"/>
                  </w:tcBorders>
                  <w:vAlign w:val="center"/>
                </w:tcPr>
                <w:p w14:paraId="53703D0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000000"/>
                      <w:kern w:val="0"/>
                      <w:sz w:val="21"/>
                      <w:szCs w:val="21"/>
                      <w:highlight w:val="none"/>
                      <w:lang w:val="en-US" w:eastAsia="zh-CN"/>
                    </w:rPr>
                    <w:t>江阴污水处理厂（江阴港城经济区污水处理厂）</w:t>
                  </w:r>
                  <w:r>
                    <w:rPr>
                      <w:rFonts w:hint="default" w:ascii="Times New Roman" w:hAnsi="Times New Roman" w:eastAsia="宋体" w:cs="Times New Roman"/>
                      <w:color w:val="auto"/>
                      <w:sz w:val="21"/>
                      <w:szCs w:val="21"/>
                      <w:vertAlign w:val="baseline"/>
                      <w:lang w:val="en-US" w:eastAsia="zh-CN"/>
                    </w:rPr>
                    <w:t>纳污</w:t>
                  </w:r>
                  <w:r>
                    <w:rPr>
                      <w:rFonts w:hint="eastAsia" w:ascii="Times New Roman" w:hAnsi="Times New Roman" w:cs="Times New Roman"/>
                      <w:color w:val="auto"/>
                      <w:sz w:val="21"/>
                      <w:szCs w:val="21"/>
                      <w:vertAlign w:val="baseline"/>
                      <w:lang w:val="en-US" w:eastAsia="zh-CN"/>
                    </w:rPr>
                    <w:t>值</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970" w:type="dxa"/>
                  <w:tcBorders>
                    <w:tl2br w:val="nil"/>
                    <w:tr2bl w:val="nil"/>
                  </w:tcBorders>
                  <w:vAlign w:val="center"/>
                </w:tcPr>
                <w:p w14:paraId="619D6CBF">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cs="Times New Roman"/>
                      <w:color w:val="auto"/>
                      <w:kern w:val="0"/>
                      <w:sz w:val="20"/>
                      <w:szCs w:val="20"/>
                      <w:lang w:val="en-US" w:eastAsia="zh-CN" w:bidi="ar"/>
                    </w:rPr>
                    <w:t>500</w:t>
                  </w:r>
                </w:p>
              </w:tc>
              <w:tc>
                <w:tcPr>
                  <w:tcW w:w="882" w:type="dxa"/>
                  <w:tcBorders>
                    <w:tl2br w:val="nil"/>
                    <w:tr2bl w:val="nil"/>
                  </w:tcBorders>
                  <w:vAlign w:val="center"/>
                </w:tcPr>
                <w:p w14:paraId="3C6DEF5D">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cs="Times New Roman"/>
                      <w:color w:val="auto"/>
                      <w:kern w:val="0"/>
                      <w:sz w:val="20"/>
                      <w:szCs w:val="20"/>
                      <w:lang w:val="en-US" w:eastAsia="zh-CN" w:bidi="ar"/>
                    </w:rPr>
                    <w:t>300</w:t>
                  </w:r>
                </w:p>
              </w:tc>
              <w:tc>
                <w:tcPr>
                  <w:tcW w:w="994" w:type="dxa"/>
                  <w:tcBorders>
                    <w:tl2br w:val="nil"/>
                    <w:tr2bl w:val="nil"/>
                  </w:tcBorders>
                  <w:vAlign w:val="center"/>
                </w:tcPr>
                <w:p w14:paraId="6D4DFF0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cs="Times New Roman"/>
                      <w:color w:val="auto"/>
                      <w:kern w:val="0"/>
                      <w:sz w:val="20"/>
                      <w:szCs w:val="20"/>
                      <w:lang w:val="en-US" w:eastAsia="zh-CN" w:bidi="ar"/>
                    </w:rPr>
                    <w:t>400</w:t>
                  </w:r>
                </w:p>
              </w:tc>
              <w:tc>
                <w:tcPr>
                  <w:tcW w:w="849" w:type="dxa"/>
                  <w:tcBorders>
                    <w:tl2br w:val="nil"/>
                    <w:tr2bl w:val="nil"/>
                  </w:tcBorders>
                  <w:vAlign w:val="center"/>
                </w:tcPr>
                <w:p w14:paraId="2EAD3C5B">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cs="Times New Roman"/>
                      <w:color w:val="auto"/>
                      <w:kern w:val="0"/>
                      <w:sz w:val="20"/>
                      <w:szCs w:val="20"/>
                      <w:lang w:val="en-US" w:eastAsia="zh-CN" w:bidi="ar"/>
                    </w:rPr>
                    <w:t>60</w:t>
                  </w:r>
                </w:p>
              </w:tc>
            </w:tr>
            <w:tr w14:paraId="02B8E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899" w:type="dxa"/>
                  <w:gridSpan w:val="2"/>
                  <w:tcBorders>
                    <w:tl2br w:val="nil"/>
                    <w:tr2bl w:val="nil"/>
                  </w:tcBorders>
                  <w:vAlign w:val="center"/>
                </w:tcPr>
                <w:p w14:paraId="23D5F4F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江</w:t>
                  </w:r>
                  <w:r>
                    <w:rPr>
                      <w:rFonts w:hint="eastAsia" w:ascii="Times New Roman" w:hAnsi="Times New Roman" w:eastAsia="宋体" w:cs="Times New Roman"/>
                      <w:b w:val="0"/>
                      <w:bCs/>
                      <w:color w:val="000000"/>
                      <w:kern w:val="0"/>
                      <w:sz w:val="21"/>
                      <w:szCs w:val="21"/>
                      <w:highlight w:val="none"/>
                      <w:lang w:val="en-US" w:eastAsia="zh-CN"/>
                    </w:rPr>
                    <w:t>江阴污水处理厂（江阴港城经济区污水处理厂）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970" w:type="dxa"/>
                  <w:tcBorders>
                    <w:tl2br w:val="nil"/>
                    <w:tr2bl w:val="nil"/>
                  </w:tcBorders>
                  <w:vAlign w:val="center"/>
                </w:tcPr>
                <w:p w14:paraId="238DD488">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882" w:type="dxa"/>
                  <w:tcBorders>
                    <w:tl2br w:val="nil"/>
                    <w:tr2bl w:val="nil"/>
                  </w:tcBorders>
                  <w:vAlign w:val="center"/>
                </w:tcPr>
                <w:p w14:paraId="42151CC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994" w:type="dxa"/>
                  <w:tcBorders>
                    <w:tl2br w:val="nil"/>
                    <w:tr2bl w:val="nil"/>
                  </w:tcBorders>
                  <w:vAlign w:val="center"/>
                </w:tcPr>
                <w:p w14:paraId="2EB4FEB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849" w:type="dxa"/>
                  <w:tcBorders>
                    <w:tl2br w:val="nil"/>
                    <w:tr2bl w:val="nil"/>
                  </w:tcBorders>
                  <w:vAlign w:val="center"/>
                </w:tcPr>
                <w:p w14:paraId="4C6792AB">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64C37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4899" w:type="dxa"/>
                  <w:gridSpan w:val="2"/>
                  <w:tcBorders>
                    <w:tl2br w:val="nil"/>
                    <w:tr2bl w:val="nil"/>
                  </w:tcBorders>
                  <w:vAlign w:val="center"/>
                </w:tcPr>
                <w:p w14:paraId="09CCBA5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970" w:type="dxa"/>
                  <w:tcBorders>
                    <w:tl2br w:val="nil"/>
                    <w:tr2bl w:val="nil"/>
                  </w:tcBorders>
                  <w:vAlign w:val="center"/>
                </w:tcPr>
                <w:p w14:paraId="6949695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882" w:type="dxa"/>
                  <w:tcBorders>
                    <w:tl2br w:val="nil"/>
                    <w:tr2bl w:val="nil"/>
                  </w:tcBorders>
                  <w:vAlign w:val="center"/>
                </w:tcPr>
                <w:p w14:paraId="2C4DC179">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994" w:type="dxa"/>
                  <w:tcBorders>
                    <w:tl2br w:val="nil"/>
                    <w:tr2bl w:val="nil"/>
                  </w:tcBorders>
                  <w:vAlign w:val="center"/>
                </w:tcPr>
                <w:p w14:paraId="6B96DC2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849" w:type="dxa"/>
                  <w:tcBorders>
                    <w:tl2br w:val="nil"/>
                    <w:tr2bl w:val="nil"/>
                  </w:tcBorders>
                  <w:vAlign w:val="center"/>
                </w:tcPr>
                <w:p w14:paraId="67A2C7AF">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22B053F0">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76" w:name="_Toc16893"/>
            <w:bookmarkStart w:id="177" w:name="_Toc19668"/>
            <w:bookmarkStart w:id="178" w:name="_Toc14541"/>
          </w:p>
          <w:p w14:paraId="5DCAB001">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79" w:name="_Toc22874"/>
            <w:bookmarkStart w:id="180" w:name="_Toc16293"/>
            <w:r>
              <w:rPr>
                <w:rFonts w:hint="eastAsia"/>
                <w:b/>
                <w:color w:val="262626"/>
                <w:kern w:val="0"/>
                <w:sz w:val="24"/>
                <w:lang w:val="en-US" w:eastAsia="zh-CN"/>
              </w:rPr>
              <w:t>4.2.2</w:t>
            </w:r>
            <w:r>
              <w:rPr>
                <w:rFonts w:hint="default"/>
                <w:b/>
                <w:color w:val="262626"/>
                <w:kern w:val="0"/>
                <w:sz w:val="24"/>
                <w:lang w:val="en-US" w:eastAsia="zh-CN"/>
              </w:rPr>
              <w:t>运营期水环境影响及污染防治措施可行性分析</w:t>
            </w:r>
            <w:bookmarkEnd w:id="179"/>
            <w:bookmarkEnd w:id="180"/>
          </w:p>
          <w:p w14:paraId="2A60132C">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1</w:t>
            </w:r>
            <w:r>
              <w:rPr>
                <w:rFonts w:hint="eastAsia" w:ascii="Times New Roman" w:hAnsi="Times New Roman" w:eastAsia="宋体" w:cs="Times New Roman"/>
                <w:b w:val="0"/>
                <w:bCs w:val="0"/>
                <w:strike w:val="0"/>
                <w:dstrike w:val="0"/>
                <w:color w:val="auto"/>
                <w:sz w:val="24"/>
                <w:szCs w:val="24"/>
                <w:highlight w:val="none"/>
                <w:lang w:val="en-US" w:eastAsia="zh-CN"/>
              </w:rPr>
              <w:t>）化粪池依托处理可行性分析</w:t>
            </w:r>
          </w:p>
          <w:p w14:paraId="7A428C8E">
            <w:pPr>
              <w:widowControl/>
              <w:spacing w:line="360" w:lineRule="auto"/>
              <w:ind w:firstLine="480" w:firstLineChars="200"/>
              <w:jc w:val="left"/>
              <w:rPr>
                <w:rFonts w:hint="default" w:ascii="Times New Roman" w:hAnsi="Times New Roman" w:eastAsia="宋体" w:cs="Times New Roman"/>
                <w:strike w:val="0"/>
                <w:dstrike w:val="0"/>
                <w:color w:val="auto"/>
                <w:sz w:val="24"/>
                <w:highlight w:val="none"/>
              </w:rPr>
            </w:pPr>
            <w:r>
              <w:rPr>
                <w:rFonts w:hint="default" w:ascii="Times New Roman" w:hAnsi="Times New Roman" w:eastAsia="宋体" w:cs="Times New Roman"/>
                <w:b w:val="0"/>
                <w:bCs w:val="0"/>
                <w:strike w:val="0"/>
                <w:dstrike w:val="0"/>
                <w:color w:val="auto"/>
                <w:sz w:val="24"/>
                <w:szCs w:val="24"/>
                <w:highlight w:val="none"/>
                <w:lang w:val="en-US" w:eastAsia="zh-CN"/>
              </w:rPr>
              <w:t>运营期外排废水为生活污水，依托厂区内现有化粪池处理后，排入市政污水管网，送往</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strike w:val="0"/>
                <w:dstrike w:val="0"/>
                <w:color w:val="auto"/>
                <w:sz w:val="24"/>
                <w:szCs w:val="24"/>
                <w:lang w:val="en-US" w:eastAsia="zh-CN"/>
              </w:rPr>
              <w:t>集</w:t>
            </w:r>
            <w:r>
              <w:rPr>
                <w:rFonts w:hint="default" w:ascii="Times New Roman" w:hAnsi="Times New Roman" w:eastAsia="宋体" w:cs="Times New Roman"/>
                <w:b w:val="0"/>
                <w:bCs w:val="0"/>
                <w:strike w:val="0"/>
                <w:dstrike w:val="0"/>
                <w:color w:val="auto"/>
                <w:sz w:val="24"/>
                <w:szCs w:val="24"/>
                <w:highlight w:val="none"/>
                <w:lang w:val="en-US" w:eastAsia="zh-CN"/>
              </w:rPr>
              <w:t>中进行处理。生活污水依托厂区现有</w:t>
            </w:r>
            <w:r>
              <w:rPr>
                <w:rFonts w:hint="eastAsia" w:cs="Times New Roman"/>
                <w:b w:val="0"/>
                <w:bCs w:val="0"/>
                <w:strike w:val="0"/>
                <w:dstrike w:val="0"/>
                <w:color w:val="auto"/>
                <w:sz w:val="24"/>
                <w:szCs w:val="24"/>
                <w:highlight w:val="none"/>
                <w:lang w:val="en-US" w:eastAsia="zh-CN"/>
              </w:rPr>
              <w:t>工程</w:t>
            </w:r>
            <w:r>
              <w:rPr>
                <w:rFonts w:hint="default" w:ascii="Times New Roman" w:hAnsi="Times New Roman" w:eastAsia="宋体" w:cs="Times New Roman"/>
                <w:b w:val="0"/>
                <w:bCs w:val="0"/>
                <w:strike w:val="0"/>
                <w:dstrike w:val="0"/>
                <w:color w:val="auto"/>
                <w:sz w:val="24"/>
                <w:szCs w:val="24"/>
                <w:highlight w:val="none"/>
                <w:lang w:val="en-US" w:eastAsia="zh-CN"/>
              </w:rPr>
              <w:t>的化粪池（</w:t>
            </w:r>
            <w:r>
              <w:rPr>
                <w:rFonts w:hint="eastAsia" w:cs="Times New Roman"/>
                <w:b w:val="0"/>
                <w:bCs w:val="0"/>
                <w:strike w:val="0"/>
                <w:dstrike w:val="0"/>
                <w:color w:val="auto"/>
                <w:sz w:val="24"/>
                <w:szCs w:val="24"/>
                <w:highlight w:val="none"/>
                <w:lang w:val="en-US" w:eastAsia="zh-CN"/>
              </w:rPr>
              <w:t>2</w:t>
            </w:r>
            <w:r>
              <w:rPr>
                <w:rFonts w:hint="default" w:ascii="Times New Roman" w:hAnsi="Times New Roman" w:eastAsia="宋体" w:cs="Times New Roman"/>
                <w:b w:val="0"/>
                <w:bCs w:val="0"/>
                <w:strike w:val="0"/>
                <w:dstrike w:val="0"/>
                <w:color w:val="auto"/>
                <w:sz w:val="24"/>
                <w:szCs w:val="24"/>
                <w:highlight w:val="none"/>
                <w:lang w:val="en-US" w:eastAsia="zh-CN"/>
              </w:rPr>
              <w:t>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w:t>
            </w:r>
            <w:r>
              <w:rPr>
                <w:rFonts w:hint="default" w:ascii="Times New Roman" w:hAnsi="Times New Roman" w:eastAsia="宋体" w:cs="Times New Roman"/>
                <w:strike w:val="0"/>
                <w:dstrike w:val="0"/>
                <w:color w:val="auto"/>
                <w:sz w:val="24"/>
                <w:lang w:val="en-GB"/>
              </w:rPr>
              <w:t>根据</w:t>
            </w:r>
            <w:r>
              <w:rPr>
                <w:rFonts w:hint="eastAsia" w:cs="Times New Roman"/>
                <w:strike w:val="0"/>
                <w:dstrike w:val="0"/>
                <w:color w:val="auto"/>
                <w:sz w:val="24"/>
                <w:lang w:val="en-US" w:eastAsia="zh-CN"/>
              </w:rPr>
              <w:t>业主提供资料（</w:t>
            </w:r>
            <w:r>
              <w:rPr>
                <w:rFonts w:hint="default" w:ascii="Times New Roman" w:hAnsi="Times New Roman" w:eastAsia="宋体" w:cs="Times New Roman"/>
                <w:bCs/>
                <w:strike w:val="0"/>
                <w:dstrike w:val="0"/>
                <w:color w:val="auto"/>
                <w:sz w:val="24"/>
                <w:szCs w:val="24"/>
                <w:lang w:val="en-US" w:eastAsia="zh-CN"/>
              </w:rPr>
              <w:t>目前</w:t>
            </w:r>
            <w:r>
              <w:rPr>
                <w:rFonts w:hint="eastAsia" w:cs="Times New Roman"/>
                <w:bCs/>
                <w:strike w:val="0"/>
                <w:dstrike w:val="0"/>
                <w:color w:val="auto"/>
                <w:sz w:val="24"/>
                <w:szCs w:val="24"/>
                <w:lang w:val="en-US" w:eastAsia="zh-CN"/>
              </w:rPr>
              <w:t>实际处理水量约为1.575m</w:t>
            </w:r>
            <w:r>
              <w:rPr>
                <w:rFonts w:hint="eastAsia" w:cs="Times New Roman"/>
                <w:bCs/>
                <w:strike w:val="0"/>
                <w:dstrike w:val="0"/>
                <w:color w:val="auto"/>
                <w:sz w:val="24"/>
                <w:szCs w:val="24"/>
                <w:vertAlign w:val="superscript"/>
                <w:lang w:val="en-US" w:eastAsia="zh-CN"/>
              </w:rPr>
              <w:t>3</w:t>
            </w:r>
            <w:r>
              <w:rPr>
                <w:rFonts w:hint="eastAsia" w:cs="Times New Roman"/>
                <w:bCs/>
                <w:strike w:val="0"/>
                <w:dstrike w:val="0"/>
                <w:color w:val="auto"/>
                <w:sz w:val="24"/>
                <w:szCs w:val="24"/>
                <w:lang w:val="en-US" w:eastAsia="zh-CN"/>
              </w:rPr>
              <w:t>/d</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eastAsia" w:cs="Times New Roman"/>
                <w:strike w:val="0"/>
                <w:dstrike w:val="0"/>
                <w:color w:val="auto"/>
                <w:sz w:val="24"/>
                <w:lang w:val="en-US" w:eastAsia="zh-CN"/>
              </w:rPr>
              <w:t>18</w:t>
            </w:r>
            <w:r>
              <w:rPr>
                <w:rFonts w:hint="default" w:ascii="Times New Roman" w:hAnsi="Times New Roman" w:eastAsia="宋体" w:cs="Times New Roman"/>
                <w:strike w:val="0"/>
                <w:dstrike w:val="0"/>
                <w:color w:val="auto"/>
                <w:sz w:val="24"/>
                <w:lang w:val="en-US" w:eastAsia="zh-CN"/>
              </w:rPr>
              <w:t>.</w:t>
            </w:r>
            <w:r>
              <w:rPr>
                <w:rFonts w:hint="eastAsia" w:cs="Times New Roman"/>
                <w:strike w:val="0"/>
                <w:dstrike w:val="0"/>
                <w:color w:val="auto"/>
                <w:sz w:val="24"/>
                <w:lang w:val="en-US" w:eastAsia="zh-CN"/>
              </w:rPr>
              <w:t>428</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eastAsia" w:cs="Times New Roman"/>
                <w:strike w:val="0"/>
                <w:dstrike w:val="0"/>
                <w:color w:val="auto"/>
                <w:sz w:val="24"/>
                <w:lang w:val="en-US" w:eastAsia="zh-CN"/>
              </w:rPr>
              <w:t>4</w:t>
            </w:r>
            <w:r>
              <w:rPr>
                <w:rFonts w:hint="default" w:ascii="Times New Roman" w:hAnsi="Times New Roman" w:eastAsia="宋体" w:cs="Times New Roman"/>
                <w:strike w:val="0"/>
                <w:dstrike w:val="0"/>
                <w:color w:val="auto"/>
                <w:sz w:val="24"/>
              </w:rPr>
              <w:t>t/d，约占剩余化粪池处理量</w:t>
            </w:r>
            <w:r>
              <w:rPr>
                <w:rFonts w:hint="eastAsia" w:cs="Times New Roman"/>
                <w:strike w:val="0"/>
                <w:dstrike w:val="0"/>
                <w:color w:val="auto"/>
                <w:sz w:val="24"/>
                <w:lang w:val="en-US" w:eastAsia="zh-CN"/>
              </w:rPr>
              <w:t>22</w:t>
            </w:r>
            <w:r>
              <w:rPr>
                <w:rFonts w:hint="default" w:ascii="Times New Roman" w:hAnsi="Times New Roman" w:eastAsia="宋体" w:cs="Times New Roman"/>
                <w:strike w:val="0"/>
                <w:dstrike w:val="0"/>
                <w:color w:val="auto"/>
                <w:sz w:val="24"/>
              </w:rPr>
              <w:t>%，因此本项目生活污水依托</w:t>
            </w:r>
            <w:r>
              <w:rPr>
                <w:rFonts w:hint="eastAsia" w:cs="Times New Roman"/>
                <w:strike w:val="0"/>
                <w:dstrike w:val="0"/>
                <w:color w:val="auto"/>
                <w:sz w:val="24"/>
                <w:lang w:val="en-US" w:eastAsia="zh-CN"/>
              </w:rPr>
              <w:t>原有项目</w:t>
            </w:r>
            <w:r>
              <w:rPr>
                <w:rFonts w:hint="default" w:ascii="Times New Roman" w:hAnsi="Times New Roman" w:eastAsia="宋体" w:cs="Times New Roman"/>
                <w:strike w:val="0"/>
                <w:dstrike w:val="0"/>
                <w:color w:val="auto"/>
                <w:sz w:val="24"/>
              </w:rPr>
              <w:t>已建的化粪池进行处理可行</w:t>
            </w:r>
            <w:r>
              <w:rPr>
                <w:rFonts w:hint="default" w:ascii="Times New Roman" w:hAnsi="Times New Roman" w:eastAsia="宋体" w:cs="Times New Roman"/>
                <w:strike w:val="0"/>
                <w:dstrike w:val="0"/>
                <w:color w:val="auto"/>
                <w:sz w:val="24"/>
                <w:highlight w:val="none"/>
                <w:lang w:val="en-US" w:eastAsia="zh-CN"/>
              </w:rPr>
              <w:t>。</w:t>
            </w:r>
          </w:p>
          <w:p w14:paraId="60E96707">
            <w:pPr>
              <w:widowControl/>
              <w:spacing w:line="360" w:lineRule="auto"/>
              <w:ind w:firstLine="480" w:firstLineChars="200"/>
              <w:jc w:val="left"/>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3</w:t>
            </w:r>
            <w:r>
              <w:rPr>
                <w:rFonts w:hint="eastAsia" w:ascii="Times New Roman" w:hAnsi="Times New Roman" w:eastAsia="宋体" w:cs="Times New Roman"/>
                <w:b w:val="0"/>
                <w:bCs w:val="0"/>
                <w:strike w:val="0"/>
                <w:dstrike w:val="0"/>
                <w:color w:val="auto"/>
                <w:sz w:val="24"/>
                <w:szCs w:val="24"/>
                <w:highlight w:val="none"/>
                <w:lang w:val="en-US" w:eastAsia="zh-CN"/>
              </w:rPr>
              <w:t>）依托</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b w:val="0"/>
                <w:bCs w:val="0"/>
                <w:strike w:val="0"/>
                <w:dstrike w:val="0"/>
                <w:color w:val="auto"/>
                <w:sz w:val="24"/>
                <w:szCs w:val="24"/>
                <w:highlight w:val="none"/>
                <w:lang w:val="en-US" w:eastAsia="zh-CN"/>
              </w:rPr>
              <w:t>的可行性分析</w:t>
            </w:r>
          </w:p>
          <w:p w14:paraId="3DA7302D">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strike w:val="0"/>
                <w:dstrike w:val="0"/>
                <w:color w:val="auto"/>
                <w:sz w:val="24"/>
                <w:szCs w:val="24"/>
                <w:highlight w:val="none"/>
                <w:lang w:val="en-US" w:eastAsia="zh-CN"/>
              </w:rPr>
              <w:t>的可行性。</w:t>
            </w:r>
          </w:p>
          <w:p w14:paraId="4112AAD0">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b w:val="0"/>
                <w:bCs w:val="0"/>
                <w:strike w:val="0"/>
                <w:dstrike w:val="0"/>
                <w:color w:val="auto"/>
                <w:sz w:val="24"/>
                <w:szCs w:val="24"/>
                <w:highlight w:val="none"/>
                <w:lang w:val="en-US" w:eastAsia="zh-CN"/>
              </w:rPr>
              <w:t>基本情况</w:t>
            </w:r>
          </w:p>
          <w:p w14:paraId="7AF1EBE7">
            <w:pPr>
              <w:pStyle w:val="88"/>
              <w:bidi w:val="0"/>
              <w:rPr>
                <w:rFonts w:hint="default" w:ascii="Times New Roman" w:hAnsi="Times New Roman" w:eastAsia="宋体" w:cs="Times New Roman"/>
                <w:lang w:val="en-US" w:eastAsia="zh-CN"/>
              </w:rPr>
            </w:pPr>
            <w:r>
              <w:rPr>
                <w:rFonts w:hint="eastAsia" w:cs="Times New Roman"/>
                <w:lang w:val="en-US" w:eastAsia="zh-CN"/>
              </w:rPr>
              <w:t>江</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lang w:val="en-US" w:eastAsia="zh-CN"/>
              </w:rPr>
              <w:t>位于江阴港城经济区西部工业区规划地块内，总设计规模12万t/d，分三期建设，近期4万t/d、中期8万t/d、远期12万t/d。随着</w:t>
            </w:r>
            <w:r>
              <w:rPr>
                <w:rFonts w:hint="eastAsia" w:cs="Times New Roman"/>
                <w:lang w:val="en-US" w:eastAsia="zh-CN"/>
              </w:rPr>
              <w:t>江阴工业集中区污水厂</w:t>
            </w:r>
            <w:r>
              <w:rPr>
                <w:rFonts w:hint="default" w:ascii="Times New Roman" w:hAnsi="Times New Roman" w:eastAsia="宋体" w:cs="Times New Roman"/>
                <w:lang w:val="en-US" w:eastAsia="zh-CN"/>
              </w:rPr>
              <w:t>中期一期工程建成投运，现有处理规模为8万t/d。</w:t>
            </w:r>
          </w:p>
          <w:p w14:paraId="1087B1A1">
            <w:pPr>
              <w:pStyle w:val="8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lang w:val="en-US" w:eastAsia="zh-CN"/>
              </w:rPr>
              <w:t>要求各企业出水水质达到</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lang w:val="en-US" w:eastAsia="zh-CN"/>
              </w:rPr>
              <w:t>主要进水指标要求，其它水质指标满足《污水综合排放标准》（GB8978-1996）三级标准及《污水排入城市下水道水质标准》（GB/T31962-2015）B级标准及相关行业污染物排放标准后才能接入。其尾水执行《城镇</w:t>
            </w:r>
            <w:r>
              <w:rPr>
                <w:rFonts w:hint="eastAsia" w:cs="Times New Roman"/>
                <w:lang w:val="en-US" w:eastAsia="zh-CN"/>
              </w:rPr>
              <w:t>污水厂</w:t>
            </w:r>
            <w:r>
              <w:rPr>
                <w:rFonts w:hint="default" w:ascii="Times New Roman" w:hAnsi="Times New Roman" w:eastAsia="宋体" w:cs="Times New Roman"/>
                <w:lang w:val="en-US" w:eastAsia="zh-CN"/>
              </w:rPr>
              <w:t>污染物排放标准》（GB18918-2002）表1一级A标准，排放至兴化湾海域</w:t>
            </w:r>
            <w:r>
              <w:rPr>
                <w:rFonts w:hint="eastAsia" w:cs="Times New Roman"/>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根据《</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cs="Times New Roman"/>
                <w:b w:val="0"/>
                <w:bCs w:val="0"/>
                <w:strike w:val="0"/>
                <w:dstrike w:val="0"/>
                <w:color w:val="auto"/>
                <w:sz w:val="24"/>
                <w:szCs w:val="24"/>
                <w:highlight w:val="none"/>
                <w:lang w:val="en-US" w:eastAsia="zh-CN"/>
              </w:rPr>
              <w:t>扩容改造项目</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4414BF78">
            <w:pPr>
              <w:pStyle w:val="52"/>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2江阴污水处理厂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pH除外</w:t>
            </w:r>
            <w:r>
              <w:rPr>
                <w:rFonts w:hint="eastAsia" w:cs="Times New Roman"/>
                <w:color w:val="auto"/>
                <w:sz w:val="24"/>
                <w:szCs w:val="24"/>
                <w:highlight w:val="none"/>
                <w:lang w:val="en-US" w:eastAsia="zh-CN"/>
              </w:rPr>
              <w:t>）</w:t>
            </w:r>
          </w:p>
          <w:tbl>
            <w:tblPr>
              <w:tblStyle w:val="57"/>
              <w:tblW w:w="85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06"/>
              <w:gridCol w:w="1510"/>
              <w:gridCol w:w="973"/>
              <w:gridCol w:w="851"/>
              <w:gridCol w:w="863"/>
              <w:gridCol w:w="946"/>
              <w:gridCol w:w="1011"/>
              <w:gridCol w:w="705"/>
              <w:gridCol w:w="727"/>
            </w:tblGrid>
            <w:tr w14:paraId="25860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0" w:hRule="atLeast"/>
              </w:trPr>
              <w:tc>
                <w:tcPr>
                  <w:tcW w:w="1006" w:type="dxa"/>
                  <w:vAlign w:val="center"/>
                </w:tcPr>
                <w:p w14:paraId="0A3544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1510" w:type="dxa"/>
                  <w:vAlign w:val="center"/>
                </w:tcPr>
                <w:p w14:paraId="0B707A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973" w:type="dxa"/>
                  <w:vAlign w:val="center"/>
                </w:tcPr>
                <w:p w14:paraId="5A14AD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851" w:type="dxa"/>
                  <w:vAlign w:val="center"/>
                </w:tcPr>
                <w:p w14:paraId="2F438F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w:t>
                  </w:r>
                  <w:r>
                    <w:rPr>
                      <w:rFonts w:hint="default" w:ascii="Times New Roman" w:hAnsi="Times New Roman" w:eastAsia="宋体" w:cs="Times New Roman"/>
                      <w:b w:val="0"/>
                      <w:bCs w:val="0"/>
                      <w:strike w:val="0"/>
                      <w:dstrike w:val="0"/>
                      <w:color w:val="auto"/>
                      <w:sz w:val="21"/>
                      <w:szCs w:val="21"/>
                      <w:highlight w:val="none"/>
                      <w:vertAlign w:val="subscript"/>
                      <w:lang w:val="en-US" w:eastAsia="zh-CN"/>
                    </w:rPr>
                    <w:t>5</w:t>
                  </w:r>
                </w:p>
              </w:tc>
              <w:tc>
                <w:tcPr>
                  <w:tcW w:w="863" w:type="dxa"/>
                  <w:vAlign w:val="center"/>
                </w:tcPr>
                <w:p w14:paraId="53FAB3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946" w:type="dxa"/>
                  <w:vAlign w:val="center"/>
                </w:tcPr>
                <w:p w14:paraId="3E983E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w:t>
                  </w:r>
                  <w:r>
                    <w:rPr>
                      <w:rFonts w:hint="default" w:ascii="Times New Roman" w:hAnsi="Times New Roman" w:eastAsia="宋体" w:cs="Times New Roman"/>
                      <w:b w:val="0"/>
                      <w:bCs w:val="0"/>
                      <w:strike w:val="0"/>
                      <w:dstrike w:val="0"/>
                      <w:color w:val="auto"/>
                      <w:sz w:val="21"/>
                      <w:szCs w:val="21"/>
                      <w:highlight w:val="none"/>
                      <w:vertAlign w:val="subscript"/>
                      <w:lang w:val="en-US" w:eastAsia="zh-CN"/>
                    </w:rPr>
                    <w:t>3</w:t>
                  </w:r>
                  <w:r>
                    <w:rPr>
                      <w:rFonts w:hint="default" w:ascii="Times New Roman" w:hAnsi="Times New Roman" w:eastAsia="宋体" w:cs="Times New Roman"/>
                      <w:b w:val="0"/>
                      <w:bCs w:val="0"/>
                      <w:strike w:val="0"/>
                      <w:dstrike w:val="0"/>
                      <w:color w:val="auto"/>
                      <w:sz w:val="21"/>
                      <w:szCs w:val="21"/>
                      <w:highlight w:val="none"/>
                      <w:lang w:val="en-US" w:eastAsia="zh-CN"/>
                    </w:rPr>
                    <w:t>-N</w:t>
                  </w:r>
                </w:p>
              </w:tc>
              <w:tc>
                <w:tcPr>
                  <w:tcW w:w="1011" w:type="dxa"/>
                  <w:vAlign w:val="center"/>
                </w:tcPr>
                <w:p w14:paraId="615A00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石油类</w:t>
                  </w:r>
                </w:p>
              </w:tc>
              <w:tc>
                <w:tcPr>
                  <w:tcW w:w="705" w:type="dxa"/>
                  <w:vAlign w:val="center"/>
                </w:tcPr>
                <w:p w14:paraId="7D8104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727" w:type="dxa"/>
                  <w:vAlign w:val="center"/>
                </w:tcPr>
                <w:p w14:paraId="224E47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7CE3B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2" w:hRule="atLeast"/>
              </w:trPr>
              <w:tc>
                <w:tcPr>
                  <w:tcW w:w="1006" w:type="dxa"/>
                  <w:vAlign w:val="center"/>
                </w:tcPr>
                <w:p w14:paraId="17A4DC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1510" w:type="dxa"/>
                  <w:vAlign w:val="center"/>
                </w:tcPr>
                <w:p w14:paraId="1BFA26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973" w:type="dxa"/>
                  <w:vAlign w:val="center"/>
                </w:tcPr>
                <w:p w14:paraId="7F4B4D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500</w:t>
                  </w:r>
                </w:p>
              </w:tc>
              <w:tc>
                <w:tcPr>
                  <w:tcW w:w="851" w:type="dxa"/>
                  <w:vAlign w:val="center"/>
                </w:tcPr>
                <w:p w14:paraId="6BB19D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300</w:t>
                  </w:r>
                </w:p>
              </w:tc>
              <w:tc>
                <w:tcPr>
                  <w:tcW w:w="863" w:type="dxa"/>
                  <w:vAlign w:val="center"/>
                </w:tcPr>
                <w:p w14:paraId="149F85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400</w:t>
                  </w:r>
                </w:p>
              </w:tc>
              <w:tc>
                <w:tcPr>
                  <w:tcW w:w="946" w:type="dxa"/>
                  <w:vAlign w:val="center"/>
                </w:tcPr>
                <w:p w14:paraId="048807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60</w:t>
                  </w:r>
                </w:p>
              </w:tc>
              <w:tc>
                <w:tcPr>
                  <w:tcW w:w="1011" w:type="dxa"/>
                  <w:vAlign w:val="center"/>
                </w:tcPr>
                <w:p w14:paraId="66A22D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ascii="Times New Roman" w:hAnsi="Times New Roman" w:eastAsia="宋体" w:cs="Times New Roman"/>
                      <w:b w:val="0"/>
                      <w:bCs w:val="0"/>
                      <w:strike w:val="0"/>
                      <w:dstrike w:val="0"/>
                      <w:color w:val="auto"/>
                      <w:sz w:val="21"/>
                      <w:szCs w:val="21"/>
                      <w:highlight w:val="none"/>
                      <w:lang w:val="en-US" w:eastAsia="zh-CN"/>
                    </w:rPr>
                    <w:t>20</w:t>
                  </w:r>
                </w:p>
              </w:tc>
              <w:tc>
                <w:tcPr>
                  <w:tcW w:w="705" w:type="dxa"/>
                  <w:vAlign w:val="center"/>
                </w:tcPr>
                <w:p w14:paraId="465C7B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70</w:t>
                  </w:r>
                </w:p>
              </w:tc>
              <w:tc>
                <w:tcPr>
                  <w:tcW w:w="727" w:type="dxa"/>
                  <w:vAlign w:val="center"/>
                </w:tcPr>
                <w:p w14:paraId="17374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8</w:t>
                  </w:r>
                </w:p>
              </w:tc>
            </w:tr>
            <w:tr w14:paraId="4265B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6" w:hRule="atLeast"/>
              </w:trPr>
              <w:tc>
                <w:tcPr>
                  <w:tcW w:w="1006" w:type="dxa"/>
                  <w:vAlign w:val="center"/>
                </w:tcPr>
                <w:p w14:paraId="1D3E27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1510" w:type="dxa"/>
                  <w:vAlign w:val="center"/>
                </w:tcPr>
                <w:p w14:paraId="0CE971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973" w:type="dxa"/>
                  <w:vAlign w:val="center"/>
                </w:tcPr>
                <w:p w14:paraId="0598B2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851" w:type="dxa"/>
                  <w:vAlign w:val="center"/>
                </w:tcPr>
                <w:p w14:paraId="3B5699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863" w:type="dxa"/>
                  <w:vAlign w:val="center"/>
                </w:tcPr>
                <w:p w14:paraId="3A528C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946" w:type="dxa"/>
                  <w:vAlign w:val="center"/>
                </w:tcPr>
                <w:p w14:paraId="673DCB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1011" w:type="dxa"/>
                  <w:vAlign w:val="center"/>
                </w:tcPr>
                <w:p w14:paraId="659B14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ascii="Times New Roman" w:hAnsi="Times New Roman" w:eastAsia="宋体" w:cs="Times New Roman"/>
                      <w:b w:val="0"/>
                      <w:bCs w:val="0"/>
                      <w:strike w:val="0"/>
                      <w:dstrike w:val="0"/>
                      <w:color w:val="auto"/>
                      <w:sz w:val="21"/>
                      <w:szCs w:val="21"/>
                      <w:highlight w:val="none"/>
                      <w:lang w:val="en-US" w:eastAsia="zh-CN"/>
                    </w:rPr>
                    <w:t>1</w:t>
                  </w:r>
                </w:p>
              </w:tc>
              <w:tc>
                <w:tcPr>
                  <w:tcW w:w="705" w:type="dxa"/>
                  <w:vAlign w:val="center"/>
                </w:tcPr>
                <w:p w14:paraId="616978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727" w:type="dxa"/>
                  <w:vAlign w:val="center"/>
                </w:tcPr>
                <w:p w14:paraId="6B1F73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41E4096E">
            <w:pPr>
              <w:pStyle w:val="88"/>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w:t>
            </w:r>
            <w:r>
              <w:rPr>
                <w:rFonts w:hint="eastAsia" w:ascii="Times New Roman" w:hAnsi="Times New Roman" w:eastAsia="宋体" w:cs="Times New Roman"/>
                <w:lang w:val="en-US" w:eastAsia="zh-CN"/>
              </w:rPr>
              <w:t>接管可行性</w:t>
            </w:r>
          </w:p>
          <w:p w14:paraId="44B71E8E">
            <w:pPr>
              <w:pStyle w:val="88"/>
              <w:bidi w:val="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根据《福州江阴港城总体规划（2018</w:t>
            </w:r>
            <w:r>
              <w:rPr>
                <w:rFonts w:hint="eastAsia" w:cs="Times New Roman"/>
                <w:lang w:val="en-US" w:eastAsia="zh-CN"/>
              </w:rPr>
              <w:t>—</w:t>
            </w:r>
            <w:r>
              <w:rPr>
                <w:rFonts w:hint="default" w:ascii="Times New Roman" w:hAnsi="Times New Roman" w:eastAsia="宋体" w:cs="Times New Roman"/>
                <w:lang w:val="en-US" w:eastAsia="zh-CN"/>
              </w:rPr>
              <w:t>2035年）》中的污水工程规划，本项目在规划的污水管网覆盖范围内。</w:t>
            </w:r>
            <w:r>
              <w:rPr>
                <w:rFonts w:hint="eastAsia" w:ascii="Times New Roman" w:hAnsi="Times New Roman" w:eastAsia="宋体" w:cs="Times New Roman"/>
                <w:lang w:val="en-US" w:eastAsia="zh-CN"/>
              </w:rPr>
              <w:t>本项目排入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lang w:val="en-US" w:eastAsia="zh-CN"/>
              </w:rPr>
              <w:t>的废水量为3.2</w:t>
            </w:r>
            <w:r>
              <w:rPr>
                <w:rFonts w:hint="default" w:ascii="Times New Roman" w:hAnsi="Times New Roman" w:eastAsia="宋体" w:cs="Times New Roman"/>
                <w:lang w:val="en-US" w:eastAsia="zh-CN"/>
              </w:rPr>
              <w:t>t/d（</w:t>
            </w:r>
            <w:r>
              <w:rPr>
                <w:rFonts w:hint="eastAsia" w:ascii="Times New Roman" w:hAnsi="Times New Roman" w:eastAsia="宋体" w:cs="Times New Roman"/>
                <w:lang w:val="en-US" w:eastAsia="zh-CN"/>
              </w:rPr>
              <w:t>1056t/</w:t>
            </w:r>
            <w:r>
              <w:rPr>
                <w:rFonts w:hint="default" w:ascii="Times New Roman" w:hAnsi="Times New Roman" w:eastAsia="宋体" w:cs="Times New Roman"/>
                <w:lang w:val="en-US" w:eastAsia="zh-CN"/>
              </w:rPr>
              <w:t>a）</w:t>
            </w:r>
            <w:r>
              <w:rPr>
                <w:rFonts w:hint="eastAsia" w:ascii="Times New Roman" w:hAnsi="Times New Roman" w:eastAsia="宋体" w:cs="Times New Roman"/>
                <w:lang w:val="en-US" w:eastAsia="zh-CN"/>
              </w:rPr>
              <w:t>，</w:t>
            </w:r>
            <w:r>
              <w:rPr>
                <w:rFonts w:hint="eastAsia" w:cs="Times New Roman"/>
                <w:lang w:val="en-US" w:eastAsia="zh-CN"/>
              </w:rPr>
              <w:t>江阴工业集中区污水厂</w:t>
            </w:r>
            <w:r>
              <w:rPr>
                <w:rFonts w:hint="eastAsia" w:ascii="Times New Roman" w:hAnsi="Times New Roman" w:eastAsia="宋体" w:cs="Times New Roman"/>
                <w:lang w:val="en-US" w:eastAsia="zh-CN"/>
              </w:rPr>
              <w:t>目前8万t/d的处理规模，约占其处理规模的0.00288%。本项目废水量较少且在</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lang w:val="en-US" w:eastAsia="zh-CN"/>
              </w:rPr>
              <w:t>可处理余量范围内，不会对</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lang w:val="en-US" w:eastAsia="zh-CN"/>
              </w:rPr>
              <w:t>的负荷产生冲击。因此，从水量接纳可行性上分析，本项目废水排入</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eastAsia" w:ascii="Times New Roman" w:hAnsi="Times New Roman" w:eastAsia="宋体" w:cs="Times New Roman"/>
                <w:lang w:val="en-US" w:eastAsia="zh-CN"/>
              </w:rPr>
              <w:t>集中处理是可行的。</w:t>
            </w:r>
          </w:p>
          <w:p w14:paraId="00DA7690">
            <w:pPr>
              <w:pStyle w:val="88"/>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w:t>
            </w:r>
            <w:r>
              <w:rPr>
                <w:rFonts w:hint="eastAsia" w:cs="Times New Roman"/>
                <w:lang w:val="en-US" w:eastAsia="zh-CN"/>
              </w:rPr>
              <w:t>江</w:t>
            </w:r>
            <w:r>
              <w:rPr>
                <w:rFonts w:hint="eastAsia" w:ascii="Times New Roman" w:hAnsi="Times New Roman" w:eastAsia="宋体" w:cs="Times New Roman"/>
                <w:b w:val="0"/>
                <w:bCs/>
                <w:color w:val="000000"/>
                <w:kern w:val="0"/>
                <w:sz w:val="24"/>
                <w:szCs w:val="24"/>
                <w:highlight w:val="none"/>
                <w:lang w:val="en-US" w:eastAsia="zh-CN"/>
              </w:rPr>
              <w:t>江阴污水处理厂（江阴港城经济区污水处理厂）</w:t>
            </w:r>
            <w:r>
              <w:rPr>
                <w:rFonts w:hint="default" w:ascii="Times New Roman" w:hAnsi="Times New Roman" w:eastAsia="宋体" w:cs="Times New Roman"/>
                <w:lang w:val="en-US" w:eastAsia="zh-CN"/>
              </w:rPr>
              <w:t>预处理工艺采用“粗格栅+细格栅+旋流沉砂池”工艺；主体生化工艺采用”水解酸化+多级A/O”工艺；深度处理工艺采用“芬顿高级氧化+高密度沉淀池+转盘式微过滤+接触消毒”工艺。经上述工艺处理后，出水水质可达到《城镇</w:t>
            </w:r>
            <w:r>
              <w:rPr>
                <w:rFonts w:hint="eastAsia" w:cs="Times New Roman"/>
                <w:lang w:val="en-US" w:eastAsia="zh-CN"/>
              </w:rPr>
              <w:t>污水厂</w:t>
            </w:r>
            <w:r>
              <w:rPr>
                <w:rFonts w:hint="default" w:ascii="Times New Roman" w:hAnsi="Times New Roman" w:eastAsia="宋体" w:cs="Times New Roman"/>
                <w:lang w:val="en-US" w:eastAsia="zh-CN"/>
              </w:rPr>
              <w:t>污染物排放标准》（GB18918-2002）一级A标准。</w:t>
            </w:r>
          </w:p>
          <w:p w14:paraId="7C4ADF89">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81" w:name="_Toc6980"/>
            <w:bookmarkStart w:id="182" w:name="_Toc5960"/>
            <w:r>
              <w:rPr>
                <w:rFonts w:hint="eastAsia" w:ascii="Times New Roman" w:hAnsi="Times New Roman" w:eastAsia="宋体" w:cs="Times New Roman"/>
                <w:color w:val="auto"/>
                <w:sz w:val="28"/>
                <w:szCs w:val="28"/>
                <w:u w:val="none"/>
                <w:lang w:val="en-US" w:eastAsia="zh-CN"/>
              </w:rPr>
              <w:t>4.3噪声环境影响分析和污染防治措施</w:t>
            </w:r>
            <w:bookmarkEnd w:id="181"/>
            <w:bookmarkEnd w:id="182"/>
          </w:p>
          <w:p w14:paraId="698EA02A">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83" w:name="_Toc20783"/>
            <w:bookmarkStart w:id="184" w:name="_Toc14338"/>
            <w:r>
              <w:rPr>
                <w:rFonts w:hint="default"/>
                <w:b/>
                <w:color w:val="262626"/>
                <w:kern w:val="0"/>
                <w:sz w:val="24"/>
                <w:lang w:val="en-US" w:eastAsia="zh-CN"/>
              </w:rPr>
              <w:t>4.3.1噪声源强分析</w:t>
            </w:r>
            <w:bookmarkEnd w:id="183"/>
            <w:bookmarkEnd w:id="184"/>
          </w:p>
          <w:p w14:paraId="6A5F1989">
            <w:pPr>
              <w:pStyle w:val="58"/>
              <w:spacing w:line="360" w:lineRule="auto"/>
              <w:ind w:firstLine="480"/>
              <w:rPr>
                <w:rFonts w:hint="default" w:ascii="Times New Roman" w:hAnsi="Times New Roman" w:eastAsia="宋体" w:cs="Times New Roman"/>
                <w:b/>
                <w:bCs/>
                <w:color w:val="auto"/>
                <w:sz w:val="24"/>
                <w:szCs w:val="24"/>
              </w:rPr>
            </w:pPr>
            <w:r>
              <w:rPr>
                <w:rFonts w:ascii="Times New Roman" w:hAnsi="Times New Roman"/>
                <w:bCs w:val="0"/>
                <w:color w:val="000000"/>
                <w:szCs w:val="24"/>
              </w:rPr>
              <w:t>项目的噪声源主要为项目运营时机械设备运转产生的噪声，其噪声级及治理措施见表4.3-1。</w:t>
            </w:r>
          </w:p>
          <w:p w14:paraId="0CE49CDF">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表4.3-1噪声源强调查清单（室内声源）</w:t>
            </w:r>
          </w:p>
          <w:tbl>
            <w:tblPr>
              <w:tblStyle w:val="23"/>
              <w:tblW w:w="85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8"/>
              <w:gridCol w:w="457"/>
              <w:gridCol w:w="556"/>
              <w:gridCol w:w="599"/>
              <w:gridCol w:w="572"/>
              <w:gridCol w:w="572"/>
              <w:gridCol w:w="450"/>
              <w:gridCol w:w="489"/>
              <w:gridCol w:w="464"/>
              <w:gridCol w:w="476"/>
              <w:gridCol w:w="424"/>
              <w:gridCol w:w="599"/>
              <w:gridCol w:w="544"/>
              <w:gridCol w:w="676"/>
              <w:gridCol w:w="718"/>
              <w:gridCol w:w="731"/>
            </w:tblGrid>
            <w:tr w14:paraId="6B176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258" w:type="dxa"/>
                  <w:vMerge w:val="restart"/>
                  <w:vAlign w:val="center"/>
                </w:tcPr>
                <w:p w14:paraId="60258EC1">
                  <w:pPr>
                    <w:jc w:val="center"/>
                    <w:rPr>
                      <w:rFonts w:hint="eastAsia"/>
                      <w:szCs w:val="21"/>
                    </w:rPr>
                  </w:pPr>
                  <w:r>
                    <w:rPr>
                      <w:rFonts w:hint="eastAsia"/>
                      <w:szCs w:val="21"/>
                    </w:rPr>
                    <w:t>序号</w:t>
                  </w:r>
                </w:p>
              </w:tc>
              <w:tc>
                <w:tcPr>
                  <w:tcW w:w="457" w:type="dxa"/>
                  <w:vMerge w:val="restart"/>
                  <w:vAlign w:val="center"/>
                </w:tcPr>
                <w:p w14:paraId="32693496">
                  <w:pPr>
                    <w:jc w:val="center"/>
                    <w:rPr>
                      <w:rFonts w:hint="eastAsia"/>
                      <w:szCs w:val="21"/>
                    </w:rPr>
                  </w:pPr>
                  <w:r>
                    <w:rPr>
                      <w:rFonts w:hint="eastAsia"/>
                      <w:szCs w:val="21"/>
                    </w:rPr>
                    <w:t>建筑物名称</w:t>
                  </w:r>
                </w:p>
              </w:tc>
              <w:tc>
                <w:tcPr>
                  <w:tcW w:w="556" w:type="dxa"/>
                  <w:vMerge w:val="restart"/>
                  <w:vAlign w:val="center"/>
                </w:tcPr>
                <w:p w14:paraId="310F8310">
                  <w:pPr>
                    <w:jc w:val="center"/>
                    <w:rPr>
                      <w:rFonts w:hint="eastAsia"/>
                      <w:szCs w:val="21"/>
                    </w:rPr>
                  </w:pPr>
                  <w:r>
                    <w:rPr>
                      <w:rFonts w:hint="eastAsia"/>
                      <w:szCs w:val="21"/>
                    </w:rPr>
                    <w:t>声源名称</w:t>
                  </w:r>
                </w:p>
              </w:tc>
              <w:tc>
                <w:tcPr>
                  <w:tcW w:w="599" w:type="dxa"/>
                  <w:vMerge w:val="restart"/>
                  <w:vAlign w:val="center"/>
                </w:tcPr>
                <w:p w14:paraId="134E9058">
                  <w:pPr>
                    <w:jc w:val="center"/>
                    <w:rPr>
                      <w:rFonts w:hint="eastAsia"/>
                      <w:szCs w:val="21"/>
                    </w:rPr>
                  </w:pPr>
                  <w:r>
                    <w:rPr>
                      <w:rFonts w:hint="eastAsia"/>
                      <w:szCs w:val="21"/>
                    </w:rPr>
                    <w:t>台/套数</w:t>
                  </w:r>
                </w:p>
              </w:tc>
              <w:tc>
                <w:tcPr>
                  <w:tcW w:w="572" w:type="dxa"/>
                  <w:vMerge w:val="restart"/>
                  <w:vAlign w:val="center"/>
                </w:tcPr>
                <w:p w14:paraId="431CE8DF">
                  <w:pPr>
                    <w:jc w:val="center"/>
                    <w:rPr>
                      <w:rFonts w:hint="eastAsia"/>
                      <w:szCs w:val="21"/>
                    </w:rPr>
                  </w:pPr>
                  <w:r>
                    <w:rPr>
                      <w:rFonts w:hint="eastAsia"/>
                      <w:szCs w:val="21"/>
                    </w:rPr>
                    <w:t>声功率级</w:t>
                  </w:r>
                </w:p>
                <w:p w14:paraId="4B104607">
                  <w:pPr>
                    <w:jc w:val="center"/>
                    <w:rPr>
                      <w:rFonts w:hint="eastAsia"/>
                      <w:szCs w:val="21"/>
                    </w:rPr>
                  </w:pPr>
                  <w:r>
                    <w:rPr>
                      <w:rFonts w:hint="eastAsia"/>
                      <w:szCs w:val="21"/>
                    </w:rPr>
                    <w:t>/dB(A)</w:t>
                  </w:r>
                </w:p>
              </w:tc>
              <w:tc>
                <w:tcPr>
                  <w:tcW w:w="572" w:type="dxa"/>
                  <w:vMerge w:val="restart"/>
                  <w:vAlign w:val="center"/>
                </w:tcPr>
                <w:p w14:paraId="221FCBA2">
                  <w:pPr>
                    <w:jc w:val="center"/>
                    <w:rPr>
                      <w:rFonts w:hint="eastAsia" w:ascii="Times New Roman" w:hAnsi="Times New Roman" w:eastAsia="宋体" w:cs="Times New Roman"/>
                      <w:kern w:val="2"/>
                      <w:sz w:val="21"/>
                      <w:szCs w:val="21"/>
                      <w:lang w:val="en-US" w:eastAsia="zh-CN" w:bidi="ar-SA"/>
                    </w:rPr>
                  </w:pPr>
                  <w:r>
                    <w:rPr>
                      <w:rFonts w:hint="eastAsia"/>
                      <w:szCs w:val="21"/>
                    </w:rPr>
                    <w:t>声源控制措施</w:t>
                  </w:r>
                </w:p>
                <w:p w14:paraId="2320B56C">
                  <w:pPr>
                    <w:jc w:val="center"/>
                    <w:rPr>
                      <w:rFonts w:hint="eastAsia" w:ascii="Times New Roman" w:hAnsi="Times New Roman" w:eastAsia="宋体" w:cs="Times New Roman"/>
                      <w:kern w:val="2"/>
                      <w:sz w:val="21"/>
                      <w:szCs w:val="21"/>
                      <w:lang w:val="en-US" w:eastAsia="zh-CN" w:bidi="ar-SA"/>
                    </w:rPr>
                  </w:pPr>
                </w:p>
                <w:p w14:paraId="5127F5D8">
                  <w:pPr>
                    <w:jc w:val="center"/>
                    <w:rPr>
                      <w:rFonts w:hint="eastAsia"/>
                      <w:szCs w:val="21"/>
                    </w:rPr>
                  </w:pPr>
                </w:p>
              </w:tc>
              <w:tc>
                <w:tcPr>
                  <w:tcW w:w="1403" w:type="dxa"/>
                  <w:gridSpan w:val="3"/>
                  <w:vAlign w:val="center"/>
                </w:tcPr>
                <w:p w14:paraId="548B0194">
                  <w:pPr>
                    <w:jc w:val="center"/>
                    <w:rPr>
                      <w:rFonts w:hint="eastAsia"/>
                      <w:szCs w:val="21"/>
                    </w:rPr>
                  </w:pPr>
                  <w:r>
                    <w:rPr>
                      <w:rFonts w:hint="eastAsia"/>
                      <w:szCs w:val="21"/>
                    </w:rPr>
                    <w:t>空间相对位置/m</w:t>
                  </w:r>
                </w:p>
              </w:tc>
              <w:tc>
                <w:tcPr>
                  <w:tcW w:w="900" w:type="dxa"/>
                  <w:gridSpan w:val="2"/>
                  <w:vMerge w:val="restart"/>
                  <w:vAlign w:val="center"/>
                </w:tcPr>
                <w:p w14:paraId="59AA587E">
                  <w:pPr>
                    <w:jc w:val="center"/>
                    <w:rPr>
                      <w:rFonts w:hint="eastAsia"/>
                      <w:szCs w:val="21"/>
                    </w:rPr>
                  </w:pPr>
                  <w:r>
                    <w:rPr>
                      <w:rFonts w:hint="eastAsia"/>
                      <w:szCs w:val="21"/>
                    </w:rPr>
                    <w:t>距室内边界距离/m</w:t>
                  </w:r>
                </w:p>
              </w:tc>
              <w:tc>
                <w:tcPr>
                  <w:tcW w:w="599" w:type="dxa"/>
                  <w:vMerge w:val="restart"/>
                  <w:vAlign w:val="center"/>
                </w:tcPr>
                <w:p w14:paraId="0FAA6342">
                  <w:pPr>
                    <w:jc w:val="center"/>
                    <w:rPr>
                      <w:rFonts w:hint="eastAsia"/>
                      <w:szCs w:val="21"/>
                    </w:rPr>
                  </w:pPr>
                  <w:r>
                    <w:rPr>
                      <w:rFonts w:hint="eastAsia"/>
                      <w:szCs w:val="21"/>
                    </w:rPr>
                    <w:t>室内边界声级</w:t>
                  </w:r>
                </w:p>
                <w:p w14:paraId="485C57AF">
                  <w:pPr>
                    <w:jc w:val="center"/>
                    <w:rPr>
                      <w:rFonts w:hint="eastAsia"/>
                      <w:szCs w:val="21"/>
                    </w:rPr>
                  </w:pPr>
                  <w:r>
                    <w:rPr>
                      <w:rFonts w:hint="eastAsia"/>
                      <w:szCs w:val="21"/>
                    </w:rPr>
                    <w:t>/dB(A)</w:t>
                  </w:r>
                </w:p>
              </w:tc>
              <w:tc>
                <w:tcPr>
                  <w:tcW w:w="544" w:type="dxa"/>
                  <w:vMerge w:val="restart"/>
                  <w:vAlign w:val="center"/>
                </w:tcPr>
                <w:p w14:paraId="37616BA8">
                  <w:pPr>
                    <w:jc w:val="center"/>
                    <w:rPr>
                      <w:rFonts w:hint="eastAsia"/>
                      <w:szCs w:val="21"/>
                    </w:rPr>
                  </w:pPr>
                  <w:r>
                    <w:rPr>
                      <w:rFonts w:hint="eastAsia"/>
                      <w:szCs w:val="21"/>
                    </w:rPr>
                    <w:t>运行时段</w:t>
                  </w:r>
                </w:p>
              </w:tc>
              <w:tc>
                <w:tcPr>
                  <w:tcW w:w="676" w:type="dxa"/>
                  <w:vMerge w:val="restart"/>
                  <w:vAlign w:val="center"/>
                </w:tcPr>
                <w:p w14:paraId="220CB887">
                  <w:pPr>
                    <w:jc w:val="center"/>
                    <w:rPr>
                      <w:rFonts w:hint="eastAsia"/>
                      <w:szCs w:val="21"/>
                    </w:rPr>
                  </w:pPr>
                  <w:r>
                    <w:rPr>
                      <w:rFonts w:hint="eastAsia"/>
                      <w:szCs w:val="21"/>
                    </w:rPr>
                    <w:t>建筑物插入损失/dB(A)</w:t>
                  </w:r>
                </w:p>
              </w:tc>
              <w:tc>
                <w:tcPr>
                  <w:tcW w:w="1449" w:type="dxa"/>
                  <w:gridSpan w:val="2"/>
                  <w:vAlign w:val="center"/>
                </w:tcPr>
                <w:p w14:paraId="0279B95A">
                  <w:pPr>
                    <w:jc w:val="center"/>
                    <w:rPr>
                      <w:rFonts w:hint="eastAsia"/>
                      <w:szCs w:val="21"/>
                    </w:rPr>
                  </w:pPr>
                  <w:r>
                    <w:rPr>
                      <w:rFonts w:hint="eastAsia"/>
                      <w:szCs w:val="21"/>
                    </w:rPr>
                    <w:t>建筑物外噪声</w:t>
                  </w:r>
                </w:p>
              </w:tc>
            </w:tr>
            <w:tr w14:paraId="21680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79" w:hRule="atLeast"/>
                <w:jc w:val="center"/>
              </w:trPr>
              <w:tc>
                <w:tcPr>
                  <w:tcW w:w="258" w:type="dxa"/>
                  <w:vMerge w:val="continue"/>
                  <w:vAlign w:val="center"/>
                </w:tcPr>
                <w:p w14:paraId="2C351CC1">
                  <w:pPr>
                    <w:jc w:val="center"/>
                    <w:rPr>
                      <w:rFonts w:hint="eastAsia"/>
                      <w:szCs w:val="21"/>
                    </w:rPr>
                  </w:pPr>
                </w:p>
              </w:tc>
              <w:tc>
                <w:tcPr>
                  <w:tcW w:w="457" w:type="dxa"/>
                  <w:vMerge w:val="continue"/>
                  <w:vAlign w:val="center"/>
                </w:tcPr>
                <w:p w14:paraId="304A8052">
                  <w:pPr>
                    <w:jc w:val="center"/>
                    <w:rPr>
                      <w:rFonts w:hint="eastAsia"/>
                      <w:szCs w:val="21"/>
                    </w:rPr>
                  </w:pPr>
                </w:p>
              </w:tc>
              <w:tc>
                <w:tcPr>
                  <w:tcW w:w="556" w:type="dxa"/>
                  <w:vMerge w:val="continue"/>
                  <w:vAlign w:val="center"/>
                </w:tcPr>
                <w:p w14:paraId="5EA09199">
                  <w:pPr>
                    <w:jc w:val="center"/>
                    <w:rPr>
                      <w:rFonts w:hint="eastAsia"/>
                      <w:szCs w:val="21"/>
                    </w:rPr>
                  </w:pPr>
                </w:p>
              </w:tc>
              <w:tc>
                <w:tcPr>
                  <w:tcW w:w="599" w:type="dxa"/>
                  <w:vMerge w:val="continue"/>
                  <w:vAlign w:val="center"/>
                </w:tcPr>
                <w:p w14:paraId="2D8BAAE5">
                  <w:pPr>
                    <w:jc w:val="center"/>
                    <w:rPr>
                      <w:rFonts w:hint="eastAsia"/>
                      <w:szCs w:val="21"/>
                    </w:rPr>
                  </w:pPr>
                </w:p>
              </w:tc>
              <w:tc>
                <w:tcPr>
                  <w:tcW w:w="572" w:type="dxa"/>
                  <w:vMerge w:val="continue"/>
                  <w:vAlign w:val="center"/>
                </w:tcPr>
                <w:p w14:paraId="3FF8C441">
                  <w:pPr>
                    <w:jc w:val="center"/>
                    <w:rPr>
                      <w:rFonts w:hint="eastAsia"/>
                      <w:szCs w:val="21"/>
                    </w:rPr>
                  </w:pPr>
                </w:p>
              </w:tc>
              <w:tc>
                <w:tcPr>
                  <w:tcW w:w="572" w:type="dxa"/>
                  <w:vMerge w:val="continue"/>
                  <w:vAlign w:val="center"/>
                </w:tcPr>
                <w:p w14:paraId="022041C4">
                  <w:pPr>
                    <w:jc w:val="center"/>
                    <w:rPr>
                      <w:rFonts w:hint="eastAsia"/>
                      <w:szCs w:val="21"/>
                    </w:rPr>
                  </w:pPr>
                </w:p>
              </w:tc>
              <w:tc>
                <w:tcPr>
                  <w:tcW w:w="450" w:type="dxa"/>
                  <w:vAlign w:val="center"/>
                </w:tcPr>
                <w:p w14:paraId="622BE631">
                  <w:pPr>
                    <w:jc w:val="center"/>
                    <w:rPr>
                      <w:rFonts w:hint="eastAsia"/>
                      <w:szCs w:val="21"/>
                    </w:rPr>
                  </w:pPr>
                  <w:r>
                    <w:rPr>
                      <w:rFonts w:hint="eastAsia"/>
                      <w:szCs w:val="21"/>
                    </w:rPr>
                    <w:t>X</w:t>
                  </w:r>
                </w:p>
              </w:tc>
              <w:tc>
                <w:tcPr>
                  <w:tcW w:w="489" w:type="dxa"/>
                  <w:vAlign w:val="center"/>
                </w:tcPr>
                <w:p w14:paraId="748F3DD6">
                  <w:pPr>
                    <w:jc w:val="center"/>
                    <w:rPr>
                      <w:rFonts w:hint="eastAsia"/>
                      <w:szCs w:val="21"/>
                    </w:rPr>
                  </w:pPr>
                  <w:r>
                    <w:rPr>
                      <w:rFonts w:hint="eastAsia"/>
                      <w:szCs w:val="21"/>
                    </w:rPr>
                    <w:t>Y</w:t>
                  </w:r>
                </w:p>
              </w:tc>
              <w:tc>
                <w:tcPr>
                  <w:tcW w:w="464" w:type="dxa"/>
                  <w:vAlign w:val="center"/>
                </w:tcPr>
                <w:p w14:paraId="7FFE6E58">
                  <w:pPr>
                    <w:jc w:val="center"/>
                    <w:rPr>
                      <w:rFonts w:hint="eastAsia"/>
                      <w:szCs w:val="21"/>
                    </w:rPr>
                  </w:pPr>
                  <w:r>
                    <w:rPr>
                      <w:rFonts w:hint="eastAsia"/>
                      <w:szCs w:val="21"/>
                    </w:rPr>
                    <w:t>Z</w:t>
                  </w:r>
                </w:p>
              </w:tc>
              <w:tc>
                <w:tcPr>
                  <w:tcW w:w="900" w:type="dxa"/>
                  <w:gridSpan w:val="2"/>
                  <w:vMerge w:val="continue"/>
                  <w:vAlign w:val="center"/>
                </w:tcPr>
                <w:p w14:paraId="6B5B39AE">
                  <w:pPr>
                    <w:jc w:val="center"/>
                    <w:rPr>
                      <w:rFonts w:hint="eastAsia"/>
                      <w:szCs w:val="21"/>
                    </w:rPr>
                  </w:pPr>
                </w:p>
              </w:tc>
              <w:tc>
                <w:tcPr>
                  <w:tcW w:w="599" w:type="dxa"/>
                  <w:vMerge w:val="continue"/>
                  <w:vAlign w:val="center"/>
                </w:tcPr>
                <w:p w14:paraId="7FE7D2D9">
                  <w:pPr>
                    <w:jc w:val="center"/>
                    <w:rPr>
                      <w:rFonts w:hint="eastAsia"/>
                      <w:szCs w:val="21"/>
                    </w:rPr>
                  </w:pPr>
                </w:p>
              </w:tc>
              <w:tc>
                <w:tcPr>
                  <w:tcW w:w="544" w:type="dxa"/>
                  <w:vMerge w:val="continue"/>
                  <w:vAlign w:val="center"/>
                </w:tcPr>
                <w:p w14:paraId="4D971F78">
                  <w:pPr>
                    <w:jc w:val="center"/>
                    <w:rPr>
                      <w:rFonts w:hint="eastAsia"/>
                      <w:szCs w:val="21"/>
                    </w:rPr>
                  </w:pPr>
                </w:p>
              </w:tc>
              <w:tc>
                <w:tcPr>
                  <w:tcW w:w="676" w:type="dxa"/>
                  <w:vMerge w:val="continue"/>
                  <w:vAlign w:val="center"/>
                </w:tcPr>
                <w:p w14:paraId="6C4311F7">
                  <w:pPr>
                    <w:jc w:val="center"/>
                    <w:rPr>
                      <w:rFonts w:hint="eastAsia"/>
                      <w:szCs w:val="21"/>
                    </w:rPr>
                  </w:pPr>
                </w:p>
              </w:tc>
              <w:tc>
                <w:tcPr>
                  <w:tcW w:w="718" w:type="dxa"/>
                  <w:vAlign w:val="center"/>
                </w:tcPr>
                <w:p w14:paraId="29F08FBB">
                  <w:pPr>
                    <w:jc w:val="center"/>
                    <w:rPr>
                      <w:rFonts w:hint="eastAsia"/>
                      <w:szCs w:val="21"/>
                    </w:rPr>
                  </w:pPr>
                  <w:r>
                    <w:rPr>
                      <w:rFonts w:hint="eastAsia"/>
                      <w:szCs w:val="21"/>
                    </w:rPr>
                    <w:t>声压级</w:t>
                  </w:r>
                </w:p>
                <w:p w14:paraId="1EAE022A">
                  <w:pPr>
                    <w:jc w:val="center"/>
                    <w:rPr>
                      <w:rFonts w:hint="eastAsia"/>
                      <w:szCs w:val="21"/>
                    </w:rPr>
                  </w:pPr>
                  <w:r>
                    <w:rPr>
                      <w:rFonts w:hint="eastAsia"/>
                      <w:szCs w:val="21"/>
                    </w:rPr>
                    <w:t>/dB(A)</w:t>
                  </w:r>
                </w:p>
              </w:tc>
              <w:tc>
                <w:tcPr>
                  <w:tcW w:w="731" w:type="dxa"/>
                  <w:vAlign w:val="center"/>
                </w:tcPr>
                <w:p w14:paraId="14E718D7">
                  <w:pPr>
                    <w:jc w:val="center"/>
                    <w:rPr>
                      <w:rFonts w:hint="eastAsia"/>
                      <w:szCs w:val="21"/>
                    </w:rPr>
                  </w:pPr>
                  <w:r>
                    <w:rPr>
                      <w:rFonts w:hint="eastAsia"/>
                      <w:szCs w:val="21"/>
                    </w:rPr>
                    <w:t>建筑物外距离</w:t>
                  </w:r>
                </w:p>
              </w:tc>
            </w:tr>
            <w:tr w14:paraId="4DC82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58" w:type="dxa"/>
                  <w:vMerge w:val="restart"/>
                  <w:vAlign w:val="center"/>
                </w:tcPr>
                <w:p w14:paraId="73A58A37">
                  <w:pPr>
                    <w:jc w:val="center"/>
                    <w:rPr>
                      <w:rFonts w:hint="eastAsia" w:eastAsia="宋体"/>
                      <w:szCs w:val="21"/>
                      <w:lang w:val="en-US" w:eastAsia="zh-CN"/>
                    </w:rPr>
                  </w:pPr>
                  <w:r>
                    <w:rPr>
                      <w:rFonts w:hint="eastAsia"/>
                      <w:szCs w:val="21"/>
                    </w:rPr>
                    <w:t>1</w:t>
                  </w:r>
                </w:p>
              </w:tc>
              <w:tc>
                <w:tcPr>
                  <w:tcW w:w="457" w:type="dxa"/>
                  <w:vMerge w:val="restart"/>
                  <w:vAlign w:val="center"/>
                </w:tcPr>
                <w:p w14:paraId="0F1DE594">
                  <w:pPr>
                    <w:jc w:val="center"/>
                    <w:rPr>
                      <w:rFonts w:hint="default" w:eastAsia="宋体"/>
                      <w:szCs w:val="21"/>
                      <w:lang w:val="en-US" w:eastAsia="zh-CN"/>
                    </w:rPr>
                  </w:pPr>
                  <w:r>
                    <w:rPr>
                      <w:rFonts w:hint="eastAsia"/>
                      <w:szCs w:val="21"/>
                      <w:lang w:val="en-US" w:eastAsia="zh-CN"/>
                    </w:rPr>
                    <w:t>1#生产车间内</w:t>
                  </w:r>
                </w:p>
              </w:tc>
              <w:tc>
                <w:tcPr>
                  <w:tcW w:w="556" w:type="dxa"/>
                  <w:vMerge w:val="restart"/>
                  <w:vAlign w:val="center"/>
                </w:tcPr>
                <w:p w14:paraId="11CD4A89">
                  <w:pPr>
                    <w:jc w:val="center"/>
                    <w:rPr>
                      <w:rFonts w:hint="default" w:ascii="Times New Roman" w:hAnsi="Times New Roman" w:eastAsia="宋体" w:cs="Times New Roman"/>
                      <w:szCs w:val="21"/>
                      <w:lang w:val="en-US" w:eastAsia="zh-CN"/>
                    </w:rPr>
                  </w:pPr>
                  <w:r>
                    <w:rPr>
                      <w:rFonts w:hint="eastAsia" w:cs="Times New Roman"/>
                      <w:szCs w:val="21"/>
                      <w:lang w:val="en-US" w:eastAsia="zh-CN"/>
                    </w:rPr>
                    <w:t>发料机</w:t>
                  </w:r>
                </w:p>
              </w:tc>
              <w:tc>
                <w:tcPr>
                  <w:tcW w:w="599" w:type="dxa"/>
                  <w:vMerge w:val="restart"/>
                  <w:vAlign w:val="center"/>
                </w:tcPr>
                <w:p w14:paraId="33402480">
                  <w:pPr>
                    <w:jc w:val="center"/>
                    <w:rPr>
                      <w:rFonts w:hint="default" w:ascii="Times New Roman" w:hAnsi="Times New Roman" w:eastAsia="宋体" w:cs="Times New Roman"/>
                      <w:szCs w:val="21"/>
                      <w:lang w:val="en-US" w:eastAsia="zh-CN"/>
                    </w:rPr>
                  </w:pPr>
                  <w:r>
                    <w:rPr>
                      <w:rFonts w:hint="eastAsia" w:cs="Times New Roman"/>
                      <w:szCs w:val="21"/>
                      <w:lang w:val="en-US" w:eastAsia="zh-CN"/>
                    </w:rPr>
                    <w:t>3</w:t>
                  </w:r>
                </w:p>
              </w:tc>
              <w:tc>
                <w:tcPr>
                  <w:tcW w:w="572" w:type="dxa"/>
                  <w:vMerge w:val="restart"/>
                  <w:vAlign w:val="center"/>
                </w:tcPr>
                <w:p w14:paraId="5D70122E">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r>
                    <w:rPr>
                      <w:rFonts w:hint="eastAsia" w:cs="Times New Roman"/>
                      <w:szCs w:val="21"/>
                      <w:lang w:val="en-US" w:eastAsia="zh-CN"/>
                    </w:rPr>
                    <w:t>0</w:t>
                  </w:r>
                  <w:r>
                    <w:rPr>
                      <w:rFonts w:hint="eastAsia" w:ascii="Times New Roman" w:hAnsi="Times New Roman" w:eastAsia="宋体" w:cs="Times New Roman"/>
                      <w:szCs w:val="21"/>
                      <w:lang w:val="en-US" w:eastAsia="zh-CN"/>
                    </w:rPr>
                    <w:t>-75</w:t>
                  </w:r>
                </w:p>
              </w:tc>
              <w:tc>
                <w:tcPr>
                  <w:tcW w:w="572" w:type="dxa"/>
                  <w:vMerge w:val="restart"/>
                  <w:vAlign w:val="center"/>
                </w:tcPr>
                <w:p w14:paraId="18E01184">
                  <w:pPr>
                    <w:jc w:val="center"/>
                    <w:rPr>
                      <w:rFonts w:hint="eastAsia"/>
                      <w:szCs w:val="21"/>
                    </w:rPr>
                  </w:pPr>
                  <w:r>
                    <w:rPr>
                      <w:rFonts w:hint="eastAsia"/>
                      <w:szCs w:val="21"/>
                    </w:rPr>
                    <w:t>减震垫，墙体隔声</w:t>
                  </w:r>
                </w:p>
                <w:p w14:paraId="6B105F5A">
                  <w:pPr>
                    <w:jc w:val="center"/>
                    <w:rPr>
                      <w:rFonts w:hint="eastAsia" w:ascii="Times New Roman" w:hAnsi="Times New Roman" w:eastAsia="宋体" w:cs="Times New Roman"/>
                      <w:kern w:val="2"/>
                      <w:sz w:val="21"/>
                      <w:szCs w:val="21"/>
                      <w:lang w:val="en-US" w:eastAsia="zh-CN" w:bidi="ar-SA"/>
                    </w:rPr>
                  </w:pPr>
                </w:p>
                <w:p w14:paraId="5E141574">
                  <w:pPr>
                    <w:jc w:val="center"/>
                    <w:rPr>
                      <w:rFonts w:hint="eastAsia"/>
                      <w:szCs w:val="21"/>
                      <w:lang w:val="en-US" w:eastAsia="zh-CN"/>
                    </w:rPr>
                  </w:pPr>
                </w:p>
              </w:tc>
              <w:tc>
                <w:tcPr>
                  <w:tcW w:w="450" w:type="dxa"/>
                  <w:vMerge w:val="restart"/>
                  <w:vAlign w:val="center"/>
                </w:tcPr>
                <w:p w14:paraId="7B766D19">
                  <w:pPr>
                    <w:jc w:val="center"/>
                    <w:rPr>
                      <w:rFonts w:hint="default" w:eastAsia="宋体"/>
                      <w:szCs w:val="21"/>
                      <w:lang w:val="en-US" w:eastAsia="zh-CN"/>
                    </w:rPr>
                  </w:pPr>
                  <w:r>
                    <w:rPr>
                      <w:rFonts w:hint="eastAsia"/>
                      <w:szCs w:val="21"/>
                      <w:lang w:val="en-US" w:eastAsia="zh-CN"/>
                    </w:rPr>
                    <w:t>1-45</w:t>
                  </w:r>
                </w:p>
              </w:tc>
              <w:tc>
                <w:tcPr>
                  <w:tcW w:w="489" w:type="dxa"/>
                  <w:vMerge w:val="restart"/>
                  <w:vAlign w:val="center"/>
                </w:tcPr>
                <w:p w14:paraId="4C3295F3">
                  <w:pPr>
                    <w:jc w:val="center"/>
                    <w:rPr>
                      <w:rFonts w:hint="default" w:eastAsia="宋体"/>
                      <w:szCs w:val="21"/>
                      <w:lang w:val="en-US" w:eastAsia="zh-CN"/>
                    </w:rPr>
                  </w:pPr>
                  <w:r>
                    <w:rPr>
                      <w:rFonts w:hint="eastAsia"/>
                      <w:szCs w:val="21"/>
                      <w:lang w:val="en-US" w:eastAsia="zh-CN"/>
                    </w:rPr>
                    <w:t>2-8</w:t>
                  </w:r>
                </w:p>
              </w:tc>
              <w:tc>
                <w:tcPr>
                  <w:tcW w:w="464" w:type="dxa"/>
                  <w:vMerge w:val="restart"/>
                  <w:vAlign w:val="center"/>
                </w:tcPr>
                <w:p w14:paraId="646F53F2">
                  <w:pPr>
                    <w:jc w:val="center"/>
                    <w:rPr>
                      <w:rFonts w:hint="default" w:eastAsia="宋体"/>
                      <w:szCs w:val="21"/>
                      <w:lang w:val="en-US" w:eastAsia="zh-CN"/>
                    </w:rPr>
                  </w:pPr>
                  <w:r>
                    <w:rPr>
                      <w:rFonts w:hint="eastAsia" w:eastAsia="宋体"/>
                      <w:szCs w:val="21"/>
                      <w:lang w:val="en-US" w:eastAsia="zh-CN"/>
                    </w:rPr>
                    <w:t>1.2</w:t>
                  </w:r>
                </w:p>
              </w:tc>
              <w:tc>
                <w:tcPr>
                  <w:tcW w:w="476" w:type="dxa"/>
                  <w:tcBorders>
                    <w:right w:val="single" w:color="000000" w:sz="4" w:space="0"/>
                  </w:tcBorders>
                  <w:vAlign w:val="center"/>
                </w:tcPr>
                <w:p w14:paraId="66DEE786">
                  <w:pPr>
                    <w:jc w:val="center"/>
                    <w:rPr>
                      <w:rFonts w:hint="eastAsia" w:eastAsia="宋体"/>
                      <w:szCs w:val="21"/>
                      <w:lang w:val="en-US" w:eastAsia="zh-CN"/>
                    </w:rPr>
                  </w:pPr>
                  <w:r>
                    <w:rPr>
                      <w:rFonts w:hint="eastAsia"/>
                      <w:szCs w:val="21"/>
                      <w:lang w:val="en-US" w:eastAsia="zh-CN"/>
                    </w:rPr>
                    <w:t>西北</w:t>
                  </w:r>
                </w:p>
              </w:tc>
              <w:tc>
                <w:tcPr>
                  <w:tcW w:w="424" w:type="dxa"/>
                  <w:tcBorders>
                    <w:left w:val="single" w:color="000000" w:sz="4" w:space="0"/>
                  </w:tcBorders>
                  <w:vAlign w:val="center"/>
                </w:tcPr>
                <w:p w14:paraId="39545CBB">
                  <w:pPr>
                    <w:jc w:val="center"/>
                    <w:rPr>
                      <w:rFonts w:hint="default" w:eastAsia="宋体"/>
                      <w:szCs w:val="21"/>
                      <w:lang w:val="en-US" w:eastAsia="zh-CN"/>
                    </w:rPr>
                  </w:pPr>
                  <w:r>
                    <w:rPr>
                      <w:rFonts w:hint="eastAsia"/>
                      <w:szCs w:val="21"/>
                      <w:lang w:val="en-US" w:eastAsia="zh-CN"/>
                    </w:rPr>
                    <w:t>1</w:t>
                  </w:r>
                </w:p>
              </w:tc>
              <w:tc>
                <w:tcPr>
                  <w:tcW w:w="599" w:type="dxa"/>
                  <w:vAlign w:val="center"/>
                </w:tcPr>
                <w:p w14:paraId="3B2DED5F">
                  <w:pPr>
                    <w:jc w:val="center"/>
                    <w:rPr>
                      <w:rFonts w:hint="default" w:eastAsia="宋体"/>
                      <w:szCs w:val="21"/>
                      <w:lang w:val="en-US" w:eastAsia="zh-CN"/>
                    </w:rPr>
                  </w:pPr>
                  <w:r>
                    <w:rPr>
                      <w:rFonts w:hint="eastAsia"/>
                      <w:szCs w:val="21"/>
                      <w:lang w:val="en-US" w:eastAsia="zh-CN"/>
                    </w:rPr>
                    <w:t>70.5</w:t>
                  </w:r>
                </w:p>
              </w:tc>
              <w:tc>
                <w:tcPr>
                  <w:tcW w:w="544" w:type="dxa"/>
                  <w:vMerge w:val="restart"/>
                  <w:vAlign w:val="center"/>
                </w:tcPr>
                <w:p w14:paraId="6C0740F9">
                  <w:pPr>
                    <w:jc w:val="center"/>
                    <w:rPr>
                      <w:rFonts w:hint="eastAsia"/>
                      <w:szCs w:val="21"/>
                    </w:rPr>
                  </w:pPr>
                  <w:r>
                    <w:rPr>
                      <w:rFonts w:hint="eastAsia"/>
                      <w:snapToGrid w:val="0"/>
                      <w:szCs w:val="21"/>
                      <w:lang w:val="en-US" w:eastAsia="zh-CN"/>
                    </w:rPr>
                    <w:t>24</w:t>
                  </w:r>
                  <w:r>
                    <w:rPr>
                      <w:snapToGrid w:val="0"/>
                      <w:szCs w:val="21"/>
                    </w:rPr>
                    <w:t>h</w:t>
                  </w:r>
                  <w:r>
                    <w:rPr>
                      <w:rFonts w:hint="eastAsia"/>
                      <w:snapToGrid w:val="0"/>
                      <w:szCs w:val="21"/>
                    </w:rPr>
                    <w:t>/d</w:t>
                  </w:r>
                </w:p>
              </w:tc>
              <w:tc>
                <w:tcPr>
                  <w:tcW w:w="676" w:type="dxa"/>
                  <w:vMerge w:val="restart"/>
                  <w:vAlign w:val="center"/>
                </w:tcPr>
                <w:p w14:paraId="156B0746">
                  <w:pPr>
                    <w:jc w:val="center"/>
                    <w:rPr>
                      <w:rFonts w:hint="eastAsia"/>
                      <w:szCs w:val="21"/>
                    </w:rPr>
                  </w:pPr>
                  <w:r>
                    <w:rPr>
                      <w:rFonts w:hint="eastAsia"/>
                      <w:szCs w:val="21"/>
                    </w:rPr>
                    <w:t>-15</w:t>
                  </w:r>
                </w:p>
              </w:tc>
              <w:tc>
                <w:tcPr>
                  <w:tcW w:w="718" w:type="dxa"/>
                  <w:vAlign w:val="center"/>
                </w:tcPr>
                <w:p w14:paraId="5E50167C">
                  <w:pPr>
                    <w:jc w:val="center"/>
                    <w:rPr>
                      <w:rFonts w:hint="default" w:eastAsia="宋体"/>
                      <w:szCs w:val="21"/>
                      <w:lang w:val="en-US" w:eastAsia="zh-CN"/>
                    </w:rPr>
                  </w:pPr>
                  <w:r>
                    <w:rPr>
                      <w:rFonts w:hint="eastAsia"/>
                      <w:szCs w:val="21"/>
                      <w:lang w:val="en-US" w:eastAsia="zh-CN"/>
                    </w:rPr>
                    <w:t>55.5</w:t>
                  </w:r>
                </w:p>
              </w:tc>
              <w:tc>
                <w:tcPr>
                  <w:tcW w:w="731" w:type="dxa"/>
                  <w:vMerge w:val="restart"/>
                  <w:vAlign w:val="center"/>
                </w:tcPr>
                <w:p w14:paraId="621AC479">
                  <w:pPr>
                    <w:jc w:val="center"/>
                    <w:rPr>
                      <w:rFonts w:hint="eastAsia"/>
                      <w:szCs w:val="21"/>
                    </w:rPr>
                  </w:pPr>
                  <w:r>
                    <w:rPr>
                      <w:rFonts w:hint="eastAsia"/>
                      <w:szCs w:val="21"/>
                    </w:rPr>
                    <w:t>1</w:t>
                  </w:r>
                </w:p>
              </w:tc>
            </w:tr>
            <w:tr w14:paraId="0A60E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58" w:type="dxa"/>
                  <w:vMerge w:val="continue"/>
                  <w:vAlign w:val="center"/>
                </w:tcPr>
                <w:p w14:paraId="41500138">
                  <w:pPr>
                    <w:jc w:val="center"/>
                    <w:rPr>
                      <w:rFonts w:hint="eastAsia"/>
                      <w:szCs w:val="21"/>
                    </w:rPr>
                  </w:pPr>
                </w:p>
              </w:tc>
              <w:tc>
                <w:tcPr>
                  <w:tcW w:w="457" w:type="dxa"/>
                  <w:vMerge w:val="continue"/>
                  <w:vAlign w:val="center"/>
                </w:tcPr>
                <w:p w14:paraId="5F256130">
                  <w:pPr>
                    <w:jc w:val="center"/>
                    <w:rPr>
                      <w:rFonts w:hint="eastAsia"/>
                      <w:szCs w:val="21"/>
                    </w:rPr>
                  </w:pPr>
                </w:p>
              </w:tc>
              <w:tc>
                <w:tcPr>
                  <w:tcW w:w="556" w:type="dxa"/>
                  <w:vMerge w:val="continue"/>
                  <w:vAlign w:val="center"/>
                </w:tcPr>
                <w:p w14:paraId="6801656A">
                  <w:pPr>
                    <w:jc w:val="center"/>
                    <w:rPr>
                      <w:rFonts w:hint="eastAsia" w:ascii="Times New Roman" w:hAnsi="Times New Roman" w:eastAsia="宋体" w:cs="Times New Roman"/>
                      <w:szCs w:val="21"/>
                      <w:lang w:val="en-US" w:eastAsia="zh-CN"/>
                    </w:rPr>
                  </w:pPr>
                </w:p>
              </w:tc>
              <w:tc>
                <w:tcPr>
                  <w:tcW w:w="599" w:type="dxa"/>
                  <w:vMerge w:val="continue"/>
                  <w:vAlign w:val="center"/>
                </w:tcPr>
                <w:p w14:paraId="75CBD3D3">
                  <w:pPr>
                    <w:jc w:val="center"/>
                    <w:rPr>
                      <w:rFonts w:hint="eastAsia" w:ascii="Times New Roman" w:hAnsi="Times New Roman" w:eastAsia="宋体" w:cs="Times New Roman"/>
                      <w:szCs w:val="21"/>
                      <w:lang w:val="en-US" w:eastAsia="zh-CN"/>
                    </w:rPr>
                  </w:pPr>
                </w:p>
              </w:tc>
              <w:tc>
                <w:tcPr>
                  <w:tcW w:w="572" w:type="dxa"/>
                  <w:vMerge w:val="continue"/>
                  <w:vAlign w:val="center"/>
                </w:tcPr>
                <w:p w14:paraId="6AE85679">
                  <w:pPr>
                    <w:jc w:val="center"/>
                    <w:rPr>
                      <w:rFonts w:hint="eastAsia" w:ascii="Times New Roman" w:hAnsi="Times New Roman" w:eastAsia="宋体" w:cs="Times New Roman"/>
                      <w:szCs w:val="21"/>
                      <w:lang w:val="en-US" w:eastAsia="zh-CN"/>
                    </w:rPr>
                  </w:pPr>
                </w:p>
              </w:tc>
              <w:tc>
                <w:tcPr>
                  <w:tcW w:w="572" w:type="dxa"/>
                  <w:vMerge w:val="continue"/>
                  <w:vAlign w:val="center"/>
                </w:tcPr>
                <w:p w14:paraId="0A4AFDF5">
                  <w:pPr>
                    <w:jc w:val="center"/>
                    <w:rPr>
                      <w:rFonts w:hint="eastAsia"/>
                      <w:szCs w:val="21"/>
                    </w:rPr>
                  </w:pPr>
                </w:p>
              </w:tc>
              <w:tc>
                <w:tcPr>
                  <w:tcW w:w="450" w:type="dxa"/>
                  <w:vMerge w:val="continue"/>
                  <w:vAlign w:val="center"/>
                </w:tcPr>
                <w:p w14:paraId="11D83B12">
                  <w:pPr>
                    <w:jc w:val="center"/>
                    <w:rPr>
                      <w:szCs w:val="21"/>
                    </w:rPr>
                  </w:pPr>
                </w:p>
              </w:tc>
              <w:tc>
                <w:tcPr>
                  <w:tcW w:w="489" w:type="dxa"/>
                  <w:vMerge w:val="continue"/>
                  <w:vAlign w:val="center"/>
                </w:tcPr>
                <w:p w14:paraId="180F91A6">
                  <w:pPr>
                    <w:jc w:val="center"/>
                    <w:rPr>
                      <w:szCs w:val="21"/>
                    </w:rPr>
                  </w:pPr>
                </w:p>
              </w:tc>
              <w:tc>
                <w:tcPr>
                  <w:tcW w:w="464" w:type="dxa"/>
                  <w:vMerge w:val="continue"/>
                  <w:vAlign w:val="center"/>
                </w:tcPr>
                <w:p w14:paraId="25A24A33">
                  <w:pPr>
                    <w:jc w:val="center"/>
                    <w:rPr>
                      <w:rFonts w:hint="eastAsia"/>
                      <w:szCs w:val="21"/>
                    </w:rPr>
                  </w:pPr>
                </w:p>
              </w:tc>
              <w:tc>
                <w:tcPr>
                  <w:tcW w:w="476" w:type="dxa"/>
                  <w:tcBorders>
                    <w:right w:val="single" w:color="000000" w:sz="4" w:space="0"/>
                  </w:tcBorders>
                  <w:vAlign w:val="center"/>
                </w:tcPr>
                <w:p w14:paraId="59F922F2">
                  <w:pPr>
                    <w:jc w:val="center"/>
                    <w:rPr>
                      <w:rFonts w:hint="eastAsia" w:eastAsia="宋体"/>
                      <w:szCs w:val="21"/>
                      <w:lang w:val="en-US" w:eastAsia="zh-CN"/>
                    </w:rPr>
                  </w:pPr>
                  <w:r>
                    <w:rPr>
                      <w:rFonts w:hint="eastAsia"/>
                      <w:szCs w:val="21"/>
                      <w:lang w:val="en-US" w:eastAsia="zh-CN"/>
                    </w:rPr>
                    <w:t>西南</w:t>
                  </w:r>
                </w:p>
              </w:tc>
              <w:tc>
                <w:tcPr>
                  <w:tcW w:w="424" w:type="dxa"/>
                  <w:tcBorders>
                    <w:left w:val="single" w:color="000000" w:sz="4" w:space="0"/>
                  </w:tcBorders>
                  <w:vAlign w:val="center"/>
                </w:tcPr>
                <w:p w14:paraId="475B3ECC">
                  <w:pPr>
                    <w:jc w:val="center"/>
                    <w:rPr>
                      <w:rFonts w:hint="default" w:eastAsia="宋体"/>
                      <w:szCs w:val="21"/>
                      <w:lang w:val="en-US" w:eastAsia="zh-CN"/>
                    </w:rPr>
                  </w:pPr>
                  <w:r>
                    <w:rPr>
                      <w:rFonts w:hint="eastAsia"/>
                      <w:szCs w:val="21"/>
                      <w:lang w:val="en-US" w:eastAsia="zh-CN"/>
                    </w:rPr>
                    <w:t>12</w:t>
                  </w:r>
                </w:p>
              </w:tc>
              <w:tc>
                <w:tcPr>
                  <w:tcW w:w="599" w:type="dxa"/>
                  <w:vAlign w:val="center"/>
                </w:tcPr>
                <w:p w14:paraId="4956A3F2">
                  <w:pPr>
                    <w:jc w:val="center"/>
                    <w:rPr>
                      <w:rFonts w:hint="default" w:eastAsia="宋体"/>
                      <w:szCs w:val="21"/>
                      <w:lang w:val="en-US" w:eastAsia="zh-CN"/>
                    </w:rPr>
                  </w:pPr>
                  <w:r>
                    <w:rPr>
                      <w:rFonts w:hint="eastAsia"/>
                      <w:szCs w:val="21"/>
                      <w:lang w:val="en-US" w:eastAsia="zh-CN"/>
                    </w:rPr>
                    <w:t>60.1</w:t>
                  </w:r>
                </w:p>
              </w:tc>
              <w:tc>
                <w:tcPr>
                  <w:tcW w:w="544" w:type="dxa"/>
                  <w:vMerge w:val="continue"/>
                  <w:vAlign w:val="center"/>
                </w:tcPr>
                <w:p w14:paraId="434BCC2F">
                  <w:pPr>
                    <w:jc w:val="center"/>
                    <w:rPr>
                      <w:rFonts w:hint="eastAsia"/>
                      <w:snapToGrid w:val="0"/>
                      <w:szCs w:val="21"/>
                      <w:lang w:val="en-US" w:eastAsia="zh-CN"/>
                    </w:rPr>
                  </w:pPr>
                </w:p>
              </w:tc>
              <w:tc>
                <w:tcPr>
                  <w:tcW w:w="676" w:type="dxa"/>
                  <w:vMerge w:val="continue"/>
                  <w:vAlign w:val="center"/>
                </w:tcPr>
                <w:p w14:paraId="21F568BA">
                  <w:pPr>
                    <w:jc w:val="center"/>
                    <w:rPr>
                      <w:rFonts w:hint="eastAsia"/>
                      <w:szCs w:val="21"/>
                    </w:rPr>
                  </w:pPr>
                </w:p>
              </w:tc>
              <w:tc>
                <w:tcPr>
                  <w:tcW w:w="718" w:type="dxa"/>
                  <w:vAlign w:val="center"/>
                </w:tcPr>
                <w:p w14:paraId="6A88986F">
                  <w:pPr>
                    <w:jc w:val="center"/>
                    <w:rPr>
                      <w:rFonts w:hint="default" w:eastAsia="宋体"/>
                      <w:szCs w:val="21"/>
                      <w:lang w:val="en-US" w:eastAsia="zh-CN"/>
                    </w:rPr>
                  </w:pPr>
                  <w:r>
                    <w:rPr>
                      <w:rFonts w:hint="eastAsia"/>
                      <w:szCs w:val="21"/>
                      <w:lang w:val="en-US" w:eastAsia="zh-CN"/>
                    </w:rPr>
                    <w:t>45.1</w:t>
                  </w:r>
                </w:p>
              </w:tc>
              <w:tc>
                <w:tcPr>
                  <w:tcW w:w="731" w:type="dxa"/>
                  <w:vMerge w:val="continue"/>
                  <w:vAlign w:val="center"/>
                </w:tcPr>
                <w:p w14:paraId="7BD3BD21">
                  <w:pPr>
                    <w:jc w:val="center"/>
                    <w:rPr>
                      <w:rFonts w:hint="eastAsia"/>
                      <w:szCs w:val="21"/>
                    </w:rPr>
                  </w:pPr>
                </w:p>
              </w:tc>
            </w:tr>
            <w:tr w14:paraId="37382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58" w:type="dxa"/>
                  <w:vMerge w:val="continue"/>
                  <w:vAlign w:val="center"/>
                </w:tcPr>
                <w:p w14:paraId="55D612ED">
                  <w:pPr>
                    <w:jc w:val="center"/>
                    <w:rPr>
                      <w:rFonts w:hint="eastAsia"/>
                      <w:szCs w:val="21"/>
                    </w:rPr>
                  </w:pPr>
                </w:p>
              </w:tc>
              <w:tc>
                <w:tcPr>
                  <w:tcW w:w="457" w:type="dxa"/>
                  <w:vMerge w:val="continue"/>
                  <w:vAlign w:val="center"/>
                </w:tcPr>
                <w:p w14:paraId="617192C6">
                  <w:pPr>
                    <w:jc w:val="center"/>
                    <w:rPr>
                      <w:rFonts w:hint="eastAsia"/>
                      <w:szCs w:val="21"/>
                    </w:rPr>
                  </w:pPr>
                </w:p>
              </w:tc>
              <w:tc>
                <w:tcPr>
                  <w:tcW w:w="556" w:type="dxa"/>
                  <w:vMerge w:val="continue"/>
                  <w:vAlign w:val="center"/>
                </w:tcPr>
                <w:p w14:paraId="400E3801">
                  <w:pPr>
                    <w:jc w:val="center"/>
                    <w:rPr>
                      <w:rFonts w:hint="eastAsia" w:ascii="Times New Roman" w:hAnsi="Times New Roman" w:eastAsia="宋体" w:cs="Times New Roman"/>
                      <w:szCs w:val="21"/>
                      <w:lang w:val="en-US" w:eastAsia="zh-CN"/>
                    </w:rPr>
                  </w:pPr>
                </w:p>
              </w:tc>
              <w:tc>
                <w:tcPr>
                  <w:tcW w:w="599" w:type="dxa"/>
                  <w:vMerge w:val="continue"/>
                  <w:vAlign w:val="center"/>
                </w:tcPr>
                <w:p w14:paraId="27D51B42">
                  <w:pPr>
                    <w:jc w:val="center"/>
                    <w:rPr>
                      <w:rFonts w:hint="eastAsia" w:ascii="Times New Roman" w:hAnsi="Times New Roman" w:eastAsia="宋体" w:cs="Times New Roman"/>
                      <w:szCs w:val="21"/>
                      <w:lang w:val="en-US" w:eastAsia="zh-CN"/>
                    </w:rPr>
                  </w:pPr>
                </w:p>
              </w:tc>
              <w:tc>
                <w:tcPr>
                  <w:tcW w:w="572" w:type="dxa"/>
                  <w:vMerge w:val="continue"/>
                  <w:vAlign w:val="center"/>
                </w:tcPr>
                <w:p w14:paraId="4CAEF248">
                  <w:pPr>
                    <w:jc w:val="center"/>
                    <w:rPr>
                      <w:rFonts w:hint="eastAsia" w:ascii="Times New Roman" w:hAnsi="Times New Roman" w:eastAsia="宋体" w:cs="Times New Roman"/>
                      <w:szCs w:val="21"/>
                      <w:lang w:val="en-US" w:eastAsia="zh-CN"/>
                    </w:rPr>
                  </w:pPr>
                </w:p>
              </w:tc>
              <w:tc>
                <w:tcPr>
                  <w:tcW w:w="572" w:type="dxa"/>
                  <w:vMerge w:val="continue"/>
                  <w:vAlign w:val="center"/>
                </w:tcPr>
                <w:p w14:paraId="28ECE4F5">
                  <w:pPr>
                    <w:jc w:val="center"/>
                    <w:rPr>
                      <w:rFonts w:hint="eastAsia"/>
                      <w:szCs w:val="21"/>
                    </w:rPr>
                  </w:pPr>
                </w:p>
              </w:tc>
              <w:tc>
                <w:tcPr>
                  <w:tcW w:w="450" w:type="dxa"/>
                  <w:vMerge w:val="continue"/>
                  <w:vAlign w:val="center"/>
                </w:tcPr>
                <w:p w14:paraId="12FE3D23">
                  <w:pPr>
                    <w:jc w:val="center"/>
                    <w:rPr>
                      <w:rFonts w:hint="eastAsia"/>
                      <w:szCs w:val="21"/>
                    </w:rPr>
                  </w:pPr>
                </w:p>
              </w:tc>
              <w:tc>
                <w:tcPr>
                  <w:tcW w:w="489" w:type="dxa"/>
                  <w:vMerge w:val="continue"/>
                  <w:vAlign w:val="center"/>
                </w:tcPr>
                <w:p w14:paraId="49A2B58C">
                  <w:pPr>
                    <w:jc w:val="center"/>
                    <w:rPr>
                      <w:rFonts w:hint="eastAsia"/>
                      <w:szCs w:val="21"/>
                    </w:rPr>
                  </w:pPr>
                </w:p>
              </w:tc>
              <w:tc>
                <w:tcPr>
                  <w:tcW w:w="464" w:type="dxa"/>
                  <w:vMerge w:val="continue"/>
                  <w:vAlign w:val="center"/>
                </w:tcPr>
                <w:p w14:paraId="52C7ACFC">
                  <w:pPr>
                    <w:jc w:val="center"/>
                    <w:rPr>
                      <w:rFonts w:hint="eastAsia"/>
                      <w:szCs w:val="21"/>
                    </w:rPr>
                  </w:pPr>
                </w:p>
              </w:tc>
              <w:tc>
                <w:tcPr>
                  <w:tcW w:w="476" w:type="dxa"/>
                  <w:tcBorders>
                    <w:right w:val="single" w:color="000000" w:sz="4" w:space="0"/>
                  </w:tcBorders>
                  <w:vAlign w:val="center"/>
                </w:tcPr>
                <w:p w14:paraId="5FE2D8D8">
                  <w:pPr>
                    <w:jc w:val="center"/>
                    <w:rPr>
                      <w:rFonts w:hint="eastAsia" w:eastAsia="宋体"/>
                      <w:szCs w:val="21"/>
                      <w:lang w:val="en-US" w:eastAsia="zh-CN"/>
                    </w:rPr>
                  </w:pPr>
                  <w:r>
                    <w:rPr>
                      <w:rFonts w:hint="eastAsia"/>
                      <w:szCs w:val="21"/>
                      <w:lang w:val="en-US" w:eastAsia="zh-CN"/>
                    </w:rPr>
                    <w:t>东北</w:t>
                  </w:r>
                </w:p>
              </w:tc>
              <w:tc>
                <w:tcPr>
                  <w:tcW w:w="424" w:type="dxa"/>
                  <w:tcBorders>
                    <w:left w:val="single" w:color="000000" w:sz="4" w:space="0"/>
                  </w:tcBorders>
                  <w:vAlign w:val="center"/>
                </w:tcPr>
                <w:p w14:paraId="062F3795">
                  <w:pPr>
                    <w:jc w:val="center"/>
                    <w:rPr>
                      <w:rFonts w:hint="default" w:eastAsia="宋体"/>
                      <w:szCs w:val="21"/>
                      <w:lang w:val="en-US" w:eastAsia="zh-CN"/>
                    </w:rPr>
                  </w:pPr>
                  <w:r>
                    <w:rPr>
                      <w:rFonts w:hint="eastAsia"/>
                      <w:szCs w:val="21"/>
                      <w:lang w:val="en-US" w:eastAsia="zh-CN"/>
                    </w:rPr>
                    <w:t>2</w:t>
                  </w:r>
                </w:p>
              </w:tc>
              <w:tc>
                <w:tcPr>
                  <w:tcW w:w="599" w:type="dxa"/>
                  <w:vAlign w:val="center"/>
                </w:tcPr>
                <w:p w14:paraId="274F34AE">
                  <w:pPr>
                    <w:jc w:val="center"/>
                    <w:rPr>
                      <w:rFonts w:hint="default" w:eastAsia="宋体"/>
                      <w:szCs w:val="21"/>
                      <w:lang w:val="en-US" w:eastAsia="zh-CN"/>
                    </w:rPr>
                  </w:pPr>
                  <w:r>
                    <w:rPr>
                      <w:rFonts w:hint="eastAsia"/>
                      <w:szCs w:val="21"/>
                      <w:lang w:val="en-US" w:eastAsia="zh-CN"/>
                    </w:rPr>
                    <w:t>65.6</w:t>
                  </w:r>
                </w:p>
              </w:tc>
              <w:tc>
                <w:tcPr>
                  <w:tcW w:w="544" w:type="dxa"/>
                  <w:vMerge w:val="continue"/>
                  <w:vAlign w:val="center"/>
                </w:tcPr>
                <w:p w14:paraId="2065EBA4">
                  <w:pPr>
                    <w:jc w:val="center"/>
                    <w:rPr>
                      <w:rFonts w:hint="eastAsia"/>
                      <w:szCs w:val="21"/>
                    </w:rPr>
                  </w:pPr>
                </w:p>
              </w:tc>
              <w:tc>
                <w:tcPr>
                  <w:tcW w:w="676" w:type="dxa"/>
                  <w:vMerge w:val="continue"/>
                  <w:vAlign w:val="center"/>
                </w:tcPr>
                <w:p w14:paraId="07AFC873">
                  <w:pPr>
                    <w:jc w:val="center"/>
                    <w:rPr>
                      <w:rFonts w:hint="eastAsia"/>
                      <w:szCs w:val="21"/>
                    </w:rPr>
                  </w:pPr>
                </w:p>
              </w:tc>
              <w:tc>
                <w:tcPr>
                  <w:tcW w:w="718" w:type="dxa"/>
                  <w:vAlign w:val="center"/>
                </w:tcPr>
                <w:p w14:paraId="1810B6C6">
                  <w:pPr>
                    <w:jc w:val="center"/>
                    <w:rPr>
                      <w:rFonts w:hint="default" w:eastAsia="宋体"/>
                      <w:szCs w:val="21"/>
                      <w:lang w:val="en-US" w:eastAsia="zh-CN"/>
                    </w:rPr>
                  </w:pPr>
                  <w:r>
                    <w:rPr>
                      <w:rFonts w:hint="eastAsia"/>
                      <w:szCs w:val="21"/>
                      <w:lang w:val="en-US" w:eastAsia="zh-CN"/>
                    </w:rPr>
                    <w:t>50.6</w:t>
                  </w:r>
                </w:p>
              </w:tc>
              <w:tc>
                <w:tcPr>
                  <w:tcW w:w="731" w:type="dxa"/>
                  <w:vMerge w:val="continue"/>
                  <w:vAlign w:val="center"/>
                </w:tcPr>
                <w:p w14:paraId="114721CA">
                  <w:pPr>
                    <w:jc w:val="center"/>
                    <w:rPr>
                      <w:rFonts w:hint="eastAsia"/>
                      <w:szCs w:val="21"/>
                    </w:rPr>
                  </w:pPr>
                </w:p>
              </w:tc>
            </w:tr>
            <w:tr w14:paraId="218A8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258" w:type="dxa"/>
                  <w:vMerge w:val="continue"/>
                  <w:vAlign w:val="center"/>
                </w:tcPr>
                <w:p w14:paraId="64CFDE3A">
                  <w:pPr>
                    <w:jc w:val="center"/>
                    <w:rPr>
                      <w:rFonts w:hint="eastAsia"/>
                      <w:szCs w:val="21"/>
                    </w:rPr>
                  </w:pPr>
                </w:p>
              </w:tc>
              <w:tc>
                <w:tcPr>
                  <w:tcW w:w="457" w:type="dxa"/>
                  <w:vMerge w:val="continue"/>
                  <w:vAlign w:val="center"/>
                </w:tcPr>
                <w:p w14:paraId="1B3484CC">
                  <w:pPr>
                    <w:jc w:val="center"/>
                    <w:rPr>
                      <w:rFonts w:hint="eastAsia"/>
                      <w:szCs w:val="21"/>
                    </w:rPr>
                  </w:pPr>
                </w:p>
              </w:tc>
              <w:tc>
                <w:tcPr>
                  <w:tcW w:w="556" w:type="dxa"/>
                  <w:vMerge w:val="continue"/>
                  <w:vAlign w:val="center"/>
                </w:tcPr>
                <w:p w14:paraId="5F222272">
                  <w:pPr>
                    <w:jc w:val="center"/>
                    <w:rPr>
                      <w:rFonts w:hint="eastAsia" w:ascii="Times New Roman" w:hAnsi="Times New Roman" w:eastAsia="宋体" w:cs="Times New Roman"/>
                      <w:szCs w:val="21"/>
                      <w:lang w:val="en-US" w:eastAsia="zh-CN"/>
                    </w:rPr>
                  </w:pPr>
                </w:p>
              </w:tc>
              <w:tc>
                <w:tcPr>
                  <w:tcW w:w="599" w:type="dxa"/>
                  <w:vMerge w:val="continue"/>
                  <w:vAlign w:val="center"/>
                </w:tcPr>
                <w:p w14:paraId="65102748">
                  <w:pPr>
                    <w:jc w:val="center"/>
                    <w:rPr>
                      <w:rFonts w:hint="eastAsia" w:ascii="Times New Roman" w:hAnsi="Times New Roman" w:eastAsia="宋体" w:cs="Times New Roman"/>
                      <w:szCs w:val="21"/>
                      <w:lang w:val="en-US" w:eastAsia="zh-CN"/>
                    </w:rPr>
                  </w:pPr>
                </w:p>
              </w:tc>
              <w:tc>
                <w:tcPr>
                  <w:tcW w:w="572" w:type="dxa"/>
                  <w:vMerge w:val="continue"/>
                  <w:vAlign w:val="center"/>
                </w:tcPr>
                <w:p w14:paraId="20F98562">
                  <w:pPr>
                    <w:jc w:val="center"/>
                    <w:rPr>
                      <w:rFonts w:hint="eastAsia" w:ascii="Times New Roman" w:hAnsi="Times New Roman" w:eastAsia="宋体" w:cs="Times New Roman"/>
                      <w:szCs w:val="21"/>
                      <w:lang w:val="en-US" w:eastAsia="zh-CN"/>
                    </w:rPr>
                  </w:pPr>
                </w:p>
              </w:tc>
              <w:tc>
                <w:tcPr>
                  <w:tcW w:w="572" w:type="dxa"/>
                  <w:vMerge w:val="continue"/>
                  <w:vAlign w:val="center"/>
                </w:tcPr>
                <w:p w14:paraId="262D0AE4">
                  <w:pPr>
                    <w:jc w:val="center"/>
                    <w:rPr>
                      <w:rFonts w:hint="eastAsia"/>
                      <w:szCs w:val="21"/>
                    </w:rPr>
                  </w:pPr>
                </w:p>
              </w:tc>
              <w:tc>
                <w:tcPr>
                  <w:tcW w:w="450" w:type="dxa"/>
                  <w:vMerge w:val="continue"/>
                  <w:vAlign w:val="center"/>
                </w:tcPr>
                <w:p w14:paraId="3A3AFB95">
                  <w:pPr>
                    <w:jc w:val="center"/>
                    <w:rPr>
                      <w:rFonts w:hint="eastAsia"/>
                      <w:szCs w:val="21"/>
                    </w:rPr>
                  </w:pPr>
                </w:p>
              </w:tc>
              <w:tc>
                <w:tcPr>
                  <w:tcW w:w="489" w:type="dxa"/>
                  <w:vMerge w:val="continue"/>
                  <w:vAlign w:val="center"/>
                </w:tcPr>
                <w:p w14:paraId="30A2987E">
                  <w:pPr>
                    <w:jc w:val="center"/>
                    <w:rPr>
                      <w:rFonts w:hint="eastAsia"/>
                      <w:szCs w:val="21"/>
                    </w:rPr>
                  </w:pPr>
                </w:p>
              </w:tc>
              <w:tc>
                <w:tcPr>
                  <w:tcW w:w="464" w:type="dxa"/>
                  <w:vMerge w:val="continue"/>
                  <w:vAlign w:val="center"/>
                </w:tcPr>
                <w:p w14:paraId="16A11976">
                  <w:pPr>
                    <w:jc w:val="center"/>
                    <w:rPr>
                      <w:rFonts w:hint="eastAsia"/>
                      <w:szCs w:val="21"/>
                    </w:rPr>
                  </w:pPr>
                </w:p>
              </w:tc>
              <w:tc>
                <w:tcPr>
                  <w:tcW w:w="476" w:type="dxa"/>
                  <w:tcBorders>
                    <w:right w:val="single" w:color="000000" w:sz="4" w:space="0"/>
                  </w:tcBorders>
                  <w:vAlign w:val="center"/>
                </w:tcPr>
                <w:p w14:paraId="30F050E2">
                  <w:pPr>
                    <w:jc w:val="center"/>
                    <w:rPr>
                      <w:rFonts w:hint="eastAsia" w:eastAsia="宋体"/>
                      <w:szCs w:val="21"/>
                      <w:lang w:val="en-US" w:eastAsia="zh-CN"/>
                    </w:rPr>
                  </w:pPr>
                  <w:r>
                    <w:rPr>
                      <w:rFonts w:hint="eastAsia"/>
                      <w:szCs w:val="21"/>
                      <w:lang w:val="en-US" w:eastAsia="zh-CN"/>
                    </w:rPr>
                    <w:t>东南</w:t>
                  </w:r>
                </w:p>
              </w:tc>
              <w:tc>
                <w:tcPr>
                  <w:tcW w:w="424" w:type="dxa"/>
                  <w:tcBorders>
                    <w:left w:val="single" w:color="000000" w:sz="4" w:space="0"/>
                  </w:tcBorders>
                  <w:vAlign w:val="center"/>
                </w:tcPr>
                <w:p w14:paraId="00959325">
                  <w:pPr>
                    <w:jc w:val="center"/>
                    <w:rPr>
                      <w:rFonts w:hint="default" w:eastAsia="宋体"/>
                      <w:szCs w:val="21"/>
                      <w:lang w:val="en-US" w:eastAsia="zh-CN"/>
                    </w:rPr>
                  </w:pPr>
                  <w:r>
                    <w:rPr>
                      <w:rFonts w:hint="eastAsia"/>
                      <w:szCs w:val="21"/>
                      <w:lang w:val="en-US" w:eastAsia="zh-CN"/>
                    </w:rPr>
                    <w:t>2</w:t>
                  </w:r>
                </w:p>
              </w:tc>
              <w:tc>
                <w:tcPr>
                  <w:tcW w:w="599" w:type="dxa"/>
                  <w:vAlign w:val="center"/>
                </w:tcPr>
                <w:p w14:paraId="2E036010">
                  <w:pPr>
                    <w:jc w:val="center"/>
                    <w:rPr>
                      <w:rFonts w:hint="default" w:eastAsia="宋体"/>
                      <w:szCs w:val="21"/>
                      <w:lang w:val="en-US" w:eastAsia="zh-CN"/>
                    </w:rPr>
                  </w:pPr>
                  <w:r>
                    <w:rPr>
                      <w:rFonts w:hint="eastAsia"/>
                      <w:szCs w:val="21"/>
                      <w:lang w:val="en-US" w:eastAsia="zh-CN"/>
                    </w:rPr>
                    <w:t>65.4</w:t>
                  </w:r>
                </w:p>
              </w:tc>
              <w:tc>
                <w:tcPr>
                  <w:tcW w:w="544" w:type="dxa"/>
                  <w:vMerge w:val="continue"/>
                  <w:vAlign w:val="center"/>
                </w:tcPr>
                <w:p w14:paraId="57A9BF7F">
                  <w:pPr>
                    <w:jc w:val="center"/>
                    <w:rPr>
                      <w:rFonts w:hint="eastAsia"/>
                      <w:szCs w:val="21"/>
                    </w:rPr>
                  </w:pPr>
                </w:p>
              </w:tc>
              <w:tc>
                <w:tcPr>
                  <w:tcW w:w="676" w:type="dxa"/>
                  <w:vMerge w:val="continue"/>
                  <w:vAlign w:val="center"/>
                </w:tcPr>
                <w:p w14:paraId="260243FF">
                  <w:pPr>
                    <w:jc w:val="center"/>
                    <w:rPr>
                      <w:rFonts w:hint="eastAsia"/>
                      <w:szCs w:val="21"/>
                    </w:rPr>
                  </w:pPr>
                </w:p>
              </w:tc>
              <w:tc>
                <w:tcPr>
                  <w:tcW w:w="718" w:type="dxa"/>
                  <w:vAlign w:val="center"/>
                </w:tcPr>
                <w:p w14:paraId="553379DC">
                  <w:pPr>
                    <w:jc w:val="center"/>
                    <w:rPr>
                      <w:rFonts w:hint="default" w:eastAsia="宋体"/>
                      <w:szCs w:val="21"/>
                      <w:lang w:val="en-US" w:eastAsia="zh-CN"/>
                    </w:rPr>
                  </w:pPr>
                  <w:r>
                    <w:rPr>
                      <w:rFonts w:hint="eastAsia"/>
                      <w:szCs w:val="21"/>
                      <w:lang w:val="en-US" w:eastAsia="zh-CN"/>
                    </w:rPr>
                    <w:t>50.4</w:t>
                  </w:r>
                </w:p>
              </w:tc>
              <w:tc>
                <w:tcPr>
                  <w:tcW w:w="731" w:type="dxa"/>
                  <w:vMerge w:val="continue"/>
                  <w:vAlign w:val="center"/>
                </w:tcPr>
                <w:p w14:paraId="0CAA4D56">
                  <w:pPr>
                    <w:jc w:val="center"/>
                    <w:rPr>
                      <w:rFonts w:hint="eastAsia"/>
                      <w:szCs w:val="21"/>
                    </w:rPr>
                  </w:pPr>
                </w:p>
              </w:tc>
            </w:tr>
            <w:tr w14:paraId="18AE4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restart"/>
                  <w:vAlign w:val="center"/>
                </w:tcPr>
                <w:p w14:paraId="3049EB81">
                  <w:pPr>
                    <w:jc w:val="center"/>
                    <w:rPr>
                      <w:rFonts w:hint="eastAsia" w:eastAsia="宋体"/>
                      <w:szCs w:val="21"/>
                      <w:lang w:val="en-US" w:eastAsia="zh-CN"/>
                    </w:rPr>
                  </w:pPr>
                  <w:r>
                    <w:rPr>
                      <w:rFonts w:hint="eastAsia"/>
                      <w:szCs w:val="21"/>
                      <w:lang w:val="en-US" w:eastAsia="zh-CN"/>
                    </w:rPr>
                    <w:t>2</w:t>
                  </w:r>
                </w:p>
              </w:tc>
              <w:tc>
                <w:tcPr>
                  <w:tcW w:w="457" w:type="dxa"/>
                  <w:vMerge w:val="continue"/>
                  <w:vAlign w:val="center"/>
                </w:tcPr>
                <w:p w14:paraId="076C68E4">
                  <w:pPr>
                    <w:jc w:val="center"/>
                    <w:rPr>
                      <w:rFonts w:hint="eastAsia"/>
                      <w:szCs w:val="21"/>
                    </w:rPr>
                  </w:pPr>
                </w:p>
              </w:tc>
              <w:tc>
                <w:tcPr>
                  <w:tcW w:w="556" w:type="dxa"/>
                  <w:vMerge w:val="restart"/>
                  <w:shd w:val="clear" w:color="auto" w:fill="auto"/>
                  <w:vAlign w:val="center"/>
                </w:tcPr>
                <w:p w14:paraId="2CB459E7">
                  <w:pPr>
                    <w:jc w:val="center"/>
                    <w:rPr>
                      <w:rFonts w:hint="default" w:ascii="Times New Roman" w:hAnsi="Times New Roman" w:eastAsia="宋体" w:cs="Times New Roman"/>
                      <w:szCs w:val="21"/>
                      <w:lang w:val="en-US" w:eastAsia="zh-CN"/>
                    </w:rPr>
                  </w:pPr>
                  <w:r>
                    <w:rPr>
                      <w:rFonts w:hint="eastAsia" w:cs="Times New Roman"/>
                      <w:szCs w:val="21"/>
                      <w:lang w:val="en-US" w:eastAsia="zh-CN"/>
                    </w:rPr>
                    <w:t>成型机</w:t>
                  </w:r>
                </w:p>
              </w:tc>
              <w:tc>
                <w:tcPr>
                  <w:tcW w:w="599" w:type="dxa"/>
                  <w:vMerge w:val="restart"/>
                  <w:shd w:val="clear" w:color="auto" w:fill="auto"/>
                  <w:vAlign w:val="center"/>
                </w:tcPr>
                <w:p w14:paraId="3E4BD397">
                  <w:pPr>
                    <w:jc w:val="center"/>
                    <w:rPr>
                      <w:rFonts w:hint="default" w:ascii="Times New Roman" w:hAnsi="Times New Roman" w:eastAsia="宋体" w:cs="Times New Roman"/>
                      <w:szCs w:val="21"/>
                      <w:lang w:val="en-US" w:eastAsia="zh-CN"/>
                    </w:rPr>
                  </w:pPr>
                  <w:r>
                    <w:rPr>
                      <w:rFonts w:hint="eastAsia" w:cs="Times New Roman"/>
                      <w:szCs w:val="21"/>
                      <w:lang w:val="en-US" w:eastAsia="zh-CN"/>
                    </w:rPr>
                    <w:t>34</w:t>
                  </w:r>
                </w:p>
              </w:tc>
              <w:tc>
                <w:tcPr>
                  <w:tcW w:w="572" w:type="dxa"/>
                  <w:vMerge w:val="restart"/>
                  <w:vAlign w:val="center"/>
                </w:tcPr>
                <w:p w14:paraId="1E1F5375">
                  <w:pPr>
                    <w:jc w:val="center"/>
                    <w:rPr>
                      <w:rFonts w:hint="default" w:ascii="Times New Roman" w:hAnsi="Times New Roman" w:eastAsia="宋体" w:cs="Times New Roman"/>
                      <w:szCs w:val="21"/>
                      <w:lang w:val="en-US" w:eastAsia="zh-CN"/>
                    </w:rPr>
                  </w:pPr>
                  <w:r>
                    <w:rPr>
                      <w:rFonts w:hint="eastAsia" w:cs="Times New Roman"/>
                      <w:szCs w:val="21"/>
                      <w:lang w:val="en-US" w:eastAsia="zh-CN"/>
                    </w:rPr>
                    <w:t>75-80</w:t>
                  </w:r>
                </w:p>
              </w:tc>
              <w:tc>
                <w:tcPr>
                  <w:tcW w:w="572" w:type="dxa"/>
                  <w:vMerge w:val="continue"/>
                  <w:vAlign w:val="center"/>
                </w:tcPr>
                <w:p w14:paraId="4C032233">
                  <w:pPr>
                    <w:jc w:val="center"/>
                    <w:rPr>
                      <w:rFonts w:hint="eastAsia"/>
                      <w:szCs w:val="21"/>
                    </w:rPr>
                  </w:pPr>
                </w:p>
              </w:tc>
              <w:tc>
                <w:tcPr>
                  <w:tcW w:w="450" w:type="dxa"/>
                  <w:vMerge w:val="restart"/>
                  <w:shd w:val="clear" w:color="auto" w:fill="auto"/>
                  <w:vAlign w:val="center"/>
                </w:tcPr>
                <w:p w14:paraId="6A66A2E5">
                  <w:pPr>
                    <w:jc w:val="center"/>
                    <w:rPr>
                      <w:rFonts w:hint="default"/>
                      <w:szCs w:val="21"/>
                      <w:lang w:val="en-US"/>
                    </w:rPr>
                  </w:pPr>
                  <w:r>
                    <w:rPr>
                      <w:rFonts w:hint="eastAsia" w:cs="Times New Roman"/>
                      <w:kern w:val="2"/>
                      <w:sz w:val="21"/>
                      <w:szCs w:val="21"/>
                      <w:lang w:val="en-US" w:eastAsia="zh-CN" w:bidi="ar-SA"/>
                    </w:rPr>
                    <w:t>1-45</w:t>
                  </w:r>
                </w:p>
              </w:tc>
              <w:tc>
                <w:tcPr>
                  <w:tcW w:w="489" w:type="dxa"/>
                  <w:vMerge w:val="restart"/>
                  <w:shd w:val="clear" w:color="auto" w:fill="auto"/>
                  <w:vAlign w:val="center"/>
                </w:tcPr>
                <w:p w14:paraId="2A161C8D">
                  <w:pPr>
                    <w:jc w:val="center"/>
                    <w:rPr>
                      <w:rFonts w:hint="default" w:eastAsia="宋体"/>
                      <w:szCs w:val="21"/>
                      <w:lang w:val="en-US" w:eastAsia="zh-CN"/>
                    </w:rPr>
                  </w:pPr>
                  <w:r>
                    <w:rPr>
                      <w:rFonts w:hint="eastAsia"/>
                      <w:szCs w:val="21"/>
                      <w:lang w:val="en-US" w:eastAsia="zh-CN"/>
                    </w:rPr>
                    <w:t>9-15</w:t>
                  </w:r>
                </w:p>
              </w:tc>
              <w:tc>
                <w:tcPr>
                  <w:tcW w:w="464" w:type="dxa"/>
                  <w:vMerge w:val="restart"/>
                  <w:shd w:val="clear" w:color="auto" w:fill="auto"/>
                  <w:vAlign w:val="center"/>
                </w:tcPr>
                <w:p w14:paraId="00715CA5">
                  <w:pPr>
                    <w:jc w:val="center"/>
                    <w:rPr>
                      <w:rFonts w:hint="eastAsia"/>
                      <w:szCs w:val="21"/>
                    </w:rPr>
                  </w:pPr>
                  <w:r>
                    <w:rPr>
                      <w:rFonts w:hint="eastAsia"/>
                      <w:szCs w:val="21"/>
                      <w:lang w:val="en-US" w:eastAsia="zh-CN"/>
                    </w:rPr>
                    <w:t>1.2</w:t>
                  </w:r>
                </w:p>
              </w:tc>
              <w:tc>
                <w:tcPr>
                  <w:tcW w:w="476" w:type="dxa"/>
                  <w:shd w:val="clear" w:color="auto" w:fill="auto"/>
                  <w:vAlign w:val="center"/>
                </w:tcPr>
                <w:p w14:paraId="17E8CF57">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424" w:type="dxa"/>
                  <w:shd w:val="clear" w:color="auto" w:fill="auto"/>
                  <w:vAlign w:val="center"/>
                </w:tcPr>
                <w:p w14:paraId="5BA3B6BD">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tc>
              <w:tc>
                <w:tcPr>
                  <w:tcW w:w="599" w:type="dxa"/>
                  <w:vAlign w:val="center"/>
                </w:tcPr>
                <w:p w14:paraId="2ABF4111">
                  <w:pPr>
                    <w:jc w:val="center"/>
                    <w:rPr>
                      <w:rFonts w:hint="default"/>
                      <w:szCs w:val="21"/>
                      <w:lang w:val="en-US" w:eastAsia="zh-CN"/>
                    </w:rPr>
                  </w:pPr>
                  <w:r>
                    <w:rPr>
                      <w:rFonts w:hint="eastAsia"/>
                      <w:szCs w:val="21"/>
                      <w:lang w:val="en-US" w:eastAsia="zh-CN"/>
                    </w:rPr>
                    <w:t>72.2</w:t>
                  </w:r>
                </w:p>
              </w:tc>
              <w:tc>
                <w:tcPr>
                  <w:tcW w:w="544" w:type="dxa"/>
                  <w:vMerge w:val="continue"/>
                  <w:vAlign w:val="center"/>
                </w:tcPr>
                <w:p w14:paraId="5A902057">
                  <w:pPr>
                    <w:jc w:val="center"/>
                    <w:rPr>
                      <w:rFonts w:hint="eastAsia"/>
                      <w:szCs w:val="21"/>
                    </w:rPr>
                  </w:pPr>
                </w:p>
              </w:tc>
              <w:tc>
                <w:tcPr>
                  <w:tcW w:w="676" w:type="dxa"/>
                  <w:vMerge w:val="continue"/>
                  <w:vAlign w:val="center"/>
                </w:tcPr>
                <w:p w14:paraId="26410BAF">
                  <w:pPr>
                    <w:jc w:val="center"/>
                    <w:rPr>
                      <w:rFonts w:hint="eastAsia"/>
                      <w:szCs w:val="21"/>
                    </w:rPr>
                  </w:pPr>
                </w:p>
              </w:tc>
              <w:tc>
                <w:tcPr>
                  <w:tcW w:w="718" w:type="dxa"/>
                  <w:vAlign w:val="center"/>
                </w:tcPr>
                <w:p w14:paraId="4DC617AC">
                  <w:pPr>
                    <w:jc w:val="center"/>
                    <w:rPr>
                      <w:rFonts w:hint="default"/>
                      <w:szCs w:val="21"/>
                      <w:lang w:val="en-US" w:eastAsia="zh-CN"/>
                    </w:rPr>
                  </w:pPr>
                  <w:r>
                    <w:rPr>
                      <w:rFonts w:hint="eastAsia"/>
                      <w:szCs w:val="21"/>
                      <w:lang w:val="en-US" w:eastAsia="zh-CN"/>
                    </w:rPr>
                    <w:t>57.2</w:t>
                  </w:r>
                </w:p>
              </w:tc>
              <w:tc>
                <w:tcPr>
                  <w:tcW w:w="731" w:type="dxa"/>
                  <w:vMerge w:val="continue"/>
                  <w:vAlign w:val="center"/>
                </w:tcPr>
                <w:p w14:paraId="0EDE90DF">
                  <w:pPr>
                    <w:jc w:val="center"/>
                    <w:rPr>
                      <w:rFonts w:hint="eastAsia"/>
                      <w:szCs w:val="21"/>
                    </w:rPr>
                  </w:pPr>
                </w:p>
              </w:tc>
            </w:tr>
            <w:tr w14:paraId="5D6B1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46BBD685">
                  <w:pPr>
                    <w:jc w:val="center"/>
                  </w:pPr>
                </w:p>
              </w:tc>
              <w:tc>
                <w:tcPr>
                  <w:tcW w:w="457" w:type="dxa"/>
                  <w:vMerge w:val="continue"/>
                  <w:vAlign w:val="center"/>
                </w:tcPr>
                <w:p w14:paraId="009297C3">
                  <w:pPr>
                    <w:jc w:val="center"/>
                  </w:pPr>
                </w:p>
              </w:tc>
              <w:tc>
                <w:tcPr>
                  <w:tcW w:w="556" w:type="dxa"/>
                  <w:vMerge w:val="continue"/>
                  <w:shd w:val="clear" w:color="auto" w:fill="auto"/>
                  <w:vAlign w:val="center"/>
                </w:tcPr>
                <w:p w14:paraId="2A447646">
                  <w:pPr>
                    <w:jc w:val="center"/>
                  </w:pPr>
                </w:p>
              </w:tc>
              <w:tc>
                <w:tcPr>
                  <w:tcW w:w="599" w:type="dxa"/>
                  <w:vMerge w:val="continue"/>
                  <w:shd w:val="clear" w:color="auto" w:fill="auto"/>
                  <w:vAlign w:val="center"/>
                </w:tcPr>
                <w:p w14:paraId="4DADFC78">
                  <w:pPr>
                    <w:jc w:val="center"/>
                  </w:pPr>
                </w:p>
              </w:tc>
              <w:tc>
                <w:tcPr>
                  <w:tcW w:w="572" w:type="dxa"/>
                  <w:vMerge w:val="continue"/>
                  <w:vAlign w:val="center"/>
                </w:tcPr>
                <w:p w14:paraId="2815D83F">
                  <w:pPr>
                    <w:jc w:val="center"/>
                  </w:pPr>
                </w:p>
              </w:tc>
              <w:tc>
                <w:tcPr>
                  <w:tcW w:w="572" w:type="dxa"/>
                  <w:vMerge w:val="continue"/>
                  <w:vAlign w:val="center"/>
                </w:tcPr>
                <w:p w14:paraId="7700B6F6">
                  <w:pPr>
                    <w:jc w:val="center"/>
                  </w:pPr>
                </w:p>
              </w:tc>
              <w:tc>
                <w:tcPr>
                  <w:tcW w:w="450" w:type="dxa"/>
                  <w:vMerge w:val="continue"/>
                  <w:vAlign w:val="center"/>
                </w:tcPr>
                <w:p w14:paraId="0A360FA8">
                  <w:pPr>
                    <w:jc w:val="center"/>
                  </w:pPr>
                </w:p>
              </w:tc>
              <w:tc>
                <w:tcPr>
                  <w:tcW w:w="489" w:type="dxa"/>
                  <w:vMerge w:val="continue"/>
                  <w:vAlign w:val="center"/>
                </w:tcPr>
                <w:p w14:paraId="3D62777B">
                  <w:pPr>
                    <w:jc w:val="center"/>
                  </w:pPr>
                </w:p>
              </w:tc>
              <w:tc>
                <w:tcPr>
                  <w:tcW w:w="464" w:type="dxa"/>
                  <w:vMerge w:val="continue"/>
                  <w:vAlign w:val="center"/>
                </w:tcPr>
                <w:p w14:paraId="0801BDF5">
                  <w:pPr>
                    <w:jc w:val="center"/>
                  </w:pPr>
                </w:p>
              </w:tc>
              <w:tc>
                <w:tcPr>
                  <w:tcW w:w="476" w:type="dxa"/>
                  <w:shd w:val="clear" w:color="auto" w:fill="auto"/>
                  <w:vAlign w:val="center"/>
                </w:tcPr>
                <w:p w14:paraId="2A05C06B">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424" w:type="dxa"/>
                  <w:shd w:val="clear" w:color="auto" w:fill="auto"/>
                  <w:vAlign w:val="center"/>
                </w:tcPr>
                <w:p w14:paraId="6F888ACF">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w:t>
                  </w:r>
                </w:p>
              </w:tc>
              <w:tc>
                <w:tcPr>
                  <w:tcW w:w="599" w:type="dxa"/>
                  <w:vAlign w:val="center"/>
                </w:tcPr>
                <w:p w14:paraId="36648086">
                  <w:pPr>
                    <w:jc w:val="center"/>
                    <w:rPr>
                      <w:rFonts w:hint="default"/>
                      <w:szCs w:val="21"/>
                      <w:lang w:val="en-US" w:eastAsia="zh-CN"/>
                    </w:rPr>
                  </w:pPr>
                  <w:r>
                    <w:rPr>
                      <w:rFonts w:hint="eastAsia"/>
                      <w:szCs w:val="21"/>
                      <w:lang w:val="en-US" w:eastAsia="zh-CN"/>
                    </w:rPr>
                    <w:t>68.3</w:t>
                  </w:r>
                </w:p>
              </w:tc>
              <w:tc>
                <w:tcPr>
                  <w:tcW w:w="544" w:type="dxa"/>
                  <w:vMerge w:val="continue"/>
                  <w:vAlign w:val="center"/>
                </w:tcPr>
                <w:p w14:paraId="520648E3">
                  <w:pPr>
                    <w:jc w:val="center"/>
                    <w:rPr>
                      <w:rFonts w:hint="eastAsia"/>
                      <w:szCs w:val="21"/>
                      <w:lang w:val="en-US" w:eastAsia="zh-CN"/>
                    </w:rPr>
                  </w:pPr>
                </w:p>
              </w:tc>
              <w:tc>
                <w:tcPr>
                  <w:tcW w:w="676" w:type="dxa"/>
                  <w:vMerge w:val="continue"/>
                  <w:vAlign w:val="center"/>
                </w:tcPr>
                <w:p w14:paraId="1A733E50">
                  <w:pPr>
                    <w:jc w:val="center"/>
                    <w:rPr>
                      <w:rFonts w:hint="eastAsia"/>
                      <w:szCs w:val="21"/>
                      <w:lang w:val="en-US" w:eastAsia="zh-CN"/>
                    </w:rPr>
                  </w:pPr>
                </w:p>
              </w:tc>
              <w:tc>
                <w:tcPr>
                  <w:tcW w:w="718" w:type="dxa"/>
                  <w:vAlign w:val="center"/>
                </w:tcPr>
                <w:p w14:paraId="336E41CB">
                  <w:pPr>
                    <w:jc w:val="center"/>
                    <w:rPr>
                      <w:rFonts w:hint="default"/>
                      <w:szCs w:val="21"/>
                      <w:lang w:val="en-US" w:eastAsia="zh-CN"/>
                    </w:rPr>
                  </w:pPr>
                  <w:r>
                    <w:rPr>
                      <w:rFonts w:hint="eastAsia"/>
                      <w:szCs w:val="21"/>
                      <w:lang w:val="en-US" w:eastAsia="zh-CN"/>
                    </w:rPr>
                    <w:t>53.3</w:t>
                  </w:r>
                </w:p>
              </w:tc>
              <w:tc>
                <w:tcPr>
                  <w:tcW w:w="731" w:type="dxa"/>
                  <w:vMerge w:val="continue"/>
                  <w:vAlign w:val="center"/>
                </w:tcPr>
                <w:p w14:paraId="77BF3BC2">
                  <w:pPr>
                    <w:jc w:val="center"/>
                    <w:rPr>
                      <w:rFonts w:hint="eastAsia"/>
                      <w:szCs w:val="21"/>
                      <w:lang w:val="en-US" w:eastAsia="zh-CN"/>
                    </w:rPr>
                  </w:pPr>
                </w:p>
              </w:tc>
            </w:tr>
            <w:tr w14:paraId="3C6E9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07A5D039">
                  <w:pPr>
                    <w:jc w:val="center"/>
                    <w:rPr>
                      <w:rFonts w:hint="eastAsia"/>
                      <w:szCs w:val="21"/>
                      <w:lang w:val="en-US" w:eastAsia="zh-CN"/>
                    </w:rPr>
                  </w:pPr>
                </w:p>
              </w:tc>
              <w:tc>
                <w:tcPr>
                  <w:tcW w:w="457" w:type="dxa"/>
                  <w:vMerge w:val="continue"/>
                  <w:vAlign w:val="center"/>
                </w:tcPr>
                <w:p w14:paraId="464E5855">
                  <w:pPr>
                    <w:jc w:val="center"/>
                    <w:rPr>
                      <w:rFonts w:hint="eastAsia"/>
                      <w:szCs w:val="21"/>
                      <w:lang w:val="en-US" w:eastAsia="zh-CN"/>
                    </w:rPr>
                  </w:pPr>
                </w:p>
              </w:tc>
              <w:tc>
                <w:tcPr>
                  <w:tcW w:w="556" w:type="dxa"/>
                  <w:vMerge w:val="continue"/>
                  <w:shd w:val="clear" w:color="auto" w:fill="auto"/>
                  <w:vAlign w:val="center"/>
                </w:tcPr>
                <w:p w14:paraId="75A1FB0E">
                  <w:pPr>
                    <w:jc w:val="center"/>
                    <w:rPr>
                      <w:rFonts w:hint="eastAsia"/>
                      <w:szCs w:val="21"/>
                      <w:lang w:val="en-US" w:eastAsia="zh-CN"/>
                    </w:rPr>
                  </w:pPr>
                </w:p>
              </w:tc>
              <w:tc>
                <w:tcPr>
                  <w:tcW w:w="599" w:type="dxa"/>
                  <w:vMerge w:val="continue"/>
                  <w:shd w:val="clear" w:color="auto" w:fill="auto"/>
                  <w:vAlign w:val="center"/>
                </w:tcPr>
                <w:p w14:paraId="3289C151">
                  <w:pPr>
                    <w:jc w:val="center"/>
                    <w:rPr>
                      <w:rFonts w:hint="eastAsia"/>
                      <w:szCs w:val="21"/>
                      <w:lang w:val="en-US" w:eastAsia="zh-CN"/>
                    </w:rPr>
                  </w:pPr>
                </w:p>
              </w:tc>
              <w:tc>
                <w:tcPr>
                  <w:tcW w:w="572" w:type="dxa"/>
                  <w:vMerge w:val="continue"/>
                  <w:vAlign w:val="center"/>
                </w:tcPr>
                <w:p w14:paraId="3130EBE0">
                  <w:pPr>
                    <w:jc w:val="center"/>
                    <w:rPr>
                      <w:rFonts w:hint="eastAsia"/>
                      <w:szCs w:val="21"/>
                      <w:lang w:val="en-US" w:eastAsia="zh-CN"/>
                    </w:rPr>
                  </w:pPr>
                </w:p>
              </w:tc>
              <w:tc>
                <w:tcPr>
                  <w:tcW w:w="572" w:type="dxa"/>
                  <w:vMerge w:val="continue"/>
                  <w:vAlign w:val="center"/>
                </w:tcPr>
                <w:p w14:paraId="6FF06EB1">
                  <w:pPr>
                    <w:jc w:val="center"/>
                    <w:rPr>
                      <w:rFonts w:hint="eastAsia"/>
                      <w:szCs w:val="21"/>
                      <w:lang w:val="en-US" w:eastAsia="zh-CN"/>
                    </w:rPr>
                  </w:pPr>
                </w:p>
              </w:tc>
              <w:tc>
                <w:tcPr>
                  <w:tcW w:w="450" w:type="dxa"/>
                  <w:vMerge w:val="continue"/>
                  <w:vAlign w:val="center"/>
                </w:tcPr>
                <w:p w14:paraId="12F9A18A">
                  <w:pPr>
                    <w:jc w:val="center"/>
                    <w:rPr>
                      <w:rFonts w:hint="eastAsia"/>
                      <w:szCs w:val="21"/>
                      <w:lang w:val="en-US" w:eastAsia="zh-CN"/>
                    </w:rPr>
                  </w:pPr>
                </w:p>
              </w:tc>
              <w:tc>
                <w:tcPr>
                  <w:tcW w:w="489" w:type="dxa"/>
                  <w:vMerge w:val="continue"/>
                  <w:vAlign w:val="center"/>
                </w:tcPr>
                <w:p w14:paraId="1B5D4D3F">
                  <w:pPr>
                    <w:jc w:val="center"/>
                    <w:rPr>
                      <w:rFonts w:hint="eastAsia"/>
                      <w:szCs w:val="21"/>
                      <w:lang w:val="en-US" w:eastAsia="zh-CN"/>
                    </w:rPr>
                  </w:pPr>
                </w:p>
              </w:tc>
              <w:tc>
                <w:tcPr>
                  <w:tcW w:w="464" w:type="dxa"/>
                  <w:vMerge w:val="continue"/>
                  <w:vAlign w:val="center"/>
                </w:tcPr>
                <w:p w14:paraId="5E8292AE">
                  <w:pPr>
                    <w:jc w:val="center"/>
                    <w:rPr>
                      <w:rFonts w:hint="eastAsia"/>
                      <w:szCs w:val="21"/>
                      <w:lang w:val="en-US" w:eastAsia="zh-CN"/>
                    </w:rPr>
                  </w:pPr>
                </w:p>
              </w:tc>
              <w:tc>
                <w:tcPr>
                  <w:tcW w:w="476" w:type="dxa"/>
                  <w:shd w:val="clear" w:color="auto" w:fill="auto"/>
                  <w:vAlign w:val="center"/>
                </w:tcPr>
                <w:p w14:paraId="6432EFB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424" w:type="dxa"/>
                  <w:shd w:val="clear" w:color="auto" w:fill="auto"/>
                  <w:vAlign w:val="center"/>
                </w:tcPr>
                <w:p w14:paraId="4AE7CF28">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599" w:type="dxa"/>
                  <w:vAlign w:val="center"/>
                </w:tcPr>
                <w:p w14:paraId="716EA90A">
                  <w:pPr>
                    <w:jc w:val="center"/>
                    <w:rPr>
                      <w:rFonts w:hint="default"/>
                      <w:szCs w:val="21"/>
                      <w:lang w:val="en-US" w:eastAsia="zh-CN"/>
                    </w:rPr>
                  </w:pPr>
                  <w:r>
                    <w:rPr>
                      <w:rFonts w:hint="eastAsia"/>
                      <w:szCs w:val="21"/>
                      <w:lang w:val="en-US" w:eastAsia="zh-CN"/>
                    </w:rPr>
                    <w:t>71.1</w:t>
                  </w:r>
                </w:p>
              </w:tc>
              <w:tc>
                <w:tcPr>
                  <w:tcW w:w="544" w:type="dxa"/>
                  <w:vMerge w:val="continue"/>
                  <w:vAlign w:val="center"/>
                </w:tcPr>
                <w:p w14:paraId="5752E5B9">
                  <w:pPr>
                    <w:jc w:val="center"/>
                    <w:rPr>
                      <w:rFonts w:hint="eastAsia"/>
                      <w:szCs w:val="21"/>
                      <w:lang w:val="en-US" w:eastAsia="zh-CN"/>
                    </w:rPr>
                  </w:pPr>
                </w:p>
              </w:tc>
              <w:tc>
                <w:tcPr>
                  <w:tcW w:w="676" w:type="dxa"/>
                  <w:vMerge w:val="continue"/>
                  <w:vAlign w:val="center"/>
                </w:tcPr>
                <w:p w14:paraId="73A90088">
                  <w:pPr>
                    <w:jc w:val="center"/>
                    <w:rPr>
                      <w:rFonts w:hint="eastAsia"/>
                      <w:szCs w:val="21"/>
                      <w:lang w:val="en-US" w:eastAsia="zh-CN"/>
                    </w:rPr>
                  </w:pPr>
                </w:p>
              </w:tc>
              <w:tc>
                <w:tcPr>
                  <w:tcW w:w="718" w:type="dxa"/>
                  <w:vAlign w:val="center"/>
                </w:tcPr>
                <w:p w14:paraId="2EDB793E">
                  <w:pPr>
                    <w:jc w:val="center"/>
                    <w:rPr>
                      <w:rFonts w:hint="default"/>
                      <w:szCs w:val="21"/>
                      <w:lang w:val="en-US" w:eastAsia="zh-CN"/>
                    </w:rPr>
                  </w:pPr>
                  <w:r>
                    <w:rPr>
                      <w:rFonts w:hint="eastAsia"/>
                      <w:szCs w:val="21"/>
                      <w:lang w:val="en-US" w:eastAsia="zh-CN"/>
                    </w:rPr>
                    <w:t>56.1</w:t>
                  </w:r>
                </w:p>
              </w:tc>
              <w:tc>
                <w:tcPr>
                  <w:tcW w:w="731" w:type="dxa"/>
                  <w:vMerge w:val="continue"/>
                  <w:vAlign w:val="center"/>
                </w:tcPr>
                <w:p w14:paraId="306B0F4D">
                  <w:pPr>
                    <w:jc w:val="center"/>
                    <w:rPr>
                      <w:rFonts w:hint="eastAsia"/>
                      <w:szCs w:val="21"/>
                      <w:lang w:val="en-US" w:eastAsia="zh-CN"/>
                    </w:rPr>
                  </w:pPr>
                </w:p>
              </w:tc>
            </w:tr>
            <w:tr w14:paraId="09C15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77675F91">
                  <w:pPr>
                    <w:jc w:val="center"/>
                    <w:rPr>
                      <w:rFonts w:hint="eastAsia"/>
                      <w:szCs w:val="21"/>
                      <w:lang w:val="en-US" w:eastAsia="zh-CN"/>
                    </w:rPr>
                  </w:pPr>
                </w:p>
              </w:tc>
              <w:tc>
                <w:tcPr>
                  <w:tcW w:w="457" w:type="dxa"/>
                  <w:vMerge w:val="continue"/>
                  <w:vAlign w:val="center"/>
                </w:tcPr>
                <w:p w14:paraId="4DA0118B">
                  <w:pPr>
                    <w:jc w:val="center"/>
                    <w:rPr>
                      <w:rFonts w:hint="eastAsia"/>
                      <w:szCs w:val="21"/>
                      <w:lang w:val="en-US" w:eastAsia="zh-CN"/>
                    </w:rPr>
                  </w:pPr>
                </w:p>
              </w:tc>
              <w:tc>
                <w:tcPr>
                  <w:tcW w:w="556" w:type="dxa"/>
                  <w:vMerge w:val="continue"/>
                  <w:shd w:val="clear" w:color="auto" w:fill="auto"/>
                  <w:vAlign w:val="center"/>
                </w:tcPr>
                <w:p w14:paraId="52738E49">
                  <w:pPr>
                    <w:jc w:val="center"/>
                    <w:rPr>
                      <w:rFonts w:hint="eastAsia"/>
                      <w:szCs w:val="21"/>
                      <w:lang w:val="en-US" w:eastAsia="zh-CN"/>
                    </w:rPr>
                  </w:pPr>
                </w:p>
              </w:tc>
              <w:tc>
                <w:tcPr>
                  <w:tcW w:w="599" w:type="dxa"/>
                  <w:vMerge w:val="continue"/>
                  <w:shd w:val="clear" w:color="auto" w:fill="auto"/>
                  <w:vAlign w:val="center"/>
                </w:tcPr>
                <w:p w14:paraId="7CC8DC12">
                  <w:pPr>
                    <w:jc w:val="center"/>
                    <w:rPr>
                      <w:rFonts w:hint="eastAsia"/>
                      <w:szCs w:val="21"/>
                      <w:lang w:val="en-US" w:eastAsia="zh-CN"/>
                    </w:rPr>
                  </w:pPr>
                </w:p>
              </w:tc>
              <w:tc>
                <w:tcPr>
                  <w:tcW w:w="572" w:type="dxa"/>
                  <w:vMerge w:val="continue"/>
                  <w:vAlign w:val="center"/>
                </w:tcPr>
                <w:p w14:paraId="7948BC8B">
                  <w:pPr>
                    <w:jc w:val="center"/>
                    <w:rPr>
                      <w:rFonts w:hint="eastAsia"/>
                      <w:szCs w:val="21"/>
                      <w:lang w:val="en-US" w:eastAsia="zh-CN"/>
                    </w:rPr>
                  </w:pPr>
                </w:p>
              </w:tc>
              <w:tc>
                <w:tcPr>
                  <w:tcW w:w="572" w:type="dxa"/>
                  <w:vMerge w:val="continue"/>
                  <w:vAlign w:val="center"/>
                </w:tcPr>
                <w:p w14:paraId="23C19C23">
                  <w:pPr>
                    <w:jc w:val="center"/>
                    <w:rPr>
                      <w:rFonts w:hint="eastAsia"/>
                      <w:szCs w:val="21"/>
                      <w:lang w:val="en-US" w:eastAsia="zh-CN"/>
                    </w:rPr>
                  </w:pPr>
                </w:p>
              </w:tc>
              <w:tc>
                <w:tcPr>
                  <w:tcW w:w="450" w:type="dxa"/>
                  <w:vMerge w:val="continue"/>
                  <w:vAlign w:val="center"/>
                </w:tcPr>
                <w:p w14:paraId="291BB85A">
                  <w:pPr>
                    <w:jc w:val="center"/>
                    <w:rPr>
                      <w:rFonts w:hint="eastAsia"/>
                      <w:szCs w:val="21"/>
                      <w:lang w:val="en-US" w:eastAsia="zh-CN"/>
                    </w:rPr>
                  </w:pPr>
                </w:p>
              </w:tc>
              <w:tc>
                <w:tcPr>
                  <w:tcW w:w="489" w:type="dxa"/>
                  <w:vMerge w:val="continue"/>
                  <w:vAlign w:val="center"/>
                </w:tcPr>
                <w:p w14:paraId="57262E9B">
                  <w:pPr>
                    <w:jc w:val="center"/>
                    <w:rPr>
                      <w:rFonts w:hint="eastAsia"/>
                      <w:szCs w:val="21"/>
                      <w:lang w:val="en-US" w:eastAsia="zh-CN"/>
                    </w:rPr>
                  </w:pPr>
                </w:p>
              </w:tc>
              <w:tc>
                <w:tcPr>
                  <w:tcW w:w="464" w:type="dxa"/>
                  <w:vMerge w:val="continue"/>
                  <w:vAlign w:val="center"/>
                </w:tcPr>
                <w:p w14:paraId="07192F73">
                  <w:pPr>
                    <w:jc w:val="center"/>
                    <w:rPr>
                      <w:rFonts w:hint="eastAsia"/>
                      <w:szCs w:val="21"/>
                      <w:lang w:val="en-US" w:eastAsia="zh-CN"/>
                    </w:rPr>
                  </w:pPr>
                </w:p>
              </w:tc>
              <w:tc>
                <w:tcPr>
                  <w:tcW w:w="476" w:type="dxa"/>
                  <w:shd w:val="clear" w:color="auto" w:fill="auto"/>
                  <w:vAlign w:val="center"/>
                </w:tcPr>
                <w:p w14:paraId="3853904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424" w:type="dxa"/>
                  <w:shd w:val="clear" w:color="auto" w:fill="auto"/>
                  <w:vAlign w:val="center"/>
                </w:tcPr>
                <w:p w14:paraId="06810D36">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599" w:type="dxa"/>
                  <w:vAlign w:val="center"/>
                </w:tcPr>
                <w:p w14:paraId="5E172669">
                  <w:pPr>
                    <w:jc w:val="center"/>
                    <w:rPr>
                      <w:rFonts w:hint="default"/>
                      <w:szCs w:val="21"/>
                      <w:lang w:val="en-US" w:eastAsia="zh-CN"/>
                    </w:rPr>
                  </w:pPr>
                  <w:r>
                    <w:rPr>
                      <w:rFonts w:hint="eastAsia"/>
                      <w:szCs w:val="21"/>
                      <w:lang w:val="en-US" w:eastAsia="zh-CN"/>
                    </w:rPr>
                    <w:t>71.5</w:t>
                  </w:r>
                </w:p>
              </w:tc>
              <w:tc>
                <w:tcPr>
                  <w:tcW w:w="544" w:type="dxa"/>
                  <w:vMerge w:val="continue"/>
                  <w:vAlign w:val="center"/>
                </w:tcPr>
                <w:p w14:paraId="3DC9B5DD">
                  <w:pPr>
                    <w:jc w:val="center"/>
                    <w:rPr>
                      <w:rFonts w:hint="eastAsia"/>
                      <w:szCs w:val="21"/>
                      <w:lang w:val="en-US" w:eastAsia="zh-CN"/>
                    </w:rPr>
                  </w:pPr>
                </w:p>
              </w:tc>
              <w:tc>
                <w:tcPr>
                  <w:tcW w:w="676" w:type="dxa"/>
                  <w:vMerge w:val="continue"/>
                  <w:vAlign w:val="center"/>
                </w:tcPr>
                <w:p w14:paraId="606B2E4C">
                  <w:pPr>
                    <w:jc w:val="center"/>
                    <w:rPr>
                      <w:rFonts w:hint="eastAsia"/>
                      <w:szCs w:val="21"/>
                      <w:lang w:val="en-US" w:eastAsia="zh-CN"/>
                    </w:rPr>
                  </w:pPr>
                </w:p>
              </w:tc>
              <w:tc>
                <w:tcPr>
                  <w:tcW w:w="718" w:type="dxa"/>
                  <w:vAlign w:val="center"/>
                </w:tcPr>
                <w:p w14:paraId="0DCC045E">
                  <w:pPr>
                    <w:jc w:val="center"/>
                    <w:rPr>
                      <w:rFonts w:hint="default"/>
                      <w:szCs w:val="21"/>
                      <w:lang w:val="en-US" w:eastAsia="zh-CN"/>
                    </w:rPr>
                  </w:pPr>
                  <w:r>
                    <w:rPr>
                      <w:rFonts w:hint="eastAsia"/>
                      <w:szCs w:val="21"/>
                      <w:lang w:val="en-US" w:eastAsia="zh-CN"/>
                    </w:rPr>
                    <w:t>56.5</w:t>
                  </w:r>
                </w:p>
              </w:tc>
              <w:tc>
                <w:tcPr>
                  <w:tcW w:w="731" w:type="dxa"/>
                  <w:vMerge w:val="continue"/>
                  <w:vAlign w:val="center"/>
                </w:tcPr>
                <w:p w14:paraId="3E0D0F94">
                  <w:pPr>
                    <w:jc w:val="center"/>
                    <w:rPr>
                      <w:rFonts w:hint="eastAsia"/>
                      <w:szCs w:val="21"/>
                      <w:lang w:val="en-US" w:eastAsia="zh-CN"/>
                    </w:rPr>
                  </w:pPr>
                </w:p>
              </w:tc>
            </w:tr>
            <w:tr w14:paraId="22A68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258" w:type="dxa"/>
                  <w:vMerge w:val="restart"/>
                  <w:vAlign w:val="center"/>
                </w:tcPr>
                <w:p w14:paraId="5750B103">
                  <w:pPr>
                    <w:jc w:val="center"/>
                    <w:rPr>
                      <w:rFonts w:hint="default"/>
                      <w:szCs w:val="21"/>
                      <w:lang w:val="en-US" w:eastAsia="zh-CN"/>
                    </w:rPr>
                  </w:pPr>
                  <w:r>
                    <w:rPr>
                      <w:rFonts w:hint="eastAsia"/>
                      <w:szCs w:val="21"/>
                      <w:lang w:val="en-US" w:eastAsia="zh-CN"/>
                    </w:rPr>
                    <w:t>3</w:t>
                  </w:r>
                </w:p>
              </w:tc>
              <w:tc>
                <w:tcPr>
                  <w:tcW w:w="457" w:type="dxa"/>
                  <w:vMerge w:val="continue"/>
                  <w:vAlign w:val="center"/>
                </w:tcPr>
                <w:p w14:paraId="2FBE9610">
                  <w:pPr>
                    <w:jc w:val="center"/>
                    <w:rPr>
                      <w:rFonts w:hint="eastAsia"/>
                      <w:szCs w:val="21"/>
                      <w:lang w:val="en-US" w:eastAsia="zh-CN"/>
                    </w:rPr>
                  </w:pPr>
                </w:p>
              </w:tc>
              <w:tc>
                <w:tcPr>
                  <w:tcW w:w="556" w:type="dxa"/>
                  <w:vMerge w:val="restart"/>
                  <w:shd w:val="clear" w:color="auto" w:fill="auto"/>
                  <w:vAlign w:val="center"/>
                </w:tcPr>
                <w:p w14:paraId="326BB826">
                  <w:pPr>
                    <w:jc w:val="center"/>
                    <w:rPr>
                      <w:rFonts w:hint="default"/>
                      <w:szCs w:val="21"/>
                      <w:lang w:val="en-US" w:eastAsia="zh-CN"/>
                    </w:rPr>
                  </w:pPr>
                  <w:r>
                    <w:rPr>
                      <w:rFonts w:hint="eastAsia"/>
                      <w:szCs w:val="21"/>
                      <w:lang w:val="en-US" w:eastAsia="zh-CN"/>
                    </w:rPr>
                    <w:t>烘干机</w:t>
                  </w:r>
                </w:p>
              </w:tc>
              <w:tc>
                <w:tcPr>
                  <w:tcW w:w="599" w:type="dxa"/>
                  <w:vMerge w:val="restart"/>
                  <w:shd w:val="clear" w:color="auto" w:fill="auto"/>
                  <w:vAlign w:val="center"/>
                </w:tcPr>
                <w:p w14:paraId="6E61886B">
                  <w:pPr>
                    <w:jc w:val="center"/>
                    <w:rPr>
                      <w:rFonts w:hint="default"/>
                      <w:szCs w:val="21"/>
                      <w:lang w:val="en-US" w:eastAsia="zh-CN"/>
                    </w:rPr>
                  </w:pPr>
                  <w:r>
                    <w:rPr>
                      <w:rFonts w:hint="eastAsia"/>
                      <w:szCs w:val="21"/>
                      <w:lang w:val="en-US" w:eastAsia="zh-CN"/>
                    </w:rPr>
                    <w:t>3</w:t>
                  </w:r>
                </w:p>
              </w:tc>
              <w:tc>
                <w:tcPr>
                  <w:tcW w:w="572" w:type="dxa"/>
                  <w:vMerge w:val="restart"/>
                  <w:shd w:val="clear" w:color="auto" w:fill="auto"/>
                  <w:vAlign w:val="center"/>
                </w:tcPr>
                <w:p w14:paraId="3CBFC2A1">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55-60</w:t>
                  </w:r>
                </w:p>
                <w:p w14:paraId="56F25BFD">
                  <w:pPr>
                    <w:jc w:val="center"/>
                    <w:rPr>
                      <w:rFonts w:hint="eastAsia"/>
                      <w:szCs w:val="21"/>
                      <w:lang w:val="en-US" w:eastAsia="zh-CN"/>
                    </w:rPr>
                  </w:pPr>
                </w:p>
              </w:tc>
              <w:tc>
                <w:tcPr>
                  <w:tcW w:w="572" w:type="dxa"/>
                  <w:vMerge w:val="continue"/>
                  <w:shd w:val="clear" w:color="auto" w:fill="auto"/>
                  <w:vAlign w:val="center"/>
                </w:tcPr>
                <w:p w14:paraId="3798143A">
                  <w:pPr>
                    <w:jc w:val="center"/>
                    <w:rPr>
                      <w:rFonts w:hint="eastAsia"/>
                      <w:szCs w:val="21"/>
                      <w:lang w:val="en-US" w:eastAsia="zh-CN"/>
                    </w:rPr>
                  </w:pPr>
                </w:p>
              </w:tc>
              <w:tc>
                <w:tcPr>
                  <w:tcW w:w="450" w:type="dxa"/>
                  <w:vMerge w:val="restart"/>
                  <w:shd w:val="clear" w:color="auto" w:fill="auto"/>
                  <w:vAlign w:val="center"/>
                </w:tcPr>
                <w:p w14:paraId="2D96A95E">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1-12</w:t>
                  </w:r>
                </w:p>
                <w:p w14:paraId="761F3073">
                  <w:pPr>
                    <w:jc w:val="center"/>
                    <w:rPr>
                      <w:rFonts w:hint="eastAsia"/>
                      <w:szCs w:val="21"/>
                      <w:lang w:val="en-US" w:eastAsia="zh-CN"/>
                    </w:rPr>
                  </w:pPr>
                </w:p>
              </w:tc>
              <w:tc>
                <w:tcPr>
                  <w:tcW w:w="489" w:type="dxa"/>
                  <w:vMerge w:val="restart"/>
                  <w:shd w:val="clear" w:color="auto" w:fill="auto"/>
                  <w:vAlign w:val="center"/>
                </w:tcPr>
                <w:p w14:paraId="36112341">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12-20</w:t>
                  </w:r>
                </w:p>
                <w:p w14:paraId="025DAE25">
                  <w:pPr>
                    <w:jc w:val="center"/>
                    <w:rPr>
                      <w:rFonts w:hint="eastAsia"/>
                      <w:szCs w:val="21"/>
                      <w:lang w:val="en-US" w:eastAsia="zh-CN"/>
                    </w:rPr>
                  </w:pPr>
                </w:p>
              </w:tc>
              <w:tc>
                <w:tcPr>
                  <w:tcW w:w="464" w:type="dxa"/>
                  <w:vMerge w:val="restart"/>
                  <w:shd w:val="clear" w:color="auto" w:fill="auto"/>
                  <w:vAlign w:val="center"/>
                </w:tcPr>
                <w:p w14:paraId="0B480E61">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1.5</w:t>
                  </w:r>
                </w:p>
                <w:p w14:paraId="209CCBA6">
                  <w:pPr>
                    <w:jc w:val="center"/>
                    <w:rPr>
                      <w:rFonts w:hint="eastAsia"/>
                      <w:szCs w:val="21"/>
                      <w:lang w:val="en-US" w:eastAsia="zh-CN"/>
                    </w:rPr>
                  </w:pPr>
                </w:p>
              </w:tc>
              <w:tc>
                <w:tcPr>
                  <w:tcW w:w="476" w:type="dxa"/>
                  <w:shd w:val="clear" w:color="auto" w:fill="auto"/>
                  <w:vAlign w:val="center"/>
                </w:tcPr>
                <w:p w14:paraId="23E9EAE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424" w:type="dxa"/>
                  <w:shd w:val="clear" w:color="auto" w:fill="auto"/>
                  <w:vAlign w:val="center"/>
                </w:tcPr>
                <w:p w14:paraId="0BE971E0">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599" w:type="dxa"/>
                  <w:shd w:val="clear" w:color="auto" w:fill="auto"/>
                  <w:vAlign w:val="center"/>
                </w:tcPr>
                <w:p w14:paraId="3726E470">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59.4</w:t>
                  </w:r>
                </w:p>
              </w:tc>
              <w:tc>
                <w:tcPr>
                  <w:tcW w:w="544" w:type="dxa"/>
                  <w:vMerge w:val="restart"/>
                  <w:shd w:val="clear" w:color="auto" w:fill="auto"/>
                  <w:vAlign w:val="center"/>
                </w:tcPr>
                <w:p w14:paraId="0346BDD0">
                  <w:pPr>
                    <w:jc w:val="center"/>
                    <w:rPr>
                      <w:rFonts w:hint="eastAsia" w:ascii="Times New Roman" w:hAnsi="Times New Roman" w:eastAsia="宋体" w:cs="Times New Roman"/>
                      <w:kern w:val="2"/>
                      <w:sz w:val="21"/>
                      <w:szCs w:val="21"/>
                      <w:lang w:val="en-US" w:eastAsia="zh-CN" w:bidi="ar-SA"/>
                    </w:rPr>
                  </w:pPr>
                  <w:r>
                    <w:rPr>
                      <w:rFonts w:hint="eastAsia"/>
                      <w:snapToGrid w:val="0"/>
                      <w:szCs w:val="21"/>
                      <w:lang w:val="en-US" w:eastAsia="zh-CN"/>
                    </w:rPr>
                    <w:t>24</w:t>
                  </w:r>
                  <w:r>
                    <w:rPr>
                      <w:snapToGrid w:val="0"/>
                      <w:szCs w:val="21"/>
                    </w:rPr>
                    <w:t>h</w:t>
                  </w:r>
                  <w:r>
                    <w:rPr>
                      <w:rFonts w:hint="eastAsia"/>
                      <w:snapToGrid w:val="0"/>
                      <w:szCs w:val="21"/>
                    </w:rPr>
                    <w:t>/d</w:t>
                  </w:r>
                </w:p>
              </w:tc>
              <w:tc>
                <w:tcPr>
                  <w:tcW w:w="676" w:type="dxa"/>
                  <w:vMerge w:val="restart"/>
                  <w:shd w:val="clear" w:color="auto" w:fill="auto"/>
                  <w:vAlign w:val="center"/>
                </w:tcPr>
                <w:p w14:paraId="5FE47D0F">
                  <w:pPr>
                    <w:jc w:val="center"/>
                    <w:rPr>
                      <w:rFonts w:hint="eastAsia" w:ascii="Times New Roman" w:hAnsi="Times New Roman" w:eastAsia="宋体" w:cs="Times New Roman"/>
                      <w:kern w:val="2"/>
                      <w:sz w:val="21"/>
                      <w:szCs w:val="21"/>
                      <w:lang w:val="en-US" w:eastAsia="zh-CN" w:bidi="ar-SA"/>
                    </w:rPr>
                  </w:pPr>
                  <w:r>
                    <w:rPr>
                      <w:rFonts w:hint="eastAsia"/>
                      <w:szCs w:val="21"/>
                    </w:rPr>
                    <w:t>-15</w:t>
                  </w:r>
                </w:p>
              </w:tc>
              <w:tc>
                <w:tcPr>
                  <w:tcW w:w="718" w:type="dxa"/>
                  <w:shd w:val="clear" w:color="auto" w:fill="auto"/>
                  <w:vAlign w:val="center"/>
                </w:tcPr>
                <w:p w14:paraId="07604110">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44.4</w:t>
                  </w:r>
                </w:p>
              </w:tc>
              <w:tc>
                <w:tcPr>
                  <w:tcW w:w="731" w:type="dxa"/>
                  <w:vMerge w:val="continue"/>
                  <w:vAlign w:val="center"/>
                </w:tcPr>
                <w:p w14:paraId="7075290F">
                  <w:pPr>
                    <w:jc w:val="center"/>
                    <w:rPr>
                      <w:rFonts w:hint="eastAsia"/>
                      <w:szCs w:val="21"/>
                      <w:lang w:val="en-US" w:eastAsia="zh-CN"/>
                    </w:rPr>
                  </w:pPr>
                </w:p>
              </w:tc>
            </w:tr>
            <w:tr w14:paraId="33262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58541373">
                  <w:pPr>
                    <w:jc w:val="center"/>
                    <w:rPr>
                      <w:rFonts w:hint="eastAsia"/>
                      <w:szCs w:val="21"/>
                      <w:lang w:val="en-US" w:eastAsia="zh-CN"/>
                    </w:rPr>
                  </w:pPr>
                </w:p>
              </w:tc>
              <w:tc>
                <w:tcPr>
                  <w:tcW w:w="457" w:type="dxa"/>
                  <w:vMerge w:val="continue"/>
                  <w:vAlign w:val="center"/>
                </w:tcPr>
                <w:p w14:paraId="16686690">
                  <w:pPr>
                    <w:jc w:val="center"/>
                    <w:rPr>
                      <w:rFonts w:hint="eastAsia"/>
                      <w:szCs w:val="21"/>
                      <w:lang w:val="en-US" w:eastAsia="zh-CN"/>
                    </w:rPr>
                  </w:pPr>
                </w:p>
              </w:tc>
              <w:tc>
                <w:tcPr>
                  <w:tcW w:w="556" w:type="dxa"/>
                  <w:vMerge w:val="continue"/>
                  <w:shd w:val="clear" w:color="auto" w:fill="auto"/>
                  <w:vAlign w:val="center"/>
                </w:tcPr>
                <w:p w14:paraId="6380F781">
                  <w:pPr>
                    <w:jc w:val="center"/>
                    <w:rPr>
                      <w:rFonts w:hint="eastAsia"/>
                      <w:szCs w:val="21"/>
                      <w:lang w:val="en-US" w:eastAsia="zh-CN"/>
                    </w:rPr>
                  </w:pPr>
                </w:p>
              </w:tc>
              <w:tc>
                <w:tcPr>
                  <w:tcW w:w="599" w:type="dxa"/>
                  <w:vMerge w:val="continue"/>
                  <w:shd w:val="clear" w:color="auto" w:fill="auto"/>
                  <w:vAlign w:val="center"/>
                </w:tcPr>
                <w:p w14:paraId="73F02CC6">
                  <w:pPr>
                    <w:jc w:val="center"/>
                    <w:rPr>
                      <w:rFonts w:hint="eastAsia"/>
                      <w:szCs w:val="21"/>
                      <w:lang w:val="en-US" w:eastAsia="zh-CN"/>
                    </w:rPr>
                  </w:pPr>
                </w:p>
              </w:tc>
              <w:tc>
                <w:tcPr>
                  <w:tcW w:w="572" w:type="dxa"/>
                  <w:vMerge w:val="continue"/>
                  <w:vAlign w:val="center"/>
                </w:tcPr>
                <w:p w14:paraId="5F8B2E0E">
                  <w:pPr>
                    <w:jc w:val="center"/>
                    <w:rPr>
                      <w:rFonts w:hint="eastAsia"/>
                      <w:szCs w:val="21"/>
                      <w:lang w:val="en-US" w:eastAsia="zh-CN"/>
                    </w:rPr>
                  </w:pPr>
                </w:p>
              </w:tc>
              <w:tc>
                <w:tcPr>
                  <w:tcW w:w="572" w:type="dxa"/>
                  <w:vMerge w:val="continue"/>
                  <w:vAlign w:val="center"/>
                </w:tcPr>
                <w:p w14:paraId="164C2023">
                  <w:pPr>
                    <w:jc w:val="center"/>
                    <w:rPr>
                      <w:rFonts w:hint="eastAsia"/>
                      <w:szCs w:val="21"/>
                      <w:lang w:val="en-US" w:eastAsia="zh-CN"/>
                    </w:rPr>
                  </w:pPr>
                </w:p>
              </w:tc>
              <w:tc>
                <w:tcPr>
                  <w:tcW w:w="450" w:type="dxa"/>
                  <w:vMerge w:val="continue"/>
                  <w:vAlign w:val="center"/>
                </w:tcPr>
                <w:p w14:paraId="6BE92504">
                  <w:pPr>
                    <w:jc w:val="center"/>
                    <w:rPr>
                      <w:rFonts w:hint="eastAsia"/>
                      <w:szCs w:val="21"/>
                      <w:lang w:val="en-US" w:eastAsia="zh-CN"/>
                    </w:rPr>
                  </w:pPr>
                </w:p>
              </w:tc>
              <w:tc>
                <w:tcPr>
                  <w:tcW w:w="489" w:type="dxa"/>
                  <w:vMerge w:val="continue"/>
                  <w:vAlign w:val="center"/>
                </w:tcPr>
                <w:p w14:paraId="48FFB045">
                  <w:pPr>
                    <w:jc w:val="center"/>
                    <w:rPr>
                      <w:rFonts w:hint="eastAsia"/>
                      <w:szCs w:val="21"/>
                      <w:lang w:val="en-US" w:eastAsia="zh-CN"/>
                    </w:rPr>
                  </w:pPr>
                </w:p>
              </w:tc>
              <w:tc>
                <w:tcPr>
                  <w:tcW w:w="464" w:type="dxa"/>
                  <w:vMerge w:val="continue"/>
                  <w:vAlign w:val="center"/>
                </w:tcPr>
                <w:p w14:paraId="131CD670">
                  <w:pPr>
                    <w:jc w:val="center"/>
                    <w:rPr>
                      <w:rFonts w:hint="eastAsia"/>
                      <w:szCs w:val="21"/>
                      <w:lang w:val="en-US" w:eastAsia="zh-CN"/>
                    </w:rPr>
                  </w:pPr>
                </w:p>
              </w:tc>
              <w:tc>
                <w:tcPr>
                  <w:tcW w:w="476" w:type="dxa"/>
                  <w:shd w:val="clear" w:color="auto" w:fill="auto"/>
                  <w:vAlign w:val="center"/>
                </w:tcPr>
                <w:p w14:paraId="32F332C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424" w:type="dxa"/>
                  <w:shd w:val="clear" w:color="auto" w:fill="auto"/>
                  <w:vAlign w:val="center"/>
                </w:tcPr>
                <w:p w14:paraId="41405A5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tc>
              <w:tc>
                <w:tcPr>
                  <w:tcW w:w="599" w:type="dxa"/>
                  <w:shd w:val="clear" w:color="auto" w:fill="auto"/>
                  <w:vAlign w:val="center"/>
                </w:tcPr>
                <w:p w14:paraId="1F95DD19">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48.9</w:t>
                  </w:r>
                </w:p>
              </w:tc>
              <w:tc>
                <w:tcPr>
                  <w:tcW w:w="544" w:type="dxa"/>
                  <w:vMerge w:val="continue"/>
                  <w:vAlign w:val="center"/>
                </w:tcPr>
                <w:p w14:paraId="7A93FA20">
                  <w:pPr>
                    <w:jc w:val="center"/>
                    <w:rPr>
                      <w:rFonts w:hint="eastAsia"/>
                      <w:szCs w:val="21"/>
                      <w:lang w:val="en-US" w:eastAsia="zh-CN"/>
                    </w:rPr>
                  </w:pPr>
                </w:p>
              </w:tc>
              <w:tc>
                <w:tcPr>
                  <w:tcW w:w="676" w:type="dxa"/>
                  <w:vMerge w:val="continue"/>
                  <w:vAlign w:val="center"/>
                </w:tcPr>
                <w:p w14:paraId="6A0D3A9D">
                  <w:pPr>
                    <w:jc w:val="center"/>
                    <w:rPr>
                      <w:rFonts w:hint="eastAsia"/>
                      <w:szCs w:val="21"/>
                      <w:lang w:val="en-US" w:eastAsia="zh-CN"/>
                    </w:rPr>
                  </w:pPr>
                </w:p>
              </w:tc>
              <w:tc>
                <w:tcPr>
                  <w:tcW w:w="718" w:type="dxa"/>
                  <w:shd w:val="clear" w:color="auto" w:fill="auto"/>
                  <w:vAlign w:val="center"/>
                </w:tcPr>
                <w:p w14:paraId="223CAD1C">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33.9</w:t>
                  </w:r>
                </w:p>
              </w:tc>
              <w:tc>
                <w:tcPr>
                  <w:tcW w:w="731" w:type="dxa"/>
                  <w:vMerge w:val="continue"/>
                  <w:vAlign w:val="center"/>
                </w:tcPr>
                <w:p w14:paraId="724CC053">
                  <w:pPr>
                    <w:jc w:val="center"/>
                    <w:rPr>
                      <w:rFonts w:hint="eastAsia"/>
                      <w:szCs w:val="21"/>
                      <w:lang w:val="en-US" w:eastAsia="zh-CN"/>
                    </w:rPr>
                  </w:pPr>
                </w:p>
              </w:tc>
            </w:tr>
            <w:tr w14:paraId="1277E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6FC4814C">
                  <w:pPr>
                    <w:jc w:val="center"/>
                    <w:rPr>
                      <w:rFonts w:hint="eastAsia"/>
                      <w:szCs w:val="21"/>
                      <w:lang w:val="en-US" w:eastAsia="zh-CN"/>
                    </w:rPr>
                  </w:pPr>
                </w:p>
              </w:tc>
              <w:tc>
                <w:tcPr>
                  <w:tcW w:w="457" w:type="dxa"/>
                  <w:vMerge w:val="continue"/>
                  <w:vAlign w:val="center"/>
                </w:tcPr>
                <w:p w14:paraId="327B98B5">
                  <w:pPr>
                    <w:jc w:val="center"/>
                    <w:rPr>
                      <w:rFonts w:hint="eastAsia"/>
                      <w:szCs w:val="21"/>
                      <w:lang w:val="en-US" w:eastAsia="zh-CN"/>
                    </w:rPr>
                  </w:pPr>
                </w:p>
              </w:tc>
              <w:tc>
                <w:tcPr>
                  <w:tcW w:w="556" w:type="dxa"/>
                  <w:vMerge w:val="continue"/>
                  <w:shd w:val="clear" w:color="auto" w:fill="auto"/>
                  <w:vAlign w:val="center"/>
                </w:tcPr>
                <w:p w14:paraId="1C9E7A14">
                  <w:pPr>
                    <w:jc w:val="center"/>
                    <w:rPr>
                      <w:rFonts w:hint="eastAsia"/>
                      <w:szCs w:val="21"/>
                      <w:lang w:val="en-US" w:eastAsia="zh-CN"/>
                    </w:rPr>
                  </w:pPr>
                </w:p>
              </w:tc>
              <w:tc>
                <w:tcPr>
                  <w:tcW w:w="599" w:type="dxa"/>
                  <w:vMerge w:val="continue"/>
                  <w:shd w:val="clear" w:color="auto" w:fill="auto"/>
                  <w:vAlign w:val="center"/>
                </w:tcPr>
                <w:p w14:paraId="782AC691">
                  <w:pPr>
                    <w:jc w:val="center"/>
                    <w:rPr>
                      <w:rFonts w:hint="eastAsia"/>
                      <w:szCs w:val="21"/>
                      <w:lang w:val="en-US" w:eastAsia="zh-CN"/>
                    </w:rPr>
                  </w:pPr>
                </w:p>
              </w:tc>
              <w:tc>
                <w:tcPr>
                  <w:tcW w:w="572" w:type="dxa"/>
                  <w:vMerge w:val="continue"/>
                  <w:vAlign w:val="center"/>
                </w:tcPr>
                <w:p w14:paraId="4E52ED42">
                  <w:pPr>
                    <w:jc w:val="center"/>
                    <w:rPr>
                      <w:rFonts w:hint="eastAsia"/>
                      <w:szCs w:val="21"/>
                      <w:lang w:val="en-US" w:eastAsia="zh-CN"/>
                    </w:rPr>
                  </w:pPr>
                </w:p>
              </w:tc>
              <w:tc>
                <w:tcPr>
                  <w:tcW w:w="572" w:type="dxa"/>
                  <w:vMerge w:val="continue"/>
                  <w:vAlign w:val="center"/>
                </w:tcPr>
                <w:p w14:paraId="172C62D9">
                  <w:pPr>
                    <w:jc w:val="center"/>
                    <w:rPr>
                      <w:rFonts w:hint="eastAsia"/>
                      <w:szCs w:val="21"/>
                      <w:lang w:val="en-US" w:eastAsia="zh-CN"/>
                    </w:rPr>
                  </w:pPr>
                </w:p>
              </w:tc>
              <w:tc>
                <w:tcPr>
                  <w:tcW w:w="450" w:type="dxa"/>
                  <w:vMerge w:val="continue"/>
                  <w:vAlign w:val="center"/>
                </w:tcPr>
                <w:p w14:paraId="5A3096CE">
                  <w:pPr>
                    <w:jc w:val="center"/>
                    <w:rPr>
                      <w:rFonts w:hint="eastAsia"/>
                      <w:szCs w:val="21"/>
                      <w:lang w:val="en-US" w:eastAsia="zh-CN"/>
                    </w:rPr>
                  </w:pPr>
                </w:p>
              </w:tc>
              <w:tc>
                <w:tcPr>
                  <w:tcW w:w="489" w:type="dxa"/>
                  <w:vMerge w:val="continue"/>
                  <w:vAlign w:val="center"/>
                </w:tcPr>
                <w:p w14:paraId="364E39C4">
                  <w:pPr>
                    <w:jc w:val="center"/>
                    <w:rPr>
                      <w:rFonts w:hint="eastAsia"/>
                      <w:szCs w:val="21"/>
                      <w:lang w:val="en-US" w:eastAsia="zh-CN"/>
                    </w:rPr>
                  </w:pPr>
                </w:p>
              </w:tc>
              <w:tc>
                <w:tcPr>
                  <w:tcW w:w="464" w:type="dxa"/>
                  <w:vMerge w:val="continue"/>
                  <w:vAlign w:val="center"/>
                </w:tcPr>
                <w:p w14:paraId="4546C39B">
                  <w:pPr>
                    <w:jc w:val="center"/>
                    <w:rPr>
                      <w:rFonts w:hint="eastAsia"/>
                      <w:szCs w:val="21"/>
                      <w:lang w:val="en-US" w:eastAsia="zh-CN"/>
                    </w:rPr>
                  </w:pPr>
                </w:p>
              </w:tc>
              <w:tc>
                <w:tcPr>
                  <w:tcW w:w="476" w:type="dxa"/>
                  <w:shd w:val="clear" w:color="auto" w:fill="auto"/>
                  <w:vAlign w:val="center"/>
                </w:tcPr>
                <w:p w14:paraId="3F1EB7E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424" w:type="dxa"/>
                  <w:shd w:val="clear" w:color="auto" w:fill="auto"/>
                  <w:vAlign w:val="center"/>
                </w:tcPr>
                <w:p w14:paraId="24188FC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w:t>
                  </w:r>
                </w:p>
              </w:tc>
              <w:tc>
                <w:tcPr>
                  <w:tcW w:w="599" w:type="dxa"/>
                  <w:shd w:val="clear" w:color="auto" w:fill="auto"/>
                  <w:vAlign w:val="center"/>
                </w:tcPr>
                <w:p w14:paraId="13CB493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56.4</w:t>
                  </w:r>
                </w:p>
              </w:tc>
              <w:tc>
                <w:tcPr>
                  <w:tcW w:w="544" w:type="dxa"/>
                  <w:vMerge w:val="continue"/>
                  <w:vAlign w:val="center"/>
                </w:tcPr>
                <w:p w14:paraId="618F3226">
                  <w:pPr>
                    <w:jc w:val="center"/>
                    <w:rPr>
                      <w:rFonts w:hint="eastAsia"/>
                      <w:szCs w:val="21"/>
                      <w:lang w:val="en-US" w:eastAsia="zh-CN"/>
                    </w:rPr>
                  </w:pPr>
                </w:p>
              </w:tc>
              <w:tc>
                <w:tcPr>
                  <w:tcW w:w="676" w:type="dxa"/>
                  <w:vMerge w:val="continue"/>
                  <w:vAlign w:val="center"/>
                </w:tcPr>
                <w:p w14:paraId="4EDCEB6B">
                  <w:pPr>
                    <w:jc w:val="center"/>
                    <w:rPr>
                      <w:rFonts w:hint="eastAsia"/>
                      <w:szCs w:val="21"/>
                      <w:lang w:val="en-US" w:eastAsia="zh-CN"/>
                    </w:rPr>
                  </w:pPr>
                </w:p>
              </w:tc>
              <w:tc>
                <w:tcPr>
                  <w:tcW w:w="718" w:type="dxa"/>
                  <w:shd w:val="clear" w:color="auto" w:fill="auto"/>
                  <w:vAlign w:val="center"/>
                </w:tcPr>
                <w:p w14:paraId="10234619">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41.4</w:t>
                  </w:r>
                </w:p>
              </w:tc>
              <w:tc>
                <w:tcPr>
                  <w:tcW w:w="731" w:type="dxa"/>
                  <w:vMerge w:val="continue"/>
                  <w:vAlign w:val="center"/>
                </w:tcPr>
                <w:p w14:paraId="7040D97B">
                  <w:pPr>
                    <w:jc w:val="center"/>
                    <w:rPr>
                      <w:rFonts w:hint="eastAsia"/>
                      <w:szCs w:val="21"/>
                      <w:lang w:val="en-US" w:eastAsia="zh-CN"/>
                    </w:rPr>
                  </w:pPr>
                </w:p>
              </w:tc>
            </w:tr>
            <w:tr w14:paraId="49CF1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6192EEEC">
                  <w:pPr>
                    <w:jc w:val="center"/>
                    <w:rPr>
                      <w:rFonts w:hint="eastAsia"/>
                      <w:szCs w:val="21"/>
                      <w:lang w:val="en-US" w:eastAsia="zh-CN"/>
                    </w:rPr>
                  </w:pPr>
                </w:p>
              </w:tc>
              <w:tc>
                <w:tcPr>
                  <w:tcW w:w="457" w:type="dxa"/>
                  <w:vMerge w:val="continue"/>
                  <w:vAlign w:val="center"/>
                </w:tcPr>
                <w:p w14:paraId="30630FEE">
                  <w:pPr>
                    <w:jc w:val="center"/>
                    <w:rPr>
                      <w:rFonts w:hint="eastAsia"/>
                      <w:szCs w:val="21"/>
                      <w:lang w:val="en-US" w:eastAsia="zh-CN"/>
                    </w:rPr>
                  </w:pPr>
                </w:p>
              </w:tc>
              <w:tc>
                <w:tcPr>
                  <w:tcW w:w="556" w:type="dxa"/>
                  <w:vMerge w:val="continue"/>
                  <w:shd w:val="clear" w:color="auto" w:fill="auto"/>
                  <w:vAlign w:val="center"/>
                </w:tcPr>
                <w:p w14:paraId="70F174DB">
                  <w:pPr>
                    <w:jc w:val="center"/>
                    <w:rPr>
                      <w:rFonts w:hint="eastAsia"/>
                      <w:szCs w:val="21"/>
                      <w:lang w:val="en-US" w:eastAsia="zh-CN"/>
                    </w:rPr>
                  </w:pPr>
                </w:p>
              </w:tc>
              <w:tc>
                <w:tcPr>
                  <w:tcW w:w="599" w:type="dxa"/>
                  <w:vMerge w:val="continue"/>
                  <w:shd w:val="clear" w:color="auto" w:fill="auto"/>
                  <w:vAlign w:val="center"/>
                </w:tcPr>
                <w:p w14:paraId="7D24C44D">
                  <w:pPr>
                    <w:jc w:val="center"/>
                    <w:rPr>
                      <w:rFonts w:hint="eastAsia"/>
                      <w:szCs w:val="21"/>
                      <w:lang w:val="en-US" w:eastAsia="zh-CN"/>
                    </w:rPr>
                  </w:pPr>
                </w:p>
              </w:tc>
              <w:tc>
                <w:tcPr>
                  <w:tcW w:w="572" w:type="dxa"/>
                  <w:vMerge w:val="continue"/>
                  <w:vAlign w:val="center"/>
                </w:tcPr>
                <w:p w14:paraId="40D793D2">
                  <w:pPr>
                    <w:jc w:val="center"/>
                    <w:rPr>
                      <w:rFonts w:hint="eastAsia"/>
                      <w:szCs w:val="21"/>
                      <w:lang w:val="en-US" w:eastAsia="zh-CN"/>
                    </w:rPr>
                  </w:pPr>
                </w:p>
              </w:tc>
              <w:tc>
                <w:tcPr>
                  <w:tcW w:w="572" w:type="dxa"/>
                  <w:vMerge w:val="continue"/>
                  <w:vAlign w:val="center"/>
                </w:tcPr>
                <w:p w14:paraId="3B09AB23">
                  <w:pPr>
                    <w:jc w:val="center"/>
                    <w:rPr>
                      <w:rFonts w:hint="eastAsia"/>
                      <w:szCs w:val="21"/>
                      <w:lang w:val="en-US" w:eastAsia="zh-CN"/>
                    </w:rPr>
                  </w:pPr>
                </w:p>
              </w:tc>
              <w:tc>
                <w:tcPr>
                  <w:tcW w:w="450" w:type="dxa"/>
                  <w:vMerge w:val="continue"/>
                  <w:vAlign w:val="center"/>
                </w:tcPr>
                <w:p w14:paraId="263FB151">
                  <w:pPr>
                    <w:jc w:val="center"/>
                    <w:rPr>
                      <w:rFonts w:hint="eastAsia"/>
                      <w:szCs w:val="21"/>
                      <w:lang w:val="en-US" w:eastAsia="zh-CN"/>
                    </w:rPr>
                  </w:pPr>
                </w:p>
              </w:tc>
              <w:tc>
                <w:tcPr>
                  <w:tcW w:w="489" w:type="dxa"/>
                  <w:vMerge w:val="continue"/>
                  <w:vAlign w:val="center"/>
                </w:tcPr>
                <w:p w14:paraId="0C1BB15E">
                  <w:pPr>
                    <w:jc w:val="center"/>
                    <w:rPr>
                      <w:rFonts w:hint="eastAsia"/>
                      <w:szCs w:val="21"/>
                      <w:lang w:val="en-US" w:eastAsia="zh-CN"/>
                    </w:rPr>
                  </w:pPr>
                </w:p>
              </w:tc>
              <w:tc>
                <w:tcPr>
                  <w:tcW w:w="464" w:type="dxa"/>
                  <w:vMerge w:val="continue"/>
                  <w:vAlign w:val="center"/>
                </w:tcPr>
                <w:p w14:paraId="7D15CAC8">
                  <w:pPr>
                    <w:jc w:val="center"/>
                    <w:rPr>
                      <w:rFonts w:hint="eastAsia"/>
                      <w:szCs w:val="21"/>
                      <w:lang w:val="en-US" w:eastAsia="zh-CN"/>
                    </w:rPr>
                  </w:pPr>
                </w:p>
              </w:tc>
              <w:tc>
                <w:tcPr>
                  <w:tcW w:w="476" w:type="dxa"/>
                  <w:shd w:val="clear" w:color="auto" w:fill="auto"/>
                  <w:vAlign w:val="center"/>
                </w:tcPr>
                <w:p w14:paraId="7946F87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424" w:type="dxa"/>
                  <w:shd w:val="clear" w:color="auto" w:fill="auto"/>
                  <w:vAlign w:val="center"/>
                </w:tcPr>
                <w:p w14:paraId="65159B95">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29</w:t>
                  </w:r>
                </w:p>
              </w:tc>
              <w:tc>
                <w:tcPr>
                  <w:tcW w:w="599" w:type="dxa"/>
                  <w:shd w:val="clear" w:color="auto" w:fill="auto"/>
                  <w:vAlign w:val="center"/>
                </w:tcPr>
                <w:p w14:paraId="53745F8C">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43.3</w:t>
                  </w:r>
                </w:p>
              </w:tc>
              <w:tc>
                <w:tcPr>
                  <w:tcW w:w="544" w:type="dxa"/>
                  <w:vMerge w:val="continue"/>
                  <w:vAlign w:val="center"/>
                </w:tcPr>
                <w:p w14:paraId="2C7A1DCF">
                  <w:pPr>
                    <w:jc w:val="center"/>
                    <w:rPr>
                      <w:rFonts w:hint="eastAsia"/>
                      <w:szCs w:val="21"/>
                      <w:lang w:val="en-US" w:eastAsia="zh-CN"/>
                    </w:rPr>
                  </w:pPr>
                </w:p>
              </w:tc>
              <w:tc>
                <w:tcPr>
                  <w:tcW w:w="676" w:type="dxa"/>
                  <w:vMerge w:val="continue"/>
                  <w:vAlign w:val="center"/>
                </w:tcPr>
                <w:p w14:paraId="3169679E">
                  <w:pPr>
                    <w:jc w:val="center"/>
                    <w:rPr>
                      <w:rFonts w:hint="eastAsia"/>
                      <w:szCs w:val="21"/>
                      <w:lang w:val="en-US" w:eastAsia="zh-CN"/>
                    </w:rPr>
                  </w:pPr>
                </w:p>
              </w:tc>
              <w:tc>
                <w:tcPr>
                  <w:tcW w:w="718" w:type="dxa"/>
                  <w:shd w:val="clear" w:color="auto" w:fill="auto"/>
                  <w:vAlign w:val="center"/>
                </w:tcPr>
                <w:p w14:paraId="6580B83B">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27.3</w:t>
                  </w:r>
                </w:p>
              </w:tc>
              <w:tc>
                <w:tcPr>
                  <w:tcW w:w="731" w:type="dxa"/>
                  <w:vMerge w:val="continue"/>
                  <w:vAlign w:val="center"/>
                </w:tcPr>
                <w:p w14:paraId="07FD96E8">
                  <w:pPr>
                    <w:jc w:val="center"/>
                    <w:rPr>
                      <w:rFonts w:hint="eastAsia"/>
                      <w:szCs w:val="21"/>
                      <w:lang w:val="en-US" w:eastAsia="zh-CN"/>
                    </w:rPr>
                  </w:pPr>
                </w:p>
              </w:tc>
            </w:tr>
            <w:tr w14:paraId="78D42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restart"/>
                  <w:vAlign w:val="center"/>
                </w:tcPr>
                <w:p w14:paraId="73E899AF">
                  <w:pPr>
                    <w:jc w:val="center"/>
                    <w:rPr>
                      <w:rFonts w:hint="default"/>
                      <w:szCs w:val="21"/>
                      <w:lang w:val="en-US" w:eastAsia="zh-CN"/>
                    </w:rPr>
                  </w:pPr>
                  <w:r>
                    <w:rPr>
                      <w:rFonts w:hint="eastAsia"/>
                      <w:szCs w:val="21"/>
                      <w:lang w:val="en-US" w:eastAsia="zh-CN"/>
                    </w:rPr>
                    <w:t>4</w:t>
                  </w:r>
                </w:p>
              </w:tc>
              <w:tc>
                <w:tcPr>
                  <w:tcW w:w="457" w:type="dxa"/>
                  <w:vMerge w:val="continue"/>
                  <w:vAlign w:val="center"/>
                </w:tcPr>
                <w:p w14:paraId="04D548AD">
                  <w:pPr>
                    <w:jc w:val="center"/>
                    <w:rPr>
                      <w:rFonts w:hint="eastAsia"/>
                      <w:szCs w:val="21"/>
                      <w:lang w:val="en-US" w:eastAsia="zh-CN"/>
                    </w:rPr>
                  </w:pPr>
                </w:p>
              </w:tc>
              <w:tc>
                <w:tcPr>
                  <w:tcW w:w="556" w:type="dxa"/>
                  <w:vMerge w:val="restart"/>
                  <w:shd w:val="clear" w:color="auto" w:fill="auto"/>
                  <w:vAlign w:val="center"/>
                </w:tcPr>
                <w:p w14:paraId="3F31C46F">
                  <w:pPr>
                    <w:jc w:val="center"/>
                    <w:rPr>
                      <w:rFonts w:hint="default"/>
                      <w:szCs w:val="21"/>
                      <w:lang w:val="en-US" w:eastAsia="zh-CN"/>
                    </w:rPr>
                  </w:pPr>
                  <w:r>
                    <w:rPr>
                      <w:rFonts w:hint="eastAsia"/>
                      <w:szCs w:val="21"/>
                      <w:lang w:val="en-US" w:eastAsia="zh-CN"/>
                    </w:rPr>
                    <w:t>干燥机</w:t>
                  </w:r>
                </w:p>
              </w:tc>
              <w:tc>
                <w:tcPr>
                  <w:tcW w:w="599" w:type="dxa"/>
                  <w:vMerge w:val="restart"/>
                  <w:shd w:val="clear" w:color="auto" w:fill="auto"/>
                  <w:vAlign w:val="center"/>
                </w:tcPr>
                <w:p w14:paraId="7517BE34">
                  <w:pPr>
                    <w:jc w:val="center"/>
                    <w:rPr>
                      <w:rFonts w:hint="default"/>
                      <w:szCs w:val="21"/>
                      <w:lang w:val="en-US" w:eastAsia="zh-CN"/>
                    </w:rPr>
                  </w:pPr>
                  <w:r>
                    <w:rPr>
                      <w:rFonts w:hint="eastAsia"/>
                      <w:szCs w:val="21"/>
                      <w:lang w:val="en-US" w:eastAsia="zh-CN"/>
                    </w:rPr>
                    <w:t>1</w:t>
                  </w:r>
                </w:p>
              </w:tc>
              <w:tc>
                <w:tcPr>
                  <w:tcW w:w="572" w:type="dxa"/>
                  <w:vMerge w:val="restart"/>
                  <w:shd w:val="clear" w:color="auto" w:fill="auto"/>
                  <w:vAlign w:val="center"/>
                </w:tcPr>
                <w:p w14:paraId="43A780C6">
                  <w:pPr>
                    <w:jc w:val="center"/>
                    <w:rPr>
                      <w:rFonts w:hint="default"/>
                      <w:szCs w:val="21"/>
                      <w:lang w:val="en-US" w:eastAsia="zh-CN"/>
                    </w:rPr>
                  </w:pPr>
                  <w:r>
                    <w:rPr>
                      <w:rFonts w:hint="eastAsia"/>
                      <w:szCs w:val="21"/>
                      <w:lang w:val="en-US" w:eastAsia="zh-CN"/>
                    </w:rPr>
                    <w:t>55-60</w:t>
                  </w:r>
                </w:p>
              </w:tc>
              <w:tc>
                <w:tcPr>
                  <w:tcW w:w="572" w:type="dxa"/>
                  <w:vMerge w:val="continue"/>
                  <w:shd w:val="clear" w:color="auto" w:fill="auto"/>
                  <w:vAlign w:val="center"/>
                </w:tcPr>
                <w:p w14:paraId="4C1790EC">
                  <w:pPr>
                    <w:jc w:val="center"/>
                    <w:rPr>
                      <w:rFonts w:hint="eastAsia"/>
                      <w:szCs w:val="21"/>
                      <w:lang w:val="en-US" w:eastAsia="zh-CN"/>
                    </w:rPr>
                  </w:pPr>
                </w:p>
              </w:tc>
              <w:tc>
                <w:tcPr>
                  <w:tcW w:w="450" w:type="dxa"/>
                  <w:vMerge w:val="restart"/>
                  <w:shd w:val="clear" w:color="auto" w:fill="auto"/>
                  <w:vAlign w:val="center"/>
                </w:tcPr>
                <w:p w14:paraId="3F39EEC1">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1-12</w:t>
                  </w:r>
                </w:p>
                <w:p w14:paraId="5C060FB2">
                  <w:pPr>
                    <w:jc w:val="center"/>
                    <w:rPr>
                      <w:rFonts w:hint="eastAsia" w:ascii="Times New Roman" w:hAnsi="Times New Roman" w:eastAsia="宋体" w:cs="Times New Roman"/>
                      <w:kern w:val="2"/>
                      <w:sz w:val="21"/>
                      <w:szCs w:val="21"/>
                      <w:lang w:val="en-US" w:eastAsia="zh-CN" w:bidi="ar-SA"/>
                    </w:rPr>
                  </w:pPr>
                </w:p>
              </w:tc>
              <w:tc>
                <w:tcPr>
                  <w:tcW w:w="489" w:type="dxa"/>
                  <w:vMerge w:val="restart"/>
                  <w:shd w:val="clear" w:color="auto" w:fill="auto"/>
                  <w:vAlign w:val="center"/>
                </w:tcPr>
                <w:p w14:paraId="40A4CE07">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12-20</w:t>
                  </w:r>
                </w:p>
                <w:p w14:paraId="5E6CD177">
                  <w:pPr>
                    <w:jc w:val="center"/>
                    <w:rPr>
                      <w:rFonts w:hint="eastAsia" w:ascii="Times New Roman" w:hAnsi="Times New Roman" w:eastAsia="宋体" w:cs="Times New Roman"/>
                      <w:kern w:val="2"/>
                      <w:sz w:val="21"/>
                      <w:szCs w:val="21"/>
                      <w:lang w:val="en-US" w:eastAsia="zh-CN" w:bidi="ar-SA"/>
                    </w:rPr>
                  </w:pPr>
                </w:p>
              </w:tc>
              <w:tc>
                <w:tcPr>
                  <w:tcW w:w="464" w:type="dxa"/>
                  <w:vMerge w:val="restart"/>
                  <w:shd w:val="clear" w:color="auto" w:fill="auto"/>
                  <w:vAlign w:val="center"/>
                </w:tcPr>
                <w:p w14:paraId="5357663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w:t>
                  </w:r>
                </w:p>
                <w:p w14:paraId="4A51B29A">
                  <w:pPr>
                    <w:jc w:val="center"/>
                    <w:rPr>
                      <w:rFonts w:hint="eastAsia" w:ascii="Times New Roman" w:hAnsi="Times New Roman" w:eastAsia="宋体" w:cs="Times New Roman"/>
                      <w:kern w:val="2"/>
                      <w:sz w:val="21"/>
                      <w:szCs w:val="21"/>
                      <w:lang w:val="en-US" w:eastAsia="zh-CN" w:bidi="ar-SA"/>
                    </w:rPr>
                  </w:pPr>
                </w:p>
              </w:tc>
              <w:tc>
                <w:tcPr>
                  <w:tcW w:w="476" w:type="dxa"/>
                  <w:shd w:val="clear" w:color="auto" w:fill="auto"/>
                  <w:vAlign w:val="center"/>
                </w:tcPr>
                <w:p w14:paraId="12A9201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424" w:type="dxa"/>
                  <w:shd w:val="clear" w:color="auto" w:fill="auto"/>
                  <w:vAlign w:val="center"/>
                </w:tcPr>
                <w:p w14:paraId="48E8CC9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599" w:type="dxa"/>
                  <w:shd w:val="clear" w:color="auto" w:fill="auto"/>
                  <w:vAlign w:val="center"/>
                </w:tcPr>
                <w:p w14:paraId="455630B3">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57.4</w:t>
                  </w:r>
                </w:p>
              </w:tc>
              <w:tc>
                <w:tcPr>
                  <w:tcW w:w="544" w:type="dxa"/>
                  <w:vMerge w:val="restart"/>
                  <w:shd w:val="clear" w:color="auto" w:fill="auto"/>
                  <w:vAlign w:val="center"/>
                </w:tcPr>
                <w:p w14:paraId="071A4A62">
                  <w:pPr>
                    <w:jc w:val="center"/>
                    <w:rPr>
                      <w:rFonts w:hint="eastAsia" w:ascii="Times New Roman" w:hAnsi="Times New Roman" w:eastAsia="宋体" w:cs="Times New Roman"/>
                      <w:kern w:val="2"/>
                      <w:sz w:val="21"/>
                      <w:szCs w:val="21"/>
                      <w:lang w:val="en-US" w:eastAsia="zh-CN" w:bidi="ar-SA"/>
                    </w:rPr>
                  </w:pPr>
                  <w:r>
                    <w:rPr>
                      <w:rFonts w:hint="eastAsia"/>
                      <w:snapToGrid w:val="0"/>
                      <w:szCs w:val="21"/>
                      <w:lang w:val="en-US" w:eastAsia="zh-CN"/>
                    </w:rPr>
                    <w:t>24</w:t>
                  </w:r>
                  <w:r>
                    <w:rPr>
                      <w:snapToGrid w:val="0"/>
                      <w:szCs w:val="21"/>
                    </w:rPr>
                    <w:t>h</w:t>
                  </w:r>
                  <w:r>
                    <w:rPr>
                      <w:rFonts w:hint="eastAsia"/>
                      <w:snapToGrid w:val="0"/>
                      <w:szCs w:val="21"/>
                    </w:rPr>
                    <w:t>/d</w:t>
                  </w:r>
                </w:p>
              </w:tc>
              <w:tc>
                <w:tcPr>
                  <w:tcW w:w="676" w:type="dxa"/>
                  <w:vMerge w:val="restart"/>
                  <w:shd w:val="clear" w:color="auto" w:fill="auto"/>
                  <w:vAlign w:val="center"/>
                </w:tcPr>
                <w:p w14:paraId="1D32F6A5">
                  <w:pPr>
                    <w:jc w:val="center"/>
                    <w:rPr>
                      <w:rFonts w:hint="eastAsia" w:ascii="Times New Roman" w:hAnsi="Times New Roman" w:eastAsia="宋体" w:cs="Times New Roman"/>
                      <w:kern w:val="2"/>
                      <w:sz w:val="21"/>
                      <w:szCs w:val="21"/>
                      <w:lang w:val="en-US" w:eastAsia="zh-CN" w:bidi="ar-SA"/>
                    </w:rPr>
                  </w:pPr>
                  <w:r>
                    <w:rPr>
                      <w:rFonts w:hint="eastAsia"/>
                      <w:szCs w:val="21"/>
                    </w:rPr>
                    <w:t>-15</w:t>
                  </w:r>
                </w:p>
              </w:tc>
              <w:tc>
                <w:tcPr>
                  <w:tcW w:w="718" w:type="dxa"/>
                  <w:shd w:val="clear" w:color="auto" w:fill="auto"/>
                  <w:vAlign w:val="center"/>
                </w:tcPr>
                <w:p w14:paraId="69029E77">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42.4</w:t>
                  </w:r>
                </w:p>
              </w:tc>
              <w:tc>
                <w:tcPr>
                  <w:tcW w:w="731" w:type="dxa"/>
                  <w:vMerge w:val="continue"/>
                  <w:vAlign w:val="center"/>
                </w:tcPr>
                <w:p w14:paraId="1DE5CAB5">
                  <w:pPr>
                    <w:jc w:val="center"/>
                    <w:rPr>
                      <w:rFonts w:hint="eastAsia"/>
                      <w:szCs w:val="21"/>
                      <w:lang w:val="en-US" w:eastAsia="zh-CN"/>
                    </w:rPr>
                  </w:pPr>
                </w:p>
              </w:tc>
            </w:tr>
            <w:tr w14:paraId="1A75F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0B5126B5">
                  <w:pPr>
                    <w:jc w:val="center"/>
                    <w:rPr>
                      <w:rFonts w:hint="eastAsia"/>
                      <w:szCs w:val="21"/>
                      <w:lang w:val="en-US" w:eastAsia="zh-CN"/>
                    </w:rPr>
                  </w:pPr>
                </w:p>
              </w:tc>
              <w:tc>
                <w:tcPr>
                  <w:tcW w:w="457" w:type="dxa"/>
                  <w:vMerge w:val="continue"/>
                  <w:vAlign w:val="center"/>
                </w:tcPr>
                <w:p w14:paraId="6D262847">
                  <w:pPr>
                    <w:jc w:val="center"/>
                    <w:rPr>
                      <w:rFonts w:hint="eastAsia"/>
                      <w:szCs w:val="21"/>
                      <w:lang w:val="en-US" w:eastAsia="zh-CN"/>
                    </w:rPr>
                  </w:pPr>
                </w:p>
              </w:tc>
              <w:tc>
                <w:tcPr>
                  <w:tcW w:w="556" w:type="dxa"/>
                  <w:vMerge w:val="continue"/>
                  <w:shd w:val="clear" w:color="auto" w:fill="auto"/>
                  <w:vAlign w:val="center"/>
                </w:tcPr>
                <w:p w14:paraId="748EBE6A">
                  <w:pPr>
                    <w:jc w:val="center"/>
                    <w:rPr>
                      <w:rFonts w:hint="eastAsia"/>
                      <w:szCs w:val="21"/>
                      <w:lang w:val="en-US" w:eastAsia="zh-CN"/>
                    </w:rPr>
                  </w:pPr>
                </w:p>
              </w:tc>
              <w:tc>
                <w:tcPr>
                  <w:tcW w:w="599" w:type="dxa"/>
                  <w:vMerge w:val="continue"/>
                  <w:shd w:val="clear" w:color="auto" w:fill="auto"/>
                  <w:vAlign w:val="center"/>
                </w:tcPr>
                <w:p w14:paraId="51EE9900">
                  <w:pPr>
                    <w:jc w:val="center"/>
                    <w:rPr>
                      <w:rFonts w:hint="eastAsia"/>
                      <w:szCs w:val="21"/>
                      <w:lang w:val="en-US" w:eastAsia="zh-CN"/>
                    </w:rPr>
                  </w:pPr>
                </w:p>
              </w:tc>
              <w:tc>
                <w:tcPr>
                  <w:tcW w:w="572" w:type="dxa"/>
                  <w:vMerge w:val="continue"/>
                  <w:vAlign w:val="center"/>
                </w:tcPr>
                <w:p w14:paraId="7F3EFEEA">
                  <w:pPr>
                    <w:jc w:val="center"/>
                    <w:rPr>
                      <w:rFonts w:hint="eastAsia"/>
                      <w:szCs w:val="21"/>
                      <w:lang w:val="en-US" w:eastAsia="zh-CN"/>
                    </w:rPr>
                  </w:pPr>
                </w:p>
              </w:tc>
              <w:tc>
                <w:tcPr>
                  <w:tcW w:w="572" w:type="dxa"/>
                  <w:vMerge w:val="continue"/>
                  <w:vAlign w:val="center"/>
                </w:tcPr>
                <w:p w14:paraId="7A68C707">
                  <w:pPr>
                    <w:jc w:val="center"/>
                    <w:rPr>
                      <w:rFonts w:hint="eastAsia"/>
                      <w:szCs w:val="21"/>
                      <w:lang w:val="en-US" w:eastAsia="zh-CN"/>
                    </w:rPr>
                  </w:pPr>
                </w:p>
              </w:tc>
              <w:tc>
                <w:tcPr>
                  <w:tcW w:w="450" w:type="dxa"/>
                  <w:vMerge w:val="continue"/>
                  <w:vAlign w:val="center"/>
                </w:tcPr>
                <w:p w14:paraId="6058CCF4">
                  <w:pPr>
                    <w:jc w:val="center"/>
                    <w:rPr>
                      <w:rFonts w:hint="eastAsia"/>
                      <w:szCs w:val="21"/>
                      <w:lang w:val="en-US" w:eastAsia="zh-CN"/>
                    </w:rPr>
                  </w:pPr>
                </w:p>
              </w:tc>
              <w:tc>
                <w:tcPr>
                  <w:tcW w:w="489" w:type="dxa"/>
                  <w:vMerge w:val="continue"/>
                  <w:vAlign w:val="center"/>
                </w:tcPr>
                <w:p w14:paraId="442F00B8">
                  <w:pPr>
                    <w:jc w:val="center"/>
                    <w:rPr>
                      <w:rFonts w:hint="eastAsia"/>
                      <w:szCs w:val="21"/>
                      <w:lang w:val="en-US" w:eastAsia="zh-CN"/>
                    </w:rPr>
                  </w:pPr>
                </w:p>
              </w:tc>
              <w:tc>
                <w:tcPr>
                  <w:tcW w:w="464" w:type="dxa"/>
                  <w:vMerge w:val="continue"/>
                  <w:vAlign w:val="center"/>
                </w:tcPr>
                <w:p w14:paraId="54766E97">
                  <w:pPr>
                    <w:jc w:val="center"/>
                    <w:rPr>
                      <w:rFonts w:hint="eastAsia"/>
                      <w:szCs w:val="21"/>
                      <w:lang w:val="en-US" w:eastAsia="zh-CN"/>
                    </w:rPr>
                  </w:pPr>
                </w:p>
              </w:tc>
              <w:tc>
                <w:tcPr>
                  <w:tcW w:w="476" w:type="dxa"/>
                  <w:shd w:val="clear" w:color="auto" w:fill="auto"/>
                  <w:vAlign w:val="center"/>
                </w:tcPr>
                <w:p w14:paraId="7B77A3E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424" w:type="dxa"/>
                  <w:shd w:val="clear" w:color="auto" w:fill="auto"/>
                  <w:vAlign w:val="center"/>
                </w:tcPr>
                <w:p w14:paraId="7E468EF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tc>
              <w:tc>
                <w:tcPr>
                  <w:tcW w:w="599" w:type="dxa"/>
                  <w:shd w:val="clear" w:color="auto" w:fill="auto"/>
                  <w:vAlign w:val="center"/>
                </w:tcPr>
                <w:p w14:paraId="774A8B6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42.9</w:t>
                  </w:r>
                </w:p>
              </w:tc>
              <w:tc>
                <w:tcPr>
                  <w:tcW w:w="544" w:type="dxa"/>
                  <w:vMerge w:val="continue"/>
                  <w:vAlign w:val="center"/>
                </w:tcPr>
                <w:p w14:paraId="4910C463">
                  <w:pPr>
                    <w:jc w:val="center"/>
                    <w:rPr>
                      <w:rFonts w:hint="eastAsia"/>
                      <w:szCs w:val="21"/>
                      <w:lang w:val="en-US" w:eastAsia="zh-CN"/>
                    </w:rPr>
                  </w:pPr>
                </w:p>
              </w:tc>
              <w:tc>
                <w:tcPr>
                  <w:tcW w:w="676" w:type="dxa"/>
                  <w:vMerge w:val="continue"/>
                  <w:vAlign w:val="center"/>
                </w:tcPr>
                <w:p w14:paraId="15AC8B83">
                  <w:pPr>
                    <w:jc w:val="center"/>
                    <w:rPr>
                      <w:rFonts w:hint="eastAsia"/>
                      <w:szCs w:val="21"/>
                      <w:lang w:val="en-US" w:eastAsia="zh-CN"/>
                    </w:rPr>
                  </w:pPr>
                </w:p>
              </w:tc>
              <w:tc>
                <w:tcPr>
                  <w:tcW w:w="718" w:type="dxa"/>
                  <w:shd w:val="clear" w:color="auto" w:fill="auto"/>
                  <w:vAlign w:val="center"/>
                </w:tcPr>
                <w:p w14:paraId="0DC8BE4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27.9</w:t>
                  </w:r>
                </w:p>
              </w:tc>
              <w:tc>
                <w:tcPr>
                  <w:tcW w:w="731" w:type="dxa"/>
                  <w:vMerge w:val="continue"/>
                  <w:vAlign w:val="center"/>
                </w:tcPr>
                <w:p w14:paraId="50B9D04C">
                  <w:pPr>
                    <w:jc w:val="center"/>
                    <w:rPr>
                      <w:rFonts w:hint="eastAsia"/>
                      <w:szCs w:val="21"/>
                      <w:lang w:val="en-US" w:eastAsia="zh-CN"/>
                    </w:rPr>
                  </w:pPr>
                </w:p>
              </w:tc>
            </w:tr>
            <w:tr w14:paraId="12434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77D21F2C">
                  <w:pPr>
                    <w:jc w:val="center"/>
                    <w:rPr>
                      <w:rFonts w:hint="eastAsia"/>
                      <w:szCs w:val="21"/>
                      <w:lang w:val="en-US" w:eastAsia="zh-CN"/>
                    </w:rPr>
                  </w:pPr>
                </w:p>
              </w:tc>
              <w:tc>
                <w:tcPr>
                  <w:tcW w:w="457" w:type="dxa"/>
                  <w:vMerge w:val="continue"/>
                  <w:vAlign w:val="center"/>
                </w:tcPr>
                <w:p w14:paraId="4278F47F">
                  <w:pPr>
                    <w:jc w:val="center"/>
                    <w:rPr>
                      <w:rFonts w:hint="eastAsia"/>
                      <w:szCs w:val="21"/>
                      <w:lang w:val="en-US" w:eastAsia="zh-CN"/>
                    </w:rPr>
                  </w:pPr>
                </w:p>
              </w:tc>
              <w:tc>
                <w:tcPr>
                  <w:tcW w:w="556" w:type="dxa"/>
                  <w:vMerge w:val="continue"/>
                  <w:shd w:val="clear" w:color="auto" w:fill="auto"/>
                  <w:vAlign w:val="center"/>
                </w:tcPr>
                <w:p w14:paraId="7DB8DFB6">
                  <w:pPr>
                    <w:jc w:val="center"/>
                    <w:rPr>
                      <w:rFonts w:hint="eastAsia"/>
                      <w:szCs w:val="21"/>
                      <w:lang w:val="en-US" w:eastAsia="zh-CN"/>
                    </w:rPr>
                  </w:pPr>
                </w:p>
              </w:tc>
              <w:tc>
                <w:tcPr>
                  <w:tcW w:w="599" w:type="dxa"/>
                  <w:vMerge w:val="continue"/>
                  <w:shd w:val="clear" w:color="auto" w:fill="auto"/>
                  <w:vAlign w:val="center"/>
                </w:tcPr>
                <w:p w14:paraId="4326948C">
                  <w:pPr>
                    <w:jc w:val="center"/>
                    <w:rPr>
                      <w:rFonts w:hint="eastAsia"/>
                      <w:szCs w:val="21"/>
                      <w:lang w:val="en-US" w:eastAsia="zh-CN"/>
                    </w:rPr>
                  </w:pPr>
                </w:p>
              </w:tc>
              <w:tc>
                <w:tcPr>
                  <w:tcW w:w="572" w:type="dxa"/>
                  <w:vMerge w:val="continue"/>
                  <w:vAlign w:val="center"/>
                </w:tcPr>
                <w:p w14:paraId="3F691A03">
                  <w:pPr>
                    <w:jc w:val="center"/>
                    <w:rPr>
                      <w:rFonts w:hint="eastAsia"/>
                      <w:szCs w:val="21"/>
                      <w:lang w:val="en-US" w:eastAsia="zh-CN"/>
                    </w:rPr>
                  </w:pPr>
                </w:p>
              </w:tc>
              <w:tc>
                <w:tcPr>
                  <w:tcW w:w="572" w:type="dxa"/>
                  <w:vMerge w:val="continue"/>
                  <w:vAlign w:val="center"/>
                </w:tcPr>
                <w:p w14:paraId="0D0AD3CF">
                  <w:pPr>
                    <w:jc w:val="center"/>
                    <w:rPr>
                      <w:rFonts w:hint="eastAsia"/>
                      <w:szCs w:val="21"/>
                      <w:lang w:val="en-US" w:eastAsia="zh-CN"/>
                    </w:rPr>
                  </w:pPr>
                </w:p>
              </w:tc>
              <w:tc>
                <w:tcPr>
                  <w:tcW w:w="450" w:type="dxa"/>
                  <w:vMerge w:val="continue"/>
                  <w:vAlign w:val="center"/>
                </w:tcPr>
                <w:p w14:paraId="2F3ED4D6">
                  <w:pPr>
                    <w:jc w:val="center"/>
                    <w:rPr>
                      <w:rFonts w:hint="eastAsia"/>
                      <w:szCs w:val="21"/>
                      <w:lang w:val="en-US" w:eastAsia="zh-CN"/>
                    </w:rPr>
                  </w:pPr>
                </w:p>
              </w:tc>
              <w:tc>
                <w:tcPr>
                  <w:tcW w:w="489" w:type="dxa"/>
                  <w:vMerge w:val="continue"/>
                  <w:vAlign w:val="center"/>
                </w:tcPr>
                <w:p w14:paraId="21043ACE">
                  <w:pPr>
                    <w:jc w:val="center"/>
                    <w:rPr>
                      <w:rFonts w:hint="eastAsia"/>
                      <w:szCs w:val="21"/>
                      <w:lang w:val="en-US" w:eastAsia="zh-CN"/>
                    </w:rPr>
                  </w:pPr>
                </w:p>
              </w:tc>
              <w:tc>
                <w:tcPr>
                  <w:tcW w:w="464" w:type="dxa"/>
                  <w:vMerge w:val="continue"/>
                  <w:vAlign w:val="center"/>
                </w:tcPr>
                <w:p w14:paraId="245CF8D5">
                  <w:pPr>
                    <w:jc w:val="center"/>
                    <w:rPr>
                      <w:rFonts w:hint="eastAsia"/>
                      <w:szCs w:val="21"/>
                      <w:lang w:val="en-US" w:eastAsia="zh-CN"/>
                    </w:rPr>
                  </w:pPr>
                </w:p>
              </w:tc>
              <w:tc>
                <w:tcPr>
                  <w:tcW w:w="476" w:type="dxa"/>
                  <w:shd w:val="clear" w:color="auto" w:fill="auto"/>
                  <w:vAlign w:val="center"/>
                </w:tcPr>
                <w:p w14:paraId="12476B3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424" w:type="dxa"/>
                  <w:shd w:val="clear" w:color="auto" w:fill="auto"/>
                  <w:vAlign w:val="center"/>
                </w:tcPr>
                <w:p w14:paraId="2D2EAC0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w:t>
                  </w:r>
                </w:p>
              </w:tc>
              <w:tc>
                <w:tcPr>
                  <w:tcW w:w="599" w:type="dxa"/>
                  <w:shd w:val="clear" w:color="auto" w:fill="auto"/>
                  <w:vAlign w:val="center"/>
                </w:tcPr>
                <w:p w14:paraId="0BABE3B6">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52.4</w:t>
                  </w:r>
                </w:p>
              </w:tc>
              <w:tc>
                <w:tcPr>
                  <w:tcW w:w="544" w:type="dxa"/>
                  <w:vMerge w:val="continue"/>
                  <w:vAlign w:val="center"/>
                </w:tcPr>
                <w:p w14:paraId="33493F20">
                  <w:pPr>
                    <w:jc w:val="center"/>
                    <w:rPr>
                      <w:rFonts w:hint="eastAsia"/>
                      <w:szCs w:val="21"/>
                      <w:lang w:val="en-US" w:eastAsia="zh-CN"/>
                    </w:rPr>
                  </w:pPr>
                </w:p>
              </w:tc>
              <w:tc>
                <w:tcPr>
                  <w:tcW w:w="676" w:type="dxa"/>
                  <w:vMerge w:val="continue"/>
                  <w:vAlign w:val="center"/>
                </w:tcPr>
                <w:p w14:paraId="0857F33C">
                  <w:pPr>
                    <w:jc w:val="center"/>
                    <w:rPr>
                      <w:rFonts w:hint="eastAsia"/>
                      <w:szCs w:val="21"/>
                      <w:lang w:val="en-US" w:eastAsia="zh-CN"/>
                    </w:rPr>
                  </w:pPr>
                </w:p>
              </w:tc>
              <w:tc>
                <w:tcPr>
                  <w:tcW w:w="718" w:type="dxa"/>
                  <w:shd w:val="clear" w:color="auto" w:fill="auto"/>
                  <w:vAlign w:val="center"/>
                </w:tcPr>
                <w:p w14:paraId="4347A3D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37.4</w:t>
                  </w:r>
                </w:p>
              </w:tc>
              <w:tc>
                <w:tcPr>
                  <w:tcW w:w="731" w:type="dxa"/>
                  <w:vMerge w:val="continue"/>
                  <w:vAlign w:val="center"/>
                </w:tcPr>
                <w:p w14:paraId="48FCBFE2">
                  <w:pPr>
                    <w:jc w:val="center"/>
                    <w:rPr>
                      <w:rFonts w:hint="eastAsia"/>
                      <w:szCs w:val="21"/>
                      <w:lang w:val="en-US" w:eastAsia="zh-CN"/>
                    </w:rPr>
                  </w:pPr>
                </w:p>
              </w:tc>
            </w:tr>
            <w:tr w14:paraId="6BA83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2C265CEE">
                  <w:pPr>
                    <w:jc w:val="center"/>
                    <w:rPr>
                      <w:rFonts w:hint="eastAsia"/>
                      <w:szCs w:val="21"/>
                      <w:lang w:val="en-US" w:eastAsia="zh-CN"/>
                    </w:rPr>
                  </w:pPr>
                </w:p>
              </w:tc>
              <w:tc>
                <w:tcPr>
                  <w:tcW w:w="457" w:type="dxa"/>
                  <w:vMerge w:val="continue"/>
                  <w:vAlign w:val="center"/>
                </w:tcPr>
                <w:p w14:paraId="365FA53E">
                  <w:pPr>
                    <w:jc w:val="center"/>
                    <w:rPr>
                      <w:rFonts w:hint="eastAsia"/>
                      <w:szCs w:val="21"/>
                      <w:lang w:val="en-US" w:eastAsia="zh-CN"/>
                    </w:rPr>
                  </w:pPr>
                </w:p>
              </w:tc>
              <w:tc>
                <w:tcPr>
                  <w:tcW w:w="556" w:type="dxa"/>
                  <w:vMerge w:val="continue"/>
                  <w:shd w:val="clear" w:color="auto" w:fill="auto"/>
                  <w:vAlign w:val="center"/>
                </w:tcPr>
                <w:p w14:paraId="3929BF8E">
                  <w:pPr>
                    <w:jc w:val="center"/>
                    <w:rPr>
                      <w:rFonts w:hint="eastAsia"/>
                      <w:szCs w:val="21"/>
                      <w:lang w:val="en-US" w:eastAsia="zh-CN"/>
                    </w:rPr>
                  </w:pPr>
                </w:p>
              </w:tc>
              <w:tc>
                <w:tcPr>
                  <w:tcW w:w="599" w:type="dxa"/>
                  <w:vMerge w:val="continue"/>
                  <w:shd w:val="clear" w:color="auto" w:fill="auto"/>
                  <w:vAlign w:val="center"/>
                </w:tcPr>
                <w:p w14:paraId="2A871323">
                  <w:pPr>
                    <w:jc w:val="center"/>
                    <w:rPr>
                      <w:rFonts w:hint="eastAsia"/>
                      <w:szCs w:val="21"/>
                      <w:lang w:val="en-US" w:eastAsia="zh-CN"/>
                    </w:rPr>
                  </w:pPr>
                </w:p>
              </w:tc>
              <w:tc>
                <w:tcPr>
                  <w:tcW w:w="572" w:type="dxa"/>
                  <w:vMerge w:val="continue"/>
                  <w:vAlign w:val="center"/>
                </w:tcPr>
                <w:p w14:paraId="2C636A55">
                  <w:pPr>
                    <w:jc w:val="center"/>
                    <w:rPr>
                      <w:rFonts w:hint="eastAsia"/>
                      <w:szCs w:val="21"/>
                      <w:lang w:val="en-US" w:eastAsia="zh-CN"/>
                    </w:rPr>
                  </w:pPr>
                </w:p>
              </w:tc>
              <w:tc>
                <w:tcPr>
                  <w:tcW w:w="572" w:type="dxa"/>
                  <w:vMerge w:val="continue"/>
                  <w:vAlign w:val="center"/>
                </w:tcPr>
                <w:p w14:paraId="34FD7344">
                  <w:pPr>
                    <w:jc w:val="center"/>
                    <w:rPr>
                      <w:rFonts w:hint="eastAsia"/>
                      <w:szCs w:val="21"/>
                      <w:lang w:val="en-US" w:eastAsia="zh-CN"/>
                    </w:rPr>
                  </w:pPr>
                </w:p>
              </w:tc>
              <w:tc>
                <w:tcPr>
                  <w:tcW w:w="450" w:type="dxa"/>
                  <w:vMerge w:val="continue"/>
                  <w:vAlign w:val="center"/>
                </w:tcPr>
                <w:p w14:paraId="2562C186">
                  <w:pPr>
                    <w:jc w:val="center"/>
                    <w:rPr>
                      <w:rFonts w:hint="eastAsia"/>
                      <w:szCs w:val="21"/>
                      <w:lang w:val="en-US" w:eastAsia="zh-CN"/>
                    </w:rPr>
                  </w:pPr>
                </w:p>
              </w:tc>
              <w:tc>
                <w:tcPr>
                  <w:tcW w:w="489" w:type="dxa"/>
                  <w:vMerge w:val="continue"/>
                  <w:vAlign w:val="center"/>
                </w:tcPr>
                <w:p w14:paraId="3B6033A9">
                  <w:pPr>
                    <w:jc w:val="center"/>
                    <w:rPr>
                      <w:rFonts w:hint="eastAsia"/>
                      <w:szCs w:val="21"/>
                      <w:lang w:val="en-US" w:eastAsia="zh-CN"/>
                    </w:rPr>
                  </w:pPr>
                </w:p>
              </w:tc>
              <w:tc>
                <w:tcPr>
                  <w:tcW w:w="464" w:type="dxa"/>
                  <w:vMerge w:val="continue"/>
                  <w:vAlign w:val="center"/>
                </w:tcPr>
                <w:p w14:paraId="1FA3D306">
                  <w:pPr>
                    <w:jc w:val="center"/>
                    <w:rPr>
                      <w:rFonts w:hint="eastAsia"/>
                      <w:szCs w:val="21"/>
                      <w:lang w:val="en-US" w:eastAsia="zh-CN"/>
                    </w:rPr>
                  </w:pPr>
                </w:p>
              </w:tc>
              <w:tc>
                <w:tcPr>
                  <w:tcW w:w="476" w:type="dxa"/>
                  <w:shd w:val="clear" w:color="auto" w:fill="auto"/>
                  <w:vAlign w:val="center"/>
                </w:tcPr>
                <w:p w14:paraId="23EAD58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424" w:type="dxa"/>
                  <w:shd w:val="clear" w:color="auto" w:fill="auto"/>
                  <w:vAlign w:val="center"/>
                </w:tcPr>
                <w:p w14:paraId="527FDF8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29</w:t>
                  </w:r>
                </w:p>
              </w:tc>
              <w:tc>
                <w:tcPr>
                  <w:tcW w:w="599" w:type="dxa"/>
                  <w:shd w:val="clear" w:color="auto" w:fill="auto"/>
                  <w:vAlign w:val="center"/>
                </w:tcPr>
                <w:p w14:paraId="65634587">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42.3</w:t>
                  </w:r>
                </w:p>
              </w:tc>
              <w:tc>
                <w:tcPr>
                  <w:tcW w:w="544" w:type="dxa"/>
                  <w:vMerge w:val="continue"/>
                  <w:vAlign w:val="center"/>
                </w:tcPr>
                <w:p w14:paraId="4982C009">
                  <w:pPr>
                    <w:jc w:val="center"/>
                    <w:rPr>
                      <w:rFonts w:hint="eastAsia"/>
                      <w:szCs w:val="21"/>
                      <w:lang w:val="en-US" w:eastAsia="zh-CN"/>
                    </w:rPr>
                  </w:pPr>
                </w:p>
              </w:tc>
              <w:tc>
                <w:tcPr>
                  <w:tcW w:w="676" w:type="dxa"/>
                  <w:vMerge w:val="continue"/>
                  <w:vAlign w:val="center"/>
                </w:tcPr>
                <w:p w14:paraId="161A68EB">
                  <w:pPr>
                    <w:jc w:val="center"/>
                    <w:rPr>
                      <w:rFonts w:hint="eastAsia"/>
                      <w:szCs w:val="21"/>
                      <w:lang w:val="en-US" w:eastAsia="zh-CN"/>
                    </w:rPr>
                  </w:pPr>
                </w:p>
              </w:tc>
              <w:tc>
                <w:tcPr>
                  <w:tcW w:w="718" w:type="dxa"/>
                  <w:shd w:val="clear" w:color="auto" w:fill="auto"/>
                  <w:vAlign w:val="center"/>
                </w:tcPr>
                <w:p w14:paraId="1413DAC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27.3</w:t>
                  </w:r>
                </w:p>
              </w:tc>
              <w:tc>
                <w:tcPr>
                  <w:tcW w:w="731" w:type="dxa"/>
                  <w:vMerge w:val="continue"/>
                  <w:vAlign w:val="center"/>
                </w:tcPr>
                <w:p w14:paraId="6501F5D3">
                  <w:pPr>
                    <w:jc w:val="center"/>
                    <w:rPr>
                      <w:rFonts w:hint="eastAsia"/>
                      <w:szCs w:val="21"/>
                      <w:lang w:val="en-US" w:eastAsia="zh-CN"/>
                    </w:rPr>
                  </w:pPr>
                </w:p>
              </w:tc>
            </w:tr>
            <w:tr w14:paraId="11481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restart"/>
                  <w:vAlign w:val="center"/>
                </w:tcPr>
                <w:p w14:paraId="28B038A5">
                  <w:pPr>
                    <w:jc w:val="center"/>
                    <w:rPr>
                      <w:rFonts w:hint="default"/>
                      <w:szCs w:val="21"/>
                      <w:lang w:val="en-US" w:eastAsia="zh-CN"/>
                    </w:rPr>
                  </w:pPr>
                  <w:r>
                    <w:rPr>
                      <w:rFonts w:hint="eastAsia"/>
                      <w:szCs w:val="21"/>
                      <w:lang w:val="en-US" w:eastAsia="zh-CN"/>
                    </w:rPr>
                    <w:t>5</w:t>
                  </w:r>
                </w:p>
              </w:tc>
              <w:tc>
                <w:tcPr>
                  <w:tcW w:w="457" w:type="dxa"/>
                  <w:vMerge w:val="continue"/>
                  <w:vAlign w:val="center"/>
                </w:tcPr>
                <w:p w14:paraId="07FF3C2F">
                  <w:pPr>
                    <w:jc w:val="center"/>
                    <w:rPr>
                      <w:rFonts w:hint="eastAsia"/>
                      <w:szCs w:val="21"/>
                      <w:lang w:val="en-US" w:eastAsia="zh-CN"/>
                    </w:rPr>
                  </w:pPr>
                </w:p>
              </w:tc>
              <w:tc>
                <w:tcPr>
                  <w:tcW w:w="556" w:type="dxa"/>
                  <w:vMerge w:val="restart"/>
                  <w:shd w:val="clear" w:color="auto" w:fill="auto"/>
                  <w:vAlign w:val="center"/>
                </w:tcPr>
                <w:p w14:paraId="1ED2005B">
                  <w:pPr>
                    <w:jc w:val="center"/>
                    <w:rPr>
                      <w:rFonts w:hint="default"/>
                      <w:szCs w:val="21"/>
                      <w:lang w:val="en-US" w:eastAsia="zh-CN"/>
                    </w:rPr>
                  </w:pPr>
                  <w:r>
                    <w:rPr>
                      <w:rFonts w:hint="eastAsia"/>
                      <w:szCs w:val="21"/>
                      <w:lang w:val="en-US" w:eastAsia="zh-CN"/>
                    </w:rPr>
                    <w:t>190模机框</w:t>
                  </w:r>
                </w:p>
              </w:tc>
              <w:tc>
                <w:tcPr>
                  <w:tcW w:w="599" w:type="dxa"/>
                  <w:vMerge w:val="restart"/>
                  <w:shd w:val="clear" w:color="auto" w:fill="auto"/>
                  <w:vAlign w:val="center"/>
                </w:tcPr>
                <w:p w14:paraId="50D6A96E">
                  <w:pPr>
                    <w:jc w:val="center"/>
                    <w:rPr>
                      <w:rFonts w:hint="default"/>
                      <w:szCs w:val="21"/>
                      <w:lang w:val="en-US" w:eastAsia="zh-CN"/>
                    </w:rPr>
                  </w:pPr>
                  <w:r>
                    <w:rPr>
                      <w:rFonts w:hint="eastAsia"/>
                      <w:szCs w:val="21"/>
                      <w:lang w:val="en-US" w:eastAsia="zh-CN"/>
                    </w:rPr>
                    <w:t>6</w:t>
                  </w:r>
                </w:p>
              </w:tc>
              <w:tc>
                <w:tcPr>
                  <w:tcW w:w="572" w:type="dxa"/>
                  <w:vMerge w:val="restart"/>
                  <w:vAlign w:val="center"/>
                </w:tcPr>
                <w:p w14:paraId="270EF580">
                  <w:pPr>
                    <w:jc w:val="center"/>
                    <w:rPr>
                      <w:rFonts w:hint="default"/>
                      <w:szCs w:val="21"/>
                      <w:lang w:val="en-US" w:eastAsia="zh-CN"/>
                    </w:rPr>
                  </w:pPr>
                  <w:r>
                    <w:rPr>
                      <w:rFonts w:hint="eastAsia"/>
                      <w:szCs w:val="21"/>
                      <w:lang w:val="en-US" w:eastAsia="zh-CN"/>
                    </w:rPr>
                    <w:t>40-45</w:t>
                  </w:r>
                </w:p>
              </w:tc>
              <w:tc>
                <w:tcPr>
                  <w:tcW w:w="572" w:type="dxa"/>
                  <w:vMerge w:val="continue"/>
                  <w:vAlign w:val="center"/>
                </w:tcPr>
                <w:p w14:paraId="3537E65F">
                  <w:pPr>
                    <w:jc w:val="center"/>
                    <w:rPr>
                      <w:rFonts w:hint="eastAsia"/>
                      <w:szCs w:val="21"/>
                      <w:lang w:val="en-US" w:eastAsia="zh-CN"/>
                    </w:rPr>
                  </w:pPr>
                </w:p>
              </w:tc>
              <w:tc>
                <w:tcPr>
                  <w:tcW w:w="450" w:type="dxa"/>
                  <w:vMerge w:val="restart"/>
                  <w:vAlign w:val="center"/>
                </w:tcPr>
                <w:p w14:paraId="297BAD5B">
                  <w:pPr>
                    <w:jc w:val="center"/>
                    <w:rPr>
                      <w:rFonts w:hint="default"/>
                      <w:szCs w:val="21"/>
                      <w:lang w:val="en-US" w:eastAsia="zh-CN"/>
                    </w:rPr>
                  </w:pPr>
                  <w:r>
                    <w:rPr>
                      <w:rFonts w:hint="eastAsia"/>
                      <w:szCs w:val="21"/>
                      <w:lang w:val="en-US" w:eastAsia="zh-CN"/>
                    </w:rPr>
                    <w:t>1-10</w:t>
                  </w:r>
                </w:p>
              </w:tc>
              <w:tc>
                <w:tcPr>
                  <w:tcW w:w="489" w:type="dxa"/>
                  <w:vMerge w:val="restart"/>
                  <w:vAlign w:val="center"/>
                </w:tcPr>
                <w:p w14:paraId="7B929613">
                  <w:pPr>
                    <w:jc w:val="center"/>
                    <w:rPr>
                      <w:rFonts w:hint="default"/>
                      <w:szCs w:val="21"/>
                      <w:lang w:val="en-US" w:eastAsia="zh-CN"/>
                    </w:rPr>
                  </w:pPr>
                  <w:r>
                    <w:rPr>
                      <w:rFonts w:hint="eastAsia"/>
                      <w:szCs w:val="21"/>
                      <w:lang w:val="en-US" w:eastAsia="zh-CN"/>
                    </w:rPr>
                    <w:t>20-25</w:t>
                  </w:r>
                </w:p>
              </w:tc>
              <w:tc>
                <w:tcPr>
                  <w:tcW w:w="464" w:type="dxa"/>
                  <w:vMerge w:val="restart"/>
                  <w:vAlign w:val="center"/>
                </w:tcPr>
                <w:p w14:paraId="3840D916">
                  <w:pPr>
                    <w:jc w:val="center"/>
                    <w:rPr>
                      <w:rFonts w:hint="default"/>
                      <w:szCs w:val="21"/>
                      <w:lang w:val="en-US" w:eastAsia="zh-CN"/>
                    </w:rPr>
                  </w:pPr>
                  <w:r>
                    <w:rPr>
                      <w:rFonts w:hint="eastAsia"/>
                      <w:szCs w:val="21"/>
                      <w:lang w:val="en-US" w:eastAsia="zh-CN"/>
                    </w:rPr>
                    <w:t>1.5</w:t>
                  </w:r>
                </w:p>
              </w:tc>
              <w:tc>
                <w:tcPr>
                  <w:tcW w:w="476" w:type="dxa"/>
                  <w:shd w:val="clear" w:color="auto" w:fill="auto"/>
                  <w:vAlign w:val="center"/>
                </w:tcPr>
                <w:p w14:paraId="2B21999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424" w:type="dxa"/>
                  <w:shd w:val="clear" w:color="auto" w:fill="auto"/>
                  <w:vAlign w:val="center"/>
                </w:tcPr>
                <w:p w14:paraId="099B2E30">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599" w:type="dxa"/>
                  <w:shd w:val="clear" w:color="auto" w:fill="auto"/>
                  <w:vAlign w:val="center"/>
                </w:tcPr>
                <w:p w14:paraId="7142D4F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40.4</w:t>
                  </w:r>
                </w:p>
              </w:tc>
              <w:tc>
                <w:tcPr>
                  <w:tcW w:w="544" w:type="dxa"/>
                  <w:vMerge w:val="restart"/>
                  <w:shd w:val="clear" w:color="auto" w:fill="auto"/>
                  <w:vAlign w:val="center"/>
                </w:tcPr>
                <w:p w14:paraId="5384C046">
                  <w:pPr>
                    <w:jc w:val="center"/>
                    <w:rPr>
                      <w:rFonts w:hint="eastAsia" w:ascii="Times New Roman" w:hAnsi="Times New Roman" w:eastAsia="宋体" w:cs="Times New Roman"/>
                      <w:kern w:val="2"/>
                      <w:sz w:val="21"/>
                      <w:szCs w:val="21"/>
                      <w:lang w:val="en-US" w:eastAsia="zh-CN" w:bidi="ar-SA"/>
                    </w:rPr>
                  </w:pPr>
                  <w:r>
                    <w:rPr>
                      <w:rFonts w:hint="eastAsia"/>
                      <w:snapToGrid w:val="0"/>
                      <w:szCs w:val="21"/>
                      <w:lang w:val="en-US" w:eastAsia="zh-CN"/>
                    </w:rPr>
                    <w:t>24</w:t>
                  </w:r>
                  <w:r>
                    <w:rPr>
                      <w:snapToGrid w:val="0"/>
                      <w:szCs w:val="21"/>
                    </w:rPr>
                    <w:t>h</w:t>
                  </w:r>
                  <w:r>
                    <w:rPr>
                      <w:rFonts w:hint="eastAsia"/>
                      <w:snapToGrid w:val="0"/>
                      <w:szCs w:val="21"/>
                    </w:rPr>
                    <w:t>/d</w:t>
                  </w:r>
                </w:p>
              </w:tc>
              <w:tc>
                <w:tcPr>
                  <w:tcW w:w="676" w:type="dxa"/>
                  <w:vMerge w:val="restart"/>
                  <w:shd w:val="clear" w:color="auto" w:fill="auto"/>
                  <w:vAlign w:val="center"/>
                </w:tcPr>
                <w:p w14:paraId="71887D1A">
                  <w:pPr>
                    <w:jc w:val="center"/>
                    <w:rPr>
                      <w:rFonts w:hint="eastAsia" w:ascii="Times New Roman" w:hAnsi="Times New Roman" w:eastAsia="宋体" w:cs="Times New Roman"/>
                      <w:kern w:val="2"/>
                      <w:sz w:val="21"/>
                      <w:szCs w:val="21"/>
                      <w:lang w:val="en-US" w:eastAsia="zh-CN" w:bidi="ar-SA"/>
                    </w:rPr>
                  </w:pPr>
                  <w:r>
                    <w:rPr>
                      <w:rFonts w:hint="eastAsia"/>
                      <w:szCs w:val="21"/>
                    </w:rPr>
                    <w:t>-15</w:t>
                  </w:r>
                </w:p>
              </w:tc>
              <w:tc>
                <w:tcPr>
                  <w:tcW w:w="718" w:type="dxa"/>
                  <w:shd w:val="clear" w:color="auto" w:fill="auto"/>
                  <w:vAlign w:val="center"/>
                </w:tcPr>
                <w:p w14:paraId="4589835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25.4</w:t>
                  </w:r>
                </w:p>
              </w:tc>
              <w:tc>
                <w:tcPr>
                  <w:tcW w:w="731" w:type="dxa"/>
                  <w:vMerge w:val="continue"/>
                  <w:vAlign w:val="center"/>
                </w:tcPr>
                <w:p w14:paraId="03E4A873">
                  <w:pPr>
                    <w:jc w:val="center"/>
                    <w:rPr>
                      <w:rFonts w:hint="eastAsia"/>
                      <w:szCs w:val="21"/>
                      <w:lang w:val="en-US" w:eastAsia="zh-CN"/>
                    </w:rPr>
                  </w:pPr>
                </w:p>
              </w:tc>
            </w:tr>
            <w:tr w14:paraId="2A090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63C7B8B9">
                  <w:pPr>
                    <w:jc w:val="center"/>
                    <w:rPr>
                      <w:rFonts w:hint="eastAsia"/>
                      <w:szCs w:val="21"/>
                      <w:lang w:val="en-US" w:eastAsia="zh-CN"/>
                    </w:rPr>
                  </w:pPr>
                </w:p>
              </w:tc>
              <w:tc>
                <w:tcPr>
                  <w:tcW w:w="457" w:type="dxa"/>
                  <w:vMerge w:val="continue"/>
                  <w:vAlign w:val="center"/>
                </w:tcPr>
                <w:p w14:paraId="3B3E9BBE">
                  <w:pPr>
                    <w:jc w:val="center"/>
                    <w:rPr>
                      <w:rFonts w:hint="eastAsia"/>
                      <w:szCs w:val="21"/>
                      <w:lang w:val="en-US" w:eastAsia="zh-CN"/>
                    </w:rPr>
                  </w:pPr>
                </w:p>
              </w:tc>
              <w:tc>
                <w:tcPr>
                  <w:tcW w:w="556" w:type="dxa"/>
                  <w:vMerge w:val="continue"/>
                  <w:shd w:val="clear" w:color="auto" w:fill="auto"/>
                  <w:vAlign w:val="center"/>
                </w:tcPr>
                <w:p w14:paraId="723B0895">
                  <w:pPr>
                    <w:jc w:val="center"/>
                    <w:rPr>
                      <w:rFonts w:hint="eastAsia"/>
                      <w:szCs w:val="21"/>
                      <w:lang w:val="en-US" w:eastAsia="zh-CN"/>
                    </w:rPr>
                  </w:pPr>
                </w:p>
              </w:tc>
              <w:tc>
                <w:tcPr>
                  <w:tcW w:w="599" w:type="dxa"/>
                  <w:vMerge w:val="continue"/>
                  <w:shd w:val="clear" w:color="auto" w:fill="auto"/>
                  <w:vAlign w:val="center"/>
                </w:tcPr>
                <w:p w14:paraId="7DF30299">
                  <w:pPr>
                    <w:jc w:val="center"/>
                    <w:rPr>
                      <w:rFonts w:hint="eastAsia"/>
                      <w:szCs w:val="21"/>
                      <w:lang w:val="en-US" w:eastAsia="zh-CN"/>
                    </w:rPr>
                  </w:pPr>
                </w:p>
              </w:tc>
              <w:tc>
                <w:tcPr>
                  <w:tcW w:w="572" w:type="dxa"/>
                  <w:vMerge w:val="continue"/>
                  <w:vAlign w:val="center"/>
                </w:tcPr>
                <w:p w14:paraId="7F640303">
                  <w:pPr>
                    <w:jc w:val="center"/>
                    <w:rPr>
                      <w:rFonts w:hint="eastAsia"/>
                      <w:szCs w:val="21"/>
                      <w:lang w:val="en-US" w:eastAsia="zh-CN"/>
                    </w:rPr>
                  </w:pPr>
                </w:p>
              </w:tc>
              <w:tc>
                <w:tcPr>
                  <w:tcW w:w="572" w:type="dxa"/>
                  <w:vMerge w:val="continue"/>
                  <w:vAlign w:val="center"/>
                </w:tcPr>
                <w:p w14:paraId="628534F7">
                  <w:pPr>
                    <w:jc w:val="center"/>
                    <w:rPr>
                      <w:rFonts w:hint="eastAsia"/>
                      <w:szCs w:val="21"/>
                      <w:lang w:val="en-US" w:eastAsia="zh-CN"/>
                    </w:rPr>
                  </w:pPr>
                </w:p>
              </w:tc>
              <w:tc>
                <w:tcPr>
                  <w:tcW w:w="450" w:type="dxa"/>
                  <w:vMerge w:val="continue"/>
                  <w:vAlign w:val="center"/>
                </w:tcPr>
                <w:p w14:paraId="7E2D31EE">
                  <w:pPr>
                    <w:jc w:val="center"/>
                    <w:rPr>
                      <w:rFonts w:hint="eastAsia"/>
                      <w:szCs w:val="21"/>
                      <w:lang w:val="en-US" w:eastAsia="zh-CN"/>
                    </w:rPr>
                  </w:pPr>
                </w:p>
              </w:tc>
              <w:tc>
                <w:tcPr>
                  <w:tcW w:w="489" w:type="dxa"/>
                  <w:vMerge w:val="continue"/>
                  <w:vAlign w:val="center"/>
                </w:tcPr>
                <w:p w14:paraId="3424B0C9">
                  <w:pPr>
                    <w:jc w:val="center"/>
                    <w:rPr>
                      <w:rFonts w:hint="eastAsia"/>
                      <w:szCs w:val="21"/>
                      <w:lang w:val="en-US" w:eastAsia="zh-CN"/>
                    </w:rPr>
                  </w:pPr>
                </w:p>
              </w:tc>
              <w:tc>
                <w:tcPr>
                  <w:tcW w:w="464" w:type="dxa"/>
                  <w:vMerge w:val="continue"/>
                  <w:vAlign w:val="center"/>
                </w:tcPr>
                <w:p w14:paraId="51344517">
                  <w:pPr>
                    <w:jc w:val="center"/>
                    <w:rPr>
                      <w:rFonts w:hint="eastAsia"/>
                      <w:szCs w:val="21"/>
                      <w:lang w:val="en-US" w:eastAsia="zh-CN"/>
                    </w:rPr>
                  </w:pPr>
                </w:p>
              </w:tc>
              <w:tc>
                <w:tcPr>
                  <w:tcW w:w="476" w:type="dxa"/>
                  <w:shd w:val="clear" w:color="auto" w:fill="auto"/>
                  <w:vAlign w:val="center"/>
                </w:tcPr>
                <w:p w14:paraId="2FFD71A7">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424" w:type="dxa"/>
                  <w:shd w:val="clear" w:color="auto" w:fill="auto"/>
                  <w:vAlign w:val="center"/>
                </w:tcPr>
                <w:p w14:paraId="26713A9C">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tc>
              <w:tc>
                <w:tcPr>
                  <w:tcW w:w="599" w:type="dxa"/>
                  <w:shd w:val="clear" w:color="auto" w:fill="auto"/>
                  <w:vAlign w:val="center"/>
                </w:tcPr>
                <w:p w14:paraId="0739672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41.9</w:t>
                  </w:r>
                </w:p>
              </w:tc>
              <w:tc>
                <w:tcPr>
                  <w:tcW w:w="544" w:type="dxa"/>
                  <w:vMerge w:val="continue"/>
                  <w:vAlign w:val="center"/>
                </w:tcPr>
                <w:p w14:paraId="4B7531EB">
                  <w:pPr>
                    <w:jc w:val="center"/>
                    <w:rPr>
                      <w:rFonts w:hint="eastAsia"/>
                      <w:szCs w:val="21"/>
                      <w:lang w:val="en-US" w:eastAsia="zh-CN"/>
                    </w:rPr>
                  </w:pPr>
                </w:p>
              </w:tc>
              <w:tc>
                <w:tcPr>
                  <w:tcW w:w="676" w:type="dxa"/>
                  <w:vMerge w:val="continue"/>
                  <w:vAlign w:val="center"/>
                </w:tcPr>
                <w:p w14:paraId="10632A05">
                  <w:pPr>
                    <w:jc w:val="center"/>
                    <w:rPr>
                      <w:rFonts w:hint="eastAsia"/>
                      <w:szCs w:val="21"/>
                      <w:lang w:val="en-US" w:eastAsia="zh-CN"/>
                    </w:rPr>
                  </w:pPr>
                </w:p>
              </w:tc>
              <w:tc>
                <w:tcPr>
                  <w:tcW w:w="718" w:type="dxa"/>
                  <w:shd w:val="clear" w:color="auto" w:fill="auto"/>
                  <w:vAlign w:val="center"/>
                </w:tcPr>
                <w:p w14:paraId="269E129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26.9</w:t>
                  </w:r>
                </w:p>
              </w:tc>
              <w:tc>
                <w:tcPr>
                  <w:tcW w:w="731" w:type="dxa"/>
                  <w:vMerge w:val="continue"/>
                  <w:vAlign w:val="center"/>
                </w:tcPr>
                <w:p w14:paraId="37A9E599">
                  <w:pPr>
                    <w:jc w:val="center"/>
                    <w:rPr>
                      <w:rFonts w:hint="eastAsia"/>
                      <w:szCs w:val="21"/>
                      <w:lang w:val="en-US" w:eastAsia="zh-CN"/>
                    </w:rPr>
                  </w:pPr>
                </w:p>
              </w:tc>
            </w:tr>
            <w:tr w14:paraId="2ED6B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575527AE">
                  <w:pPr>
                    <w:jc w:val="center"/>
                    <w:rPr>
                      <w:rFonts w:hint="eastAsia"/>
                      <w:szCs w:val="21"/>
                      <w:lang w:val="en-US" w:eastAsia="zh-CN"/>
                    </w:rPr>
                  </w:pPr>
                </w:p>
              </w:tc>
              <w:tc>
                <w:tcPr>
                  <w:tcW w:w="457" w:type="dxa"/>
                  <w:vMerge w:val="continue"/>
                  <w:vAlign w:val="center"/>
                </w:tcPr>
                <w:p w14:paraId="3FD601D8">
                  <w:pPr>
                    <w:jc w:val="center"/>
                    <w:rPr>
                      <w:rFonts w:hint="eastAsia"/>
                      <w:szCs w:val="21"/>
                      <w:lang w:val="en-US" w:eastAsia="zh-CN"/>
                    </w:rPr>
                  </w:pPr>
                </w:p>
              </w:tc>
              <w:tc>
                <w:tcPr>
                  <w:tcW w:w="556" w:type="dxa"/>
                  <w:vMerge w:val="continue"/>
                  <w:shd w:val="clear" w:color="auto" w:fill="auto"/>
                  <w:vAlign w:val="center"/>
                </w:tcPr>
                <w:p w14:paraId="1A5D5A33">
                  <w:pPr>
                    <w:jc w:val="center"/>
                    <w:rPr>
                      <w:rFonts w:hint="eastAsia"/>
                      <w:szCs w:val="21"/>
                      <w:lang w:val="en-US" w:eastAsia="zh-CN"/>
                    </w:rPr>
                  </w:pPr>
                </w:p>
              </w:tc>
              <w:tc>
                <w:tcPr>
                  <w:tcW w:w="599" w:type="dxa"/>
                  <w:vMerge w:val="continue"/>
                  <w:shd w:val="clear" w:color="auto" w:fill="auto"/>
                  <w:vAlign w:val="center"/>
                </w:tcPr>
                <w:p w14:paraId="4F816C08">
                  <w:pPr>
                    <w:jc w:val="center"/>
                    <w:rPr>
                      <w:rFonts w:hint="eastAsia"/>
                      <w:szCs w:val="21"/>
                      <w:lang w:val="en-US" w:eastAsia="zh-CN"/>
                    </w:rPr>
                  </w:pPr>
                </w:p>
              </w:tc>
              <w:tc>
                <w:tcPr>
                  <w:tcW w:w="572" w:type="dxa"/>
                  <w:vMerge w:val="continue"/>
                  <w:vAlign w:val="center"/>
                </w:tcPr>
                <w:p w14:paraId="3FBD2690">
                  <w:pPr>
                    <w:jc w:val="center"/>
                    <w:rPr>
                      <w:rFonts w:hint="eastAsia"/>
                      <w:szCs w:val="21"/>
                      <w:lang w:val="en-US" w:eastAsia="zh-CN"/>
                    </w:rPr>
                  </w:pPr>
                </w:p>
              </w:tc>
              <w:tc>
                <w:tcPr>
                  <w:tcW w:w="572" w:type="dxa"/>
                  <w:vMerge w:val="continue"/>
                  <w:vAlign w:val="center"/>
                </w:tcPr>
                <w:p w14:paraId="6F091C0B">
                  <w:pPr>
                    <w:jc w:val="center"/>
                    <w:rPr>
                      <w:rFonts w:hint="eastAsia"/>
                      <w:szCs w:val="21"/>
                      <w:lang w:val="en-US" w:eastAsia="zh-CN"/>
                    </w:rPr>
                  </w:pPr>
                </w:p>
              </w:tc>
              <w:tc>
                <w:tcPr>
                  <w:tcW w:w="450" w:type="dxa"/>
                  <w:vMerge w:val="continue"/>
                  <w:vAlign w:val="center"/>
                </w:tcPr>
                <w:p w14:paraId="29C7C3F7">
                  <w:pPr>
                    <w:jc w:val="center"/>
                    <w:rPr>
                      <w:rFonts w:hint="eastAsia"/>
                      <w:szCs w:val="21"/>
                      <w:lang w:val="en-US" w:eastAsia="zh-CN"/>
                    </w:rPr>
                  </w:pPr>
                </w:p>
              </w:tc>
              <w:tc>
                <w:tcPr>
                  <w:tcW w:w="489" w:type="dxa"/>
                  <w:vMerge w:val="continue"/>
                  <w:vAlign w:val="center"/>
                </w:tcPr>
                <w:p w14:paraId="1852B1FE">
                  <w:pPr>
                    <w:jc w:val="center"/>
                    <w:rPr>
                      <w:rFonts w:hint="eastAsia"/>
                      <w:szCs w:val="21"/>
                      <w:lang w:val="en-US" w:eastAsia="zh-CN"/>
                    </w:rPr>
                  </w:pPr>
                </w:p>
              </w:tc>
              <w:tc>
                <w:tcPr>
                  <w:tcW w:w="464" w:type="dxa"/>
                  <w:vMerge w:val="continue"/>
                  <w:vAlign w:val="center"/>
                </w:tcPr>
                <w:p w14:paraId="6764CDD8">
                  <w:pPr>
                    <w:jc w:val="center"/>
                    <w:rPr>
                      <w:rFonts w:hint="eastAsia"/>
                      <w:szCs w:val="21"/>
                      <w:lang w:val="en-US" w:eastAsia="zh-CN"/>
                    </w:rPr>
                  </w:pPr>
                </w:p>
              </w:tc>
              <w:tc>
                <w:tcPr>
                  <w:tcW w:w="476" w:type="dxa"/>
                  <w:shd w:val="clear" w:color="auto" w:fill="auto"/>
                  <w:vAlign w:val="center"/>
                </w:tcPr>
                <w:p w14:paraId="7D594296">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424" w:type="dxa"/>
                  <w:shd w:val="clear" w:color="auto" w:fill="auto"/>
                  <w:vAlign w:val="center"/>
                </w:tcPr>
                <w:p w14:paraId="1718FE35">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w:t>
                  </w:r>
                </w:p>
              </w:tc>
              <w:tc>
                <w:tcPr>
                  <w:tcW w:w="599" w:type="dxa"/>
                  <w:shd w:val="clear" w:color="auto" w:fill="auto"/>
                  <w:vAlign w:val="center"/>
                </w:tcPr>
                <w:p w14:paraId="56E9E3E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40.4</w:t>
                  </w:r>
                </w:p>
              </w:tc>
              <w:tc>
                <w:tcPr>
                  <w:tcW w:w="544" w:type="dxa"/>
                  <w:vMerge w:val="continue"/>
                  <w:vAlign w:val="center"/>
                </w:tcPr>
                <w:p w14:paraId="210C460A">
                  <w:pPr>
                    <w:jc w:val="center"/>
                    <w:rPr>
                      <w:rFonts w:hint="eastAsia"/>
                      <w:szCs w:val="21"/>
                      <w:lang w:val="en-US" w:eastAsia="zh-CN"/>
                    </w:rPr>
                  </w:pPr>
                </w:p>
              </w:tc>
              <w:tc>
                <w:tcPr>
                  <w:tcW w:w="676" w:type="dxa"/>
                  <w:vMerge w:val="continue"/>
                  <w:vAlign w:val="center"/>
                </w:tcPr>
                <w:p w14:paraId="3E0388F4">
                  <w:pPr>
                    <w:jc w:val="center"/>
                    <w:rPr>
                      <w:rFonts w:hint="eastAsia"/>
                      <w:szCs w:val="21"/>
                      <w:lang w:val="en-US" w:eastAsia="zh-CN"/>
                    </w:rPr>
                  </w:pPr>
                </w:p>
              </w:tc>
              <w:tc>
                <w:tcPr>
                  <w:tcW w:w="718" w:type="dxa"/>
                  <w:shd w:val="clear" w:color="auto" w:fill="auto"/>
                  <w:vAlign w:val="center"/>
                </w:tcPr>
                <w:p w14:paraId="4E01F56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25.4</w:t>
                  </w:r>
                </w:p>
              </w:tc>
              <w:tc>
                <w:tcPr>
                  <w:tcW w:w="731" w:type="dxa"/>
                  <w:vMerge w:val="continue"/>
                  <w:vAlign w:val="center"/>
                </w:tcPr>
                <w:p w14:paraId="302EF325">
                  <w:pPr>
                    <w:jc w:val="center"/>
                    <w:rPr>
                      <w:rFonts w:hint="eastAsia"/>
                      <w:szCs w:val="21"/>
                      <w:lang w:val="en-US" w:eastAsia="zh-CN"/>
                    </w:rPr>
                  </w:pPr>
                </w:p>
              </w:tc>
            </w:tr>
            <w:tr w14:paraId="33629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258" w:type="dxa"/>
                  <w:vMerge w:val="continue"/>
                  <w:vAlign w:val="center"/>
                </w:tcPr>
                <w:p w14:paraId="4AC6CE3D">
                  <w:pPr>
                    <w:jc w:val="center"/>
                    <w:rPr>
                      <w:rFonts w:hint="eastAsia"/>
                      <w:szCs w:val="21"/>
                      <w:lang w:val="en-US" w:eastAsia="zh-CN"/>
                    </w:rPr>
                  </w:pPr>
                </w:p>
              </w:tc>
              <w:tc>
                <w:tcPr>
                  <w:tcW w:w="457" w:type="dxa"/>
                  <w:vMerge w:val="continue"/>
                  <w:vAlign w:val="center"/>
                </w:tcPr>
                <w:p w14:paraId="12F2A63F">
                  <w:pPr>
                    <w:jc w:val="center"/>
                    <w:rPr>
                      <w:rFonts w:hint="eastAsia"/>
                      <w:szCs w:val="21"/>
                      <w:lang w:val="en-US" w:eastAsia="zh-CN"/>
                    </w:rPr>
                  </w:pPr>
                </w:p>
              </w:tc>
              <w:tc>
                <w:tcPr>
                  <w:tcW w:w="556" w:type="dxa"/>
                  <w:vMerge w:val="continue"/>
                  <w:shd w:val="clear" w:color="auto" w:fill="auto"/>
                  <w:vAlign w:val="center"/>
                </w:tcPr>
                <w:p w14:paraId="24AC153B">
                  <w:pPr>
                    <w:jc w:val="center"/>
                    <w:rPr>
                      <w:rFonts w:hint="eastAsia"/>
                      <w:szCs w:val="21"/>
                      <w:lang w:val="en-US" w:eastAsia="zh-CN"/>
                    </w:rPr>
                  </w:pPr>
                </w:p>
              </w:tc>
              <w:tc>
                <w:tcPr>
                  <w:tcW w:w="599" w:type="dxa"/>
                  <w:vMerge w:val="continue"/>
                  <w:shd w:val="clear" w:color="auto" w:fill="auto"/>
                  <w:vAlign w:val="center"/>
                </w:tcPr>
                <w:p w14:paraId="642AB3D9">
                  <w:pPr>
                    <w:jc w:val="center"/>
                    <w:rPr>
                      <w:rFonts w:hint="eastAsia"/>
                      <w:szCs w:val="21"/>
                      <w:lang w:val="en-US" w:eastAsia="zh-CN"/>
                    </w:rPr>
                  </w:pPr>
                </w:p>
              </w:tc>
              <w:tc>
                <w:tcPr>
                  <w:tcW w:w="572" w:type="dxa"/>
                  <w:vMerge w:val="continue"/>
                  <w:vAlign w:val="center"/>
                </w:tcPr>
                <w:p w14:paraId="482893B4">
                  <w:pPr>
                    <w:jc w:val="center"/>
                    <w:rPr>
                      <w:rFonts w:hint="eastAsia"/>
                      <w:szCs w:val="21"/>
                      <w:lang w:val="en-US" w:eastAsia="zh-CN"/>
                    </w:rPr>
                  </w:pPr>
                </w:p>
              </w:tc>
              <w:tc>
                <w:tcPr>
                  <w:tcW w:w="572" w:type="dxa"/>
                  <w:vMerge w:val="continue"/>
                  <w:vAlign w:val="center"/>
                </w:tcPr>
                <w:p w14:paraId="5B6B45D7">
                  <w:pPr>
                    <w:jc w:val="center"/>
                    <w:rPr>
                      <w:rFonts w:hint="eastAsia"/>
                      <w:szCs w:val="21"/>
                      <w:lang w:val="en-US" w:eastAsia="zh-CN"/>
                    </w:rPr>
                  </w:pPr>
                </w:p>
              </w:tc>
              <w:tc>
                <w:tcPr>
                  <w:tcW w:w="450" w:type="dxa"/>
                  <w:vMerge w:val="continue"/>
                  <w:vAlign w:val="center"/>
                </w:tcPr>
                <w:p w14:paraId="6B261F5D">
                  <w:pPr>
                    <w:jc w:val="center"/>
                    <w:rPr>
                      <w:rFonts w:hint="eastAsia"/>
                      <w:szCs w:val="21"/>
                      <w:lang w:val="en-US" w:eastAsia="zh-CN"/>
                    </w:rPr>
                  </w:pPr>
                </w:p>
              </w:tc>
              <w:tc>
                <w:tcPr>
                  <w:tcW w:w="489" w:type="dxa"/>
                  <w:vMerge w:val="continue"/>
                  <w:vAlign w:val="center"/>
                </w:tcPr>
                <w:p w14:paraId="56D5BCDA">
                  <w:pPr>
                    <w:jc w:val="center"/>
                    <w:rPr>
                      <w:rFonts w:hint="eastAsia"/>
                      <w:szCs w:val="21"/>
                      <w:lang w:val="en-US" w:eastAsia="zh-CN"/>
                    </w:rPr>
                  </w:pPr>
                </w:p>
              </w:tc>
              <w:tc>
                <w:tcPr>
                  <w:tcW w:w="464" w:type="dxa"/>
                  <w:vMerge w:val="continue"/>
                  <w:vAlign w:val="center"/>
                </w:tcPr>
                <w:p w14:paraId="4BAA62B3">
                  <w:pPr>
                    <w:jc w:val="center"/>
                    <w:rPr>
                      <w:rFonts w:hint="eastAsia"/>
                      <w:szCs w:val="21"/>
                      <w:lang w:val="en-US" w:eastAsia="zh-CN"/>
                    </w:rPr>
                  </w:pPr>
                </w:p>
              </w:tc>
              <w:tc>
                <w:tcPr>
                  <w:tcW w:w="476" w:type="dxa"/>
                  <w:shd w:val="clear" w:color="auto" w:fill="auto"/>
                  <w:vAlign w:val="center"/>
                </w:tcPr>
                <w:p w14:paraId="40F7148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424" w:type="dxa"/>
                  <w:shd w:val="clear" w:color="auto" w:fill="auto"/>
                  <w:vAlign w:val="center"/>
                </w:tcPr>
                <w:p w14:paraId="57EB2BD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29</w:t>
                  </w:r>
                </w:p>
              </w:tc>
              <w:tc>
                <w:tcPr>
                  <w:tcW w:w="599" w:type="dxa"/>
                  <w:shd w:val="clear" w:color="auto" w:fill="auto"/>
                  <w:vAlign w:val="center"/>
                </w:tcPr>
                <w:p w14:paraId="6F9DB19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43.3</w:t>
                  </w:r>
                </w:p>
              </w:tc>
              <w:tc>
                <w:tcPr>
                  <w:tcW w:w="544" w:type="dxa"/>
                  <w:vMerge w:val="continue"/>
                  <w:vAlign w:val="center"/>
                </w:tcPr>
                <w:p w14:paraId="2367517A">
                  <w:pPr>
                    <w:jc w:val="center"/>
                    <w:rPr>
                      <w:rFonts w:hint="eastAsia"/>
                      <w:szCs w:val="21"/>
                      <w:lang w:val="en-US" w:eastAsia="zh-CN"/>
                    </w:rPr>
                  </w:pPr>
                </w:p>
              </w:tc>
              <w:tc>
                <w:tcPr>
                  <w:tcW w:w="676" w:type="dxa"/>
                  <w:vMerge w:val="continue"/>
                  <w:vAlign w:val="center"/>
                </w:tcPr>
                <w:p w14:paraId="1D0B5782">
                  <w:pPr>
                    <w:jc w:val="center"/>
                    <w:rPr>
                      <w:rFonts w:hint="eastAsia"/>
                      <w:szCs w:val="21"/>
                      <w:lang w:val="en-US" w:eastAsia="zh-CN"/>
                    </w:rPr>
                  </w:pPr>
                </w:p>
              </w:tc>
              <w:tc>
                <w:tcPr>
                  <w:tcW w:w="718" w:type="dxa"/>
                  <w:shd w:val="clear" w:color="auto" w:fill="auto"/>
                  <w:vAlign w:val="center"/>
                </w:tcPr>
                <w:p w14:paraId="36C6FCB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28.3</w:t>
                  </w:r>
                </w:p>
              </w:tc>
              <w:tc>
                <w:tcPr>
                  <w:tcW w:w="731" w:type="dxa"/>
                  <w:vMerge w:val="continue"/>
                  <w:vAlign w:val="center"/>
                </w:tcPr>
                <w:p w14:paraId="78CB424B">
                  <w:pPr>
                    <w:jc w:val="center"/>
                    <w:rPr>
                      <w:rFonts w:hint="eastAsia"/>
                      <w:szCs w:val="21"/>
                      <w:lang w:val="en-US" w:eastAsia="zh-CN"/>
                    </w:rPr>
                  </w:pPr>
                </w:p>
              </w:tc>
            </w:tr>
            <w:tr w14:paraId="56D4F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restart"/>
                  <w:vAlign w:val="center"/>
                </w:tcPr>
                <w:p w14:paraId="6A4E43C1">
                  <w:pPr>
                    <w:jc w:val="center"/>
                    <w:rPr>
                      <w:rFonts w:hint="default"/>
                      <w:szCs w:val="21"/>
                      <w:lang w:val="en-US" w:eastAsia="zh-CN"/>
                    </w:rPr>
                  </w:pPr>
                  <w:r>
                    <w:rPr>
                      <w:rFonts w:hint="eastAsia"/>
                      <w:szCs w:val="21"/>
                      <w:lang w:val="en-US" w:eastAsia="zh-CN"/>
                    </w:rPr>
                    <w:t>6</w:t>
                  </w:r>
                </w:p>
              </w:tc>
              <w:tc>
                <w:tcPr>
                  <w:tcW w:w="457" w:type="dxa"/>
                  <w:vMerge w:val="restart"/>
                  <w:vAlign w:val="center"/>
                </w:tcPr>
                <w:p w14:paraId="2902FF28">
                  <w:pPr>
                    <w:jc w:val="center"/>
                    <w:rPr>
                      <w:rFonts w:hint="default"/>
                      <w:szCs w:val="21"/>
                      <w:lang w:val="en-US" w:eastAsia="zh-CN"/>
                    </w:rPr>
                  </w:pPr>
                  <w:r>
                    <w:rPr>
                      <w:rFonts w:hint="eastAsia"/>
                      <w:szCs w:val="21"/>
                      <w:lang w:val="en-US" w:eastAsia="zh-CN"/>
                    </w:rPr>
                    <w:t>控制机房</w:t>
                  </w:r>
                </w:p>
              </w:tc>
              <w:tc>
                <w:tcPr>
                  <w:tcW w:w="556" w:type="dxa"/>
                  <w:vMerge w:val="restart"/>
                  <w:shd w:val="clear" w:color="auto" w:fill="auto"/>
                  <w:vAlign w:val="center"/>
                </w:tcPr>
                <w:p w14:paraId="492DDCD9">
                  <w:pPr>
                    <w:jc w:val="center"/>
                    <w:rPr>
                      <w:rFonts w:hint="default"/>
                      <w:szCs w:val="21"/>
                      <w:lang w:val="en-US" w:eastAsia="zh-CN"/>
                    </w:rPr>
                  </w:pPr>
                  <w:r>
                    <w:rPr>
                      <w:rFonts w:hint="eastAsia"/>
                      <w:szCs w:val="21"/>
                      <w:lang w:val="en-US" w:eastAsia="zh-CN"/>
                    </w:rPr>
                    <w:t>压缩机</w:t>
                  </w:r>
                </w:p>
              </w:tc>
              <w:tc>
                <w:tcPr>
                  <w:tcW w:w="599" w:type="dxa"/>
                  <w:vMerge w:val="restart"/>
                  <w:shd w:val="clear" w:color="auto" w:fill="auto"/>
                  <w:vAlign w:val="center"/>
                </w:tcPr>
                <w:p w14:paraId="7178909B">
                  <w:pPr>
                    <w:jc w:val="center"/>
                    <w:rPr>
                      <w:rFonts w:hint="default"/>
                      <w:szCs w:val="21"/>
                      <w:lang w:val="en-US" w:eastAsia="zh-CN"/>
                    </w:rPr>
                  </w:pPr>
                  <w:r>
                    <w:rPr>
                      <w:rFonts w:hint="eastAsia"/>
                      <w:szCs w:val="21"/>
                      <w:lang w:val="en-US" w:eastAsia="zh-CN"/>
                    </w:rPr>
                    <w:t>3</w:t>
                  </w:r>
                </w:p>
              </w:tc>
              <w:tc>
                <w:tcPr>
                  <w:tcW w:w="572" w:type="dxa"/>
                  <w:vMerge w:val="restart"/>
                  <w:vAlign w:val="center"/>
                </w:tcPr>
                <w:p w14:paraId="7E6635AB">
                  <w:pPr>
                    <w:jc w:val="center"/>
                    <w:rPr>
                      <w:rFonts w:hint="default"/>
                      <w:szCs w:val="21"/>
                      <w:lang w:val="en-US" w:eastAsia="zh-CN"/>
                    </w:rPr>
                  </w:pPr>
                  <w:r>
                    <w:rPr>
                      <w:rFonts w:hint="eastAsia"/>
                      <w:szCs w:val="21"/>
                      <w:lang w:val="en-US" w:eastAsia="zh-CN"/>
                    </w:rPr>
                    <w:t>70-80</w:t>
                  </w:r>
                </w:p>
              </w:tc>
              <w:tc>
                <w:tcPr>
                  <w:tcW w:w="572" w:type="dxa"/>
                  <w:vMerge w:val="continue"/>
                  <w:vAlign w:val="center"/>
                </w:tcPr>
                <w:p w14:paraId="4702BE1D">
                  <w:pPr>
                    <w:jc w:val="center"/>
                    <w:rPr>
                      <w:rFonts w:hint="eastAsia"/>
                      <w:szCs w:val="21"/>
                      <w:lang w:val="en-US" w:eastAsia="zh-CN"/>
                    </w:rPr>
                  </w:pPr>
                </w:p>
              </w:tc>
              <w:tc>
                <w:tcPr>
                  <w:tcW w:w="450" w:type="dxa"/>
                  <w:vMerge w:val="restart"/>
                  <w:vAlign w:val="center"/>
                </w:tcPr>
                <w:p w14:paraId="52D2FF08">
                  <w:pPr>
                    <w:jc w:val="center"/>
                    <w:rPr>
                      <w:rFonts w:hint="default"/>
                      <w:szCs w:val="21"/>
                      <w:lang w:val="en-US" w:eastAsia="zh-CN"/>
                    </w:rPr>
                  </w:pPr>
                  <w:r>
                    <w:rPr>
                      <w:rFonts w:hint="eastAsia"/>
                      <w:szCs w:val="21"/>
                      <w:lang w:val="en-US" w:eastAsia="zh-CN"/>
                    </w:rPr>
                    <w:t>2-40</w:t>
                  </w:r>
                </w:p>
              </w:tc>
              <w:tc>
                <w:tcPr>
                  <w:tcW w:w="489" w:type="dxa"/>
                  <w:vMerge w:val="restart"/>
                  <w:vAlign w:val="center"/>
                </w:tcPr>
                <w:p w14:paraId="48782A04">
                  <w:pPr>
                    <w:jc w:val="center"/>
                    <w:rPr>
                      <w:rFonts w:hint="default"/>
                      <w:szCs w:val="21"/>
                      <w:lang w:val="en-US" w:eastAsia="zh-CN"/>
                    </w:rPr>
                  </w:pPr>
                  <w:r>
                    <w:rPr>
                      <w:rFonts w:hint="eastAsia"/>
                      <w:szCs w:val="21"/>
                      <w:lang w:val="en-US" w:eastAsia="zh-CN"/>
                    </w:rPr>
                    <w:t>1-10</w:t>
                  </w:r>
                </w:p>
              </w:tc>
              <w:tc>
                <w:tcPr>
                  <w:tcW w:w="464" w:type="dxa"/>
                  <w:vMerge w:val="restart"/>
                  <w:vAlign w:val="center"/>
                </w:tcPr>
                <w:p w14:paraId="45FA8E95">
                  <w:pPr>
                    <w:jc w:val="center"/>
                    <w:rPr>
                      <w:rFonts w:hint="default"/>
                      <w:szCs w:val="21"/>
                      <w:lang w:val="en-US" w:eastAsia="zh-CN"/>
                    </w:rPr>
                  </w:pPr>
                  <w:r>
                    <w:rPr>
                      <w:rFonts w:hint="eastAsia"/>
                      <w:szCs w:val="21"/>
                      <w:lang w:val="en-US" w:eastAsia="zh-CN"/>
                    </w:rPr>
                    <w:t>1.5</w:t>
                  </w:r>
                </w:p>
              </w:tc>
              <w:tc>
                <w:tcPr>
                  <w:tcW w:w="476" w:type="dxa"/>
                  <w:shd w:val="clear" w:color="auto" w:fill="auto"/>
                  <w:vAlign w:val="center"/>
                </w:tcPr>
                <w:p w14:paraId="1C25924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424" w:type="dxa"/>
                  <w:shd w:val="clear" w:color="auto" w:fill="auto"/>
                  <w:vAlign w:val="center"/>
                </w:tcPr>
                <w:p w14:paraId="126670CB">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599" w:type="dxa"/>
                  <w:vAlign w:val="center"/>
                </w:tcPr>
                <w:p w14:paraId="12D4FC7D">
                  <w:pPr>
                    <w:jc w:val="center"/>
                    <w:rPr>
                      <w:rFonts w:hint="default"/>
                      <w:szCs w:val="21"/>
                      <w:lang w:val="en-US" w:eastAsia="zh-CN"/>
                    </w:rPr>
                  </w:pPr>
                  <w:r>
                    <w:rPr>
                      <w:rFonts w:hint="eastAsia"/>
                      <w:szCs w:val="21"/>
                      <w:lang w:val="en-US" w:eastAsia="zh-CN"/>
                    </w:rPr>
                    <w:t>75.5</w:t>
                  </w:r>
                </w:p>
              </w:tc>
              <w:tc>
                <w:tcPr>
                  <w:tcW w:w="544" w:type="dxa"/>
                  <w:vMerge w:val="restart"/>
                  <w:vAlign w:val="center"/>
                </w:tcPr>
                <w:p w14:paraId="06B80B08">
                  <w:pPr>
                    <w:jc w:val="center"/>
                    <w:rPr>
                      <w:rFonts w:hint="eastAsia"/>
                      <w:szCs w:val="21"/>
                      <w:lang w:val="en-US" w:eastAsia="zh-CN"/>
                    </w:rPr>
                  </w:pPr>
                  <w:r>
                    <w:rPr>
                      <w:rFonts w:hint="eastAsia"/>
                      <w:snapToGrid w:val="0"/>
                      <w:szCs w:val="21"/>
                      <w:lang w:val="en-US" w:eastAsia="zh-CN"/>
                    </w:rPr>
                    <w:t>24h</w:t>
                  </w:r>
                  <w:r>
                    <w:rPr>
                      <w:rFonts w:hint="eastAsia"/>
                      <w:snapToGrid w:val="0"/>
                      <w:szCs w:val="21"/>
                    </w:rPr>
                    <w:t>/d</w:t>
                  </w:r>
                </w:p>
              </w:tc>
              <w:tc>
                <w:tcPr>
                  <w:tcW w:w="676" w:type="dxa"/>
                  <w:vMerge w:val="restart"/>
                  <w:vAlign w:val="center"/>
                </w:tcPr>
                <w:p w14:paraId="74C4F0C1">
                  <w:pPr>
                    <w:jc w:val="center"/>
                    <w:rPr>
                      <w:rFonts w:hint="eastAsia"/>
                      <w:szCs w:val="21"/>
                      <w:lang w:val="en-US" w:eastAsia="zh-CN"/>
                    </w:rPr>
                  </w:pPr>
                  <w:r>
                    <w:rPr>
                      <w:rFonts w:hint="eastAsia"/>
                      <w:szCs w:val="21"/>
                    </w:rPr>
                    <w:t>-15</w:t>
                  </w:r>
                </w:p>
              </w:tc>
              <w:tc>
                <w:tcPr>
                  <w:tcW w:w="718" w:type="dxa"/>
                  <w:vAlign w:val="center"/>
                </w:tcPr>
                <w:p w14:paraId="7837E073">
                  <w:pPr>
                    <w:jc w:val="center"/>
                    <w:rPr>
                      <w:rFonts w:hint="default"/>
                      <w:szCs w:val="21"/>
                      <w:lang w:val="en-US" w:eastAsia="zh-CN"/>
                    </w:rPr>
                  </w:pPr>
                  <w:r>
                    <w:rPr>
                      <w:rFonts w:hint="eastAsia"/>
                      <w:szCs w:val="21"/>
                      <w:lang w:val="en-US" w:eastAsia="zh-CN"/>
                    </w:rPr>
                    <w:t>60.5</w:t>
                  </w:r>
                </w:p>
              </w:tc>
              <w:tc>
                <w:tcPr>
                  <w:tcW w:w="731" w:type="dxa"/>
                  <w:vMerge w:val="continue"/>
                  <w:vAlign w:val="center"/>
                </w:tcPr>
                <w:p w14:paraId="1389FE14">
                  <w:pPr>
                    <w:jc w:val="center"/>
                    <w:rPr>
                      <w:rFonts w:hint="eastAsia"/>
                      <w:szCs w:val="21"/>
                      <w:lang w:val="en-US" w:eastAsia="zh-CN"/>
                    </w:rPr>
                  </w:pPr>
                </w:p>
              </w:tc>
            </w:tr>
            <w:tr w14:paraId="7648E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138885AF">
                  <w:pPr>
                    <w:jc w:val="center"/>
                  </w:pPr>
                </w:p>
              </w:tc>
              <w:tc>
                <w:tcPr>
                  <w:tcW w:w="457" w:type="dxa"/>
                  <w:vMerge w:val="continue"/>
                  <w:vAlign w:val="center"/>
                </w:tcPr>
                <w:p w14:paraId="3C1A2E94">
                  <w:pPr>
                    <w:jc w:val="center"/>
                  </w:pPr>
                </w:p>
              </w:tc>
              <w:tc>
                <w:tcPr>
                  <w:tcW w:w="556" w:type="dxa"/>
                  <w:vMerge w:val="continue"/>
                  <w:shd w:val="clear" w:color="auto" w:fill="auto"/>
                  <w:vAlign w:val="center"/>
                </w:tcPr>
                <w:p w14:paraId="4E710D83">
                  <w:pPr>
                    <w:jc w:val="center"/>
                  </w:pPr>
                </w:p>
              </w:tc>
              <w:tc>
                <w:tcPr>
                  <w:tcW w:w="599" w:type="dxa"/>
                  <w:vMerge w:val="continue"/>
                  <w:shd w:val="clear" w:color="auto" w:fill="auto"/>
                  <w:vAlign w:val="center"/>
                </w:tcPr>
                <w:p w14:paraId="32AE35A8">
                  <w:pPr>
                    <w:jc w:val="center"/>
                  </w:pPr>
                </w:p>
              </w:tc>
              <w:tc>
                <w:tcPr>
                  <w:tcW w:w="572" w:type="dxa"/>
                  <w:vMerge w:val="continue"/>
                  <w:vAlign w:val="center"/>
                </w:tcPr>
                <w:p w14:paraId="25400F2F">
                  <w:pPr>
                    <w:jc w:val="center"/>
                  </w:pPr>
                </w:p>
              </w:tc>
              <w:tc>
                <w:tcPr>
                  <w:tcW w:w="572" w:type="dxa"/>
                  <w:vMerge w:val="continue"/>
                  <w:vAlign w:val="center"/>
                </w:tcPr>
                <w:p w14:paraId="5AA82C1A">
                  <w:pPr>
                    <w:jc w:val="center"/>
                  </w:pPr>
                </w:p>
              </w:tc>
              <w:tc>
                <w:tcPr>
                  <w:tcW w:w="450" w:type="dxa"/>
                  <w:vMerge w:val="continue"/>
                  <w:vAlign w:val="center"/>
                </w:tcPr>
                <w:p w14:paraId="463A5A32">
                  <w:pPr>
                    <w:jc w:val="center"/>
                  </w:pPr>
                </w:p>
              </w:tc>
              <w:tc>
                <w:tcPr>
                  <w:tcW w:w="489" w:type="dxa"/>
                  <w:vMerge w:val="continue"/>
                  <w:vAlign w:val="center"/>
                </w:tcPr>
                <w:p w14:paraId="5A277408">
                  <w:pPr>
                    <w:jc w:val="center"/>
                  </w:pPr>
                </w:p>
              </w:tc>
              <w:tc>
                <w:tcPr>
                  <w:tcW w:w="464" w:type="dxa"/>
                  <w:vMerge w:val="continue"/>
                  <w:vAlign w:val="center"/>
                </w:tcPr>
                <w:p w14:paraId="159185A7">
                  <w:pPr>
                    <w:jc w:val="center"/>
                  </w:pPr>
                </w:p>
              </w:tc>
              <w:tc>
                <w:tcPr>
                  <w:tcW w:w="476" w:type="dxa"/>
                  <w:shd w:val="clear" w:color="auto" w:fill="auto"/>
                  <w:vAlign w:val="center"/>
                </w:tcPr>
                <w:p w14:paraId="4820298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424" w:type="dxa"/>
                  <w:shd w:val="clear" w:color="auto" w:fill="auto"/>
                  <w:vAlign w:val="center"/>
                </w:tcPr>
                <w:p w14:paraId="0316D009">
                  <w:pPr>
                    <w:jc w:val="center"/>
                    <w:rPr>
                      <w:rFonts w:hint="default"/>
                      <w:szCs w:val="21"/>
                      <w:lang w:val="en-US" w:eastAsia="zh-CN"/>
                    </w:rPr>
                  </w:pPr>
                  <w:r>
                    <w:rPr>
                      <w:rFonts w:hint="eastAsia"/>
                      <w:szCs w:val="21"/>
                      <w:lang w:val="en-US" w:eastAsia="zh-CN"/>
                    </w:rPr>
                    <w:t>17</w:t>
                  </w:r>
                </w:p>
              </w:tc>
              <w:tc>
                <w:tcPr>
                  <w:tcW w:w="599" w:type="dxa"/>
                  <w:vAlign w:val="center"/>
                </w:tcPr>
                <w:p w14:paraId="3A66354E">
                  <w:pPr>
                    <w:jc w:val="center"/>
                    <w:rPr>
                      <w:rFonts w:hint="default"/>
                      <w:szCs w:val="21"/>
                      <w:lang w:val="en-US" w:eastAsia="zh-CN"/>
                    </w:rPr>
                  </w:pPr>
                  <w:r>
                    <w:rPr>
                      <w:rFonts w:hint="eastAsia"/>
                      <w:szCs w:val="21"/>
                      <w:lang w:val="en-US" w:eastAsia="zh-CN"/>
                    </w:rPr>
                    <w:t>67.8</w:t>
                  </w:r>
                </w:p>
              </w:tc>
              <w:tc>
                <w:tcPr>
                  <w:tcW w:w="544" w:type="dxa"/>
                  <w:vMerge w:val="continue"/>
                  <w:vAlign w:val="center"/>
                </w:tcPr>
                <w:p w14:paraId="2B3081A9">
                  <w:pPr>
                    <w:jc w:val="center"/>
                    <w:rPr>
                      <w:rFonts w:hint="eastAsia"/>
                      <w:szCs w:val="21"/>
                      <w:lang w:val="en-US" w:eastAsia="zh-CN"/>
                    </w:rPr>
                  </w:pPr>
                </w:p>
              </w:tc>
              <w:tc>
                <w:tcPr>
                  <w:tcW w:w="676" w:type="dxa"/>
                  <w:vMerge w:val="continue"/>
                  <w:vAlign w:val="center"/>
                </w:tcPr>
                <w:p w14:paraId="4D57E3A0">
                  <w:pPr>
                    <w:jc w:val="center"/>
                    <w:rPr>
                      <w:rFonts w:hint="eastAsia"/>
                      <w:szCs w:val="21"/>
                      <w:lang w:val="en-US" w:eastAsia="zh-CN"/>
                    </w:rPr>
                  </w:pPr>
                </w:p>
              </w:tc>
              <w:tc>
                <w:tcPr>
                  <w:tcW w:w="718" w:type="dxa"/>
                  <w:vAlign w:val="center"/>
                </w:tcPr>
                <w:p w14:paraId="43F6D45D">
                  <w:pPr>
                    <w:jc w:val="center"/>
                    <w:rPr>
                      <w:rFonts w:hint="default"/>
                      <w:szCs w:val="21"/>
                      <w:lang w:val="en-US" w:eastAsia="zh-CN"/>
                    </w:rPr>
                  </w:pPr>
                  <w:r>
                    <w:rPr>
                      <w:rFonts w:hint="eastAsia"/>
                      <w:szCs w:val="21"/>
                      <w:lang w:val="en-US" w:eastAsia="zh-CN"/>
                    </w:rPr>
                    <w:t>52.8</w:t>
                  </w:r>
                </w:p>
              </w:tc>
              <w:tc>
                <w:tcPr>
                  <w:tcW w:w="731" w:type="dxa"/>
                  <w:vMerge w:val="continue"/>
                  <w:vAlign w:val="center"/>
                </w:tcPr>
                <w:p w14:paraId="7F64A66E">
                  <w:pPr>
                    <w:jc w:val="center"/>
                    <w:rPr>
                      <w:rFonts w:hint="eastAsia"/>
                      <w:szCs w:val="21"/>
                      <w:lang w:val="en-US" w:eastAsia="zh-CN"/>
                    </w:rPr>
                  </w:pPr>
                </w:p>
              </w:tc>
            </w:tr>
            <w:tr w14:paraId="19C9E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559154E4">
                  <w:pPr>
                    <w:jc w:val="center"/>
                    <w:rPr>
                      <w:rFonts w:hint="eastAsia"/>
                      <w:szCs w:val="21"/>
                      <w:lang w:val="en-US" w:eastAsia="zh-CN"/>
                    </w:rPr>
                  </w:pPr>
                </w:p>
              </w:tc>
              <w:tc>
                <w:tcPr>
                  <w:tcW w:w="457" w:type="dxa"/>
                  <w:vMerge w:val="continue"/>
                  <w:vAlign w:val="center"/>
                </w:tcPr>
                <w:p w14:paraId="5825E141">
                  <w:pPr>
                    <w:jc w:val="center"/>
                    <w:rPr>
                      <w:rFonts w:hint="eastAsia"/>
                      <w:szCs w:val="21"/>
                      <w:lang w:val="en-US" w:eastAsia="zh-CN"/>
                    </w:rPr>
                  </w:pPr>
                </w:p>
              </w:tc>
              <w:tc>
                <w:tcPr>
                  <w:tcW w:w="556" w:type="dxa"/>
                  <w:vMerge w:val="continue"/>
                  <w:shd w:val="clear" w:color="auto" w:fill="auto"/>
                  <w:vAlign w:val="center"/>
                </w:tcPr>
                <w:p w14:paraId="1C7F045A">
                  <w:pPr>
                    <w:jc w:val="center"/>
                    <w:rPr>
                      <w:rFonts w:hint="eastAsia"/>
                      <w:szCs w:val="21"/>
                      <w:lang w:val="en-US" w:eastAsia="zh-CN"/>
                    </w:rPr>
                  </w:pPr>
                </w:p>
              </w:tc>
              <w:tc>
                <w:tcPr>
                  <w:tcW w:w="599" w:type="dxa"/>
                  <w:vMerge w:val="continue"/>
                  <w:shd w:val="clear" w:color="auto" w:fill="auto"/>
                  <w:vAlign w:val="center"/>
                </w:tcPr>
                <w:p w14:paraId="5DE18992">
                  <w:pPr>
                    <w:jc w:val="center"/>
                    <w:rPr>
                      <w:rFonts w:hint="eastAsia"/>
                      <w:szCs w:val="21"/>
                      <w:lang w:val="en-US" w:eastAsia="zh-CN"/>
                    </w:rPr>
                  </w:pPr>
                </w:p>
              </w:tc>
              <w:tc>
                <w:tcPr>
                  <w:tcW w:w="572" w:type="dxa"/>
                  <w:vMerge w:val="continue"/>
                  <w:vAlign w:val="center"/>
                </w:tcPr>
                <w:p w14:paraId="75FF3683">
                  <w:pPr>
                    <w:jc w:val="center"/>
                    <w:rPr>
                      <w:rFonts w:hint="eastAsia"/>
                      <w:szCs w:val="21"/>
                      <w:lang w:val="en-US" w:eastAsia="zh-CN"/>
                    </w:rPr>
                  </w:pPr>
                </w:p>
              </w:tc>
              <w:tc>
                <w:tcPr>
                  <w:tcW w:w="572" w:type="dxa"/>
                  <w:vMerge w:val="continue"/>
                  <w:vAlign w:val="center"/>
                </w:tcPr>
                <w:p w14:paraId="62489509">
                  <w:pPr>
                    <w:jc w:val="center"/>
                    <w:rPr>
                      <w:rFonts w:hint="eastAsia"/>
                      <w:szCs w:val="21"/>
                      <w:lang w:val="en-US" w:eastAsia="zh-CN"/>
                    </w:rPr>
                  </w:pPr>
                </w:p>
              </w:tc>
              <w:tc>
                <w:tcPr>
                  <w:tcW w:w="450" w:type="dxa"/>
                  <w:vMerge w:val="continue"/>
                  <w:vAlign w:val="center"/>
                </w:tcPr>
                <w:p w14:paraId="188C2FFE">
                  <w:pPr>
                    <w:jc w:val="center"/>
                    <w:rPr>
                      <w:rFonts w:hint="eastAsia"/>
                      <w:szCs w:val="21"/>
                      <w:lang w:val="en-US" w:eastAsia="zh-CN"/>
                    </w:rPr>
                  </w:pPr>
                </w:p>
              </w:tc>
              <w:tc>
                <w:tcPr>
                  <w:tcW w:w="489" w:type="dxa"/>
                  <w:vMerge w:val="continue"/>
                  <w:vAlign w:val="center"/>
                </w:tcPr>
                <w:p w14:paraId="172588F3">
                  <w:pPr>
                    <w:jc w:val="center"/>
                    <w:rPr>
                      <w:rFonts w:hint="eastAsia"/>
                      <w:szCs w:val="21"/>
                      <w:lang w:val="en-US" w:eastAsia="zh-CN"/>
                    </w:rPr>
                  </w:pPr>
                </w:p>
              </w:tc>
              <w:tc>
                <w:tcPr>
                  <w:tcW w:w="464" w:type="dxa"/>
                  <w:vMerge w:val="continue"/>
                  <w:vAlign w:val="center"/>
                </w:tcPr>
                <w:p w14:paraId="056A64BE">
                  <w:pPr>
                    <w:jc w:val="center"/>
                    <w:rPr>
                      <w:rFonts w:hint="eastAsia"/>
                      <w:szCs w:val="21"/>
                      <w:lang w:val="en-US" w:eastAsia="zh-CN"/>
                    </w:rPr>
                  </w:pPr>
                </w:p>
              </w:tc>
              <w:tc>
                <w:tcPr>
                  <w:tcW w:w="476" w:type="dxa"/>
                  <w:shd w:val="clear" w:color="auto" w:fill="auto"/>
                  <w:vAlign w:val="center"/>
                </w:tcPr>
                <w:p w14:paraId="3538000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424" w:type="dxa"/>
                  <w:shd w:val="clear" w:color="auto" w:fill="auto"/>
                  <w:vAlign w:val="center"/>
                </w:tcPr>
                <w:p w14:paraId="4D1FA752">
                  <w:pPr>
                    <w:jc w:val="center"/>
                    <w:rPr>
                      <w:rFonts w:hint="default"/>
                      <w:szCs w:val="21"/>
                      <w:lang w:val="en-US" w:eastAsia="zh-CN"/>
                    </w:rPr>
                  </w:pPr>
                  <w:r>
                    <w:rPr>
                      <w:rFonts w:hint="eastAsia"/>
                      <w:szCs w:val="21"/>
                      <w:lang w:val="en-US" w:eastAsia="zh-CN"/>
                    </w:rPr>
                    <w:t>2</w:t>
                  </w:r>
                </w:p>
              </w:tc>
              <w:tc>
                <w:tcPr>
                  <w:tcW w:w="599" w:type="dxa"/>
                  <w:vAlign w:val="center"/>
                </w:tcPr>
                <w:p w14:paraId="680BFA30">
                  <w:pPr>
                    <w:jc w:val="center"/>
                    <w:rPr>
                      <w:rFonts w:hint="default"/>
                      <w:szCs w:val="21"/>
                      <w:lang w:val="en-US" w:eastAsia="zh-CN"/>
                    </w:rPr>
                  </w:pPr>
                  <w:r>
                    <w:rPr>
                      <w:rFonts w:hint="eastAsia"/>
                      <w:szCs w:val="21"/>
                      <w:lang w:val="en-US" w:eastAsia="zh-CN"/>
                    </w:rPr>
                    <w:t>72.7</w:t>
                  </w:r>
                </w:p>
              </w:tc>
              <w:tc>
                <w:tcPr>
                  <w:tcW w:w="544" w:type="dxa"/>
                  <w:vMerge w:val="continue"/>
                  <w:vAlign w:val="center"/>
                </w:tcPr>
                <w:p w14:paraId="61B720C0">
                  <w:pPr>
                    <w:jc w:val="center"/>
                    <w:rPr>
                      <w:rFonts w:hint="eastAsia"/>
                      <w:szCs w:val="21"/>
                      <w:lang w:val="en-US" w:eastAsia="zh-CN"/>
                    </w:rPr>
                  </w:pPr>
                </w:p>
              </w:tc>
              <w:tc>
                <w:tcPr>
                  <w:tcW w:w="676" w:type="dxa"/>
                  <w:vMerge w:val="continue"/>
                  <w:vAlign w:val="center"/>
                </w:tcPr>
                <w:p w14:paraId="7A980C01">
                  <w:pPr>
                    <w:jc w:val="center"/>
                    <w:rPr>
                      <w:rFonts w:hint="eastAsia"/>
                      <w:szCs w:val="21"/>
                      <w:lang w:val="en-US" w:eastAsia="zh-CN"/>
                    </w:rPr>
                  </w:pPr>
                </w:p>
              </w:tc>
              <w:tc>
                <w:tcPr>
                  <w:tcW w:w="718" w:type="dxa"/>
                  <w:vAlign w:val="center"/>
                </w:tcPr>
                <w:p w14:paraId="59007559">
                  <w:pPr>
                    <w:jc w:val="center"/>
                    <w:rPr>
                      <w:rFonts w:hint="default"/>
                      <w:szCs w:val="21"/>
                      <w:lang w:val="en-US" w:eastAsia="zh-CN"/>
                    </w:rPr>
                  </w:pPr>
                  <w:r>
                    <w:rPr>
                      <w:rFonts w:hint="eastAsia"/>
                      <w:szCs w:val="21"/>
                      <w:lang w:val="en-US" w:eastAsia="zh-CN"/>
                    </w:rPr>
                    <w:t>58.7</w:t>
                  </w:r>
                </w:p>
              </w:tc>
              <w:tc>
                <w:tcPr>
                  <w:tcW w:w="731" w:type="dxa"/>
                  <w:vMerge w:val="continue"/>
                  <w:vAlign w:val="center"/>
                </w:tcPr>
                <w:p w14:paraId="6E8F544B">
                  <w:pPr>
                    <w:jc w:val="center"/>
                    <w:rPr>
                      <w:rFonts w:hint="eastAsia"/>
                      <w:szCs w:val="21"/>
                      <w:lang w:val="en-US" w:eastAsia="zh-CN"/>
                    </w:rPr>
                  </w:pPr>
                </w:p>
              </w:tc>
            </w:tr>
            <w:tr w14:paraId="53DEA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3FD8E215">
                  <w:pPr>
                    <w:jc w:val="center"/>
                    <w:rPr>
                      <w:rFonts w:hint="eastAsia"/>
                      <w:szCs w:val="21"/>
                      <w:lang w:val="en-US" w:eastAsia="zh-CN"/>
                    </w:rPr>
                  </w:pPr>
                </w:p>
              </w:tc>
              <w:tc>
                <w:tcPr>
                  <w:tcW w:w="457" w:type="dxa"/>
                  <w:vMerge w:val="continue"/>
                  <w:vAlign w:val="center"/>
                </w:tcPr>
                <w:p w14:paraId="0F090FB3">
                  <w:pPr>
                    <w:jc w:val="center"/>
                    <w:rPr>
                      <w:rFonts w:hint="eastAsia"/>
                      <w:szCs w:val="21"/>
                      <w:lang w:val="en-US" w:eastAsia="zh-CN"/>
                    </w:rPr>
                  </w:pPr>
                </w:p>
              </w:tc>
              <w:tc>
                <w:tcPr>
                  <w:tcW w:w="556" w:type="dxa"/>
                  <w:vMerge w:val="continue"/>
                  <w:shd w:val="clear" w:color="auto" w:fill="auto"/>
                  <w:vAlign w:val="center"/>
                </w:tcPr>
                <w:p w14:paraId="2B5A5C1A">
                  <w:pPr>
                    <w:jc w:val="center"/>
                    <w:rPr>
                      <w:rFonts w:hint="eastAsia"/>
                      <w:szCs w:val="21"/>
                      <w:lang w:val="en-US" w:eastAsia="zh-CN"/>
                    </w:rPr>
                  </w:pPr>
                </w:p>
              </w:tc>
              <w:tc>
                <w:tcPr>
                  <w:tcW w:w="599" w:type="dxa"/>
                  <w:vMerge w:val="continue"/>
                  <w:shd w:val="clear" w:color="auto" w:fill="auto"/>
                  <w:vAlign w:val="center"/>
                </w:tcPr>
                <w:p w14:paraId="4A6CBA8D">
                  <w:pPr>
                    <w:jc w:val="center"/>
                    <w:rPr>
                      <w:rFonts w:hint="eastAsia"/>
                      <w:szCs w:val="21"/>
                      <w:lang w:val="en-US" w:eastAsia="zh-CN"/>
                    </w:rPr>
                  </w:pPr>
                </w:p>
              </w:tc>
              <w:tc>
                <w:tcPr>
                  <w:tcW w:w="572" w:type="dxa"/>
                  <w:vMerge w:val="continue"/>
                  <w:vAlign w:val="center"/>
                </w:tcPr>
                <w:p w14:paraId="7B94382E">
                  <w:pPr>
                    <w:jc w:val="center"/>
                    <w:rPr>
                      <w:rFonts w:hint="eastAsia"/>
                      <w:szCs w:val="21"/>
                      <w:lang w:val="en-US" w:eastAsia="zh-CN"/>
                    </w:rPr>
                  </w:pPr>
                </w:p>
              </w:tc>
              <w:tc>
                <w:tcPr>
                  <w:tcW w:w="572" w:type="dxa"/>
                  <w:vMerge w:val="continue"/>
                  <w:vAlign w:val="center"/>
                </w:tcPr>
                <w:p w14:paraId="3171B8C6">
                  <w:pPr>
                    <w:jc w:val="center"/>
                    <w:rPr>
                      <w:rFonts w:hint="eastAsia"/>
                      <w:szCs w:val="21"/>
                      <w:lang w:val="en-US" w:eastAsia="zh-CN"/>
                    </w:rPr>
                  </w:pPr>
                </w:p>
              </w:tc>
              <w:tc>
                <w:tcPr>
                  <w:tcW w:w="450" w:type="dxa"/>
                  <w:vMerge w:val="continue"/>
                  <w:vAlign w:val="center"/>
                </w:tcPr>
                <w:p w14:paraId="1EB351A9">
                  <w:pPr>
                    <w:jc w:val="center"/>
                    <w:rPr>
                      <w:rFonts w:hint="eastAsia"/>
                      <w:szCs w:val="21"/>
                      <w:lang w:val="en-US" w:eastAsia="zh-CN"/>
                    </w:rPr>
                  </w:pPr>
                </w:p>
              </w:tc>
              <w:tc>
                <w:tcPr>
                  <w:tcW w:w="489" w:type="dxa"/>
                  <w:vMerge w:val="continue"/>
                  <w:vAlign w:val="center"/>
                </w:tcPr>
                <w:p w14:paraId="69409F2B">
                  <w:pPr>
                    <w:jc w:val="center"/>
                    <w:rPr>
                      <w:rFonts w:hint="eastAsia"/>
                      <w:szCs w:val="21"/>
                      <w:lang w:val="en-US" w:eastAsia="zh-CN"/>
                    </w:rPr>
                  </w:pPr>
                </w:p>
              </w:tc>
              <w:tc>
                <w:tcPr>
                  <w:tcW w:w="464" w:type="dxa"/>
                  <w:vMerge w:val="continue"/>
                  <w:vAlign w:val="center"/>
                </w:tcPr>
                <w:p w14:paraId="47A3ECE9">
                  <w:pPr>
                    <w:jc w:val="center"/>
                    <w:rPr>
                      <w:rFonts w:hint="eastAsia"/>
                      <w:szCs w:val="21"/>
                      <w:lang w:val="en-US" w:eastAsia="zh-CN"/>
                    </w:rPr>
                  </w:pPr>
                </w:p>
              </w:tc>
              <w:tc>
                <w:tcPr>
                  <w:tcW w:w="476" w:type="dxa"/>
                  <w:shd w:val="clear" w:color="auto" w:fill="auto"/>
                  <w:vAlign w:val="center"/>
                </w:tcPr>
                <w:p w14:paraId="16CF5099">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424" w:type="dxa"/>
                  <w:shd w:val="clear" w:color="auto" w:fill="auto"/>
                  <w:vAlign w:val="center"/>
                </w:tcPr>
                <w:p w14:paraId="0896454E">
                  <w:pPr>
                    <w:jc w:val="center"/>
                    <w:rPr>
                      <w:rFonts w:hint="default"/>
                      <w:szCs w:val="21"/>
                      <w:lang w:val="en-US" w:eastAsia="zh-CN"/>
                    </w:rPr>
                  </w:pPr>
                  <w:r>
                    <w:rPr>
                      <w:rFonts w:hint="eastAsia"/>
                      <w:szCs w:val="21"/>
                      <w:lang w:val="en-US" w:eastAsia="zh-CN"/>
                    </w:rPr>
                    <w:t>30</w:t>
                  </w:r>
                </w:p>
              </w:tc>
              <w:tc>
                <w:tcPr>
                  <w:tcW w:w="599" w:type="dxa"/>
                  <w:vAlign w:val="center"/>
                </w:tcPr>
                <w:p w14:paraId="69B0A293">
                  <w:pPr>
                    <w:jc w:val="center"/>
                    <w:rPr>
                      <w:rFonts w:hint="default"/>
                      <w:szCs w:val="21"/>
                      <w:lang w:val="en-US" w:eastAsia="zh-CN"/>
                    </w:rPr>
                  </w:pPr>
                  <w:r>
                    <w:rPr>
                      <w:rFonts w:hint="eastAsia"/>
                      <w:szCs w:val="21"/>
                      <w:lang w:val="en-US" w:eastAsia="zh-CN"/>
                    </w:rPr>
                    <w:t>60.9</w:t>
                  </w:r>
                </w:p>
              </w:tc>
              <w:tc>
                <w:tcPr>
                  <w:tcW w:w="544" w:type="dxa"/>
                  <w:vMerge w:val="continue"/>
                  <w:vAlign w:val="center"/>
                </w:tcPr>
                <w:p w14:paraId="17BB1EC3">
                  <w:pPr>
                    <w:jc w:val="center"/>
                    <w:rPr>
                      <w:rFonts w:hint="eastAsia"/>
                      <w:szCs w:val="21"/>
                      <w:lang w:val="en-US" w:eastAsia="zh-CN"/>
                    </w:rPr>
                  </w:pPr>
                </w:p>
              </w:tc>
              <w:tc>
                <w:tcPr>
                  <w:tcW w:w="676" w:type="dxa"/>
                  <w:vMerge w:val="continue"/>
                  <w:vAlign w:val="center"/>
                </w:tcPr>
                <w:p w14:paraId="4D13D9E4">
                  <w:pPr>
                    <w:jc w:val="center"/>
                    <w:rPr>
                      <w:rFonts w:hint="eastAsia"/>
                      <w:szCs w:val="21"/>
                      <w:lang w:val="en-US" w:eastAsia="zh-CN"/>
                    </w:rPr>
                  </w:pPr>
                </w:p>
              </w:tc>
              <w:tc>
                <w:tcPr>
                  <w:tcW w:w="718" w:type="dxa"/>
                  <w:vAlign w:val="center"/>
                </w:tcPr>
                <w:p w14:paraId="51B2BBC6">
                  <w:pPr>
                    <w:jc w:val="center"/>
                    <w:rPr>
                      <w:rFonts w:hint="default"/>
                      <w:szCs w:val="21"/>
                      <w:lang w:val="en-US" w:eastAsia="zh-CN"/>
                    </w:rPr>
                  </w:pPr>
                  <w:r>
                    <w:rPr>
                      <w:rFonts w:hint="eastAsia"/>
                      <w:szCs w:val="21"/>
                      <w:lang w:val="en-US" w:eastAsia="zh-CN"/>
                    </w:rPr>
                    <w:t>45.9</w:t>
                  </w:r>
                </w:p>
              </w:tc>
              <w:tc>
                <w:tcPr>
                  <w:tcW w:w="731" w:type="dxa"/>
                  <w:vMerge w:val="continue"/>
                  <w:vAlign w:val="center"/>
                </w:tcPr>
                <w:p w14:paraId="6629C332">
                  <w:pPr>
                    <w:jc w:val="center"/>
                    <w:rPr>
                      <w:rFonts w:hint="eastAsia"/>
                      <w:szCs w:val="21"/>
                      <w:lang w:val="en-US" w:eastAsia="zh-CN"/>
                    </w:rPr>
                  </w:pPr>
                </w:p>
              </w:tc>
            </w:tr>
            <w:tr w14:paraId="05F28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restart"/>
                  <w:vAlign w:val="center"/>
                </w:tcPr>
                <w:p w14:paraId="5479B33C">
                  <w:pPr>
                    <w:jc w:val="center"/>
                    <w:rPr>
                      <w:rFonts w:hint="default"/>
                      <w:szCs w:val="21"/>
                      <w:lang w:val="en-US" w:eastAsia="zh-CN"/>
                    </w:rPr>
                  </w:pPr>
                  <w:r>
                    <w:rPr>
                      <w:rFonts w:hint="eastAsia"/>
                      <w:szCs w:val="21"/>
                      <w:lang w:val="en-US" w:eastAsia="zh-CN"/>
                    </w:rPr>
                    <w:t>7</w:t>
                  </w:r>
                </w:p>
              </w:tc>
              <w:tc>
                <w:tcPr>
                  <w:tcW w:w="457" w:type="dxa"/>
                  <w:vMerge w:val="continue"/>
                  <w:vAlign w:val="center"/>
                </w:tcPr>
                <w:p w14:paraId="4F93A200">
                  <w:pPr>
                    <w:jc w:val="center"/>
                    <w:rPr>
                      <w:rFonts w:hint="eastAsia"/>
                      <w:szCs w:val="21"/>
                      <w:lang w:val="en-US" w:eastAsia="zh-CN"/>
                    </w:rPr>
                  </w:pPr>
                </w:p>
              </w:tc>
              <w:tc>
                <w:tcPr>
                  <w:tcW w:w="556" w:type="dxa"/>
                  <w:vMerge w:val="restart"/>
                  <w:shd w:val="clear" w:color="auto" w:fill="auto"/>
                  <w:vAlign w:val="center"/>
                </w:tcPr>
                <w:p w14:paraId="27FF5C18">
                  <w:pPr>
                    <w:jc w:val="center"/>
                    <w:rPr>
                      <w:rFonts w:hint="default"/>
                      <w:szCs w:val="21"/>
                      <w:lang w:val="en-US" w:eastAsia="zh-CN"/>
                    </w:rPr>
                  </w:pPr>
                  <w:r>
                    <w:rPr>
                      <w:rFonts w:hint="eastAsia"/>
                      <w:szCs w:val="21"/>
                      <w:lang w:val="en-US" w:eastAsia="zh-CN"/>
                    </w:rPr>
                    <w:t>水泵</w:t>
                  </w:r>
                </w:p>
              </w:tc>
              <w:tc>
                <w:tcPr>
                  <w:tcW w:w="599" w:type="dxa"/>
                  <w:vMerge w:val="restart"/>
                  <w:shd w:val="clear" w:color="auto" w:fill="auto"/>
                  <w:vAlign w:val="center"/>
                </w:tcPr>
                <w:p w14:paraId="4DAEEDDF">
                  <w:pPr>
                    <w:jc w:val="center"/>
                    <w:rPr>
                      <w:rFonts w:hint="default"/>
                      <w:szCs w:val="21"/>
                      <w:lang w:val="en-US" w:eastAsia="zh-CN"/>
                    </w:rPr>
                  </w:pPr>
                  <w:r>
                    <w:rPr>
                      <w:rFonts w:hint="eastAsia"/>
                      <w:szCs w:val="21"/>
                      <w:lang w:val="en-US" w:eastAsia="zh-CN"/>
                    </w:rPr>
                    <w:t>7</w:t>
                  </w:r>
                </w:p>
              </w:tc>
              <w:tc>
                <w:tcPr>
                  <w:tcW w:w="572" w:type="dxa"/>
                  <w:vMerge w:val="restart"/>
                  <w:vAlign w:val="center"/>
                </w:tcPr>
                <w:p w14:paraId="6BA0A3B1">
                  <w:pPr>
                    <w:jc w:val="center"/>
                    <w:rPr>
                      <w:rFonts w:hint="default"/>
                      <w:szCs w:val="21"/>
                      <w:lang w:val="en-US" w:eastAsia="zh-CN"/>
                    </w:rPr>
                  </w:pPr>
                  <w:r>
                    <w:rPr>
                      <w:rFonts w:hint="eastAsia"/>
                      <w:szCs w:val="21"/>
                      <w:lang w:val="en-US" w:eastAsia="zh-CN"/>
                    </w:rPr>
                    <w:t>50-55</w:t>
                  </w:r>
                </w:p>
              </w:tc>
              <w:tc>
                <w:tcPr>
                  <w:tcW w:w="572" w:type="dxa"/>
                  <w:vMerge w:val="continue"/>
                  <w:vAlign w:val="center"/>
                </w:tcPr>
                <w:p w14:paraId="58BC65D3">
                  <w:pPr>
                    <w:jc w:val="center"/>
                    <w:rPr>
                      <w:rFonts w:hint="eastAsia"/>
                      <w:szCs w:val="21"/>
                      <w:lang w:val="en-US" w:eastAsia="zh-CN"/>
                    </w:rPr>
                  </w:pPr>
                </w:p>
              </w:tc>
              <w:tc>
                <w:tcPr>
                  <w:tcW w:w="450" w:type="dxa"/>
                  <w:vMerge w:val="restart"/>
                  <w:vAlign w:val="center"/>
                </w:tcPr>
                <w:p w14:paraId="119A6CE8">
                  <w:pPr>
                    <w:jc w:val="center"/>
                    <w:rPr>
                      <w:rFonts w:hint="default"/>
                      <w:szCs w:val="21"/>
                      <w:lang w:val="en-US" w:eastAsia="zh-CN"/>
                    </w:rPr>
                  </w:pPr>
                  <w:r>
                    <w:rPr>
                      <w:rFonts w:hint="eastAsia"/>
                      <w:szCs w:val="21"/>
                      <w:lang w:val="en-US" w:eastAsia="zh-CN"/>
                    </w:rPr>
                    <w:t>1-12</w:t>
                  </w:r>
                </w:p>
              </w:tc>
              <w:tc>
                <w:tcPr>
                  <w:tcW w:w="489" w:type="dxa"/>
                  <w:vMerge w:val="restart"/>
                  <w:vAlign w:val="center"/>
                </w:tcPr>
                <w:p w14:paraId="648D52A1">
                  <w:pPr>
                    <w:jc w:val="center"/>
                    <w:rPr>
                      <w:rFonts w:hint="default"/>
                      <w:szCs w:val="21"/>
                      <w:lang w:val="en-US" w:eastAsia="zh-CN"/>
                    </w:rPr>
                  </w:pPr>
                  <w:r>
                    <w:rPr>
                      <w:rFonts w:hint="eastAsia"/>
                      <w:szCs w:val="21"/>
                      <w:lang w:val="en-US" w:eastAsia="zh-CN"/>
                    </w:rPr>
                    <w:t>22-24</w:t>
                  </w:r>
                </w:p>
              </w:tc>
              <w:tc>
                <w:tcPr>
                  <w:tcW w:w="464" w:type="dxa"/>
                  <w:vMerge w:val="restart"/>
                  <w:vAlign w:val="center"/>
                </w:tcPr>
                <w:p w14:paraId="7D9741F3">
                  <w:pPr>
                    <w:jc w:val="center"/>
                    <w:rPr>
                      <w:rFonts w:hint="default"/>
                      <w:szCs w:val="21"/>
                      <w:lang w:val="en-US" w:eastAsia="zh-CN"/>
                    </w:rPr>
                  </w:pPr>
                  <w:r>
                    <w:rPr>
                      <w:rFonts w:hint="eastAsia"/>
                      <w:szCs w:val="21"/>
                      <w:lang w:val="en-US" w:eastAsia="zh-CN"/>
                    </w:rPr>
                    <w:t>-0.9</w:t>
                  </w:r>
                </w:p>
              </w:tc>
              <w:tc>
                <w:tcPr>
                  <w:tcW w:w="476" w:type="dxa"/>
                  <w:shd w:val="clear" w:color="auto" w:fill="auto"/>
                  <w:vAlign w:val="center"/>
                </w:tcPr>
                <w:p w14:paraId="68BE4D55">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424" w:type="dxa"/>
                  <w:shd w:val="clear" w:color="auto" w:fill="auto"/>
                  <w:vAlign w:val="center"/>
                </w:tcPr>
                <w:p w14:paraId="0213945F">
                  <w:pPr>
                    <w:jc w:val="center"/>
                    <w:rPr>
                      <w:rFonts w:hint="default"/>
                      <w:szCs w:val="21"/>
                      <w:lang w:val="en-US" w:eastAsia="zh-CN"/>
                    </w:rPr>
                  </w:pPr>
                  <w:r>
                    <w:rPr>
                      <w:rFonts w:hint="eastAsia"/>
                      <w:szCs w:val="21"/>
                      <w:lang w:val="en-US" w:eastAsia="zh-CN"/>
                    </w:rPr>
                    <w:t>1</w:t>
                  </w:r>
                </w:p>
              </w:tc>
              <w:tc>
                <w:tcPr>
                  <w:tcW w:w="599" w:type="dxa"/>
                  <w:vAlign w:val="center"/>
                </w:tcPr>
                <w:p w14:paraId="5F1B2642">
                  <w:pPr>
                    <w:jc w:val="center"/>
                    <w:rPr>
                      <w:rFonts w:hint="default"/>
                      <w:szCs w:val="21"/>
                      <w:lang w:val="en-US" w:eastAsia="zh-CN"/>
                    </w:rPr>
                  </w:pPr>
                  <w:r>
                    <w:rPr>
                      <w:rFonts w:hint="eastAsia"/>
                      <w:szCs w:val="21"/>
                      <w:lang w:val="en-US" w:eastAsia="zh-CN"/>
                    </w:rPr>
                    <w:t>54.1</w:t>
                  </w:r>
                </w:p>
              </w:tc>
              <w:tc>
                <w:tcPr>
                  <w:tcW w:w="544" w:type="dxa"/>
                  <w:vMerge w:val="restart"/>
                  <w:vAlign w:val="center"/>
                </w:tcPr>
                <w:p w14:paraId="19D128E7">
                  <w:pPr>
                    <w:jc w:val="center"/>
                    <w:rPr>
                      <w:rFonts w:hint="eastAsia"/>
                      <w:szCs w:val="21"/>
                      <w:lang w:val="en-US" w:eastAsia="zh-CN"/>
                    </w:rPr>
                  </w:pPr>
                  <w:r>
                    <w:rPr>
                      <w:rFonts w:hint="eastAsia"/>
                      <w:snapToGrid w:val="0"/>
                      <w:szCs w:val="21"/>
                      <w:lang w:val="en-US" w:eastAsia="zh-CN"/>
                    </w:rPr>
                    <w:t>8</w:t>
                  </w:r>
                  <w:r>
                    <w:rPr>
                      <w:snapToGrid w:val="0"/>
                      <w:szCs w:val="21"/>
                    </w:rPr>
                    <w:t>h</w:t>
                  </w:r>
                  <w:r>
                    <w:rPr>
                      <w:rFonts w:hint="eastAsia"/>
                      <w:snapToGrid w:val="0"/>
                      <w:szCs w:val="21"/>
                    </w:rPr>
                    <w:t>/d</w:t>
                  </w:r>
                </w:p>
              </w:tc>
              <w:tc>
                <w:tcPr>
                  <w:tcW w:w="676" w:type="dxa"/>
                  <w:vMerge w:val="restart"/>
                  <w:vAlign w:val="center"/>
                </w:tcPr>
                <w:p w14:paraId="7C656F39">
                  <w:pPr>
                    <w:jc w:val="center"/>
                    <w:rPr>
                      <w:rFonts w:hint="eastAsia"/>
                      <w:szCs w:val="21"/>
                      <w:lang w:val="en-US" w:eastAsia="zh-CN"/>
                    </w:rPr>
                  </w:pPr>
                  <w:r>
                    <w:rPr>
                      <w:rFonts w:hint="eastAsia"/>
                      <w:szCs w:val="21"/>
                    </w:rPr>
                    <w:t>-15</w:t>
                  </w:r>
                </w:p>
              </w:tc>
              <w:tc>
                <w:tcPr>
                  <w:tcW w:w="718" w:type="dxa"/>
                  <w:vAlign w:val="center"/>
                </w:tcPr>
                <w:p w14:paraId="54B1EEB4">
                  <w:pPr>
                    <w:jc w:val="center"/>
                    <w:rPr>
                      <w:rFonts w:hint="default"/>
                      <w:szCs w:val="21"/>
                      <w:lang w:val="en-US" w:eastAsia="zh-CN"/>
                    </w:rPr>
                  </w:pPr>
                  <w:r>
                    <w:rPr>
                      <w:rFonts w:hint="eastAsia"/>
                      <w:szCs w:val="21"/>
                      <w:lang w:val="en-US" w:eastAsia="zh-CN"/>
                    </w:rPr>
                    <w:t>39.1</w:t>
                  </w:r>
                </w:p>
              </w:tc>
              <w:tc>
                <w:tcPr>
                  <w:tcW w:w="731" w:type="dxa"/>
                  <w:vMerge w:val="continue"/>
                  <w:vAlign w:val="center"/>
                </w:tcPr>
                <w:p w14:paraId="0100E343">
                  <w:pPr>
                    <w:jc w:val="center"/>
                    <w:rPr>
                      <w:rFonts w:hint="eastAsia"/>
                      <w:szCs w:val="21"/>
                      <w:lang w:val="en-US" w:eastAsia="zh-CN"/>
                    </w:rPr>
                  </w:pPr>
                </w:p>
              </w:tc>
            </w:tr>
            <w:tr w14:paraId="086FE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265A5E69">
                  <w:pPr>
                    <w:jc w:val="center"/>
                    <w:rPr>
                      <w:rFonts w:hint="eastAsia"/>
                      <w:szCs w:val="21"/>
                      <w:lang w:val="en-US" w:eastAsia="zh-CN"/>
                    </w:rPr>
                  </w:pPr>
                </w:p>
              </w:tc>
              <w:tc>
                <w:tcPr>
                  <w:tcW w:w="457" w:type="dxa"/>
                  <w:vMerge w:val="continue"/>
                  <w:vAlign w:val="center"/>
                </w:tcPr>
                <w:p w14:paraId="51FFA7E2">
                  <w:pPr>
                    <w:jc w:val="center"/>
                    <w:rPr>
                      <w:rFonts w:hint="eastAsia"/>
                      <w:szCs w:val="21"/>
                      <w:lang w:val="en-US" w:eastAsia="zh-CN"/>
                    </w:rPr>
                  </w:pPr>
                </w:p>
              </w:tc>
              <w:tc>
                <w:tcPr>
                  <w:tcW w:w="556" w:type="dxa"/>
                  <w:vMerge w:val="continue"/>
                  <w:shd w:val="clear" w:color="auto" w:fill="auto"/>
                  <w:vAlign w:val="center"/>
                </w:tcPr>
                <w:p w14:paraId="4788F9C2">
                  <w:pPr>
                    <w:jc w:val="center"/>
                    <w:rPr>
                      <w:rFonts w:hint="eastAsia"/>
                      <w:szCs w:val="21"/>
                      <w:lang w:val="en-US" w:eastAsia="zh-CN"/>
                    </w:rPr>
                  </w:pPr>
                </w:p>
              </w:tc>
              <w:tc>
                <w:tcPr>
                  <w:tcW w:w="599" w:type="dxa"/>
                  <w:vMerge w:val="continue"/>
                  <w:shd w:val="clear" w:color="auto" w:fill="auto"/>
                  <w:vAlign w:val="center"/>
                </w:tcPr>
                <w:p w14:paraId="7718A046">
                  <w:pPr>
                    <w:jc w:val="center"/>
                    <w:rPr>
                      <w:rFonts w:hint="eastAsia"/>
                      <w:szCs w:val="21"/>
                      <w:lang w:val="en-US" w:eastAsia="zh-CN"/>
                    </w:rPr>
                  </w:pPr>
                </w:p>
              </w:tc>
              <w:tc>
                <w:tcPr>
                  <w:tcW w:w="572" w:type="dxa"/>
                  <w:vMerge w:val="continue"/>
                  <w:vAlign w:val="center"/>
                </w:tcPr>
                <w:p w14:paraId="4EC86F47">
                  <w:pPr>
                    <w:jc w:val="center"/>
                    <w:rPr>
                      <w:rFonts w:hint="eastAsia"/>
                      <w:szCs w:val="21"/>
                      <w:lang w:val="en-US" w:eastAsia="zh-CN"/>
                    </w:rPr>
                  </w:pPr>
                </w:p>
              </w:tc>
              <w:tc>
                <w:tcPr>
                  <w:tcW w:w="572" w:type="dxa"/>
                  <w:vMerge w:val="continue"/>
                  <w:vAlign w:val="center"/>
                </w:tcPr>
                <w:p w14:paraId="28CA9C0F">
                  <w:pPr>
                    <w:jc w:val="center"/>
                    <w:rPr>
                      <w:rFonts w:hint="eastAsia"/>
                      <w:szCs w:val="21"/>
                      <w:lang w:val="en-US" w:eastAsia="zh-CN"/>
                    </w:rPr>
                  </w:pPr>
                </w:p>
              </w:tc>
              <w:tc>
                <w:tcPr>
                  <w:tcW w:w="450" w:type="dxa"/>
                  <w:vMerge w:val="continue"/>
                  <w:vAlign w:val="center"/>
                </w:tcPr>
                <w:p w14:paraId="27EC74F5">
                  <w:pPr>
                    <w:jc w:val="center"/>
                    <w:rPr>
                      <w:rFonts w:hint="eastAsia"/>
                      <w:szCs w:val="21"/>
                      <w:lang w:val="en-US" w:eastAsia="zh-CN"/>
                    </w:rPr>
                  </w:pPr>
                </w:p>
              </w:tc>
              <w:tc>
                <w:tcPr>
                  <w:tcW w:w="489" w:type="dxa"/>
                  <w:vMerge w:val="continue"/>
                  <w:vAlign w:val="center"/>
                </w:tcPr>
                <w:p w14:paraId="47D13B45">
                  <w:pPr>
                    <w:jc w:val="center"/>
                    <w:rPr>
                      <w:rFonts w:hint="eastAsia"/>
                      <w:szCs w:val="21"/>
                      <w:lang w:val="en-US" w:eastAsia="zh-CN"/>
                    </w:rPr>
                  </w:pPr>
                </w:p>
              </w:tc>
              <w:tc>
                <w:tcPr>
                  <w:tcW w:w="464" w:type="dxa"/>
                  <w:vMerge w:val="continue"/>
                  <w:vAlign w:val="center"/>
                </w:tcPr>
                <w:p w14:paraId="39927F84">
                  <w:pPr>
                    <w:jc w:val="center"/>
                    <w:rPr>
                      <w:rFonts w:hint="eastAsia"/>
                      <w:szCs w:val="21"/>
                      <w:lang w:val="en-US" w:eastAsia="zh-CN"/>
                    </w:rPr>
                  </w:pPr>
                </w:p>
              </w:tc>
              <w:tc>
                <w:tcPr>
                  <w:tcW w:w="476" w:type="dxa"/>
                  <w:shd w:val="clear" w:color="auto" w:fill="auto"/>
                  <w:vAlign w:val="center"/>
                </w:tcPr>
                <w:p w14:paraId="16637ED3">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424" w:type="dxa"/>
                  <w:shd w:val="clear" w:color="auto" w:fill="auto"/>
                  <w:vAlign w:val="center"/>
                </w:tcPr>
                <w:p w14:paraId="001725EC">
                  <w:pPr>
                    <w:jc w:val="center"/>
                    <w:rPr>
                      <w:rFonts w:hint="default"/>
                      <w:szCs w:val="21"/>
                      <w:lang w:val="en-US" w:eastAsia="zh-CN"/>
                    </w:rPr>
                  </w:pPr>
                  <w:r>
                    <w:rPr>
                      <w:rFonts w:hint="eastAsia"/>
                      <w:szCs w:val="21"/>
                      <w:lang w:val="en-US" w:eastAsia="zh-CN"/>
                    </w:rPr>
                    <w:t>11</w:t>
                  </w:r>
                </w:p>
              </w:tc>
              <w:tc>
                <w:tcPr>
                  <w:tcW w:w="599" w:type="dxa"/>
                  <w:vAlign w:val="center"/>
                </w:tcPr>
                <w:p w14:paraId="2CB9A910">
                  <w:pPr>
                    <w:jc w:val="center"/>
                    <w:rPr>
                      <w:rFonts w:hint="default"/>
                      <w:szCs w:val="21"/>
                      <w:lang w:val="en-US" w:eastAsia="zh-CN"/>
                    </w:rPr>
                  </w:pPr>
                  <w:r>
                    <w:rPr>
                      <w:rFonts w:hint="eastAsia"/>
                      <w:szCs w:val="21"/>
                      <w:lang w:val="en-US" w:eastAsia="zh-CN"/>
                    </w:rPr>
                    <w:t>49.5</w:t>
                  </w:r>
                </w:p>
              </w:tc>
              <w:tc>
                <w:tcPr>
                  <w:tcW w:w="544" w:type="dxa"/>
                  <w:vMerge w:val="continue"/>
                  <w:vAlign w:val="center"/>
                </w:tcPr>
                <w:p w14:paraId="67E10B80">
                  <w:pPr>
                    <w:jc w:val="center"/>
                    <w:rPr>
                      <w:rFonts w:hint="eastAsia"/>
                      <w:szCs w:val="21"/>
                      <w:lang w:val="en-US" w:eastAsia="zh-CN"/>
                    </w:rPr>
                  </w:pPr>
                </w:p>
              </w:tc>
              <w:tc>
                <w:tcPr>
                  <w:tcW w:w="676" w:type="dxa"/>
                  <w:vMerge w:val="continue"/>
                  <w:vAlign w:val="center"/>
                </w:tcPr>
                <w:p w14:paraId="3D38DE85">
                  <w:pPr>
                    <w:jc w:val="center"/>
                    <w:rPr>
                      <w:rFonts w:hint="eastAsia"/>
                      <w:szCs w:val="21"/>
                      <w:lang w:val="en-US" w:eastAsia="zh-CN"/>
                    </w:rPr>
                  </w:pPr>
                </w:p>
              </w:tc>
              <w:tc>
                <w:tcPr>
                  <w:tcW w:w="718" w:type="dxa"/>
                  <w:vAlign w:val="center"/>
                </w:tcPr>
                <w:p w14:paraId="26F4FB31">
                  <w:pPr>
                    <w:jc w:val="center"/>
                    <w:rPr>
                      <w:rFonts w:hint="default"/>
                      <w:szCs w:val="21"/>
                      <w:lang w:val="en-US" w:eastAsia="zh-CN"/>
                    </w:rPr>
                  </w:pPr>
                  <w:r>
                    <w:rPr>
                      <w:rFonts w:hint="eastAsia"/>
                      <w:szCs w:val="21"/>
                      <w:lang w:val="en-US" w:eastAsia="zh-CN"/>
                    </w:rPr>
                    <w:t>34.5</w:t>
                  </w:r>
                </w:p>
              </w:tc>
              <w:tc>
                <w:tcPr>
                  <w:tcW w:w="731" w:type="dxa"/>
                  <w:vMerge w:val="continue"/>
                  <w:vAlign w:val="center"/>
                </w:tcPr>
                <w:p w14:paraId="1156A341">
                  <w:pPr>
                    <w:jc w:val="center"/>
                    <w:rPr>
                      <w:rFonts w:hint="eastAsia"/>
                      <w:szCs w:val="21"/>
                      <w:lang w:val="en-US" w:eastAsia="zh-CN"/>
                    </w:rPr>
                  </w:pPr>
                </w:p>
              </w:tc>
            </w:tr>
            <w:tr w14:paraId="477AB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3172345E">
                  <w:pPr>
                    <w:jc w:val="center"/>
                    <w:rPr>
                      <w:rFonts w:hint="eastAsia"/>
                      <w:szCs w:val="21"/>
                      <w:lang w:val="en-US" w:eastAsia="zh-CN"/>
                    </w:rPr>
                  </w:pPr>
                </w:p>
              </w:tc>
              <w:tc>
                <w:tcPr>
                  <w:tcW w:w="457" w:type="dxa"/>
                  <w:vMerge w:val="continue"/>
                  <w:vAlign w:val="center"/>
                </w:tcPr>
                <w:p w14:paraId="27C0165D">
                  <w:pPr>
                    <w:jc w:val="center"/>
                    <w:rPr>
                      <w:rFonts w:hint="eastAsia"/>
                      <w:szCs w:val="21"/>
                      <w:lang w:val="en-US" w:eastAsia="zh-CN"/>
                    </w:rPr>
                  </w:pPr>
                </w:p>
              </w:tc>
              <w:tc>
                <w:tcPr>
                  <w:tcW w:w="556" w:type="dxa"/>
                  <w:vMerge w:val="continue"/>
                  <w:shd w:val="clear" w:color="auto" w:fill="auto"/>
                  <w:vAlign w:val="center"/>
                </w:tcPr>
                <w:p w14:paraId="2E1E2160">
                  <w:pPr>
                    <w:jc w:val="center"/>
                    <w:rPr>
                      <w:rFonts w:hint="eastAsia"/>
                      <w:szCs w:val="21"/>
                      <w:lang w:val="en-US" w:eastAsia="zh-CN"/>
                    </w:rPr>
                  </w:pPr>
                </w:p>
              </w:tc>
              <w:tc>
                <w:tcPr>
                  <w:tcW w:w="599" w:type="dxa"/>
                  <w:vMerge w:val="continue"/>
                  <w:shd w:val="clear" w:color="auto" w:fill="auto"/>
                  <w:vAlign w:val="center"/>
                </w:tcPr>
                <w:p w14:paraId="775FAF8C">
                  <w:pPr>
                    <w:jc w:val="center"/>
                    <w:rPr>
                      <w:rFonts w:hint="eastAsia"/>
                      <w:szCs w:val="21"/>
                      <w:lang w:val="en-US" w:eastAsia="zh-CN"/>
                    </w:rPr>
                  </w:pPr>
                </w:p>
              </w:tc>
              <w:tc>
                <w:tcPr>
                  <w:tcW w:w="572" w:type="dxa"/>
                  <w:vMerge w:val="continue"/>
                  <w:vAlign w:val="center"/>
                </w:tcPr>
                <w:p w14:paraId="05AF432B">
                  <w:pPr>
                    <w:jc w:val="center"/>
                    <w:rPr>
                      <w:rFonts w:hint="eastAsia"/>
                      <w:szCs w:val="21"/>
                      <w:lang w:val="en-US" w:eastAsia="zh-CN"/>
                    </w:rPr>
                  </w:pPr>
                </w:p>
              </w:tc>
              <w:tc>
                <w:tcPr>
                  <w:tcW w:w="572" w:type="dxa"/>
                  <w:vMerge w:val="continue"/>
                  <w:vAlign w:val="center"/>
                </w:tcPr>
                <w:p w14:paraId="62E16C53">
                  <w:pPr>
                    <w:jc w:val="center"/>
                    <w:rPr>
                      <w:rFonts w:hint="eastAsia"/>
                      <w:szCs w:val="21"/>
                      <w:lang w:val="en-US" w:eastAsia="zh-CN"/>
                    </w:rPr>
                  </w:pPr>
                </w:p>
              </w:tc>
              <w:tc>
                <w:tcPr>
                  <w:tcW w:w="450" w:type="dxa"/>
                  <w:vMerge w:val="continue"/>
                  <w:vAlign w:val="center"/>
                </w:tcPr>
                <w:p w14:paraId="73F17519">
                  <w:pPr>
                    <w:jc w:val="center"/>
                    <w:rPr>
                      <w:rFonts w:hint="eastAsia"/>
                      <w:szCs w:val="21"/>
                      <w:lang w:val="en-US" w:eastAsia="zh-CN"/>
                    </w:rPr>
                  </w:pPr>
                </w:p>
              </w:tc>
              <w:tc>
                <w:tcPr>
                  <w:tcW w:w="489" w:type="dxa"/>
                  <w:vMerge w:val="continue"/>
                  <w:vAlign w:val="center"/>
                </w:tcPr>
                <w:p w14:paraId="7FF1FC3E">
                  <w:pPr>
                    <w:jc w:val="center"/>
                    <w:rPr>
                      <w:rFonts w:hint="eastAsia"/>
                      <w:szCs w:val="21"/>
                      <w:lang w:val="en-US" w:eastAsia="zh-CN"/>
                    </w:rPr>
                  </w:pPr>
                </w:p>
              </w:tc>
              <w:tc>
                <w:tcPr>
                  <w:tcW w:w="464" w:type="dxa"/>
                  <w:vMerge w:val="continue"/>
                  <w:vAlign w:val="center"/>
                </w:tcPr>
                <w:p w14:paraId="5C47ADF8">
                  <w:pPr>
                    <w:jc w:val="center"/>
                    <w:rPr>
                      <w:rFonts w:hint="eastAsia"/>
                      <w:szCs w:val="21"/>
                      <w:lang w:val="en-US" w:eastAsia="zh-CN"/>
                    </w:rPr>
                  </w:pPr>
                </w:p>
              </w:tc>
              <w:tc>
                <w:tcPr>
                  <w:tcW w:w="476" w:type="dxa"/>
                  <w:shd w:val="clear" w:color="auto" w:fill="auto"/>
                  <w:vAlign w:val="center"/>
                </w:tcPr>
                <w:p w14:paraId="2CDAB66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424" w:type="dxa"/>
                  <w:shd w:val="clear" w:color="auto" w:fill="auto"/>
                  <w:vAlign w:val="center"/>
                </w:tcPr>
                <w:p w14:paraId="45C36B1A">
                  <w:pPr>
                    <w:jc w:val="center"/>
                    <w:rPr>
                      <w:rFonts w:hint="default"/>
                      <w:szCs w:val="21"/>
                      <w:lang w:val="en-US" w:eastAsia="zh-CN"/>
                    </w:rPr>
                  </w:pPr>
                  <w:r>
                    <w:rPr>
                      <w:rFonts w:hint="eastAsia"/>
                      <w:szCs w:val="21"/>
                      <w:lang w:val="en-US" w:eastAsia="zh-CN"/>
                    </w:rPr>
                    <w:t>2</w:t>
                  </w:r>
                </w:p>
              </w:tc>
              <w:tc>
                <w:tcPr>
                  <w:tcW w:w="599" w:type="dxa"/>
                  <w:vAlign w:val="center"/>
                </w:tcPr>
                <w:p w14:paraId="12A92E46">
                  <w:pPr>
                    <w:jc w:val="center"/>
                    <w:rPr>
                      <w:rFonts w:hint="default"/>
                      <w:szCs w:val="21"/>
                      <w:lang w:val="en-US" w:eastAsia="zh-CN"/>
                    </w:rPr>
                  </w:pPr>
                  <w:r>
                    <w:rPr>
                      <w:rFonts w:hint="eastAsia"/>
                      <w:szCs w:val="21"/>
                      <w:lang w:val="en-US" w:eastAsia="zh-CN"/>
                    </w:rPr>
                    <w:t>50.8</w:t>
                  </w:r>
                </w:p>
              </w:tc>
              <w:tc>
                <w:tcPr>
                  <w:tcW w:w="544" w:type="dxa"/>
                  <w:vMerge w:val="continue"/>
                  <w:vAlign w:val="center"/>
                </w:tcPr>
                <w:p w14:paraId="0EC67955">
                  <w:pPr>
                    <w:jc w:val="center"/>
                    <w:rPr>
                      <w:rFonts w:hint="eastAsia"/>
                      <w:szCs w:val="21"/>
                      <w:lang w:val="en-US" w:eastAsia="zh-CN"/>
                    </w:rPr>
                  </w:pPr>
                </w:p>
              </w:tc>
              <w:tc>
                <w:tcPr>
                  <w:tcW w:w="676" w:type="dxa"/>
                  <w:vMerge w:val="continue"/>
                  <w:vAlign w:val="center"/>
                </w:tcPr>
                <w:p w14:paraId="4DA65361">
                  <w:pPr>
                    <w:jc w:val="center"/>
                    <w:rPr>
                      <w:rFonts w:hint="eastAsia"/>
                      <w:szCs w:val="21"/>
                      <w:lang w:val="en-US" w:eastAsia="zh-CN"/>
                    </w:rPr>
                  </w:pPr>
                </w:p>
              </w:tc>
              <w:tc>
                <w:tcPr>
                  <w:tcW w:w="718" w:type="dxa"/>
                  <w:vAlign w:val="center"/>
                </w:tcPr>
                <w:p w14:paraId="36BE18E8">
                  <w:pPr>
                    <w:jc w:val="center"/>
                    <w:rPr>
                      <w:rFonts w:hint="default"/>
                      <w:szCs w:val="21"/>
                      <w:lang w:val="en-US" w:eastAsia="zh-CN"/>
                    </w:rPr>
                  </w:pPr>
                  <w:r>
                    <w:rPr>
                      <w:rFonts w:hint="eastAsia"/>
                      <w:szCs w:val="21"/>
                      <w:lang w:val="en-US" w:eastAsia="zh-CN"/>
                    </w:rPr>
                    <w:t>35.8</w:t>
                  </w:r>
                </w:p>
              </w:tc>
              <w:tc>
                <w:tcPr>
                  <w:tcW w:w="731" w:type="dxa"/>
                  <w:vMerge w:val="continue"/>
                  <w:vAlign w:val="center"/>
                </w:tcPr>
                <w:p w14:paraId="387F5D43">
                  <w:pPr>
                    <w:jc w:val="center"/>
                    <w:rPr>
                      <w:rFonts w:hint="eastAsia"/>
                      <w:szCs w:val="21"/>
                      <w:lang w:val="en-US" w:eastAsia="zh-CN"/>
                    </w:rPr>
                  </w:pPr>
                </w:p>
              </w:tc>
            </w:tr>
            <w:tr w14:paraId="43797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2B532FA6">
                  <w:pPr>
                    <w:jc w:val="center"/>
                    <w:rPr>
                      <w:rFonts w:hint="eastAsia"/>
                      <w:szCs w:val="21"/>
                      <w:lang w:val="en-US" w:eastAsia="zh-CN"/>
                    </w:rPr>
                  </w:pPr>
                </w:p>
              </w:tc>
              <w:tc>
                <w:tcPr>
                  <w:tcW w:w="457" w:type="dxa"/>
                  <w:vMerge w:val="continue"/>
                  <w:vAlign w:val="center"/>
                </w:tcPr>
                <w:p w14:paraId="3A93AC66">
                  <w:pPr>
                    <w:jc w:val="center"/>
                    <w:rPr>
                      <w:rFonts w:hint="eastAsia"/>
                      <w:szCs w:val="21"/>
                      <w:lang w:val="en-US" w:eastAsia="zh-CN"/>
                    </w:rPr>
                  </w:pPr>
                </w:p>
              </w:tc>
              <w:tc>
                <w:tcPr>
                  <w:tcW w:w="556" w:type="dxa"/>
                  <w:vMerge w:val="continue"/>
                  <w:shd w:val="clear" w:color="auto" w:fill="auto"/>
                  <w:vAlign w:val="center"/>
                </w:tcPr>
                <w:p w14:paraId="0E817212">
                  <w:pPr>
                    <w:jc w:val="center"/>
                    <w:rPr>
                      <w:rFonts w:hint="eastAsia"/>
                      <w:szCs w:val="21"/>
                      <w:lang w:val="en-US" w:eastAsia="zh-CN"/>
                    </w:rPr>
                  </w:pPr>
                </w:p>
              </w:tc>
              <w:tc>
                <w:tcPr>
                  <w:tcW w:w="599" w:type="dxa"/>
                  <w:vMerge w:val="continue"/>
                  <w:shd w:val="clear" w:color="auto" w:fill="auto"/>
                  <w:vAlign w:val="center"/>
                </w:tcPr>
                <w:p w14:paraId="3FD7C710">
                  <w:pPr>
                    <w:jc w:val="center"/>
                    <w:rPr>
                      <w:rFonts w:hint="eastAsia"/>
                      <w:szCs w:val="21"/>
                      <w:lang w:val="en-US" w:eastAsia="zh-CN"/>
                    </w:rPr>
                  </w:pPr>
                </w:p>
              </w:tc>
              <w:tc>
                <w:tcPr>
                  <w:tcW w:w="572" w:type="dxa"/>
                  <w:vMerge w:val="continue"/>
                  <w:vAlign w:val="center"/>
                </w:tcPr>
                <w:p w14:paraId="262FFA9D">
                  <w:pPr>
                    <w:jc w:val="center"/>
                    <w:rPr>
                      <w:rFonts w:hint="eastAsia"/>
                      <w:szCs w:val="21"/>
                      <w:lang w:val="en-US" w:eastAsia="zh-CN"/>
                    </w:rPr>
                  </w:pPr>
                </w:p>
              </w:tc>
              <w:tc>
                <w:tcPr>
                  <w:tcW w:w="572" w:type="dxa"/>
                  <w:vMerge w:val="continue"/>
                  <w:vAlign w:val="center"/>
                </w:tcPr>
                <w:p w14:paraId="338607EB">
                  <w:pPr>
                    <w:jc w:val="center"/>
                    <w:rPr>
                      <w:rFonts w:hint="eastAsia"/>
                      <w:szCs w:val="21"/>
                      <w:lang w:val="en-US" w:eastAsia="zh-CN"/>
                    </w:rPr>
                  </w:pPr>
                </w:p>
              </w:tc>
              <w:tc>
                <w:tcPr>
                  <w:tcW w:w="450" w:type="dxa"/>
                  <w:vMerge w:val="continue"/>
                  <w:vAlign w:val="center"/>
                </w:tcPr>
                <w:p w14:paraId="717FCB66">
                  <w:pPr>
                    <w:jc w:val="center"/>
                    <w:rPr>
                      <w:rFonts w:hint="eastAsia"/>
                      <w:szCs w:val="21"/>
                      <w:lang w:val="en-US" w:eastAsia="zh-CN"/>
                    </w:rPr>
                  </w:pPr>
                </w:p>
              </w:tc>
              <w:tc>
                <w:tcPr>
                  <w:tcW w:w="489" w:type="dxa"/>
                  <w:vMerge w:val="continue"/>
                  <w:vAlign w:val="center"/>
                </w:tcPr>
                <w:p w14:paraId="0A810762">
                  <w:pPr>
                    <w:jc w:val="center"/>
                    <w:rPr>
                      <w:rFonts w:hint="eastAsia"/>
                      <w:szCs w:val="21"/>
                      <w:lang w:val="en-US" w:eastAsia="zh-CN"/>
                    </w:rPr>
                  </w:pPr>
                </w:p>
              </w:tc>
              <w:tc>
                <w:tcPr>
                  <w:tcW w:w="464" w:type="dxa"/>
                  <w:vMerge w:val="continue"/>
                  <w:vAlign w:val="center"/>
                </w:tcPr>
                <w:p w14:paraId="0645C244">
                  <w:pPr>
                    <w:jc w:val="center"/>
                    <w:rPr>
                      <w:rFonts w:hint="eastAsia"/>
                      <w:szCs w:val="21"/>
                      <w:lang w:val="en-US" w:eastAsia="zh-CN"/>
                    </w:rPr>
                  </w:pPr>
                </w:p>
              </w:tc>
              <w:tc>
                <w:tcPr>
                  <w:tcW w:w="476" w:type="dxa"/>
                  <w:shd w:val="clear" w:color="auto" w:fill="auto"/>
                  <w:vAlign w:val="center"/>
                </w:tcPr>
                <w:p w14:paraId="049ACCD3">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424" w:type="dxa"/>
                  <w:shd w:val="clear" w:color="auto" w:fill="auto"/>
                  <w:vAlign w:val="center"/>
                </w:tcPr>
                <w:p w14:paraId="2B7106EF">
                  <w:pPr>
                    <w:jc w:val="center"/>
                    <w:rPr>
                      <w:rFonts w:hint="default"/>
                      <w:szCs w:val="21"/>
                      <w:lang w:val="en-US" w:eastAsia="zh-CN"/>
                    </w:rPr>
                  </w:pPr>
                  <w:r>
                    <w:rPr>
                      <w:rFonts w:hint="eastAsia"/>
                      <w:szCs w:val="21"/>
                      <w:lang w:val="en-US" w:eastAsia="zh-CN"/>
                    </w:rPr>
                    <w:t>29</w:t>
                  </w:r>
                </w:p>
              </w:tc>
              <w:tc>
                <w:tcPr>
                  <w:tcW w:w="599" w:type="dxa"/>
                  <w:vAlign w:val="center"/>
                </w:tcPr>
                <w:p w14:paraId="77B72CAF">
                  <w:pPr>
                    <w:jc w:val="center"/>
                    <w:rPr>
                      <w:rFonts w:hint="default"/>
                      <w:szCs w:val="21"/>
                      <w:lang w:val="en-US" w:eastAsia="zh-CN"/>
                    </w:rPr>
                  </w:pPr>
                  <w:r>
                    <w:rPr>
                      <w:rFonts w:hint="eastAsia"/>
                      <w:szCs w:val="21"/>
                      <w:lang w:val="en-US" w:eastAsia="zh-CN"/>
                    </w:rPr>
                    <w:t>44.6</w:t>
                  </w:r>
                </w:p>
              </w:tc>
              <w:tc>
                <w:tcPr>
                  <w:tcW w:w="544" w:type="dxa"/>
                  <w:vMerge w:val="continue"/>
                  <w:vAlign w:val="center"/>
                </w:tcPr>
                <w:p w14:paraId="0DD59EFA">
                  <w:pPr>
                    <w:jc w:val="center"/>
                    <w:rPr>
                      <w:rFonts w:hint="eastAsia"/>
                      <w:szCs w:val="21"/>
                      <w:lang w:val="en-US" w:eastAsia="zh-CN"/>
                    </w:rPr>
                  </w:pPr>
                </w:p>
              </w:tc>
              <w:tc>
                <w:tcPr>
                  <w:tcW w:w="676" w:type="dxa"/>
                  <w:vMerge w:val="continue"/>
                  <w:vAlign w:val="center"/>
                </w:tcPr>
                <w:p w14:paraId="172A3D34">
                  <w:pPr>
                    <w:jc w:val="center"/>
                    <w:rPr>
                      <w:rFonts w:hint="eastAsia"/>
                      <w:szCs w:val="21"/>
                      <w:lang w:val="en-US" w:eastAsia="zh-CN"/>
                    </w:rPr>
                  </w:pPr>
                </w:p>
              </w:tc>
              <w:tc>
                <w:tcPr>
                  <w:tcW w:w="718" w:type="dxa"/>
                  <w:vAlign w:val="center"/>
                </w:tcPr>
                <w:p w14:paraId="34CBEE87">
                  <w:pPr>
                    <w:jc w:val="center"/>
                    <w:rPr>
                      <w:rFonts w:hint="default"/>
                      <w:szCs w:val="21"/>
                      <w:lang w:val="en-US" w:eastAsia="zh-CN"/>
                    </w:rPr>
                  </w:pPr>
                  <w:r>
                    <w:rPr>
                      <w:rFonts w:hint="eastAsia"/>
                      <w:szCs w:val="21"/>
                      <w:lang w:val="en-US" w:eastAsia="zh-CN"/>
                    </w:rPr>
                    <w:t>29.6</w:t>
                  </w:r>
                </w:p>
              </w:tc>
              <w:tc>
                <w:tcPr>
                  <w:tcW w:w="731" w:type="dxa"/>
                  <w:vMerge w:val="continue"/>
                  <w:vAlign w:val="center"/>
                </w:tcPr>
                <w:p w14:paraId="36261AB2">
                  <w:pPr>
                    <w:jc w:val="center"/>
                    <w:rPr>
                      <w:rFonts w:hint="eastAsia"/>
                      <w:szCs w:val="21"/>
                      <w:lang w:val="en-US" w:eastAsia="zh-CN"/>
                    </w:rPr>
                  </w:pPr>
                </w:p>
              </w:tc>
            </w:tr>
            <w:tr w14:paraId="270EE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restart"/>
                  <w:vAlign w:val="center"/>
                </w:tcPr>
                <w:p w14:paraId="66C2EC81">
                  <w:pPr>
                    <w:jc w:val="center"/>
                    <w:rPr>
                      <w:rFonts w:hint="default"/>
                      <w:szCs w:val="21"/>
                      <w:lang w:val="en-US" w:eastAsia="zh-CN"/>
                    </w:rPr>
                  </w:pPr>
                  <w:r>
                    <w:rPr>
                      <w:rFonts w:hint="eastAsia"/>
                      <w:szCs w:val="21"/>
                      <w:lang w:val="en-US" w:eastAsia="zh-CN"/>
                    </w:rPr>
                    <w:t>8</w:t>
                  </w:r>
                </w:p>
              </w:tc>
              <w:tc>
                <w:tcPr>
                  <w:tcW w:w="457" w:type="dxa"/>
                  <w:vMerge w:val="continue"/>
                  <w:vAlign w:val="center"/>
                </w:tcPr>
                <w:p w14:paraId="7C056541">
                  <w:pPr>
                    <w:jc w:val="center"/>
                    <w:rPr>
                      <w:rFonts w:hint="eastAsia"/>
                      <w:szCs w:val="21"/>
                      <w:lang w:val="en-US" w:eastAsia="zh-CN"/>
                    </w:rPr>
                  </w:pPr>
                </w:p>
              </w:tc>
              <w:tc>
                <w:tcPr>
                  <w:tcW w:w="556" w:type="dxa"/>
                  <w:vMerge w:val="restart"/>
                  <w:shd w:val="clear" w:color="auto" w:fill="auto"/>
                  <w:vAlign w:val="center"/>
                </w:tcPr>
                <w:p w14:paraId="161743A7">
                  <w:pPr>
                    <w:jc w:val="center"/>
                    <w:rPr>
                      <w:rFonts w:hint="default"/>
                      <w:szCs w:val="21"/>
                      <w:lang w:val="en-US" w:eastAsia="zh-CN"/>
                    </w:rPr>
                  </w:pPr>
                  <w:r>
                    <w:rPr>
                      <w:rFonts w:hint="eastAsia"/>
                      <w:szCs w:val="21"/>
                      <w:lang w:val="en-US" w:eastAsia="zh-CN"/>
                    </w:rPr>
                    <w:t>真空泵</w:t>
                  </w:r>
                </w:p>
              </w:tc>
              <w:tc>
                <w:tcPr>
                  <w:tcW w:w="599" w:type="dxa"/>
                  <w:vMerge w:val="restart"/>
                  <w:shd w:val="clear" w:color="auto" w:fill="auto"/>
                  <w:vAlign w:val="center"/>
                </w:tcPr>
                <w:p w14:paraId="2192FC6B">
                  <w:pPr>
                    <w:jc w:val="center"/>
                    <w:rPr>
                      <w:rFonts w:hint="default"/>
                      <w:szCs w:val="21"/>
                      <w:lang w:val="en-US" w:eastAsia="zh-CN"/>
                    </w:rPr>
                  </w:pPr>
                  <w:r>
                    <w:rPr>
                      <w:rFonts w:hint="eastAsia"/>
                      <w:szCs w:val="21"/>
                      <w:lang w:val="en-US" w:eastAsia="zh-CN"/>
                    </w:rPr>
                    <w:t>4</w:t>
                  </w:r>
                </w:p>
              </w:tc>
              <w:tc>
                <w:tcPr>
                  <w:tcW w:w="572" w:type="dxa"/>
                  <w:vMerge w:val="restart"/>
                  <w:vAlign w:val="center"/>
                </w:tcPr>
                <w:p w14:paraId="0CD5F197">
                  <w:pPr>
                    <w:jc w:val="center"/>
                    <w:rPr>
                      <w:rFonts w:hint="default"/>
                      <w:szCs w:val="21"/>
                      <w:lang w:val="en-US" w:eastAsia="zh-CN"/>
                    </w:rPr>
                  </w:pPr>
                  <w:r>
                    <w:rPr>
                      <w:rFonts w:hint="eastAsia"/>
                      <w:szCs w:val="21"/>
                      <w:lang w:val="en-US" w:eastAsia="zh-CN"/>
                    </w:rPr>
                    <w:t>55-60</w:t>
                  </w:r>
                </w:p>
              </w:tc>
              <w:tc>
                <w:tcPr>
                  <w:tcW w:w="572" w:type="dxa"/>
                  <w:vMerge w:val="continue"/>
                  <w:vAlign w:val="center"/>
                </w:tcPr>
                <w:p w14:paraId="32DB5543">
                  <w:pPr>
                    <w:jc w:val="center"/>
                    <w:rPr>
                      <w:rFonts w:hint="eastAsia"/>
                      <w:szCs w:val="21"/>
                      <w:lang w:val="en-US" w:eastAsia="zh-CN"/>
                    </w:rPr>
                  </w:pPr>
                </w:p>
              </w:tc>
              <w:tc>
                <w:tcPr>
                  <w:tcW w:w="450" w:type="dxa"/>
                  <w:vMerge w:val="restart"/>
                  <w:vAlign w:val="center"/>
                </w:tcPr>
                <w:p w14:paraId="7DDC922D">
                  <w:pPr>
                    <w:jc w:val="center"/>
                    <w:rPr>
                      <w:rFonts w:hint="default"/>
                      <w:szCs w:val="21"/>
                      <w:lang w:val="en-US" w:eastAsia="zh-CN"/>
                    </w:rPr>
                  </w:pPr>
                  <w:r>
                    <w:rPr>
                      <w:rFonts w:hint="eastAsia"/>
                      <w:szCs w:val="21"/>
                      <w:lang w:val="en-US" w:eastAsia="zh-CN"/>
                    </w:rPr>
                    <w:t>1-12</w:t>
                  </w:r>
                </w:p>
              </w:tc>
              <w:tc>
                <w:tcPr>
                  <w:tcW w:w="489" w:type="dxa"/>
                  <w:vMerge w:val="restart"/>
                  <w:vAlign w:val="center"/>
                </w:tcPr>
                <w:p w14:paraId="4B7D54D0">
                  <w:pPr>
                    <w:jc w:val="center"/>
                    <w:rPr>
                      <w:rFonts w:hint="default"/>
                      <w:szCs w:val="21"/>
                      <w:lang w:val="en-US" w:eastAsia="zh-CN"/>
                    </w:rPr>
                  </w:pPr>
                  <w:r>
                    <w:rPr>
                      <w:rFonts w:hint="eastAsia"/>
                      <w:szCs w:val="21"/>
                      <w:lang w:val="en-US" w:eastAsia="zh-CN"/>
                    </w:rPr>
                    <w:t>12-20</w:t>
                  </w:r>
                </w:p>
              </w:tc>
              <w:tc>
                <w:tcPr>
                  <w:tcW w:w="464" w:type="dxa"/>
                  <w:vMerge w:val="restart"/>
                  <w:vAlign w:val="center"/>
                </w:tcPr>
                <w:p w14:paraId="14556BE3">
                  <w:pPr>
                    <w:jc w:val="center"/>
                    <w:rPr>
                      <w:rFonts w:hint="default"/>
                      <w:szCs w:val="21"/>
                      <w:lang w:val="en-US" w:eastAsia="zh-CN"/>
                    </w:rPr>
                  </w:pPr>
                  <w:r>
                    <w:rPr>
                      <w:rFonts w:hint="eastAsia"/>
                      <w:szCs w:val="21"/>
                      <w:lang w:val="en-US" w:eastAsia="zh-CN"/>
                    </w:rPr>
                    <w:t>0.5</w:t>
                  </w:r>
                </w:p>
              </w:tc>
              <w:tc>
                <w:tcPr>
                  <w:tcW w:w="476" w:type="dxa"/>
                  <w:shd w:val="clear" w:color="auto" w:fill="auto"/>
                  <w:vAlign w:val="center"/>
                </w:tcPr>
                <w:p w14:paraId="4FC61DC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424" w:type="dxa"/>
                  <w:shd w:val="clear" w:color="auto" w:fill="auto"/>
                  <w:vAlign w:val="center"/>
                </w:tcPr>
                <w:p w14:paraId="2322D032">
                  <w:pPr>
                    <w:jc w:val="center"/>
                    <w:rPr>
                      <w:rFonts w:hint="default"/>
                      <w:szCs w:val="21"/>
                      <w:lang w:val="en-US" w:eastAsia="zh-CN"/>
                    </w:rPr>
                  </w:pPr>
                  <w:r>
                    <w:rPr>
                      <w:rFonts w:hint="eastAsia"/>
                      <w:szCs w:val="21"/>
                      <w:lang w:val="en-US" w:eastAsia="zh-CN"/>
                    </w:rPr>
                    <w:t>1</w:t>
                  </w:r>
                </w:p>
              </w:tc>
              <w:tc>
                <w:tcPr>
                  <w:tcW w:w="599" w:type="dxa"/>
                  <w:vAlign w:val="center"/>
                </w:tcPr>
                <w:p w14:paraId="323303C0">
                  <w:pPr>
                    <w:jc w:val="center"/>
                    <w:rPr>
                      <w:rFonts w:hint="default"/>
                      <w:szCs w:val="21"/>
                      <w:lang w:val="en-US" w:eastAsia="zh-CN"/>
                    </w:rPr>
                  </w:pPr>
                  <w:r>
                    <w:rPr>
                      <w:rFonts w:hint="eastAsia"/>
                      <w:szCs w:val="21"/>
                      <w:lang w:val="en-US" w:eastAsia="zh-CN"/>
                    </w:rPr>
                    <w:t>59.4</w:t>
                  </w:r>
                </w:p>
              </w:tc>
              <w:tc>
                <w:tcPr>
                  <w:tcW w:w="544" w:type="dxa"/>
                  <w:vMerge w:val="restart"/>
                  <w:vAlign w:val="center"/>
                </w:tcPr>
                <w:p w14:paraId="73F477AA">
                  <w:pPr>
                    <w:jc w:val="center"/>
                    <w:rPr>
                      <w:rFonts w:hint="eastAsia"/>
                      <w:szCs w:val="21"/>
                      <w:lang w:val="en-US" w:eastAsia="zh-CN"/>
                    </w:rPr>
                  </w:pPr>
                  <w:r>
                    <w:rPr>
                      <w:rFonts w:hint="eastAsia"/>
                      <w:snapToGrid w:val="0"/>
                      <w:szCs w:val="21"/>
                      <w:lang w:val="en-US" w:eastAsia="zh-CN"/>
                    </w:rPr>
                    <w:t>8</w:t>
                  </w:r>
                  <w:r>
                    <w:rPr>
                      <w:snapToGrid w:val="0"/>
                      <w:szCs w:val="21"/>
                    </w:rPr>
                    <w:t>h</w:t>
                  </w:r>
                  <w:r>
                    <w:rPr>
                      <w:rFonts w:hint="eastAsia"/>
                      <w:snapToGrid w:val="0"/>
                      <w:szCs w:val="21"/>
                    </w:rPr>
                    <w:t>/d</w:t>
                  </w:r>
                </w:p>
              </w:tc>
              <w:tc>
                <w:tcPr>
                  <w:tcW w:w="676" w:type="dxa"/>
                  <w:vMerge w:val="restart"/>
                  <w:vAlign w:val="center"/>
                </w:tcPr>
                <w:p w14:paraId="2C87A17F">
                  <w:pPr>
                    <w:jc w:val="center"/>
                    <w:rPr>
                      <w:rFonts w:hint="eastAsia"/>
                      <w:szCs w:val="21"/>
                      <w:lang w:val="en-US" w:eastAsia="zh-CN"/>
                    </w:rPr>
                  </w:pPr>
                  <w:r>
                    <w:rPr>
                      <w:rFonts w:hint="eastAsia"/>
                      <w:szCs w:val="21"/>
                    </w:rPr>
                    <w:t>-15</w:t>
                  </w:r>
                </w:p>
              </w:tc>
              <w:tc>
                <w:tcPr>
                  <w:tcW w:w="718" w:type="dxa"/>
                  <w:vAlign w:val="center"/>
                </w:tcPr>
                <w:p w14:paraId="4AD65B38">
                  <w:pPr>
                    <w:jc w:val="center"/>
                    <w:rPr>
                      <w:rFonts w:hint="default"/>
                      <w:szCs w:val="21"/>
                      <w:lang w:val="en-US" w:eastAsia="zh-CN"/>
                    </w:rPr>
                  </w:pPr>
                  <w:r>
                    <w:rPr>
                      <w:rFonts w:hint="eastAsia"/>
                      <w:szCs w:val="21"/>
                      <w:lang w:val="en-US" w:eastAsia="zh-CN"/>
                    </w:rPr>
                    <w:t>44.4</w:t>
                  </w:r>
                </w:p>
              </w:tc>
              <w:tc>
                <w:tcPr>
                  <w:tcW w:w="731" w:type="dxa"/>
                  <w:vMerge w:val="continue"/>
                  <w:vAlign w:val="center"/>
                </w:tcPr>
                <w:p w14:paraId="3598E43E">
                  <w:pPr>
                    <w:jc w:val="center"/>
                    <w:rPr>
                      <w:rFonts w:hint="eastAsia"/>
                      <w:szCs w:val="21"/>
                      <w:lang w:val="en-US" w:eastAsia="zh-CN"/>
                    </w:rPr>
                  </w:pPr>
                </w:p>
              </w:tc>
            </w:tr>
            <w:tr w14:paraId="2ADBC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187A80D3">
                  <w:pPr>
                    <w:jc w:val="center"/>
                  </w:pPr>
                </w:p>
              </w:tc>
              <w:tc>
                <w:tcPr>
                  <w:tcW w:w="457" w:type="dxa"/>
                  <w:vMerge w:val="continue"/>
                  <w:vAlign w:val="center"/>
                </w:tcPr>
                <w:p w14:paraId="62C09FC0">
                  <w:pPr>
                    <w:jc w:val="center"/>
                  </w:pPr>
                </w:p>
              </w:tc>
              <w:tc>
                <w:tcPr>
                  <w:tcW w:w="556" w:type="dxa"/>
                  <w:vMerge w:val="continue"/>
                  <w:shd w:val="clear" w:color="auto" w:fill="auto"/>
                  <w:vAlign w:val="center"/>
                </w:tcPr>
                <w:p w14:paraId="1C507816">
                  <w:pPr>
                    <w:jc w:val="center"/>
                  </w:pPr>
                </w:p>
              </w:tc>
              <w:tc>
                <w:tcPr>
                  <w:tcW w:w="599" w:type="dxa"/>
                  <w:vMerge w:val="continue"/>
                  <w:shd w:val="clear" w:color="auto" w:fill="auto"/>
                  <w:vAlign w:val="center"/>
                </w:tcPr>
                <w:p w14:paraId="79469632">
                  <w:pPr>
                    <w:jc w:val="center"/>
                  </w:pPr>
                </w:p>
              </w:tc>
              <w:tc>
                <w:tcPr>
                  <w:tcW w:w="572" w:type="dxa"/>
                  <w:vMerge w:val="continue"/>
                  <w:vAlign w:val="center"/>
                </w:tcPr>
                <w:p w14:paraId="2344FC28">
                  <w:pPr>
                    <w:jc w:val="center"/>
                  </w:pPr>
                </w:p>
              </w:tc>
              <w:tc>
                <w:tcPr>
                  <w:tcW w:w="572" w:type="dxa"/>
                  <w:vMerge w:val="continue"/>
                  <w:vAlign w:val="center"/>
                </w:tcPr>
                <w:p w14:paraId="6724AF68">
                  <w:pPr>
                    <w:jc w:val="center"/>
                  </w:pPr>
                </w:p>
              </w:tc>
              <w:tc>
                <w:tcPr>
                  <w:tcW w:w="450" w:type="dxa"/>
                  <w:vMerge w:val="continue"/>
                  <w:vAlign w:val="center"/>
                </w:tcPr>
                <w:p w14:paraId="3FA25C33">
                  <w:pPr>
                    <w:jc w:val="center"/>
                  </w:pPr>
                </w:p>
              </w:tc>
              <w:tc>
                <w:tcPr>
                  <w:tcW w:w="489" w:type="dxa"/>
                  <w:vMerge w:val="continue"/>
                  <w:vAlign w:val="center"/>
                </w:tcPr>
                <w:p w14:paraId="456E86B9">
                  <w:pPr>
                    <w:jc w:val="center"/>
                  </w:pPr>
                </w:p>
              </w:tc>
              <w:tc>
                <w:tcPr>
                  <w:tcW w:w="464" w:type="dxa"/>
                  <w:vMerge w:val="continue"/>
                  <w:vAlign w:val="center"/>
                </w:tcPr>
                <w:p w14:paraId="6FBCE7EB">
                  <w:pPr>
                    <w:jc w:val="center"/>
                  </w:pPr>
                </w:p>
              </w:tc>
              <w:tc>
                <w:tcPr>
                  <w:tcW w:w="476" w:type="dxa"/>
                  <w:shd w:val="clear" w:color="auto" w:fill="auto"/>
                  <w:vAlign w:val="center"/>
                </w:tcPr>
                <w:p w14:paraId="2241EFF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424" w:type="dxa"/>
                  <w:shd w:val="clear" w:color="auto" w:fill="auto"/>
                  <w:vAlign w:val="center"/>
                </w:tcPr>
                <w:p w14:paraId="1DC6C165">
                  <w:pPr>
                    <w:jc w:val="center"/>
                    <w:rPr>
                      <w:rFonts w:hint="default"/>
                      <w:szCs w:val="21"/>
                      <w:lang w:val="en-US" w:eastAsia="zh-CN"/>
                    </w:rPr>
                  </w:pPr>
                  <w:r>
                    <w:rPr>
                      <w:rFonts w:hint="eastAsia"/>
                      <w:szCs w:val="21"/>
                      <w:lang w:val="en-US" w:eastAsia="zh-CN"/>
                    </w:rPr>
                    <w:t>20</w:t>
                  </w:r>
                </w:p>
              </w:tc>
              <w:tc>
                <w:tcPr>
                  <w:tcW w:w="599" w:type="dxa"/>
                  <w:vAlign w:val="center"/>
                </w:tcPr>
                <w:p w14:paraId="76A1656C">
                  <w:pPr>
                    <w:jc w:val="center"/>
                    <w:rPr>
                      <w:rFonts w:hint="default"/>
                      <w:szCs w:val="21"/>
                      <w:lang w:val="en-US" w:eastAsia="zh-CN"/>
                    </w:rPr>
                  </w:pPr>
                  <w:r>
                    <w:rPr>
                      <w:rFonts w:hint="eastAsia"/>
                      <w:szCs w:val="21"/>
                      <w:lang w:val="en-US" w:eastAsia="zh-CN"/>
                    </w:rPr>
                    <w:t>48.9</w:t>
                  </w:r>
                </w:p>
              </w:tc>
              <w:tc>
                <w:tcPr>
                  <w:tcW w:w="544" w:type="dxa"/>
                  <w:vMerge w:val="continue"/>
                  <w:vAlign w:val="center"/>
                </w:tcPr>
                <w:p w14:paraId="07B0F8EF">
                  <w:pPr>
                    <w:jc w:val="center"/>
                    <w:rPr>
                      <w:rFonts w:hint="eastAsia"/>
                      <w:szCs w:val="21"/>
                      <w:lang w:val="en-US" w:eastAsia="zh-CN"/>
                    </w:rPr>
                  </w:pPr>
                </w:p>
              </w:tc>
              <w:tc>
                <w:tcPr>
                  <w:tcW w:w="676" w:type="dxa"/>
                  <w:vMerge w:val="continue"/>
                  <w:vAlign w:val="center"/>
                </w:tcPr>
                <w:p w14:paraId="3CBBABE4">
                  <w:pPr>
                    <w:jc w:val="center"/>
                    <w:rPr>
                      <w:rFonts w:hint="eastAsia"/>
                      <w:szCs w:val="21"/>
                      <w:lang w:val="en-US" w:eastAsia="zh-CN"/>
                    </w:rPr>
                  </w:pPr>
                </w:p>
              </w:tc>
              <w:tc>
                <w:tcPr>
                  <w:tcW w:w="718" w:type="dxa"/>
                  <w:vAlign w:val="center"/>
                </w:tcPr>
                <w:p w14:paraId="49092DC0">
                  <w:pPr>
                    <w:jc w:val="center"/>
                    <w:rPr>
                      <w:rFonts w:hint="default"/>
                      <w:szCs w:val="21"/>
                      <w:lang w:val="en-US" w:eastAsia="zh-CN"/>
                    </w:rPr>
                  </w:pPr>
                  <w:r>
                    <w:rPr>
                      <w:rFonts w:hint="eastAsia"/>
                      <w:szCs w:val="21"/>
                      <w:lang w:val="en-US" w:eastAsia="zh-CN"/>
                    </w:rPr>
                    <w:t>33.9</w:t>
                  </w:r>
                </w:p>
              </w:tc>
              <w:tc>
                <w:tcPr>
                  <w:tcW w:w="731" w:type="dxa"/>
                  <w:vMerge w:val="continue"/>
                  <w:vAlign w:val="center"/>
                </w:tcPr>
                <w:p w14:paraId="12E94D91">
                  <w:pPr>
                    <w:jc w:val="center"/>
                    <w:rPr>
                      <w:rFonts w:hint="eastAsia"/>
                      <w:szCs w:val="21"/>
                      <w:lang w:val="en-US" w:eastAsia="zh-CN"/>
                    </w:rPr>
                  </w:pPr>
                </w:p>
              </w:tc>
            </w:tr>
            <w:tr w14:paraId="5D706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7858349F">
                  <w:pPr>
                    <w:jc w:val="center"/>
                    <w:rPr>
                      <w:rFonts w:hint="eastAsia"/>
                      <w:szCs w:val="21"/>
                      <w:lang w:val="en-US" w:eastAsia="zh-CN"/>
                    </w:rPr>
                  </w:pPr>
                </w:p>
              </w:tc>
              <w:tc>
                <w:tcPr>
                  <w:tcW w:w="457" w:type="dxa"/>
                  <w:vMerge w:val="continue"/>
                  <w:vAlign w:val="center"/>
                </w:tcPr>
                <w:p w14:paraId="3E84308D">
                  <w:pPr>
                    <w:jc w:val="center"/>
                    <w:rPr>
                      <w:rFonts w:hint="eastAsia"/>
                      <w:szCs w:val="21"/>
                      <w:lang w:val="en-US" w:eastAsia="zh-CN"/>
                    </w:rPr>
                  </w:pPr>
                </w:p>
              </w:tc>
              <w:tc>
                <w:tcPr>
                  <w:tcW w:w="556" w:type="dxa"/>
                  <w:vMerge w:val="continue"/>
                  <w:shd w:val="clear" w:color="auto" w:fill="auto"/>
                  <w:vAlign w:val="center"/>
                </w:tcPr>
                <w:p w14:paraId="78CDE2DA">
                  <w:pPr>
                    <w:jc w:val="center"/>
                    <w:rPr>
                      <w:rFonts w:hint="eastAsia"/>
                      <w:szCs w:val="21"/>
                      <w:lang w:val="en-US" w:eastAsia="zh-CN"/>
                    </w:rPr>
                  </w:pPr>
                </w:p>
              </w:tc>
              <w:tc>
                <w:tcPr>
                  <w:tcW w:w="599" w:type="dxa"/>
                  <w:vMerge w:val="continue"/>
                  <w:shd w:val="clear" w:color="auto" w:fill="auto"/>
                  <w:vAlign w:val="center"/>
                </w:tcPr>
                <w:p w14:paraId="39C07671">
                  <w:pPr>
                    <w:jc w:val="center"/>
                    <w:rPr>
                      <w:rFonts w:hint="eastAsia"/>
                      <w:szCs w:val="21"/>
                      <w:lang w:val="en-US" w:eastAsia="zh-CN"/>
                    </w:rPr>
                  </w:pPr>
                </w:p>
              </w:tc>
              <w:tc>
                <w:tcPr>
                  <w:tcW w:w="572" w:type="dxa"/>
                  <w:vMerge w:val="continue"/>
                  <w:vAlign w:val="center"/>
                </w:tcPr>
                <w:p w14:paraId="353D165F">
                  <w:pPr>
                    <w:jc w:val="center"/>
                    <w:rPr>
                      <w:rFonts w:hint="eastAsia"/>
                      <w:szCs w:val="21"/>
                      <w:lang w:val="en-US" w:eastAsia="zh-CN"/>
                    </w:rPr>
                  </w:pPr>
                </w:p>
              </w:tc>
              <w:tc>
                <w:tcPr>
                  <w:tcW w:w="572" w:type="dxa"/>
                  <w:vMerge w:val="continue"/>
                  <w:vAlign w:val="center"/>
                </w:tcPr>
                <w:p w14:paraId="5C3FD47A">
                  <w:pPr>
                    <w:jc w:val="center"/>
                    <w:rPr>
                      <w:rFonts w:hint="eastAsia"/>
                      <w:szCs w:val="21"/>
                      <w:lang w:val="en-US" w:eastAsia="zh-CN"/>
                    </w:rPr>
                  </w:pPr>
                </w:p>
              </w:tc>
              <w:tc>
                <w:tcPr>
                  <w:tcW w:w="450" w:type="dxa"/>
                  <w:vMerge w:val="continue"/>
                  <w:vAlign w:val="center"/>
                </w:tcPr>
                <w:p w14:paraId="0F7B92A4">
                  <w:pPr>
                    <w:jc w:val="center"/>
                    <w:rPr>
                      <w:rFonts w:hint="eastAsia"/>
                      <w:szCs w:val="21"/>
                      <w:lang w:val="en-US" w:eastAsia="zh-CN"/>
                    </w:rPr>
                  </w:pPr>
                </w:p>
              </w:tc>
              <w:tc>
                <w:tcPr>
                  <w:tcW w:w="489" w:type="dxa"/>
                  <w:vMerge w:val="continue"/>
                  <w:vAlign w:val="center"/>
                </w:tcPr>
                <w:p w14:paraId="230B53B0">
                  <w:pPr>
                    <w:jc w:val="center"/>
                    <w:rPr>
                      <w:rFonts w:hint="eastAsia"/>
                      <w:szCs w:val="21"/>
                      <w:lang w:val="en-US" w:eastAsia="zh-CN"/>
                    </w:rPr>
                  </w:pPr>
                </w:p>
              </w:tc>
              <w:tc>
                <w:tcPr>
                  <w:tcW w:w="464" w:type="dxa"/>
                  <w:vMerge w:val="continue"/>
                  <w:vAlign w:val="center"/>
                </w:tcPr>
                <w:p w14:paraId="2CB844E3">
                  <w:pPr>
                    <w:jc w:val="center"/>
                    <w:rPr>
                      <w:rFonts w:hint="eastAsia"/>
                      <w:szCs w:val="21"/>
                      <w:lang w:val="en-US" w:eastAsia="zh-CN"/>
                    </w:rPr>
                  </w:pPr>
                </w:p>
              </w:tc>
              <w:tc>
                <w:tcPr>
                  <w:tcW w:w="476" w:type="dxa"/>
                  <w:shd w:val="clear" w:color="auto" w:fill="auto"/>
                  <w:vAlign w:val="center"/>
                </w:tcPr>
                <w:p w14:paraId="48BE02F7">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424" w:type="dxa"/>
                  <w:shd w:val="clear" w:color="auto" w:fill="auto"/>
                  <w:vAlign w:val="center"/>
                </w:tcPr>
                <w:p w14:paraId="78D85733">
                  <w:pPr>
                    <w:jc w:val="center"/>
                    <w:rPr>
                      <w:rFonts w:hint="default"/>
                      <w:szCs w:val="21"/>
                      <w:lang w:val="en-US" w:eastAsia="zh-CN"/>
                    </w:rPr>
                  </w:pPr>
                  <w:r>
                    <w:rPr>
                      <w:rFonts w:hint="eastAsia"/>
                      <w:szCs w:val="21"/>
                      <w:lang w:val="en-US" w:eastAsia="zh-CN"/>
                    </w:rPr>
                    <w:t>2</w:t>
                  </w:r>
                </w:p>
              </w:tc>
              <w:tc>
                <w:tcPr>
                  <w:tcW w:w="599" w:type="dxa"/>
                  <w:vAlign w:val="center"/>
                </w:tcPr>
                <w:p w14:paraId="389914DD">
                  <w:pPr>
                    <w:jc w:val="center"/>
                    <w:rPr>
                      <w:rFonts w:hint="default"/>
                      <w:szCs w:val="21"/>
                      <w:lang w:val="en-US" w:eastAsia="zh-CN"/>
                    </w:rPr>
                  </w:pPr>
                  <w:r>
                    <w:rPr>
                      <w:rFonts w:hint="eastAsia"/>
                      <w:szCs w:val="21"/>
                      <w:lang w:val="en-US" w:eastAsia="zh-CN"/>
                    </w:rPr>
                    <w:t>56.4</w:t>
                  </w:r>
                </w:p>
              </w:tc>
              <w:tc>
                <w:tcPr>
                  <w:tcW w:w="544" w:type="dxa"/>
                  <w:vMerge w:val="continue"/>
                  <w:vAlign w:val="center"/>
                </w:tcPr>
                <w:p w14:paraId="27E68D1A">
                  <w:pPr>
                    <w:jc w:val="center"/>
                    <w:rPr>
                      <w:rFonts w:hint="eastAsia"/>
                      <w:szCs w:val="21"/>
                      <w:lang w:val="en-US" w:eastAsia="zh-CN"/>
                    </w:rPr>
                  </w:pPr>
                </w:p>
              </w:tc>
              <w:tc>
                <w:tcPr>
                  <w:tcW w:w="676" w:type="dxa"/>
                  <w:vMerge w:val="continue"/>
                  <w:vAlign w:val="center"/>
                </w:tcPr>
                <w:p w14:paraId="78D56946">
                  <w:pPr>
                    <w:jc w:val="center"/>
                    <w:rPr>
                      <w:rFonts w:hint="eastAsia"/>
                      <w:szCs w:val="21"/>
                      <w:lang w:val="en-US" w:eastAsia="zh-CN"/>
                    </w:rPr>
                  </w:pPr>
                </w:p>
              </w:tc>
              <w:tc>
                <w:tcPr>
                  <w:tcW w:w="718" w:type="dxa"/>
                  <w:vAlign w:val="center"/>
                </w:tcPr>
                <w:p w14:paraId="144B868C">
                  <w:pPr>
                    <w:jc w:val="center"/>
                    <w:rPr>
                      <w:rFonts w:hint="default"/>
                      <w:szCs w:val="21"/>
                      <w:lang w:val="en-US" w:eastAsia="zh-CN"/>
                    </w:rPr>
                  </w:pPr>
                  <w:r>
                    <w:rPr>
                      <w:rFonts w:hint="eastAsia"/>
                      <w:szCs w:val="21"/>
                      <w:lang w:val="en-US" w:eastAsia="zh-CN"/>
                    </w:rPr>
                    <w:t>41.4</w:t>
                  </w:r>
                </w:p>
              </w:tc>
              <w:tc>
                <w:tcPr>
                  <w:tcW w:w="731" w:type="dxa"/>
                  <w:vMerge w:val="continue"/>
                  <w:vAlign w:val="center"/>
                </w:tcPr>
                <w:p w14:paraId="77944C2E">
                  <w:pPr>
                    <w:jc w:val="center"/>
                    <w:rPr>
                      <w:rFonts w:hint="eastAsia"/>
                      <w:szCs w:val="21"/>
                      <w:lang w:val="en-US" w:eastAsia="zh-CN"/>
                    </w:rPr>
                  </w:pPr>
                </w:p>
              </w:tc>
            </w:tr>
            <w:tr w14:paraId="370EC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0E20192F">
                  <w:pPr>
                    <w:jc w:val="center"/>
                    <w:rPr>
                      <w:rFonts w:hint="eastAsia"/>
                      <w:szCs w:val="21"/>
                      <w:lang w:val="en-US" w:eastAsia="zh-CN"/>
                    </w:rPr>
                  </w:pPr>
                </w:p>
              </w:tc>
              <w:tc>
                <w:tcPr>
                  <w:tcW w:w="457" w:type="dxa"/>
                  <w:vMerge w:val="continue"/>
                  <w:vAlign w:val="center"/>
                </w:tcPr>
                <w:p w14:paraId="36B11DC9">
                  <w:pPr>
                    <w:jc w:val="center"/>
                    <w:rPr>
                      <w:rFonts w:hint="eastAsia"/>
                      <w:szCs w:val="21"/>
                      <w:lang w:val="en-US" w:eastAsia="zh-CN"/>
                    </w:rPr>
                  </w:pPr>
                </w:p>
              </w:tc>
              <w:tc>
                <w:tcPr>
                  <w:tcW w:w="556" w:type="dxa"/>
                  <w:vMerge w:val="continue"/>
                  <w:shd w:val="clear" w:color="auto" w:fill="auto"/>
                  <w:vAlign w:val="center"/>
                </w:tcPr>
                <w:p w14:paraId="6ACBB1C5">
                  <w:pPr>
                    <w:jc w:val="center"/>
                    <w:rPr>
                      <w:rFonts w:hint="eastAsia"/>
                      <w:szCs w:val="21"/>
                      <w:lang w:val="en-US" w:eastAsia="zh-CN"/>
                    </w:rPr>
                  </w:pPr>
                </w:p>
              </w:tc>
              <w:tc>
                <w:tcPr>
                  <w:tcW w:w="599" w:type="dxa"/>
                  <w:vMerge w:val="continue"/>
                  <w:shd w:val="clear" w:color="auto" w:fill="auto"/>
                  <w:vAlign w:val="center"/>
                </w:tcPr>
                <w:p w14:paraId="3CF6F2CF">
                  <w:pPr>
                    <w:jc w:val="center"/>
                    <w:rPr>
                      <w:rFonts w:hint="eastAsia"/>
                      <w:szCs w:val="21"/>
                      <w:lang w:val="en-US" w:eastAsia="zh-CN"/>
                    </w:rPr>
                  </w:pPr>
                </w:p>
              </w:tc>
              <w:tc>
                <w:tcPr>
                  <w:tcW w:w="572" w:type="dxa"/>
                  <w:vMerge w:val="continue"/>
                  <w:vAlign w:val="center"/>
                </w:tcPr>
                <w:p w14:paraId="46FAF9A0">
                  <w:pPr>
                    <w:jc w:val="center"/>
                    <w:rPr>
                      <w:rFonts w:hint="eastAsia"/>
                      <w:szCs w:val="21"/>
                      <w:lang w:val="en-US" w:eastAsia="zh-CN"/>
                    </w:rPr>
                  </w:pPr>
                </w:p>
              </w:tc>
              <w:tc>
                <w:tcPr>
                  <w:tcW w:w="572" w:type="dxa"/>
                  <w:vMerge w:val="continue"/>
                  <w:vAlign w:val="center"/>
                </w:tcPr>
                <w:p w14:paraId="34EEB9C3">
                  <w:pPr>
                    <w:jc w:val="center"/>
                    <w:rPr>
                      <w:rFonts w:hint="eastAsia"/>
                      <w:szCs w:val="21"/>
                      <w:lang w:val="en-US" w:eastAsia="zh-CN"/>
                    </w:rPr>
                  </w:pPr>
                </w:p>
              </w:tc>
              <w:tc>
                <w:tcPr>
                  <w:tcW w:w="450" w:type="dxa"/>
                  <w:vMerge w:val="continue"/>
                  <w:vAlign w:val="center"/>
                </w:tcPr>
                <w:p w14:paraId="0DCED7C8">
                  <w:pPr>
                    <w:jc w:val="center"/>
                    <w:rPr>
                      <w:rFonts w:hint="eastAsia"/>
                      <w:szCs w:val="21"/>
                      <w:lang w:val="en-US" w:eastAsia="zh-CN"/>
                    </w:rPr>
                  </w:pPr>
                </w:p>
              </w:tc>
              <w:tc>
                <w:tcPr>
                  <w:tcW w:w="489" w:type="dxa"/>
                  <w:vMerge w:val="continue"/>
                  <w:vAlign w:val="center"/>
                </w:tcPr>
                <w:p w14:paraId="4DC60993">
                  <w:pPr>
                    <w:jc w:val="center"/>
                    <w:rPr>
                      <w:rFonts w:hint="eastAsia"/>
                      <w:szCs w:val="21"/>
                      <w:lang w:val="en-US" w:eastAsia="zh-CN"/>
                    </w:rPr>
                  </w:pPr>
                </w:p>
              </w:tc>
              <w:tc>
                <w:tcPr>
                  <w:tcW w:w="464" w:type="dxa"/>
                  <w:vMerge w:val="continue"/>
                  <w:vAlign w:val="center"/>
                </w:tcPr>
                <w:p w14:paraId="13A37EBC">
                  <w:pPr>
                    <w:jc w:val="center"/>
                    <w:rPr>
                      <w:rFonts w:hint="eastAsia"/>
                      <w:szCs w:val="21"/>
                      <w:lang w:val="en-US" w:eastAsia="zh-CN"/>
                    </w:rPr>
                  </w:pPr>
                </w:p>
              </w:tc>
              <w:tc>
                <w:tcPr>
                  <w:tcW w:w="476" w:type="dxa"/>
                  <w:shd w:val="clear" w:color="auto" w:fill="auto"/>
                  <w:vAlign w:val="center"/>
                </w:tcPr>
                <w:p w14:paraId="68F8DA85">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424" w:type="dxa"/>
                  <w:shd w:val="clear" w:color="auto" w:fill="auto"/>
                  <w:vAlign w:val="center"/>
                </w:tcPr>
                <w:p w14:paraId="4BBD11DA">
                  <w:pPr>
                    <w:jc w:val="center"/>
                    <w:rPr>
                      <w:rFonts w:hint="default"/>
                      <w:szCs w:val="21"/>
                      <w:lang w:val="en-US" w:eastAsia="zh-CN"/>
                    </w:rPr>
                  </w:pPr>
                  <w:r>
                    <w:rPr>
                      <w:rFonts w:hint="eastAsia"/>
                      <w:szCs w:val="21"/>
                      <w:lang w:val="en-US" w:eastAsia="zh-CN"/>
                    </w:rPr>
                    <w:t>29</w:t>
                  </w:r>
                </w:p>
              </w:tc>
              <w:tc>
                <w:tcPr>
                  <w:tcW w:w="599" w:type="dxa"/>
                  <w:vAlign w:val="center"/>
                </w:tcPr>
                <w:p w14:paraId="0A886DAE">
                  <w:pPr>
                    <w:jc w:val="center"/>
                    <w:rPr>
                      <w:rFonts w:hint="default"/>
                      <w:szCs w:val="21"/>
                      <w:lang w:val="en-US" w:eastAsia="zh-CN"/>
                    </w:rPr>
                  </w:pPr>
                  <w:r>
                    <w:rPr>
                      <w:rFonts w:hint="eastAsia"/>
                      <w:szCs w:val="21"/>
                      <w:lang w:val="en-US" w:eastAsia="zh-CN"/>
                    </w:rPr>
                    <w:t>43.3</w:t>
                  </w:r>
                </w:p>
              </w:tc>
              <w:tc>
                <w:tcPr>
                  <w:tcW w:w="544" w:type="dxa"/>
                  <w:vMerge w:val="continue"/>
                  <w:vAlign w:val="center"/>
                </w:tcPr>
                <w:p w14:paraId="78EA23E7">
                  <w:pPr>
                    <w:jc w:val="center"/>
                    <w:rPr>
                      <w:rFonts w:hint="eastAsia"/>
                      <w:szCs w:val="21"/>
                      <w:lang w:val="en-US" w:eastAsia="zh-CN"/>
                    </w:rPr>
                  </w:pPr>
                </w:p>
              </w:tc>
              <w:tc>
                <w:tcPr>
                  <w:tcW w:w="676" w:type="dxa"/>
                  <w:vMerge w:val="continue"/>
                  <w:vAlign w:val="center"/>
                </w:tcPr>
                <w:p w14:paraId="7D07DB9A">
                  <w:pPr>
                    <w:jc w:val="center"/>
                    <w:rPr>
                      <w:rFonts w:hint="eastAsia"/>
                      <w:szCs w:val="21"/>
                      <w:lang w:val="en-US" w:eastAsia="zh-CN"/>
                    </w:rPr>
                  </w:pPr>
                </w:p>
              </w:tc>
              <w:tc>
                <w:tcPr>
                  <w:tcW w:w="718" w:type="dxa"/>
                  <w:vAlign w:val="center"/>
                </w:tcPr>
                <w:p w14:paraId="27EBCFAD">
                  <w:pPr>
                    <w:jc w:val="center"/>
                    <w:rPr>
                      <w:rFonts w:hint="default"/>
                      <w:szCs w:val="21"/>
                      <w:lang w:val="en-US" w:eastAsia="zh-CN"/>
                    </w:rPr>
                  </w:pPr>
                  <w:r>
                    <w:rPr>
                      <w:rFonts w:hint="eastAsia"/>
                      <w:szCs w:val="21"/>
                      <w:lang w:val="en-US" w:eastAsia="zh-CN"/>
                    </w:rPr>
                    <w:t>27.3</w:t>
                  </w:r>
                </w:p>
              </w:tc>
              <w:tc>
                <w:tcPr>
                  <w:tcW w:w="731" w:type="dxa"/>
                  <w:vMerge w:val="continue"/>
                  <w:vAlign w:val="center"/>
                </w:tcPr>
                <w:p w14:paraId="1E80D2BB">
                  <w:pPr>
                    <w:jc w:val="center"/>
                    <w:rPr>
                      <w:rFonts w:hint="eastAsia"/>
                      <w:szCs w:val="21"/>
                      <w:lang w:val="en-US" w:eastAsia="zh-CN"/>
                    </w:rPr>
                  </w:pPr>
                </w:p>
              </w:tc>
            </w:tr>
            <w:tr w14:paraId="1A386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restart"/>
                  <w:vAlign w:val="center"/>
                </w:tcPr>
                <w:p w14:paraId="2B3B2717">
                  <w:pPr>
                    <w:jc w:val="center"/>
                    <w:rPr>
                      <w:rFonts w:hint="default"/>
                      <w:szCs w:val="21"/>
                      <w:lang w:val="en-US" w:eastAsia="zh-CN"/>
                    </w:rPr>
                  </w:pPr>
                  <w:r>
                    <w:rPr>
                      <w:rFonts w:hint="eastAsia"/>
                      <w:szCs w:val="21"/>
                      <w:lang w:val="en-US" w:eastAsia="zh-CN"/>
                    </w:rPr>
                    <w:t>9</w:t>
                  </w:r>
                </w:p>
              </w:tc>
              <w:tc>
                <w:tcPr>
                  <w:tcW w:w="457" w:type="dxa"/>
                  <w:vMerge w:val="continue"/>
                  <w:vAlign w:val="center"/>
                </w:tcPr>
                <w:p w14:paraId="2EF99820">
                  <w:pPr>
                    <w:jc w:val="center"/>
                    <w:rPr>
                      <w:rFonts w:hint="eastAsia"/>
                      <w:szCs w:val="21"/>
                      <w:lang w:val="en-US" w:eastAsia="zh-CN"/>
                    </w:rPr>
                  </w:pPr>
                </w:p>
              </w:tc>
              <w:tc>
                <w:tcPr>
                  <w:tcW w:w="556" w:type="dxa"/>
                  <w:vMerge w:val="restart"/>
                  <w:shd w:val="clear" w:color="auto" w:fill="auto"/>
                  <w:vAlign w:val="center"/>
                </w:tcPr>
                <w:p w14:paraId="79068BB9">
                  <w:pPr>
                    <w:jc w:val="center"/>
                    <w:rPr>
                      <w:rFonts w:hint="default"/>
                      <w:szCs w:val="21"/>
                      <w:lang w:val="en-US" w:eastAsia="zh-CN"/>
                    </w:rPr>
                  </w:pPr>
                  <w:r>
                    <w:rPr>
                      <w:rFonts w:hint="eastAsia"/>
                      <w:szCs w:val="21"/>
                      <w:lang w:val="en-US" w:eastAsia="zh-CN"/>
                    </w:rPr>
                    <w:t>真空控制系统组</w:t>
                  </w:r>
                </w:p>
              </w:tc>
              <w:tc>
                <w:tcPr>
                  <w:tcW w:w="599" w:type="dxa"/>
                  <w:vMerge w:val="restart"/>
                  <w:shd w:val="clear" w:color="auto" w:fill="auto"/>
                  <w:vAlign w:val="center"/>
                </w:tcPr>
                <w:p w14:paraId="1A0E8577">
                  <w:pPr>
                    <w:jc w:val="center"/>
                    <w:rPr>
                      <w:rFonts w:hint="default"/>
                      <w:szCs w:val="21"/>
                      <w:lang w:val="en-US" w:eastAsia="zh-CN"/>
                    </w:rPr>
                  </w:pPr>
                  <w:r>
                    <w:rPr>
                      <w:rFonts w:hint="eastAsia"/>
                      <w:szCs w:val="21"/>
                      <w:lang w:val="en-US" w:eastAsia="zh-CN"/>
                    </w:rPr>
                    <w:t>1</w:t>
                  </w:r>
                </w:p>
              </w:tc>
              <w:tc>
                <w:tcPr>
                  <w:tcW w:w="572" w:type="dxa"/>
                  <w:vMerge w:val="restart"/>
                  <w:shd w:val="clear" w:color="auto" w:fill="auto"/>
                  <w:vAlign w:val="center"/>
                </w:tcPr>
                <w:p w14:paraId="38A8AF27">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55-60</w:t>
                  </w:r>
                </w:p>
                <w:p w14:paraId="5964FC18">
                  <w:pPr>
                    <w:jc w:val="center"/>
                    <w:rPr>
                      <w:rFonts w:hint="eastAsia"/>
                      <w:szCs w:val="21"/>
                      <w:lang w:val="en-US" w:eastAsia="zh-CN"/>
                    </w:rPr>
                  </w:pPr>
                </w:p>
              </w:tc>
              <w:tc>
                <w:tcPr>
                  <w:tcW w:w="572" w:type="dxa"/>
                  <w:vMerge w:val="continue"/>
                  <w:shd w:val="clear" w:color="auto" w:fill="auto"/>
                  <w:vAlign w:val="center"/>
                </w:tcPr>
                <w:p w14:paraId="0D2596A4">
                  <w:pPr>
                    <w:jc w:val="center"/>
                    <w:rPr>
                      <w:rFonts w:hint="eastAsia"/>
                      <w:szCs w:val="21"/>
                      <w:lang w:val="en-US" w:eastAsia="zh-CN"/>
                    </w:rPr>
                  </w:pPr>
                </w:p>
              </w:tc>
              <w:tc>
                <w:tcPr>
                  <w:tcW w:w="450" w:type="dxa"/>
                  <w:vMerge w:val="restart"/>
                  <w:shd w:val="clear" w:color="auto" w:fill="auto"/>
                  <w:vAlign w:val="center"/>
                </w:tcPr>
                <w:p w14:paraId="131A49ED">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1-12</w:t>
                  </w:r>
                </w:p>
                <w:p w14:paraId="6C953D14">
                  <w:pPr>
                    <w:jc w:val="center"/>
                    <w:rPr>
                      <w:rFonts w:hint="eastAsia"/>
                      <w:szCs w:val="21"/>
                      <w:lang w:val="en-US" w:eastAsia="zh-CN"/>
                    </w:rPr>
                  </w:pPr>
                </w:p>
              </w:tc>
              <w:tc>
                <w:tcPr>
                  <w:tcW w:w="489" w:type="dxa"/>
                  <w:vMerge w:val="restart"/>
                  <w:shd w:val="clear" w:color="auto" w:fill="auto"/>
                  <w:vAlign w:val="center"/>
                </w:tcPr>
                <w:p w14:paraId="7DBE9968">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20-20</w:t>
                  </w:r>
                </w:p>
                <w:p w14:paraId="74E0C13B">
                  <w:pPr>
                    <w:jc w:val="center"/>
                    <w:rPr>
                      <w:rFonts w:hint="eastAsia"/>
                      <w:szCs w:val="21"/>
                      <w:lang w:val="en-US" w:eastAsia="zh-CN"/>
                    </w:rPr>
                  </w:pPr>
                </w:p>
              </w:tc>
              <w:tc>
                <w:tcPr>
                  <w:tcW w:w="464" w:type="dxa"/>
                  <w:vMerge w:val="restart"/>
                  <w:shd w:val="clear" w:color="auto" w:fill="auto"/>
                  <w:vAlign w:val="center"/>
                </w:tcPr>
                <w:p w14:paraId="5AE13B75">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0.5</w:t>
                  </w:r>
                </w:p>
                <w:p w14:paraId="6AF13518">
                  <w:pPr>
                    <w:jc w:val="center"/>
                    <w:rPr>
                      <w:rFonts w:hint="eastAsia"/>
                      <w:szCs w:val="21"/>
                      <w:lang w:val="en-US" w:eastAsia="zh-CN"/>
                    </w:rPr>
                  </w:pPr>
                </w:p>
              </w:tc>
              <w:tc>
                <w:tcPr>
                  <w:tcW w:w="476" w:type="dxa"/>
                  <w:shd w:val="clear" w:color="auto" w:fill="auto"/>
                  <w:vAlign w:val="center"/>
                </w:tcPr>
                <w:p w14:paraId="0CF27906">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424" w:type="dxa"/>
                  <w:shd w:val="clear" w:color="auto" w:fill="auto"/>
                  <w:vAlign w:val="center"/>
                </w:tcPr>
                <w:p w14:paraId="3E9CF2DB">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599" w:type="dxa"/>
                  <w:shd w:val="clear" w:color="auto" w:fill="auto"/>
                  <w:vAlign w:val="center"/>
                </w:tcPr>
                <w:p w14:paraId="74A11F2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59.4</w:t>
                  </w:r>
                </w:p>
              </w:tc>
              <w:tc>
                <w:tcPr>
                  <w:tcW w:w="544" w:type="dxa"/>
                  <w:vMerge w:val="restart"/>
                  <w:shd w:val="clear" w:color="auto" w:fill="auto"/>
                  <w:vAlign w:val="center"/>
                </w:tcPr>
                <w:p w14:paraId="18982118">
                  <w:pPr>
                    <w:jc w:val="center"/>
                    <w:rPr>
                      <w:rFonts w:hint="eastAsia" w:ascii="Times New Roman" w:hAnsi="Times New Roman" w:eastAsia="宋体" w:cs="Times New Roman"/>
                      <w:kern w:val="2"/>
                      <w:sz w:val="21"/>
                      <w:szCs w:val="21"/>
                      <w:lang w:val="en-US" w:eastAsia="zh-CN" w:bidi="ar-SA"/>
                    </w:rPr>
                  </w:pPr>
                  <w:r>
                    <w:rPr>
                      <w:rFonts w:hint="eastAsia"/>
                      <w:snapToGrid w:val="0"/>
                      <w:szCs w:val="21"/>
                      <w:lang w:val="en-US" w:eastAsia="zh-CN"/>
                    </w:rPr>
                    <w:t>8</w:t>
                  </w:r>
                  <w:r>
                    <w:rPr>
                      <w:snapToGrid w:val="0"/>
                      <w:szCs w:val="21"/>
                    </w:rPr>
                    <w:t>h</w:t>
                  </w:r>
                  <w:r>
                    <w:rPr>
                      <w:rFonts w:hint="eastAsia"/>
                      <w:snapToGrid w:val="0"/>
                      <w:szCs w:val="21"/>
                    </w:rPr>
                    <w:t>/d</w:t>
                  </w:r>
                </w:p>
              </w:tc>
              <w:tc>
                <w:tcPr>
                  <w:tcW w:w="676" w:type="dxa"/>
                  <w:vMerge w:val="restart"/>
                  <w:shd w:val="clear" w:color="auto" w:fill="auto"/>
                  <w:vAlign w:val="center"/>
                </w:tcPr>
                <w:p w14:paraId="4011EDFB">
                  <w:pPr>
                    <w:jc w:val="center"/>
                    <w:rPr>
                      <w:rFonts w:hint="eastAsia" w:ascii="Times New Roman" w:hAnsi="Times New Roman" w:eastAsia="宋体" w:cs="Times New Roman"/>
                      <w:kern w:val="2"/>
                      <w:sz w:val="21"/>
                      <w:szCs w:val="21"/>
                      <w:lang w:val="en-US" w:eastAsia="zh-CN" w:bidi="ar-SA"/>
                    </w:rPr>
                  </w:pPr>
                  <w:r>
                    <w:rPr>
                      <w:rFonts w:hint="eastAsia"/>
                      <w:szCs w:val="21"/>
                    </w:rPr>
                    <w:t>-15</w:t>
                  </w:r>
                </w:p>
              </w:tc>
              <w:tc>
                <w:tcPr>
                  <w:tcW w:w="718" w:type="dxa"/>
                  <w:shd w:val="clear" w:color="auto" w:fill="auto"/>
                  <w:vAlign w:val="center"/>
                </w:tcPr>
                <w:p w14:paraId="7A7D9B0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44.4</w:t>
                  </w:r>
                </w:p>
              </w:tc>
              <w:tc>
                <w:tcPr>
                  <w:tcW w:w="731" w:type="dxa"/>
                  <w:vMerge w:val="continue"/>
                  <w:vAlign w:val="center"/>
                </w:tcPr>
                <w:p w14:paraId="1381B364">
                  <w:pPr>
                    <w:jc w:val="center"/>
                    <w:rPr>
                      <w:rFonts w:hint="eastAsia"/>
                      <w:szCs w:val="21"/>
                      <w:lang w:val="en-US" w:eastAsia="zh-CN"/>
                    </w:rPr>
                  </w:pPr>
                </w:p>
              </w:tc>
            </w:tr>
            <w:tr w14:paraId="003C5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2B87C769">
                  <w:pPr>
                    <w:jc w:val="center"/>
                    <w:rPr>
                      <w:rFonts w:hint="eastAsia"/>
                      <w:szCs w:val="21"/>
                      <w:lang w:val="en-US" w:eastAsia="zh-CN"/>
                    </w:rPr>
                  </w:pPr>
                </w:p>
              </w:tc>
              <w:tc>
                <w:tcPr>
                  <w:tcW w:w="457" w:type="dxa"/>
                  <w:vMerge w:val="continue"/>
                  <w:vAlign w:val="center"/>
                </w:tcPr>
                <w:p w14:paraId="0D548287">
                  <w:pPr>
                    <w:jc w:val="center"/>
                    <w:rPr>
                      <w:rFonts w:hint="eastAsia"/>
                      <w:szCs w:val="21"/>
                      <w:lang w:val="en-US" w:eastAsia="zh-CN"/>
                    </w:rPr>
                  </w:pPr>
                </w:p>
              </w:tc>
              <w:tc>
                <w:tcPr>
                  <w:tcW w:w="556" w:type="dxa"/>
                  <w:vMerge w:val="continue"/>
                  <w:shd w:val="clear" w:color="auto" w:fill="auto"/>
                  <w:vAlign w:val="center"/>
                </w:tcPr>
                <w:p w14:paraId="3BD6BEE6">
                  <w:pPr>
                    <w:jc w:val="center"/>
                    <w:rPr>
                      <w:rFonts w:hint="eastAsia"/>
                      <w:szCs w:val="21"/>
                      <w:lang w:val="en-US" w:eastAsia="zh-CN"/>
                    </w:rPr>
                  </w:pPr>
                </w:p>
              </w:tc>
              <w:tc>
                <w:tcPr>
                  <w:tcW w:w="599" w:type="dxa"/>
                  <w:vMerge w:val="continue"/>
                  <w:shd w:val="clear" w:color="auto" w:fill="auto"/>
                  <w:vAlign w:val="center"/>
                </w:tcPr>
                <w:p w14:paraId="09238D82">
                  <w:pPr>
                    <w:jc w:val="center"/>
                    <w:rPr>
                      <w:rFonts w:hint="eastAsia"/>
                      <w:szCs w:val="21"/>
                      <w:lang w:val="en-US" w:eastAsia="zh-CN"/>
                    </w:rPr>
                  </w:pPr>
                </w:p>
              </w:tc>
              <w:tc>
                <w:tcPr>
                  <w:tcW w:w="572" w:type="dxa"/>
                  <w:vMerge w:val="continue"/>
                  <w:vAlign w:val="center"/>
                </w:tcPr>
                <w:p w14:paraId="5FB0BCBE">
                  <w:pPr>
                    <w:jc w:val="center"/>
                    <w:rPr>
                      <w:rFonts w:hint="eastAsia"/>
                      <w:szCs w:val="21"/>
                      <w:lang w:val="en-US" w:eastAsia="zh-CN"/>
                    </w:rPr>
                  </w:pPr>
                </w:p>
              </w:tc>
              <w:tc>
                <w:tcPr>
                  <w:tcW w:w="572" w:type="dxa"/>
                  <w:vMerge w:val="continue"/>
                  <w:vAlign w:val="center"/>
                </w:tcPr>
                <w:p w14:paraId="0CDEAE0E">
                  <w:pPr>
                    <w:jc w:val="center"/>
                    <w:rPr>
                      <w:rFonts w:hint="eastAsia"/>
                      <w:szCs w:val="21"/>
                      <w:lang w:val="en-US" w:eastAsia="zh-CN"/>
                    </w:rPr>
                  </w:pPr>
                </w:p>
              </w:tc>
              <w:tc>
                <w:tcPr>
                  <w:tcW w:w="450" w:type="dxa"/>
                  <w:vMerge w:val="continue"/>
                  <w:vAlign w:val="center"/>
                </w:tcPr>
                <w:p w14:paraId="23B59059">
                  <w:pPr>
                    <w:jc w:val="center"/>
                    <w:rPr>
                      <w:rFonts w:hint="eastAsia"/>
                      <w:szCs w:val="21"/>
                      <w:lang w:val="en-US" w:eastAsia="zh-CN"/>
                    </w:rPr>
                  </w:pPr>
                </w:p>
              </w:tc>
              <w:tc>
                <w:tcPr>
                  <w:tcW w:w="489" w:type="dxa"/>
                  <w:vMerge w:val="continue"/>
                  <w:vAlign w:val="center"/>
                </w:tcPr>
                <w:p w14:paraId="46F0BCC7">
                  <w:pPr>
                    <w:jc w:val="center"/>
                    <w:rPr>
                      <w:rFonts w:hint="eastAsia"/>
                      <w:szCs w:val="21"/>
                      <w:lang w:val="en-US" w:eastAsia="zh-CN"/>
                    </w:rPr>
                  </w:pPr>
                </w:p>
              </w:tc>
              <w:tc>
                <w:tcPr>
                  <w:tcW w:w="464" w:type="dxa"/>
                  <w:vMerge w:val="continue"/>
                  <w:vAlign w:val="center"/>
                </w:tcPr>
                <w:p w14:paraId="5AEB30B8">
                  <w:pPr>
                    <w:jc w:val="center"/>
                    <w:rPr>
                      <w:rFonts w:hint="eastAsia"/>
                      <w:szCs w:val="21"/>
                      <w:lang w:val="en-US" w:eastAsia="zh-CN"/>
                    </w:rPr>
                  </w:pPr>
                </w:p>
              </w:tc>
              <w:tc>
                <w:tcPr>
                  <w:tcW w:w="476" w:type="dxa"/>
                  <w:shd w:val="clear" w:color="auto" w:fill="auto"/>
                  <w:vAlign w:val="center"/>
                </w:tcPr>
                <w:p w14:paraId="7F91CB3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424" w:type="dxa"/>
                  <w:shd w:val="clear" w:color="auto" w:fill="auto"/>
                  <w:vAlign w:val="center"/>
                </w:tcPr>
                <w:p w14:paraId="3C294479">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tc>
              <w:tc>
                <w:tcPr>
                  <w:tcW w:w="599" w:type="dxa"/>
                  <w:shd w:val="clear" w:color="auto" w:fill="auto"/>
                  <w:vAlign w:val="center"/>
                </w:tcPr>
                <w:p w14:paraId="317921C0">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48.9</w:t>
                  </w:r>
                </w:p>
              </w:tc>
              <w:tc>
                <w:tcPr>
                  <w:tcW w:w="544" w:type="dxa"/>
                  <w:vMerge w:val="continue"/>
                  <w:vAlign w:val="center"/>
                </w:tcPr>
                <w:p w14:paraId="4C5E0F1E">
                  <w:pPr>
                    <w:jc w:val="center"/>
                    <w:rPr>
                      <w:rFonts w:hint="eastAsia"/>
                      <w:szCs w:val="21"/>
                      <w:lang w:val="en-US" w:eastAsia="zh-CN"/>
                    </w:rPr>
                  </w:pPr>
                </w:p>
              </w:tc>
              <w:tc>
                <w:tcPr>
                  <w:tcW w:w="676" w:type="dxa"/>
                  <w:vMerge w:val="continue"/>
                  <w:vAlign w:val="center"/>
                </w:tcPr>
                <w:p w14:paraId="76662B75">
                  <w:pPr>
                    <w:jc w:val="center"/>
                    <w:rPr>
                      <w:rFonts w:hint="eastAsia"/>
                      <w:szCs w:val="21"/>
                      <w:lang w:val="en-US" w:eastAsia="zh-CN"/>
                    </w:rPr>
                  </w:pPr>
                </w:p>
              </w:tc>
              <w:tc>
                <w:tcPr>
                  <w:tcW w:w="718" w:type="dxa"/>
                  <w:shd w:val="clear" w:color="auto" w:fill="auto"/>
                  <w:vAlign w:val="center"/>
                </w:tcPr>
                <w:p w14:paraId="4B0E872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33.9</w:t>
                  </w:r>
                </w:p>
              </w:tc>
              <w:tc>
                <w:tcPr>
                  <w:tcW w:w="731" w:type="dxa"/>
                  <w:vMerge w:val="continue"/>
                  <w:vAlign w:val="center"/>
                </w:tcPr>
                <w:p w14:paraId="1CE3C1EC">
                  <w:pPr>
                    <w:jc w:val="center"/>
                    <w:rPr>
                      <w:rFonts w:hint="eastAsia"/>
                      <w:szCs w:val="21"/>
                      <w:lang w:val="en-US" w:eastAsia="zh-CN"/>
                    </w:rPr>
                  </w:pPr>
                </w:p>
              </w:tc>
            </w:tr>
            <w:tr w14:paraId="530E9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55CBF902">
                  <w:pPr>
                    <w:jc w:val="center"/>
                    <w:rPr>
                      <w:rFonts w:hint="eastAsia"/>
                      <w:szCs w:val="21"/>
                      <w:lang w:val="en-US" w:eastAsia="zh-CN"/>
                    </w:rPr>
                  </w:pPr>
                </w:p>
              </w:tc>
              <w:tc>
                <w:tcPr>
                  <w:tcW w:w="457" w:type="dxa"/>
                  <w:vMerge w:val="continue"/>
                  <w:vAlign w:val="center"/>
                </w:tcPr>
                <w:p w14:paraId="683204B5">
                  <w:pPr>
                    <w:jc w:val="center"/>
                    <w:rPr>
                      <w:rFonts w:hint="eastAsia"/>
                      <w:szCs w:val="21"/>
                      <w:lang w:val="en-US" w:eastAsia="zh-CN"/>
                    </w:rPr>
                  </w:pPr>
                </w:p>
              </w:tc>
              <w:tc>
                <w:tcPr>
                  <w:tcW w:w="556" w:type="dxa"/>
                  <w:vMerge w:val="continue"/>
                  <w:shd w:val="clear" w:color="auto" w:fill="auto"/>
                  <w:vAlign w:val="center"/>
                </w:tcPr>
                <w:p w14:paraId="42360307">
                  <w:pPr>
                    <w:jc w:val="center"/>
                    <w:rPr>
                      <w:rFonts w:hint="eastAsia"/>
                      <w:szCs w:val="21"/>
                      <w:lang w:val="en-US" w:eastAsia="zh-CN"/>
                    </w:rPr>
                  </w:pPr>
                </w:p>
              </w:tc>
              <w:tc>
                <w:tcPr>
                  <w:tcW w:w="599" w:type="dxa"/>
                  <w:vMerge w:val="continue"/>
                  <w:shd w:val="clear" w:color="auto" w:fill="auto"/>
                  <w:vAlign w:val="center"/>
                </w:tcPr>
                <w:p w14:paraId="7BE8CC65">
                  <w:pPr>
                    <w:jc w:val="center"/>
                    <w:rPr>
                      <w:rFonts w:hint="eastAsia"/>
                      <w:szCs w:val="21"/>
                      <w:lang w:val="en-US" w:eastAsia="zh-CN"/>
                    </w:rPr>
                  </w:pPr>
                </w:p>
              </w:tc>
              <w:tc>
                <w:tcPr>
                  <w:tcW w:w="572" w:type="dxa"/>
                  <w:vMerge w:val="continue"/>
                  <w:vAlign w:val="center"/>
                </w:tcPr>
                <w:p w14:paraId="5D88FB6A">
                  <w:pPr>
                    <w:jc w:val="center"/>
                    <w:rPr>
                      <w:rFonts w:hint="eastAsia"/>
                      <w:szCs w:val="21"/>
                      <w:lang w:val="en-US" w:eastAsia="zh-CN"/>
                    </w:rPr>
                  </w:pPr>
                </w:p>
              </w:tc>
              <w:tc>
                <w:tcPr>
                  <w:tcW w:w="572" w:type="dxa"/>
                  <w:vMerge w:val="continue"/>
                  <w:vAlign w:val="center"/>
                </w:tcPr>
                <w:p w14:paraId="271C49A0">
                  <w:pPr>
                    <w:jc w:val="center"/>
                    <w:rPr>
                      <w:rFonts w:hint="eastAsia"/>
                      <w:szCs w:val="21"/>
                      <w:lang w:val="en-US" w:eastAsia="zh-CN"/>
                    </w:rPr>
                  </w:pPr>
                </w:p>
              </w:tc>
              <w:tc>
                <w:tcPr>
                  <w:tcW w:w="450" w:type="dxa"/>
                  <w:vMerge w:val="continue"/>
                  <w:vAlign w:val="center"/>
                </w:tcPr>
                <w:p w14:paraId="1F09CA1A">
                  <w:pPr>
                    <w:jc w:val="center"/>
                    <w:rPr>
                      <w:rFonts w:hint="eastAsia"/>
                      <w:szCs w:val="21"/>
                      <w:lang w:val="en-US" w:eastAsia="zh-CN"/>
                    </w:rPr>
                  </w:pPr>
                </w:p>
              </w:tc>
              <w:tc>
                <w:tcPr>
                  <w:tcW w:w="489" w:type="dxa"/>
                  <w:vMerge w:val="continue"/>
                  <w:vAlign w:val="center"/>
                </w:tcPr>
                <w:p w14:paraId="73A676E7">
                  <w:pPr>
                    <w:jc w:val="center"/>
                    <w:rPr>
                      <w:rFonts w:hint="eastAsia"/>
                      <w:szCs w:val="21"/>
                      <w:lang w:val="en-US" w:eastAsia="zh-CN"/>
                    </w:rPr>
                  </w:pPr>
                </w:p>
              </w:tc>
              <w:tc>
                <w:tcPr>
                  <w:tcW w:w="464" w:type="dxa"/>
                  <w:vMerge w:val="continue"/>
                  <w:vAlign w:val="center"/>
                </w:tcPr>
                <w:p w14:paraId="404545A8">
                  <w:pPr>
                    <w:jc w:val="center"/>
                    <w:rPr>
                      <w:rFonts w:hint="eastAsia"/>
                      <w:szCs w:val="21"/>
                      <w:lang w:val="en-US" w:eastAsia="zh-CN"/>
                    </w:rPr>
                  </w:pPr>
                </w:p>
              </w:tc>
              <w:tc>
                <w:tcPr>
                  <w:tcW w:w="476" w:type="dxa"/>
                  <w:shd w:val="clear" w:color="auto" w:fill="auto"/>
                  <w:vAlign w:val="center"/>
                </w:tcPr>
                <w:p w14:paraId="3E3AC690">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424" w:type="dxa"/>
                  <w:shd w:val="clear" w:color="auto" w:fill="auto"/>
                  <w:vAlign w:val="center"/>
                </w:tcPr>
                <w:p w14:paraId="6E91B01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w:t>
                  </w:r>
                </w:p>
              </w:tc>
              <w:tc>
                <w:tcPr>
                  <w:tcW w:w="599" w:type="dxa"/>
                  <w:shd w:val="clear" w:color="auto" w:fill="auto"/>
                  <w:vAlign w:val="center"/>
                </w:tcPr>
                <w:p w14:paraId="3449B107">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56.4</w:t>
                  </w:r>
                </w:p>
              </w:tc>
              <w:tc>
                <w:tcPr>
                  <w:tcW w:w="544" w:type="dxa"/>
                  <w:vMerge w:val="continue"/>
                  <w:vAlign w:val="center"/>
                </w:tcPr>
                <w:p w14:paraId="2B09C92B">
                  <w:pPr>
                    <w:jc w:val="center"/>
                    <w:rPr>
                      <w:rFonts w:hint="eastAsia"/>
                      <w:szCs w:val="21"/>
                      <w:lang w:val="en-US" w:eastAsia="zh-CN"/>
                    </w:rPr>
                  </w:pPr>
                </w:p>
              </w:tc>
              <w:tc>
                <w:tcPr>
                  <w:tcW w:w="676" w:type="dxa"/>
                  <w:vMerge w:val="continue"/>
                  <w:vAlign w:val="center"/>
                </w:tcPr>
                <w:p w14:paraId="5C0D1884">
                  <w:pPr>
                    <w:jc w:val="center"/>
                    <w:rPr>
                      <w:rFonts w:hint="eastAsia"/>
                      <w:szCs w:val="21"/>
                      <w:lang w:val="en-US" w:eastAsia="zh-CN"/>
                    </w:rPr>
                  </w:pPr>
                </w:p>
              </w:tc>
              <w:tc>
                <w:tcPr>
                  <w:tcW w:w="718" w:type="dxa"/>
                  <w:shd w:val="clear" w:color="auto" w:fill="auto"/>
                  <w:vAlign w:val="center"/>
                </w:tcPr>
                <w:p w14:paraId="45AD0D6C">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41.4</w:t>
                  </w:r>
                </w:p>
              </w:tc>
              <w:tc>
                <w:tcPr>
                  <w:tcW w:w="731" w:type="dxa"/>
                  <w:vMerge w:val="continue"/>
                  <w:vAlign w:val="center"/>
                </w:tcPr>
                <w:p w14:paraId="74E56BF0">
                  <w:pPr>
                    <w:jc w:val="center"/>
                    <w:rPr>
                      <w:rFonts w:hint="eastAsia"/>
                      <w:szCs w:val="21"/>
                      <w:lang w:val="en-US" w:eastAsia="zh-CN"/>
                    </w:rPr>
                  </w:pPr>
                </w:p>
              </w:tc>
            </w:tr>
            <w:tr w14:paraId="11E81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8" w:type="dxa"/>
                  <w:vMerge w:val="continue"/>
                  <w:vAlign w:val="center"/>
                </w:tcPr>
                <w:p w14:paraId="3F1CD065">
                  <w:pPr>
                    <w:jc w:val="center"/>
                    <w:rPr>
                      <w:rFonts w:hint="eastAsia"/>
                      <w:szCs w:val="21"/>
                      <w:lang w:val="en-US" w:eastAsia="zh-CN"/>
                    </w:rPr>
                  </w:pPr>
                </w:p>
              </w:tc>
              <w:tc>
                <w:tcPr>
                  <w:tcW w:w="457" w:type="dxa"/>
                  <w:vMerge w:val="continue"/>
                  <w:vAlign w:val="center"/>
                </w:tcPr>
                <w:p w14:paraId="094D9477">
                  <w:pPr>
                    <w:jc w:val="center"/>
                    <w:rPr>
                      <w:rFonts w:hint="eastAsia"/>
                      <w:szCs w:val="21"/>
                      <w:lang w:val="en-US" w:eastAsia="zh-CN"/>
                    </w:rPr>
                  </w:pPr>
                </w:p>
              </w:tc>
              <w:tc>
                <w:tcPr>
                  <w:tcW w:w="556" w:type="dxa"/>
                  <w:vMerge w:val="continue"/>
                  <w:shd w:val="clear" w:color="auto" w:fill="auto"/>
                  <w:vAlign w:val="center"/>
                </w:tcPr>
                <w:p w14:paraId="594DC62D">
                  <w:pPr>
                    <w:jc w:val="center"/>
                    <w:rPr>
                      <w:rFonts w:hint="eastAsia"/>
                      <w:szCs w:val="21"/>
                      <w:lang w:val="en-US" w:eastAsia="zh-CN"/>
                    </w:rPr>
                  </w:pPr>
                </w:p>
              </w:tc>
              <w:tc>
                <w:tcPr>
                  <w:tcW w:w="599" w:type="dxa"/>
                  <w:vMerge w:val="continue"/>
                  <w:shd w:val="clear" w:color="auto" w:fill="auto"/>
                  <w:vAlign w:val="center"/>
                </w:tcPr>
                <w:p w14:paraId="22C24BE4">
                  <w:pPr>
                    <w:jc w:val="center"/>
                    <w:rPr>
                      <w:rFonts w:hint="eastAsia"/>
                      <w:szCs w:val="21"/>
                      <w:lang w:val="en-US" w:eastAsia="zh-CN"/>
                    </w:rPr>
                  </w:pPr>
                </w:p>
              </w:tc>
              <w:tc>
                <w:tcPr>
                  <w:tcW w:w="572" w:type="dxa"/>
                  <w:vMerge w:val="continue"/>
                  <w:vAlign w:val="center"/>
                </w:tcPr>
                <w:p w14:paraId="072180D5">
                  <w:pPr>
                    <w:jc w:val="center"/>
                    <w:rPr>
                      <w:rFonts w:hint="eastAsia"/>
                      <w:szCs w:val="21"/>
                      <w:lang w:val="en-US" w:eastAsia="zh-CN"/>
                    </w:rPr>
                  </w:pPr>
                </w:p>
              </w:tc>
              <w:tc>
                <w:tcPr>
                  <w:tcW w:w="572" w:type="dxa"/>
                  <w:vMerge w:val="continue"/>
                  <w:vAlign w:val="center"/>
                </w:tcPr>
                <w:p w14:paraId="101AF0AA">
                  <w:pPr>
                    <w:jc w:val="center"/>
                    <w:rPr>
                      <w:rFonts w:hint="eastAsia"/>
                      <w:szCs w:val="21"/>
                      <w:lang w:val="en-US" w:eastAsia="zh-CN"/>
                    </w:rPr>
                  </w:pPr>
                </w:p>
              </w:tc>
              <w:tc>
                <w:tcPr>
                  <w:tcW w:w="450" w:type="dxa"/>
                  <w:vMerge w:val="continue"/>
                  <w:vAlign w:val="center"/>
                </w:tcPr>
                <w:p w14:paraId="4068EF55">
                  <w:pPr>
                    <w:jc w:val="center"/>
                    <w:rPr>
                      <w:rFonts w:hint="eastAsia"/>
                      <w:szCs w:val="21"/>
                      <w:lang w:val="en-US" w:eastAsia="zh-CN"/>
                    </w:rPr>
                  </w:pPr>
                </w:p>
              </w:tc>
              <w:tc>
                <w:tcPr>
                  <w:tcW w:w="489" w:type="dxa"/>
                  <w:vMerge w:val="continue"/>
                  <w:vAlign w:val="center"/>
                </w:tcPr>
                <w:p w14:paraId="3B17B808">
                  <w:pPr>
                    <w:jc w:val="center"/>
                    <w:rPr>
                      <w:rFonts w:hint="eastAsia"/>
                      <w:szCs w:val="21"/>
                      <w:lang w:val="en-US" w:eastAsia="zh-CN"/>
                    </w:rPr>
                  </w:pPr>
                </w:p>
              </w:tc>
              <w:tc>
                <w:tcPr>
                  <w:tcW w:w="464" w:type="dxa"/>
                  <w:vMerge w:val="continue"/>
                  <w:vAlign w:val="center"/>
                </w:tcPr>
                <w:p w14:paraId="6ED3704A">
                  <w:pPr>
                    <w:jc w:val="center"/>
                    <w:rPr>
                      <w:rFonts w:hint="eastAsia"/>
                      <w:szCs w:val="21"/>
                      <w:lang w:val="en-US" w:eastAsia="zh-CN"/>
                    </w:rPr>
                  </w:pPr>
                </w:p>
              </w:tc>
              <w:tc>
                <w:tcPr>
                  <w:tcW w:w="476" w:type="dxa"/>
                  <w:shd w:val="clear" w:color="auto" w:fill="auto"/>
                  <w:vAlign w:val="center"/>
                </w:tcPr>
                <w:p w14:paraId="4A229345">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424" w:type="dxa"/>
                  <w:shd w:val="clear" w:color="auto" w:fill="auto"/>
                  <w:vAlign w:val="center"/>
                </w:tcPr>
                <w:p w14:paraId="3950254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29</w:t>
                  </w:r>
                </w:p>
              </w:tc>
              <w:tc>
                <w:tcPr>
                  <w:tcW w:w="599" w:type="dxa"/>
                  <w:shd w:val="clear" w:color="auto" w:fill="auto"/>
                  <w:vAlign w:val="center"/>
                </w:tcPr>
                <w:p w14:paraId="48E2BC0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43.3</w:t>
                  </w:r>
                </w:p>
              </w:tc>
              <w:tc>
                <w:tcPr>
                  <w:tcW w:w="544" w:type="dxa"/>
                  <w:vMerge w:val="continue"/>
                  <w:vAlign w:val="center"/>
                </w:tcPr>
                <w:p w14:paraId="6AD3A538">
                  <w:pPr>
                    <w:jc w:val="center"/>
                    <w:rPr>
                      <w:rFonts w:hint="eastAsia"/>
                      <w:szCs w:val="21"/>
                      <w:lang w:val="en-US" w:eastAsia="zh-CN"/>
                    </w:rPr>
                  </w:pPr>
                </w:p>
              </w:tc>
              <w:tc>
                <w:tcPr>
                  <w:tcW w:w="676" w:type="dxa"/>
                  <w:vMerge w:val="continue"/>
                  <w:vAlign w:val="center"/>
                </w:tcPr>
                <w:p w14:paraId="263FF9E0">
                  <w:pPr>
                    <w:jc w:val="center"/>
                    <w:rPr>
                      <w:rFonts w:hint="eastAsia"/>
                      <w:szCs w:val="21"/>
                      <w:lang w:val="en-US" w:eastAsia="zh-CN"/>
                    </w:rPr>
                  </w:pPr>
                </w:p>
              </w:tc>
              <w:tc>
                <w:tcPr>
                  <w:tcW w:w="718" w:type="dxa"/>
                  <w:shd w:val="clear" w:color="auto" w:fill="auto"/>
                  <w:vAlign w:val="center"/>
                </w:tcPr>
                <w:p w14:paraId="6E52B71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27.3</w:t>
                  </w:r>
                </w:p>
              </w:tc>
              <w:tc>
                <w:tcPr>
                  <w:tcW w:w="731" w:type="dxa"/>
                  <w:vMerge w:val="continue"/>
                  <w:vAlign w:val="center"/>
                </w:tcPr>
                <w:p w14:paraId="09A43521">
                  <w:pPr>
                    <w:jc w:val="center"/>
                    <w:rPr>
                      <w:rFonts w:hint="eastAsia"/>
                      <w:szCs w:val="21"/>
                      <w:lang w:val="en-US" w:eastAsia="zh-CN"/>
                    </w:rPr>
                  </w:pPr>
                </w:p>
              </w:tc>
            </w:tr>
            <w:tr w14:paraId="313E1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58" w:type="dxa"/>
                  <w:vMerge w:val="restart"/>
                  <w:vAlign w:val="center"/>
                </w:tcPr>
                <w:p w14:paraId="4839032D">
                  <w:pPr>
                    <w:jc w:val="center"/>
                    <w:rPr>
                      <w:rFonts w:hint="default" w:eastAsia="宋体"/>
                      <w:color w:val="auto"/>
                      <w:szCs w:val="21"/>
                      <w:lang w:val="en-US" w:eastAsia="zh-CN"/>
                    </w:rPr>
                  </w:pPr>
                  <w:r>
                    <w:rPr>
                      <w:rFonts w:hint="eastAsia"/>
                      <w:color w:val="auto"/>
                      <w:szCs w:val="21"/>
                      <w:lang w:val="en-US" w:eastAsia="zh-CN"/>
                    </w:rPr>
                    <w:t>10</w:t>
                  </w:r>
                </w:p>
              </w:tc>
              <w:tc>
                <w:tcPr>
                  <w:tcW w:w="457" w:type="dxa"/>
                  <w:vMerge w:val="restart"/>
                  <w:vAlign w:val="center"/>
                </w:tcPr>
                <w:p w14:paraId="5CCC00BB">
                  <w:pPr>
                    <w:jc w:val="center"/>
                    <w:rPr>
                      <w:rFonts w:hint="default" w:eastAsia="宋体"/>
                      <w:color w:val="auto"/>
                      <w:szCs w:val="21"/>
                      <w:lang w:val="en-US" w:eastAsia="zh-CN"/>
                    </w:rPr>
                  </w:pPr>
                  <w:r>
                    <w:rPr>
                      <w:rFonts w:hint="eastAsia"/>
                      <w:color w:val="auto"/>
                      <w:szCs w:val="21"/>
                      <w:lang w:val="en-US" w:eastAsia="zh-CN"/>
                    </w:rPr>
                    <w:t>1#生产车间</w:t>
                  </w:r>
                </w:p>
              </w:tc>
              <w:tc>
                <w:tcPr>
                  <w:tcW w:w="556" w:type="dxa"/>
                  <w:vMerge w:val="restart"/>
                  <w:vAlign w:val="center"/>
                </w:tcPr>
                <w:p w14:paraId="226C30E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冷却塔</w:t>
                  </w:r>
                </w:p>
              </w:tc>
              <w:tc>
                <w:tcPr>
                  <w:tcW w:w="599" w:type="dxa"/>
                  <w:vMerge w:val="restart"/>
                  <w:shd w:val="clear" w:color="auto" w:fill="auto"/>
                  <w:vAlign w:val="center"/>
                </w:tcPr>
                <w:p w14:paraId="34D0EDFB">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572" w:type="dxa"/>
                  <w:vMerge w:val="restart"/>
                  <w:vAlign w:val="center"/>
                </w:tcPr>
                <w:p w14:paraId="7654CB6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75</w:t>
                  </w:r>
                </w:p>
              </w:tc>
              <w:tc>
                <w:tcPr>
                  <w:tcW w:w="572" w:type="dxa"/>
                  <w:vMerge w:val="restart"/>
                  <w:vAlign w:val="center"/>
                </w:tcPr>
                <w:p w14:paraId="5C728DC8">
                  <w:pPr>
                    <w:jc w:val="center"/>
                    <w:rPr>
                      <w:rFonts w:hint="default" w:eastAsia="宋体"/>
                      <w:color w:val="auto"/>
                      <w:szCs w:val="21"/>
                      <w:lang w:val="en-US" w:eastAsia="zh-CN"/>
                    </w:rPr>
                  </w:pPr>
                  <w:r>
                    <w:rPr>
                      <w:rFonts w:hint="eastAsia"/>
                      <w:color w:val="auto"/>
                      <w:szCs w:val="21"/>
                      <w:lang w:val="en-US" w:eastAsia="zh-CN"/>
                    </w:rPr>
                    <w:t>减振垫</w:t>
                  </w:r>
                </w:p>
              </w:tc>
              <w:tc>
                <w:tcPr>
                  <w:tcW w:w="450" w:type="dxa"/>
                  <w:vMerge w:val="restart"/>
                  <w:vAlign w:val="center"/>
                </w:tcPr>
                <w:p w14:paraId="6A675EAB">
                  <w:pPr>
                    <w:jc w:val="center"/>
                    <w:rPr>
                      <w:rFonts w:hint="default" w:eastAsia="宋体"/>
                      <w:color w:val="auto"/>
                      <w:szCs w:val="21"/>
                      <w:lang w:val="en-US" w:eastAsia="zh-CN"/>
                    </w:rPr>
                  </w:pPr>
                  <w:r>
                    <w:rPr>
                      <w:rFonts w:hint="eastAsia"/>
                      <w:color w:val="auto"/>
                      <w:szCs w:val="21"/>
                      <w:lang w:val="en-US" w:eastAsia="zh-CN"/>
                    </w:rPr>
                    <w:t>4</w:t>
                  </w:r>
                </w:p>
              </w:tc>
              <w:tc>
                <w:tcPr>
                  <w:tcW w:w="489" w:type="dxa"/>
                  <w:vMerge w:val="restart"/>
                  <w:vAlign w:val="center"/>
                </w:tcPr>
                <w:p w14:paraId="0999D054">
                  <w:pPr>
                    <w:jc w:val="center"/>
                    <w:rPr>
                      <w:rFonts w:hint="default" w:eastAsia="宋体"/>
                      <w:color w:val="auto"/>
                      <w:szCs w:val="21"/>
                      <w:lang w:val="en-US" w:eastAsia="zh-CN"/>
                    </w:rPr>
                  </w:pPr>
                  <w:r>
                    <w:rPr>
                      <w:rFonts w:hint="eastAsia"/>
                      <w:color w:val="auto"/>
                      <w:szCs w:val="21"/>
                      <w:lang w:val="en-US" w:eastAsia="zh-CN"/>
                    </w:rPr>
                    <w:t>-2</w:t>
                  </w:r>
                </w:p>
              </w:tc>
              <w:tc>
                <w:tcPr>
                  <w:tcW w:w="464" w:type="dxa"/>
                  <w:vMerge w:val="restart"/>
                  <w:vAlign w:val="center"/>
                </w:tcPr>
                <w:p w14:paraId="24D08BF3">
                  <w:pPr>
                    <w:jc w:val="center"/>
                    <w:rPr>
                      <w:rFonts w:hint="default" w:eastAsia="宋体"/>
                      <w:color w:val="auto"/>
                      <w:szCs w:val="21"/>
                      <w:lang w:val="en-US" w:eastAsia="zh-CN"/>
                    </w:rPr>
                  </w:pPr>
                  <w:r>
                    <w:rPr>
                      <w:rFonts w:hint="eastAsia"/>
                      <w:color w:val="auto"/>
                      <w:szCs w:val="21"/>
                      <w:lang w:val="en-US" w:eastAsia="zh-CN"/>
                    </w:rPr>
                    <w:t>2</w:t>
                  </w:r>
                </w:p>
              </w:tc>
              <w:tc>
                <w:tcPr>
                  <w:tcW w:w="476" w:type="dxa"/>
                  <w:shd w:val="clear" w:color="auto" w:fill="auto"/>
                  <w:vAlign w:val="center"/>
                </w:tcPr>
                <w:p w14:paraId="65EE979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424" w:type="dxa"/>
                  <w:shd w:val="clear" w:color="auto" w:fill="auto"/>
                  <w:vAlign w:val="center"/>
                </w:tcPr>
                <w:p w14:paraId="196B0E60">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13</w:t>
                  </w:r>
                </w:p>
              </w:tc>
              <w:tc>
                <w:tcPr>
                  <w:tcW w:w="599" w:type="dxa"/>
                  <w:vAlign w:val="center"/>
                </w:tcPr>
                <w:p w14:paraId="18A3E86B">
                  <w:pPr>
                    <w:jc w:val="center"/>
                    <w:rPr>
                      <w:rFonts w:hint="default"/>
                      <w:color w:val="auto"/>
                      <w:szCs w:val="21"/>
                      <w:lang w:val="en-US" w:eastAsia="zh-CN"/>
                    </w:rPr>
                  </w:pPr>
                  <w:r>
                    <w:rPr>
                      <w:rFonts w:hint="eastAsia"/>
                      <w:color w:val="auto"/>
                      <w:szCs w:val="21"/>
                      <w:lang w:val="en-US" w:eastAsia="zh-CN"/>
                    </w:rPr>
                    <w:t>/</w:t>
                  </w:r>
                </w:p>
              </w:tc>
              <w:tc>
                <w:tcPr>
                  <w:tcW w:w="544" w:type="dxa"/>
                  <w:vMerge w:val="restart"/>
                  <w:vAlign w:val="center"/>
                </w:tcPr>
                <w:p w14:paraId="4E0C6634">
                  <w:pPr>
                    <w:jc w:val="center"/>
                    <w:rPr>
                      <w:rFonts w:hint="default" w:eastAsia="宋体"/>
                      <w:color w:val="auto"/>
                      <w:szCs w:val="21"/>
                      <w:lang w:val="en-US" w:eastAsia="zh-CN"/>
                    </w:rPr>
                  </w:pPr>
                  <w:r>
                    <w:rPr>
                      <w:rFonts w:hint="eastAsia"/>
                      <w:color w:val="auto"/>
                      <w:szCs w:val="21"/>
                      <w:lang w:val="en-US" w:eastAsia="zh-CN"/>
                    </w:rPr>
                    <w:t>8h/d</w:t>
                  </w:r>
                </w:p>
              </w:tc>
              <w:tc>
                <w:tcPr>
                  <w:tcW w:w="676" w:type="dxa"/>
                  <w:vMerge w:val="restart"/>
                  <w:vAlign w:val="center"/>
                </w:tcPr>
                <w:p w14:paraId="20BB53E7">
                  <w:pPr>
                    <w:jc w:val="center"/>
                    <w:rPr>
                      <w:rFonts w:hint="eastAsia" w:eastAsia="宋体"/>
                      <w:color w:val="auto"/>
                      <w:szCs w:val="21"/>
                      <w:lang w:val="en-US" w:eastAsia="zh-CN"/>
                    </w:rPr>
                  </w:pPr>
                  <w:r>
                    <w:rPr>
                      <w:rFonts w:hint="eastAsia"/>
                      <w:color w:val="auto"/>
                      <w:szCs w:val="21"/>
                      <w:lang w:val="en-US" w:eastAsia="zh-CN"/>
                    </w:rPr>
                    <w:t>/</w:t>
                  </w:r>
                </w:p>
              </w:tc>
              <w:tc>
                <w:tcPr>
                  <w:tcW w:w="718" w:type="dxa"/>
                  <w:vAlign w:val="center"/>
                </w:tcPr>
                <w:p w14:paraId="6746C640">
                  <w:pPr>
                    <w:jc w:val="center"/>
                    <w:rPr>
                      <w:rFonts w:hint="default"/>
                      <w:color w:val="auto"/>
                      <w:szCs w:val="21"/>
                      <w:lang w:val="en-US" w:eastAsia="zh-CN"/>
                    </w:rPr>
                  </w:pPr>
                  <w:r>
                    <w:rPr>
                      <w:rFonts w:hint="eastAsia"/>
                      <w:color w:val="auto"/>
                      <w:szCs w:val="21"/>
                      <w:lang w:val="en-US" w:eastAsia="zh-CN"/>
                    </w:rPr>
                    <w:t>54.5</w:t>
                  </w:r>
                </w:p>
              </w:tc>
              <w:tc>
                <w:tcPr>
                  <w:tcW w:w="731" w:type="dxa"/>
                  <w:vMerge w:val="continue"/>
                  <w:vAlign w:val="center"/>
                </w:tcPr>
                <w:p w14:paraId="623E7729">
                  <w:pPr>
                    <w:jc w:val="center"/>
                    <w:rPr>
                      <w:rFonts w:hint="eastAsia"/>
                      <w:color w:val="auto"/>
                      <w:szCs w:val="21"/>
                    </w:rPr>
                  </w:pPr>
                </w:p>
              </w:tc>
            </w:tr>
            <w:tr w14:paraId="53188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58" w:type="dxa"/>
                  <w:vMerge w:val="continue"/>
                  <w:vAlign w:val="center"/>
                </w:tcPr>
                <w:p w14:paraId="2B58A411">
                  <w:pPr>
                    <w:jc w:val="center"/>
                    <w:rPr>
                      <w:color w:val="auto"/>
                    </w:rPr>
                  </w:pPr>
                </w:p>
              </w:tc>
              <w:tc>
                <w:tcPr>
                  <w:tcW w:w="457" w:type="dxa"/>
                  <w:vMerge w:val="continue"/>
                  <w:vAlign w:val="center"/>
                </w:tcPr>
                <w:p w14:paraId="6A60E293">
                  <w:pPr>
                    <w:jc w:val="center"/>
                    <w:rPr>
                      <w:color w:val="auto"/>
                    </w:rPr>
                  </w:pPr>
                </w:p>
              </w:tc>
              <w:tc>
                <w:tcPr>
                  <w:tcW w:w="556" w:type="dxa"/>
                  <w:vMerge w:val="continue"/>
                  <w:vAlign w:val="center"/>
                </w:tcPr>
                <w:p w14:paraId="73F2AF6C">
                  <w:pPr>
                    <w:jc w:val="center"/>
                    <w:rPr>
                      <w:color w:val="auto"/>
                    </w:rPr>
                  </w:pPr>
                </w:p>
              </w:tc>
              <w:tc>
                <w:tcPr>
                  <w:tcW w:w="599" w:type="dxa"/>
                  <w:vMerge w:val="continue"/>
                  <w:shd w:val="clear" w:color="auto" w:fill="auto"/>
                  <w:vAlign w:val="center"/>
                </w:tcPr>
                <w:p w14:paraId="3A85CDB1">
                  <w:pPr>
                    <w:jc w:val="center"/>
                    <w:rPr>
                      <w:color w:val="auto"/>
                    </w:rPr>
                  </w:pPr>
                </w:p>
              </w:tc>
              <w:tc>
                <w:tcPr>
                  <w:tcW w:w="572" w:type="dxa"/>
                  <w:vMerge w:val="continue"/>
                  <w:vAlign w:val="center"/>
                </w:tcPr>
                <w:p w14:paraId="4CCB38EF">
                  <w:pPr>
                    <w:jc w:val="center"/>
                    <w:rPr>
                      <w:color w:val="auto"/>
                    </w:rPr>
                  </w:pPr>
                </w:p>
              </w:tc>
              <w:tc>
                <w:tcPr>
                  <w:tcW w:w="572" w:type="dxa"/>
                  <w:vMerge w:val="continue"/>
                  <w:vAlign w:val="center"/>
                </w:tcPr>
                <w:p w14:paraId="27BC098C">
                  <w:pPr>
                    <w:jc w:val="center"/>
                    <w:rPr>
                      <w:color w:val="auto"/>
                    </w:rPr>
                  </w:pPr>
                </w:p>
              </w:tc>
              <w:tc>
                <w:tcPr>
                  <w:tcW w:w="450" w:type="dxa"/>
                  <w:vMerge w:val="continue"/>
                  <w:vAlign w:val="center"/>
                </w:tcPr>
                <w:p w14:paraId="0BDD17BD">
                  <w:pPr>
                    <w:jc w:val="center"/>
                    <w:rPr>
                      <w:color w:val="auto"/>
                    </w:rPr>
                  </w:pPr>
                </w:p>
              </w:tc>
              <w:tc>
                <w:tcPr>
                  <w:tcW w:w="489" w:type="dxa"/>
                  <w:vMerge w:val="continue"/>
                  <w:vAlign w:val="center"/>
                </w:tcPr>
                <w:p w14:paraId="2DC43A89">
                  <w:pPr>
                    <w:jc w:val="center"/>
                    <w:rPr>
                      <w:color w:val="auto"/>
                    </w:rPr>
                  </w:pPr>
                </w:p>
              </w:tc>
              <w:tc>
                <w:tcPr>
                  <w:tcW w:w="464" w:type="dxa"/>
                  <w:vMerge w:val="continue"/>
                  <w:vAlign w:val="center"/>
                </w:tcPr>
                <w:p w14:paraId="0E63A45A">
                  <w:pPr>
                    <w:jc w:val="center"/>
                    <w:rPr>
                      <w:color w:val="auto"/>
                    </w:rPr>
                  </w:pPr>
                </w:p>
              </w:tc>
              <w:tc>
                <w:tcPr>
                  <w:tcW w:w="476" w:type="dxa"/>
                  <w:shd w:val="clear" w:color="auto" w:fill="auto"/>
                  <w:vAlign w:val="center"/>
                </w:tcPr>
                <w:p w14:paraId="39BC1A6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424" w:type="dxa"/>
                  <w:shd w:val="clear" w:color="auto" w:fill="auto"/>
                  <w:vAlign w:val="center"/>
                </w:tcPr>
                <w:p w14:paraId="10D466F5">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599" w:type="dxa"/>
                  <w:vAlign w:val="center"/>
                </w:tcPr>
                <w:p w14:paraId="4EAADF50">
                  <w:pPr>
                    <w:jc w:val="center"/>
                    <w:rPr>
                      <w:rFonts w:hint="default"/>
                      <w:color w:val="auto"/>
                      <w:szCs w:val="21"/>
                      <w:lang w:val="en-US" w:eastAsia="zh-CN"/>
                    </w:rPr>
                  </w:pPr>
                  <w:r>
                    <w:rPr>
                      <w:rFonts w:hint="eastAsia"/>
                      <w:color w:val="auto"/>
                      <w:szCs w:val="21"/>
                      <w:lang w:val="en-US" w:eastAsia="zh-CN"/>
                    </w:rPr>
                    <w:t>/</w:t>
                  </w:r>
                </w:p>
              </w:tc>
              <w:tc>
                <w:tcPr>
                  <w:tcW w:w="544" w:type="dxa"/>
                  <w:vMerge w:val="continue"/>
                  <w:vAlign w:val="center"/>
                </w:tcPr>
                <w:p w14:paraId="2AE91B4E">
                  <w:pPr>
                    <w:jc w:val="center"/>
                    <w:rPr>
                      <w:rFonts w:hint="eastAsia"/>
                      <w:color w:val="auto"/>
                      <w:szCs w:val="21"/>
                      <w:lang w:val="en-US" w:eastAsia="zh-CN"/>
                    </w:rPr>
                  </w:pPr>
                </w:p>
              </w:tc>
              <w:tc>
                <w:tcPr>
                  <w:tcW w:w="676" w:type="dxa"/>
                  <w:vMerge w:val="continue"/>
                  <w:vAlign w:val="center"/>
                </w:tcPr>
                <w:p w14:paraId="3E2A89CB">
                  <w:pPr>
                    <w:jc w:val="center"/>
                    <w:rPr>
                      <w:rFonts w:hint="eastAsia"/>
                      <w:color w:val="auto"/>
                      <w:szCs w:val="21"/>
                      <w:lang w:val="en-US" w:eastAsia="zh-CN"/>
                    </w:rPr>
                  </w:pPr>
                </w:p>
              </w:tc>
              <w:tc>
                <w:tcPr>
                  <w:tcW w:w="718" w:type="dxa"/>
                  <w:vAlign w:val="center"/>
                </w:tcPr>
                <w:p w14:paraId="1C7A11FD">
                  <w:pPr>
                    <w:jc w:val="center"/>
                    <w:rPr>
                      <w:rFonts w:hint="default"/>
                      <w:color w:val="auto"/>
                      <w:szCs w:val="21"/>
                      <w:lang w:val="en-US" w:eastAsia="zh-CN"/>
                    </w:rPr>
                  </w:pPr>
                  <w:r>
                    <w:rPr>
                      <w:rFonts w:hint="eastAsia"/>
                      <w:color w:val="auto"/>
                      <w:szCs w:val="21"/>
                      <w:lang w:val="en-US" w:eastAsia="zh-CN"/>
                    </w:rPr>
                    <w:t>53.5</w:t>
                  </w:r>
                </w:p>
              </w:tc>
              <w:tc>
                <w:tcPr>
                  <w:tcW w:w="731" w:type="dxa"/>
                  <w:vMerge w:val="continue"/>
                  <w:vAlign w:val="center"/>
                </w:tcPr>
                <w:p w14:paraId="66D20CA5">
                  <w:pPr>
                    <w:jc w:val="center"/>
                    <w:rPr>
                      <w:rFonts w:hint="eastAsia"/>
                      <w:color w:val="auto"/>
                      <w:szCs w:val="21"/>
                      <w:lang w:val="en-US" w:eastAsia="zh-CN"/>
                    </w:rPr>
                  </w:pPr>
                </w:p>
              </w:tc>
            </w:tr>
            <w:tr w14:paraId="7DB01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58" w:type="dxa"/>
                  <w:vMerge w:val="continue"/>
                  <w:vAlign w:val="center"/>
                </w:tcPr>
                <w:p w14:paraId="43A02313">
                  <w:pPr>
                    <w:jc w:val="center"/>
                    <w:rPr>
                      <w:rFonts w:hint="eastAsia"/>
                      <w:color w:val="auto"/>
                      <w:szCs w:val="21"/>
                      <w:lang w:val="en-US" w:eastAsia="zh-CN"/>
                    </w:rPr>
                  </w:pPr>
                </w:p>
              </w:tc>
              <w:tc>
                <w:tcPr>
                  <w:tcW w:w="457" w:type="dxa"/>
                  <w:vMerge w:val="continue"/>
                  <w:vAlign w:val="center"/>
                </w:tcPr>
                <w:p w14:paraId="21782488">
                  <w:pPr>
                    <w:jc w:val="center"/>
                    <w:rPr>
                      <w:rFonts w:hint="eastAsia"/>
                      <w:color w:val="auto"/>
                      <w:szCs w:val="21"/>
                      <w:lang w:val="en-US" w:eastAsia="zh-CN"/>
                    </w:rPr>
                  </w:pPr>
                </w:p>
              </w:tc>
              <w:tc>
                <w:tcPr>
                  <w:tcW w:w="556" w:type="dxa"/>
                  <w:vMerge w:val="continue"/>
                  <w:vAlign w:val="center"/>
                </w:tcPr>
                <w:p w14:paraId="4F08D097">
                  <w:pPr>
                    <w:jc w:val="center"/>
                    <w:rPr>
                      <w:rFonts w:hint="eastAsia"/>
                      <w:color w:val="auto"/>
                      <w:szCs w:val="21"/>
                      <w:lang w:val="en-US" w:eastAsia="zh-CN"/>
                    </w:rPr>
                  </w:pPr>
                </w:p>
              </w:tc>
              <w:tc>
                <w:tcPr>
                  <w:tcW w:w="599" w:type="dxa"/>
                  <w:vMerge w:val="continue"/>
                  <w:shd w:val="clear" w:color="auto" w:fill="auto"/>
                  <w:vAlign w:val="center"/>
                </w:tcPr>
                <w:p w14:paraId="2CCF0074">
                  <w:pPr>
                    <w:jc w:val="center"/>
                    <w:rPr>
                      <w:rFonts w:hint="eastAsia"/>
                      <w:color w:val="auto"/>
                      <w:szCs w:val="21"/>
                      <w:lang w:val="en-US" w:eastAsia="zh-CN"/>
                    </w:rPr>
                  </w:pPr>
                </w:p>
              </w:tc>
              <w:tc>
                <w:tcPr>
                  <w:tcW w:w="572" w:type="dxa"/>
                  <w:vMerge w:val="continue"/>
                  <w:vAlign w:val="center"/>
                </w:tcPr>
                <w:p w14:paraId="78507261">
                  <w:pPr>
                    <w:jc w:val="center"/>
                    <w:rPr>
                      <w:rFonts w:hint="eastAsia"/>
                      <w:color w:val="auto"/>
                      <w:szCs w:val="21"/>
                      <w:lang w:val="en-US" w:eastAsia="zh-CN"/>
                    </w:rPr>
                  </w:pPr>
                </w:p>
              </w:tc>
              <w:tc>
                <w:tcPr>
                  <w:tcW w:w="572" w:type="dxa"/>
                  <w:vMerge w:val="continue"/>
                  <w:vAlign w:val="center"/>
                </w:tcPr>
                <w:p w14:paraId="58EB27BC">
                  <w:pPr>
                    <w:jc w:val="center"/>
                    <w:rPr>
                      <w:rFonts w:hint="eastAsia"/>
                      <w:color w:val="auto"/>
                      <w:szCs w:val="21"/>
                      <w:lang w:val="en-US" w:eastAsia="zh-CN"/>
                    </w:rPr>
                  </w:pPr>
                </w:p>
              </w:tc>
              <w:tc>
                <w:tcPr>
                  <w:tcW w:w="450" w:type="dxa"/>
                  <w:vMerge w:val="continue"/>
                  <w:vAlign w:val="center"/>
                </w:tcPr>
                <w:p w14:paraId="56088C83">
                  <w:pPr>
                    <w:jc w:val="center"/>
                    <w:rPr>
                      <w:rFonts w:hint="eastAsia"/>
                      <w:color w:val="auto"/>
                      <w:szCs w:val="21"/>
                      <w:lang w:val="en-US" w:eastAsia="zh-CN"/>
                    </w:rPr>
                  </w:pPr>
                </w:p>
              </w:tc>
              <w:tc>
                <w:tcPr>
                  <w:tcW w:w="489" w:type="dxa"/>
                  <w:vMerge w:val="continue"/>
                  <w:vAlign w:val="center"/>
                </w:tcPr>
                <w:p w14:paraId="0EB50A81">
                  <w:pPr>
                    <w:jc w:val="center"/>
                    <w:rPr>
                      <w:rFonts w:hint="eastAsia"/>
                      <w:color w:val="auto"/>
                      <w:szCs w:val="21"/>
                      <w:lang w:val="en-US" w:eastAsia="zh-CN"/>
                    </w:rPr>
                  </w:pPr>
                </w:p>
              </w:tc>
              <w:tc>
                <w:tcPr>
                  <w:tcW w:w="464" w:type="dxa"/>
                  <w:vMerge w:val="continue"/>
                  <w:vAlign w:val="center"/>
                </w:tcPr>
                <w:p w14:paraId="7F232B15">
                  <w:pPr>
                    <w:jc w:val="center"/>
                    <w:rPr>
                      <w:rFonts w:hint="eastAsia"/>
                      <w:color w:val="auto"/>
                      <w:szCs w:val="21"/>
                      <w:lang w:val="en-US" w:eastAsia="zh-CN"/>
                    </w:rPr>
                  </w:pPr>
                </w:p>
              </w:tc>
              <w:tc>
                <w:tcPr>
                  <w:tcW w:w="476" w:type="dxa"/>
                  <w:shd w:val="clear" w:color="auto" w:fill="auto"/>
                  <w:vAlign w:val="center"/>
                </w:tcPr>
                <w:p w14:paraId="2D83BDE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424" w:type="dxa"/>
                  <w:shd w:val="clear" w:color="auto" w:fill="auto"/>
                  <w:vAlign w:val="center"/>
                </w:tcPr>
                <w:p w14:paraId="45C8F439">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599" w:type="dxa"/>
                  <w:vAlign w:val="center"/>
                </w:tcPr>
                <w:p w14:paraId="1B3A20C1">
                  <w:pPr>
                    <w:jc w:val="center"/>
                    <w:rPr>
                      <w:rFonts w:hint="default"/>
                      <w:color w:val="auto"/>
                      <w:szCs w:val="21"/>
                      <w:lang w:val="en-US" w:eastAsia="zh-CN"/>
                    </w:rPr>
                  </w:pPr>
                  <w:r>
                    <w:rPr>
                      <w:rFonts w:hint="eastAsia"/>
                      <w:color w:val="auto"/>
                      <w:szCs w:val="21"/>
                      <w:lang w:val="en-US" w:eastAsia="zh-CN"/>
                    </w:rPr>
                    <w:t>/</w:t>
                  </w:r>
                </w:p>
              </w:tc>
              <w:tc>
                <w:tcPr>
                  <w:tcW w:w="544" w:type="dxa"/>
                  <w:vMerge w:val="continue"/>
                  <w:vAlign w:val="center"/>
                </w:tcPr>
                <w:p w14:paraId="16B54F48">
                  <w:pPr>
                    <w:jc w:val="center"/>
                    <w:rPr>
                      <w:rFonts w:hint="eastAsia"/>
                      <w:color w:val="auto"/>
                      <w:szCs w:val="21"/>
                      <w:lang w:val="en-US" w:eastAsia="zh-CN"/>
                    </w:rPr>
                  </w:pPr>
                </w:p>
              </w:tc>
              <w:tc>
                <w:tcPr>
                  <w:tcW w:w="676" w:type="dxa"/>
                  <w:vMerge w:val="continue"/>
                  <w:vAlign w:val="center"/>
                </w:tcPr>
                <w:p w14:paraId="1194FEDE">
                  <w:pPr>
                    <w:jc w:val="center"/>
                    <w:rPr>
                      <w:rFonts w:hint="eastAsia"/>
                      <w:color w:val="auto"/>
                      <w:szCs w:val="21"/>
                      <w:lang w:val="en-US" w:eastAsia="zh-CN"/>
                    </w:rPr>
                  </w:pPr>
                </w:p>
              </w:tc>
              <w:tc>
                <w:tcPr>
                  <w:tcW w:w="718" w:type="dxa"/>
                  <w:vAlign w:val="center"/>
                </w:tcPr>
                <w:p w14:paraId="2624402E">
                  <w:pPr>
                    <w:jc w:val="center"/>
                    <w:rPr>
                      <w:rFonts w:hint="default"/>
                      <w:color w:val="auto"/>
                      <w:szCs w:val="21"/>
                      <w:lang w:val="en-US" w:eastAsia="zh-CN"/>
                    </w:rPr>
                  </w:pPr>
                  <w:r>
                    <w:rPr>
                      <w:rFonts w:hint="eastAsia"/>
                      <w:color w:val="auto"/>
                      <w:szCs w:val="21"/>
                      <w:lang w:val="en-US" w:eastAsia="zh-CN"/>
                    </w:rPr>
                    <w:t>54.1</w:t>
                  </w:r>
                </w:p>
              </w:tc>
              <w:tc>
                <w:tcPr>
                  <w:tcW w:w="731" w:type="dxa"/>
                  <w:vMerge w:val="continue"/>
                  <w:vAlign w:val="center"/>
                </w:tcPr>
                <w:p w14:paraId="51DF5A9F">
                  <w:pPr>
                    <w:jc w:val="center"/>
                    <w:rPr>
                      <w:rFonts w:hint="eastAsia"/>
                      <w:color w:val="auto"/>
                      <w:szCs w:val="21"/>
                      <w:lang w:val="en-US" w:eastAsia="zh-CN"/>
                    </w:rPr>
                  </w:pPr>
                </w:p>
              </w:tc>
            </w:tr>
            <w:tr w14:paraId="197E0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58" w:type="dxa"/>
                  <w:vMerge w:val="continue"/>
                  <w:vAlign w:val="center"/>
                </w:tcPr>
                <w:p w14:paraId="176D2D59">
                  <w:pPr>
                    <w:jc w:val="center"/>
                    <w:rPr>
                      <w:rFonts w:hint="eastAsia"/>
                      <w:color w:val="auto"/>
                      <w:szCs w:val="21"/>
                      <w:lang w:val="en-US" w:eastAsia="zh-CN"/>
                    </w:rPr>
                  </w:pPr>
                </w:p>
              </w:tc>
              <w:tc>
                <w:tcPr>
                  <w:tcW w:w="457" w:type="dxa"/>
                  <w:vMerge w:val="continue"/>
                  <w:vAlign w:val="center"/>
                </w:tcPr>
                <w:p w14:paraId="7020E4AD">
                  <w:pPr>
                    <w:jc w:val="center"/>
                    <w:rPr>
                      <w:rFonts w:hint="eastAsia"/>
                      <w:color w:val="auto"/>
                      <w:szCs w:val="21"/>
                      <w:lang w:val="en-US" w:eastAsia="zh-CN"/>
                    </w:rPr>
                  </w:pPr>
                </w:p>
              </w:tc>
              <w:tc>
                <w:tcPr>
                  <w:tcW w:w="556" w:type="dxa"/>
                  <w:vMerge w:val="continue"/>
                  <w:vAlign w:val="center"/>
                </w:tcPr>
                <w:p w14:paraId="02E4916D">
                  <w:pPr>
                    <w:jc w:val="center"/>
                    <w:rPr>
                      <w:rFonts w:hint="eastAsia"/>
                      <w:color w:val="auto"/>
                      <w:szCs w:val="21"/>
                      <w:lang w:val="en-US" w:eastAsia="zh-CN"/>
                    </w:rPr>
                  </w:pPr>
                </w:p>
              </w:tc>
              <w:tc>
                <w:tcPr>
                  <w:tcW w:w="599" w:type="dxa"/>
                  <w:vMerge w:val="continue"/>
                  <w:shd w:val="clear" w:color="auto" w:fill="auto"/>
                  <w:vAlign w:val="center"/>
                </w:tcPr>
                <w:p w14:paraId="6F544F07">
                  <w:pPr>
                    <w:jc w:val="center"/>
                    <w:rPr>
                      <w:rFonts w:hint="eastAsia"/>
                      <w:color w:val="auto"/>
                      <w:szCs w:val="21"/>
                      <w:lang w:val="en-US" w:eastAsia="zh-CN"/>
                    </w:rPr>
                  </w:pPr>
                </w:p>
              </w:tc>
              <w:tc>
                <w:tcPr>
                  <w:tcW w:w="572" w:type="dxa"/>
                  <w:vMerge w:val="continue"/>
                  <w:vAlign w:val="center"/>
                </w:tcPr>
                <w:p w14:paraId="61E17D91">
                  <w:pPr>
                    <w:jc w:val="center"/>
                    <w:rPr>
                      <w:rFonts w:hint="eastAsia"/>
                      <w:color w:val="auto"/>
                      <w:szCs w:val="21"/>
                      <w:lang w:val="en-US" w:eastAsia="zh-CN"/>
                    </w:rPr>
                  </w:pPr>
                </w:p>
              </w:tc>
              <w:tc>
                <w:tcPr>
                  <w:tcW w:w="572" w:type="dxa"/>
                  <w:vMerge w:val="continue"/>
                  <w:vAlign w:val="center"/>
                </w:tcPr>
                <w:p w14:paraId="0F27C64A">
                  <w:pPr>
                    <w:jc w:val="center"/>
                    <w:rPr>
                      <w:rFonts w:hint="eastAsia"/>
                      <w:color w:val="auto"/>
                      <w:szCs w:val="21"/>
                      <w:lang w:val="en-US" w:eastAsia="zh-CN"/>
                    </w:rPr>
                  </w:pPr>
                </w:p>
              </w:tc>
              <w:tc>
                <w:tcPr>
                  <w:tcW w:w="450" w:type="dxa"/>
                  <w:vMerge w:val="continue"/>
                  <w:vAlign w:val="center"/>
                </w:tcPr>
                <w:p w14:paraId="41798E2F">
                  <w:pPr>
                    <w:jc w:val="center"/>
                    <w:rPr>
                      <w:rFonts w:hint="eastAsia"/>
                      <w:color w:val="auto"/>
                      <w:szCs w:val="21"/>
                      <w:lang w:val="en-US" w:eastAsia="zh-CN"/>
                    </w:rPr>
                  </w:pPr>
                </w:p>
              </w:tc>
              <w:tc>
                <w:tcPr>
                  <w:tcW w:w="489" w:type="dxa"/>
                  <w:vMerge w:val="continue"/>
                  <w:vAlign w:val="center"/>
                </w:tcPr>
                <w:p w14:paraId="04FF4C68">
                  <w:pPr>
                    <w:jc w:val="center"/>
                    <w:rPr>
                      <w:rFonts w:hint="eastAsia"/>
                      <w:color w:val="auto"/>
                      <w:szCs w:val="21"/>
                      <w:lang w:val="en-US" w:eastAsia="zh-CN"/>
                    </w:rPr>
                  </w:pPr>
                </w:p>
              </w:tc>
              <w:tc>
                <w:tcPr>
                  <w:tcW w:w="464" w:type="dxa"/>
                  <w:vMerge w:val="continue"/>
                  <w:vAlign w:val="center"/>
                </w:tcPr>
                <w:p w14:paraId="6075C918">
                  <w:pPr>
                    <w:jc w:val="center"/>
                    <w:rPr>
                      <w:rFonts w:hint="eastAsia"/>
                      <w:color w:val="auto"/>
                      <w:szCs w:val="21"/>
                      <w:lang w:val="en-US" w:eastAsia="zh-CN"/>
                    </w:rPr>
                  </w:pPr>
                </w:p>
              </w:tc>
              <w:tc>
                <w:tcPr>
                  <w:tcW w:w="476" w:type="dxa"/>
                  <w:shd w:val="clear" w:color="auto" w:fill="auto"/>
                  <w:vAlign w:val="center"/>
                </w:tcPr>
                <w:p w14:paraId="739510B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424" w:type="dxa"/>
                  <w:shd w:val="clear" w:color="auto" w:fill="auto"/>
                  <w:vAlign w:val="center"/>
                </w:tcPr>
                <w:p w14:paraId="13C648B1">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599" w:type="dxa"/>
                  <w:vAlign w:val="center"/>
                </w:tcPr>
                <w:p w14:paraId="7AE2AEAD">
                  <w:pPr>
                    <w:jc w:val="center"/>
                    <w:rPr>
                      <w:rFonts w:hint="default"/>
                      <w:color w:val="auto"/>
                      <w:szCs w:val="21"/>
                      <w:lang w:val="en-US" w:eastAsia="zh-CN"/>
                    </w:rPr>
                  </w:pPr>
                  <w:r>
                    <w:rPr>
                      <w:rFonts w:hint="eastAsia"/>
                      <w:color w:val="auto"/>
                      <w:szCs w:val="21"/>
                      <w:lang w:val="en-US" w:eastAsia="zh-CN"/>
                    </w:rPr>
                    <w:t>/</w:t>
                  </w:r>
                </w:p>
              </w:tc>
              <w:tc>
                <w:tcPr>
                  <w:tcW w:w="544" w:type="dxa"/>
                  <w:vMerge w:val="continue"/>
                  <w:vAlign w:val="center"/>
                </w:tcPr>
                <w:p w14:paraId="4F8D10DC">
                  <w:pPr>
                    <w:jc w:val="center"/>
                    <w:rPr>
                      <w:rFonts w:hint="eastAsia"/>
                      <w:color w:val="auto"/>
                      <w:szCs w:val="21"/>
                      <w:lang w:val="en-US" w:eastAsia="zh-CN"/>
                    </w:rPr>
                  </w:pPr>
                </w:p>
              </w:tc>
              <w:tc>
                <w:tcPr>
                  <w:tcW w:w="676" w:type="dxa"/>
                  <w:vMerge w:val="continue"/>
                  <w:vAlign w:val="center"/>
                </w:tcPr>
                <w:p w14:paraId="7DB1ABCF">
                  <w:pPr>
                    <w:jc w:val="center"/>
                    <w:rPr>
                      <w:rFonts w:hint="eastAsia"/>
                      <w:color w:val="auto"/>
                      <w:szCs w:val="21"/>
                      <w:lang w:val="en-US" w:eastAsia="zh-CN"/>
                    </w:rPr>
                  </w:pPr>
                </w:p>
              </w:tc>
              <w:tc>
                <w:tcPr>
                  <w:tcW w:w="718" w:type="dxa"/>
                  <w:vAlign w:val="center"/>
                </w:tcPr>
                <w:p w14:paraId="5551DE19">
                  <w:pPr>
                    <w:jc w:val="center"/>
                    <w:rPr>
                      <w:rFonts w:hint="default"/>
                      <w:color w:val="auto"/>
                      <w:szCs w:val="21"/>
                      <w:lang w:val="en-US" w:eastAsia="zh-CN"/>
                    </w:rPr>
                  </w:pPr>
                  <w:r>
                    <w:rPr>
                      <w:rFonts w:hint="eastAsia"/>
                      <w:color w:val="auto"/>
                      <w:szCs w:val="21"/>
                      <w:lang w:val="en-US" w:eastAsia="zh-CN"/>
                    </w:rPr>
                    <w:t>50.2</w:t>
                  </w:r>
                </w:p>
              </w:tc>
              <w:tc>
                <w:tcPr>
                  <w:tcW w:w="731" w:type="dxa"/>
                  <w:vMerge w:val="continue"/>
                  <w:vAlign w:val="center"/>
                </w:tcPr>
                <w:p w14:paraId="0FCCD47B">
                  <w:pPr>
                    <w:jc w:val="center"/>
                    <w:rPr>
                      <w:rFonts w:hint="eastAsia"/>
                      <w:color w:val="auto"/>
                      <w:szCs w:val="21"/>
                      <w:lang w:val="en-US" w:eastAsia="zh-CN"/>
                    </w:rPr>
                  </w:pPr>
                </w:p>
              </w:tc>
            </w:tr>
            <w:tr w14:paraId="7A176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8585" w:type="dxa"/>
                  <w:gridSpan w:val="16"/>
                  <w:vAlign w:val="center"/>
                </w:tcPr>
                <w:p w14:paraId="5515852F">
                  <w:pPr>
                    <w:jc w:val="left"/>
                    <w:rPr>
                      <w:rFonts w:hint="default"/>
                      <w:color w:val="auto"/>
                      <w:szCs w:val="21"/>
                      <w:lang w:val="en-US" w:eastAsia="zh-CN"/>
                    </w:rPr>
                  </w:pPr>
                  <w:r>
                    <w:rPr>
                      <w:rFonts w:hint="eastAsia"/>
                      <w:color w:val="auto"/>
                      <w:szCs w:val="21"/>
                      <w:lang w:val="en-US" w:eastAsia="zh-CN"/>
                    </w:rPr>
                    <w:t>备注：以厂房西北角为原点（0，0，0）</w:t>
                  </w:r>
                </w:p>
              </w:tc>
            </w:tr>
          </w:tbl>
          <w:p w14:paraId="6FFD3220">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GB" w:eastAsia="zh-CN"/>
              </w:rPr>
            </w:pPr>
            <w:bookmarkStart w:id="185" w:name="_Toc10899"/>
            <w:bookmarkStart w:id="186" w:name="_Toc22443"/>
            <w:r>
              <w:rPr>
                <w:rFonts w:hint="default"/>
                <w:b/>
                <w:color w:val="262626"/>
                <w:kern w:val="0"/>
                <w:sz w:val="24"/>
                <w:lang w:val="en-US" w:eastAsia="zh-CN"/>
              </w:rPr>
              <w:t>4.3.2声环境影响分析</w:t>
            </w:r>
            <w:bookmarkEnd w:id="185"/>
            <w:bookmarkEnd w:id="186"/>
          </w:p>
          <w:p w14:paraId="6F7EB04E">
            <w:pPr>
              <w:pStyle w:val="36"/>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76BD9705">
            <w:pPr>
              <w:pStyle w:val="36"/>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743E5A0">
            <w:pPr>
              <w:pStyle w:val="36"/>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301D007B">
            <w:pPr>
              <w:pStyle w:val="60"/>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r:link="rId16"/>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p>
          <w:p w14:paraId="595DEBB7">
            <w:pPr>
              <w:pStyle w:val="36"/>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3E050327">
            <w:pPr>
              <w:pStyle w:val="36"/>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3D5CC926">
            <w:pPr>
              <w:pStyle w:val="36"/>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643B30D4">
            <w:pPr>
              <w:pStyle w:val="36"/>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0E27C8DE">
            <w:pPr>
              <w:pStyle w:val="36"/>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445A5441">
            <w:pPr>
              <w:pStyle w:val="36"/>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0873BCD3">
            <w:pPr>
              <w:pStyle w:val="36"/>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3A50B48D">
            <w:pPr>
              <w:pStyle w:val="36"/>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4F0A0DC1">
            <w:pPr>
              <w:pStyle w:val="36"/>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7F92AD2E">
            <w:pPr>
              <w:pStyle w:val="36"/>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696E7F0B">
            <w:pPr>
              <w:pStyle w:val="60"/>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r:link="rId18"/>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209DFB3">
            <w:pPr>
              <w:pStyle w:val="36"/>
              <w:spacing w:line="360" w:lineRule="auto"/>
              <w:ind w:firstLine="480"/>
              <w:rPr>
                <w:rFonts w:cs="Times New Roman"/>
                <w:color w:val="auto"/>
                <w:sz w:val="24"/>
                <w:szCs w:val="24"/>
                <w:highlight w:val="none"/>
              </w:rPr>
            </w:pPr>
            <w:r>
              <w:rPr>
                <w:rFonts w:cs="Times New Roman"/>
                <w:color w:val="auto"/>
                <w:sz w:val="24"/>
                <w:szCs w:val="24"/>
                <w:highlight w:val="none"/>
              </w:rPr>
              <w:t>预测点的A声级LA</w:t>
            </w:r>
            <w:r>
              <w:rPr>
                <w:rFonts w:hint="eastAsia" w:cs="Times New Roman"/>
                <w:color w:val="auto"/>
                <w:sz w:val="24"/>
                <w:szCs w:val="24"/>
                <w:highlight w:val="none"/>
                <w:lang w:eastAsia="zh-CN"/>
              </w:rPr>
              <w:t>（</w:t>
            </w:r>
            <w:r>
              <w:rPr>
                <w:rFonts w:cs="Times New Roman"/>
                <w:color w:val="auto"/>
                <w:sz w:val="24"/>
                <w:szCs w:val="24"/>
                <w:highlight w:val="none"/>
              </w:rPr>
              <w:t>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12E5F777">
            <w:pPr>
              <w:pStyle w:val="60"/>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r:link="rId20"/>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091460D">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0E1C2FE">
            <w:pPr>
              <w:pStyle w:val="36"/>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784F2122">
            <w:pPr>
              <w:pStyle w:val="36"/>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6DFDBC7B">
            <w:pPr>
              <w:pStyle w:val="36"/>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03573171">
            <w:pPr>
              <w:pStyle w:val="36"/>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4FB8FE36">
            <w:pPr>
              <w:pStyle w:val="60"/>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1" r:link="rId22"/>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1E6F763">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3FF10FE3">
            <w:pPr>
              <w:pStyle w:val="60"/>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3" r:link="rId24"/>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A5F7025">
            <w:pPr>
              <w:pStyle w:val="36"/>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52030BED">
            <w:pPr>
              <w:pStyle w:val="60"/>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5" r:link="rId26"/>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985919C">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6FAEAF00">
            <w:pPr>
              <w:pStyle w:val="36"/>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45899A9C">
            <w:pPr>
              <w:pStyle w:val="36"/>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1C6B7C4F">
            <w:pPr>
              <w:pStyle w:val="36"/>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3E93248A">
            <w:pPr>
              <w:pStyle w:val="36"/>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438D91FB">
            <w:pPr>
              <w:pStyle w:val="60"/>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7" r:link="rId28"/>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CB2B993">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2446E783">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43532A33">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hint="eastAsia" w:cs="Times New Roman"/>
                <w:color w:val="auto"/>
                <w:sz w:val="24"/>
                <w:szCs w:val="24"/>
                <w:highlight w:val="none"/>
                <w:lang w:eastAsia="zh-CN"/>
              </w:rPr>
              <w:t>－</w:t>
            </w:r>
            <w:r>
              <w:rPr>
                <w:rFonts w:cs="Times New Roman"/>
                <w:color w:val="auto"/>
                <w:sz w:val="24"/>
                <w:szCs w:val="24"/>
                <w:highlight w:val="none"/>
              </w:rPr>
              <w:t>室内j声源i倍频带的声压级，dB；</w:t>
            </w:r>
          </w:p>
          <w:p w14:paraId="1BC4E753">
            <w:pPr>
              <w:pStyle w:val="36"/>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hint="eastAsia" w:cs="Times New Roman"/>
                <w:color w:val="auto"/>
                <w:sz w:val="24"/>
                <w:szCs w:val="24"/>
                <w:highlight w:val="none"/>
                <w:lang w:eastAsia="zh-CN"/>
              </w:rPr>
              <w:t>－</w:t>
            </w:r>
            <w:r>
              <w:rPr>
                <w:rFonts w:cs="Times New Roman"/>
                <w:color w:val="auto"/>
                <w:sz w:val="24"/>
                <w:szCs w:val="24"/>
                <w:highlight w:val="none"/>
              </w:rPr>
              <w:t>室内声源总数。</w:t>
            </w:r>
          </w:p>
          <w:p w14:paraId="0B0DAF1E">
            <w:pPr>
              <w:pStyle w:val="36"/>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1191A894">
            <w:pPr>
              <w:pStyle w:val="60"/>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r:link="rId30"/>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7E60E4A">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0B3E947C">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67903F40">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22615E2F">
            <w:pPr>
              <w:pStyle w:val="36"/>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509815D5">
            <w:pPr>
              <w:pStyle w:val="60"/>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616585"/>
                  <wp:effectExtent l="0" t="0" r="11430" b="1206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1" r:link="rId32"/>
                          <a:stretch>
                            <a:fillRect/>
                          </a:stretch>
                        </pic:blipFill>
                        <pic:spPr>
                          <a:xfrm>
                            <a:off x="0" y="0"/>
                            <a:ext cx="1798320" cy="61658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9A871CC">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7B383F54">
            <w:pPr>
              <w:pStyle w:val="36"/>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29113A07">
            <w:pPr>
              <w:pStyle w:val="36"/>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3C35A7A8">
            <w:pPr>
              <w:pStyle w:val="36"/>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0F5BC507">
            <w:pPr>
              <w:pStyle w:val="60"/>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822325"/>
                  <wp:effectExtent l="0" t="0" r="7620" b="1587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33" r:link="rId34"/>
                          <a:stretch>
                            <a:fillRect/>
                          </a:stretch>
                        </pic:blipFill>
                        <pic:spPr>
                          <a:xfrm>
                            <a:off x="0" y="0"/>
                            <a:ext cx="3268980" cy="82232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C5FFFAC">
            <w:pPr>
              <w:pStyle w:val="36"/>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4FBA4EC5">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5663A33A">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053B6C37">
            <w:pPr>
              <w:pStyle w:val="36"/>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6FF455AB">
            <w:pPr>
              <w:pStyle w:val="36"/>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hint="eastAsia" w:cs="Times New Roman"/>
                <w:color w:val="auto"/>
                <w:sz w:val="24"/>
                <w:szCs w:val="24"/>
                <w:highlight w:val="none"/>
                <w:lang w:eastAsia="zh-CN"/>
              </w:rPr>
              <w:t>－</w:t>
            </w:r>
            <w:r>
              <w:rPr>
                <w:rFonts w:cs="Times New Roman"/>
                <w:color w:val="auto"/>
                <w:sz w:val="24"/>
                <w:szCs w:val="24"/>
                <w:highlight w:val="none"/>
              </w:rPr>
              <w:t>室外声源个数；</w:t>
            </w:r>
          </w:p>
          <w:p w14:paraId="28613DA6">
            <w:pPr>
              <w:pStyle w:val="36"/>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hint="eastAsia" w:cs="Times New Roman"/>
                <w:color w:val="auto"/>
                <w:sz w:val="24"/>
                <w:szCs w:val="24"/>
                <w:highlight w:val="none"/>
                <w:lang w:eastAsia="zh-CN"/>
              </w:rPr>
              <w:t>－</w:t>
            </w:r>
            <w:r>
              <w:rPr>
                <w:rFonts w:cs="Times New Roman"/>
                <w:color w:val="auto"/>
                <w:sz w:val="24"/>
                <w:szCs w:val="24"/>
                <w:highlight w:val="none"/>
              </w:rPr>
              <w:t>室内声源个数。</w:t>
            </w:r>
          </w:p>
          <w:p w14:paraId="25A7533E">
            <w:pPr>
              <w:pStyle w:val="36"/>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4FE2ED14">
            <w:pPr>
              <w:pStyle w:val="36"/>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48912A87">
            <w:pPr>
              <w:pStyle w:val="60"/>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766445"/>
                  <wp:effectExtent l="0" t="0" r="7620" b="1460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5" r:link="rId36"/>
                          <a:stretch>
                            <a:fillRect/>
                          </a:stretch>
                        </pic:blipFill>
                        <pic:spPr>
                          <a:xfrm>
                            <a:off x="0" y="0"/>
                            <a:ext cx="2354580" cy="76644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1F99CE2">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1BE1D558">
            <w:pPr>
              <w:pStyle w:val="36"/>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42697C60">
            <w:pPr>
              <w:pStyle w:val="36"/>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00823A99">
            <w:pPr>
              <w:pStyle w:val="36"/>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w:t>
            </w:r>
            <w:r>
              <w:rPr>
                <w:rFonts w:hint="eastAsia" w:cs="Times New Roman"/>
                <w:color w:val="auto"/>
                <w:sz w:val="24"/>
                <w:szCs w:val="24"/>
                <w:highlight w:val="none"/>
                <w:lang w:eastAsia="zh-CN"/>
              </w:rPr>
              <w:t>减振</w:t>
            </w:r>
            <w:r>
              <w:rPr>
                <w:rFonts w:cs="Times New Roman"/>
                <w:color w:val="auto"/>
                <w:sz w:val="24"/>
                <w:szCs w:val="24"/>
                <w:highlight w:val="none"/>
              </w:rPr>
              <w:t>、隔声后，可削减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230B45F5">
            <w:pPr>
              <w:pStyle w:val="36"/>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5799469B">
            <w:pPr>
              <w:spacing w:line="360" w:lineRule="auto"/>
              <w:ind w:firstLine="480" w:firstLineChars="200"/>
              <w:jc w:val="left"/>
              <w:rPr>
                <w:b/>
                <w:bCs/>
                <w:sz w:val="24"/>
              </w:rPr>
            </w:pPr>
            <w:r>
              <w:rPr>
                <w:rFonts w:hint="eastAsia"/>
                <w:sz w:val="24"/>
                <w:lang w:val="en-US" w:eastAsia="zh-CN"/>
              </w:rPr>
              <w:t>项目运营期仅工作8h/d，夜间不生产，因此本评价仅预测昼间噪声值，</w:t>
            </w:r>
            <w:r>
              <w:rPr>
                <w:sz w:val="24"/>
                <w:lang w:val="zh-CN"/>
              </w:rPr>
              <w:t>利用上述模式计算本项目噪声源同时工作时，预测到厂界的噪声最大值及位置，具体预测结果见表</w:t>
            </w:r>
            <w:r>
              <w:rPr>
                <w:rFonts w:hint="eastAsia"/>
                <w:sz w:val="24"/>
              </w:rPr>
              <w:t>4.3-2</w:t>
            </w:r>
            <w:r>
              <w:rPr>
                <w:sz w:val="24"/>
                <w:lang w:val="zh-CN"/>
              </w:rPr>
              <w:t>所示。</w:t>
            </w:r>
          </w:p>
          <w:p w14:paraId="5EDAF86C">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p>
          <w:p w14:paraId="1A88485F">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表4.3-2厂界噪声预测结果单位：dB(A)</w:t>
            </w:r>
          </w:p>
          <w:tbl>
            <w:tblPr>
              <w:tblStyle w:val="23"/>
              <w:tblW w:w="85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5"/>
              <w:gridCol w:w="1692"/>
              <w:gridCol w:w="1343"/>
              <w:gridCol w:w="1085"/>
              <w:gridCol w:w="1089"/>
              <w:gridCol w:w="939"/>
              <w:gridCol w:w="941"/>
              <w:gridCol w:w="920"/>
            </w:tblGrid>
            <w:tr w14:paraId="2CA38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585" w:type="dxa"/>
                  <w:vMerge w:val="restart"/>
                  <w:vAlign w:val="center"/>
                </w:tcPr>
                <w:p w14:paraId="544262B3">
                  <w:pPr>
                    <w:pStyle w:val="61"/>
                    <w:spacing w:before="24" w:after="24" w:line="340" w:lineRule="exact"/>
                    <w:rPr>
                      <w:rFonts w:ascii="Times New Roman"/>
                      <w:color w:val="auto"/>
                      <w:kern w:val="2"/>
                      <w:szCs w:val="21"/>
                    </w:rPr>
                  </w:pPr>
                  <w:r>
                    <w:rPr>
                      <w:rFonts w:ascii="Times New Roman"/>
                      <w:color w:val="auto"/>
                      <w:kern w:val="2"/>
                      <w:szCs w:val="21"/>
                    </w:rPr>
                    <w:t>编号</w:t>
                  </w:r>
                </w:p>
              </w:tc>
              <w:tc>
                <w:tcPr>
                  <w:tcW w:w="1692" w:type="dxa"/>
                  <w:vMerge w:val="restart"/>
                  <w:vAlign w:val="center"/>
                </w:tcPr>
                <w:p w14:paraId="302F59D1">
                  <w:pPr>
                    <w:pStyle w:val="61"/>
                    <w:spacing w:before="24" w:after="24" w:line="340" w:lineRule="exact"/>
                    <w:rPr>
                      <w:rFonts w:ascii="Times New Roman"/>
                      <w:color w:val="auto"/>
                      <w:kern w:val="2"/>
                      <w:szCs w:val="21"/>
                    </w:rPr>
                  </w:pPr>
                  <w:r>
                    <w:rPr>
                      <w:rFonts w:ascii="Times New Roman"/>
                      <w:color w:val="auto"/>
                      <w:kern w:val="2"/>
                      <w:szCs w:val="21"/>
                    </w:rPr>
                    <w:t>测点位置</w:t>
                  </w:r>
                </w:p>
              </w:tc>
              <w:tc>
                <w:tcPr>
                  <w:tcW w:w="1343" w:type="dxa"/>
                  <w:vMerge w:val="restart"/>
                  <w:vAlign w:val="center"/>
                </w:tcPr>
                <w:p w14:paraId="1798BC60">
                  <w:pPr>
                    <w:pStyle w:val="61"/>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2174" w:type="dxa"/>
                  <w:gridSpan w:val="2"/>
                  <w:vAlign w:val="center"/>
                </w:tcPr>
                <w:p w14:paraId="0C182F9A">
                  <w:pPr>
                    <w:pStyle w:val="61"/>
                    <w:spacing w:before="24" w:after="24" w:line="340" w:lineRule="exact"/>
                    <w:rPr>
                      <w:rFonts w:ascii="Times New Roman"/>
                      <w:color w:val="auto"/>
                      <w:kern w:val="2"/>
                      <w:szCs w:val="21"/>
                    </w:rPr>
                  </w:pPr>
                  <w:r>
                    <w:rPr>
                      <w:rFonts w:ascii="Times New Roman"/>
                      <w:color w:val="auto"/>
                      <w:kern w:val="2"/>
                      <w:szCs w:val="21"/>
                    </w:rPr>
                    <w:t>影响贡献值</w:t>
                  </w:r>
                </w:p>
              </w:tc>
              <w:tc>
                <w:tcPr>
                  <w:tcW w:w="1880" w:type="dxa"/>
                  <w:gridSpan w:val="2"/>
                  <w:vAlign w:val="center"/>
                </w:tcPr>
                <w:p w14:paraId="093B69B8">
                  <w:pPr>
                    <w:pStyle w:val="61"/>
                    <w:spacing w:before="24" w:after="24" w:line="340" w:lineRule="exact"/>
                    <w:rPr>
                      <w:rFonts w:ascii="Times New Roman"/>
                      <w:color w:val="auto"/>
                      <w:kern w:val="2"/>
                      <w:szCs w:val="21"/>
                    </w:rPr>
                  </w:pPr>
                  <w:r>
                    <w:rPr>
                      <w:rFonts w:ascii="Times New Roman"/>
                      <w:color w:val="auto"/>
                      <w:kern w:val="2"/>
                      <w:szCs w:val="21"/>
                    </w:rPr>
                    <w:t>标准值</w:t>
                  </w:r>
                </w:p>
              </w:tc>
              <w:tc>
                <w:tcPr>
                  <w:tcW w:w="920" w:type="dxa"/>
                  <w:vMerge w:val="restart"/>
                  <w:vAlign w:val="center"/>
                </w:tcPr>
                <w:p w14:paraId="7F04DC63">
                  <w:pPr>
                    <w:pStyle w:val="61"/>
                    <w:spacing w:before="24" w:after="24" w:line="340" w:lineRule="exact"/>
                    <w:rPr>
                      <w:rFonts w:ascii="Times New Roman"/>
                      <w:color w:val="auto"/>
                      <w:kern w:val="2"/>
                      <w:szCs w:val="21"/>
                    </w:rPr>
                  </w:pPr>
                  <w:r>
                    <w:rPr>
                      <w:rFonts w:ascii="Times New Roman"/>
                      <w:color w:val="auto"/>
                      <w:kern w:val="2"/>
                      <w:szCs w:val="21"/>
                    </w:rPr>
                    <w:t>达标情况</w:t>
                  </w:r>
                </w:p>
              </w:tc>
            </w:tr>
            <w:tr w14:paraId="2058E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5" w:type="dxa"/>
                  <w:vMerge w:val="continue"/>
                  <w:vAlign w:val="center"/>
                </w:tcPr>
                <w:p w14:paraId="5C87B6A6">
                  <w:pPr>
                    <w:pStyle w:val="61"/>
                    <w:spacing w:before="24" w:after="24" w:line="340" w:lineRule="exact"/>
                    <w:rPr>
                      <w:rFonts w:ascii="Times New Roman"/>
                      <w:color w:val="auto"/>
                      <w:kern w:val="2"/>
                      <w:szCs w:val="21"/>
                    </w:rPr>
                  </w:pPr>
                </w:p>
              </w:tc>
              <w:tc>
                <w:tcPr>
                  <w:tcW w:w="1692" w:type="dxa"/>
                  <w:vMerge w:val="continue"/>
                  <w:vAlign w:val="center"/>
                </w:tcPr>
                <w:p w14:paraId="0827E896">
                  <w:pPr>
                    <w:pStyle w:val="61"/>
                    <w:spacing w:before="24" w:after="24" w:line="340" w:lineRule="exact"/>
                    <w:rPr>
                      <w:rFonts w:ascii="Times New Roman"/>
                      <w:color w:val="auto"/>
                      <w:kern w:val="2"/>
                      <w:szCs w:val="21"/>
                    </w:rPr>
                  </w:pPr>
                </w:p>
              </w:tc>
              <w:tc>
                <w:tcPr>
                  <w:tcW w:w="1343" w:type="dxa"/>
                  <w:vMerge w:val="continue"/>
                  <w:vAlign w:val="center"/>
                </w:tcPr>
                <w:p w14:paraId="063700A4">
                  <w:pPr>
                    <w:pStyle w:val="61"/>
                    <w:spacing w:before="24" w:after="24" w:line="340" w:lineRule="exact"/>
                    <w:rPr>
                      <w:rFonts w:hint="eastAsia" w:ascii="Times New Roman"/>
                      <w:color w:val="auto"/>
                      <w:kern w:val="2"/>
                      <w:szCs w:val="21"/>
                    </w:rPr>
                  </w:pPr>
                </w:p>
              </w:tc>
              <w:tc>
                <w:tcPr>
                  <w:tcW w:w="1085" w:type="dxa"/>
                  <w:vAlign w:val="center"/>
                </w:tcPr>
                <w:p w14:paraId="2BA44425">
                  <w:pPr>
                    <w:pStyle w:val="61"/>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rPr>
                    <w:t>昼间</w:t>
                  </w:r>
                </w:p>
              </w:tc>
              <w:tc>
                <w:tcPr>
                  <w:tcW w:w="1089" w:type="dxa"/>
                  <w:vAlign w:val="center"/>
                </w:tcPr>
                <w:p w14:paraId="355F79CE">
                  <w:pPr>
                    <w:pStyle w:val="61"/>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939" w:type="dxa"/>
                  <w:vAlign w:val="center"/>
                </w:tcPr>
                <w:p w14:paraId="6411C56E">
                  <w:pPr>
                    <w:pStyle w:val="61"/>
                    <w:spacing w:before="24" w:after="24" w:line="340" w:lineRule="exact"/>
                    <w:rPr>
                      <w:rFonts w:hint="default" w:eastAsia="宋体"/>
                      <w:color w:val="auto"/>
                      <w:szCs w:val="21"/>
                      <w:lang w:val="en-US" w:eastAsia="zh-CN"/>
                    </w:rPr>
                  </w:pPr>
                  <w:r>
                    <w:rPr>
                      <w:rFonts w:ascii="Times New Roman"/>
                      <w:color w:val="auto"/>
                      <w:kern w:val="2"/>
                      <w:szCs w:val="21"/>
                    </w:rPr>
                    <w:t>昼间</w:t>
                  </w:r>
                </w:p>
              </w:tc>
              <w:tc>
                <w:tcPr>
                  <w:tcW w:w="941" w:type="dxa"/>
                  <w:vAlign w:val="center"/>
                </w:tcPr>
                <w:p w14:paraId="04BEF120">
                  <w:pPr>
                    <w:pStyle w:val="61"/>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920" w:type="dxa"/>
                  <w:vMerge w:val="continue"/>
                  <w:vAlign w:val="center"/>
                </w:tcPr>
                <w:p w14:paraId="23F615CD">
                  <w:pPr>
                    <w:pStyle w:val="61"/>
                    <w:spacing w:before="24" w:after="24" w:line="340" w:lineRule="exact"/>
                    <w:rPr>
                      <w:rFonts w:ascii="Times New Roman"/>
                      <w:color w:val="auto"/>
                      <w:kern w:val="2"/>
                      <w:szCs w:val="21"/>
                    </w:rPr>
                  </w:pPr>
                </w:p>
              </w:tc>
            </w:tr>
            <w:tr w14:paraId="181CE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dxa"/>
                  <w:vAlign w:val="center"/>
                </w:tcPr>
                <w:p w14:paraId="33DBAFF1">
                  <w:pPr>
                    <w:pStyle w:val="61"/>
                    <w:spacing w:before="24" w:after="24" w:line="340" w:lineRule="exact"/>
                    <w:rPr>
                      <w:rFonts w:ascii="Times New Roman"/>
                      <w:color w:val="auto"/>
                      <w:kern w:val="2"/>
                      <w:szCs w:val="21"/>
                    </w:rPr>
                  </w:pPr>
                  <w:r>
                    <w:rPr>
                      <w:rFonts w:ascii="Times New Roman"/>
                      <w:color w:val="auto"/>
                      <w:kern w:val="2"/>
                      <w:szCs w:val="21"/>
                    </w:rPr>
                    <w:t>1</w:t>
                  </w:r>
                </w:p>
              </w:tc>
              <w:tc>
                <w:tcPr>
                  <w:tcW w:w="1692" w:type="dxa"/>
                  <w:vAlign w:val="center"/>
                </w:tcPr>
                <w:p w14:paraId="51E5002C">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1343" w:type="dxa"/>
                  <w:vMerge w:val="restart"/>
                  <w:vAlign w:val="center"/>
                </w:tcPr>
                <w:p w14:paraId="6EC168F0">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1085" w:type="dxa"/>
                  <w:shd w:val="clear" w:color="auto" w:fill="auto"/>
                  <w:vAlign w:val="center"/>
                </w:tcPr>
                <w:p w14:paraId="42F9CE8B">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56</w:t>
                  </w:r>
                </w:p>
              </w:tc>
              <w:tc>
                <w:tcPr>
                  <w:tcW w:w="1089" w:type="dxa"/>
                  <w:shd w:val="clear" w:color="auto" w:fill="auto"/>
                  <w:vAlign w:val="center"/>
                </w:tcPr>
                <w:p w14:paraId="0DFB89CA">
                  <w:pPr>
                    <w:jc w:val="center"/>
                    <w:rPr>
                      <w:rFonts w:hint="default"/>
                      <w:szCs w:val="21"/>
                      <w:lang w:val="en-US" w:eastAsia="zh-CN"/>
                    </w:rPr>
                  </w:pPr>
                  <w:r>
                    <w:rPr>
                      <w:rFonts w:hint="eastAsia"/>
                      <w:szCs w:val="21"/>
                      <w:lang w:val="en-US" w:eastAsia="zh-CN"/>
                    </w:rPr>
                    <w:t>53</w:t>
                  </w:r>
                </w:p>
              </w:tc>
              <w:tc>
                <w:tcPr>
                  <w:tcW w:w="939" w:type="dxa"/>
                  <w:vMerge w:val="restart"/>
                  <w:vAlign w:val="center"/>
                </w:tcPr>
                <w:p w14:paraId="389D43D6">
                  <w:pPr>
                    <w:widowControl/>
                    <w:spacing w:line="340" w:lineRule="exact"/>
                    <w:jc w:val="center"/>
                    <w:rPr>
                      <w:rFonts w:hint="default" w:eastAsia="宋体"/>
                      <w:color w:val="auto"/>
                      <w:szCs w:val="21"/>
                      <w:lang w:val="en-US" w:eastAsia="zh-CN"/>
                    </w:rPr>
                  </w:pPr>
                  <w:r>
                    <w:rPr>
                      <w:rFonts w:hint="eastAsia"/>
                      <w:color w:val="auto"/>
                      <w:szCs w:val="21"/>
                      <w:lang w:val="en-US" w:eastAsia="zh-CN"/>
                    </w:rPr>
                    <w:t>65</w:t>
                  </w:r>
                </w:p>
              </w:tc>
              <w:tc>
                <w:tcPr>
                  <w:tcW w:w="941" w:type="dxa"/>
                  <w:vMerge w:val="restart"/>
                  <w:vAlign w:val="center"/>
                </w:tcPr>
                <w:p w14:paraId="78BBD5A2">
                  <w:pPr>
                    <w:widowControl/>
                    <w:spacing w:line="340" w:lineRule="exact"/>
                    <w:jc w:val="center"/>
                    <w:rPr>
                      <w:rFonts w:hint="default"/>
                      <w:color w:val="auto"/>
                      <w:szCs w:val="21"/>
                      <w:lang w:val="en-US" w:eastAsia="zh-CN"/>
                    </w:rPr>
                  </w:pPr>
                  <w:r>
                    <w:rPr>
                      <w:rFonts w:hint="eastAsia"/>
                      <w:color w:val="auto"/>
                      <w:szCs w:val="21"/>
                      <w:lang w:val="en-US" w:eastAsia="zh-CN"/>
                    </w:rPr>
                    <w:t>55</w:t>
                  </w:r>
                </w:p>
              </w:tc>
              <w:tc>
                <w:tcPr>
                  <w:tcW w:w="920" w:type="dxa"/>
                  <w:vMerge w:val="restart"/>
                  <w:vAlign w:val="center"/>
                </w:tcPr>
                <w:p w14:paraId="29ABC0F6">
                  <w:pPr>
                    <w:widowControl/>
                    <w:spacing w:line="340" w:lineRule="exact"/>
                    <w:jc w:val="center"/>
                    <w:rPr>
                      <w:color w:val="auto"/>
                      <w:szCs w:val="21"/>
                    </w:rPr>
                  </w:pPr>
                  <w:r>
                    <w:rPr>
                      <w:color w:val="auto"/>
                      <w:szCs w:val="21"/>
                    </w:rPr>
                    <w:t>达标</w:t>
                  </w:r>
                </w:p>
              </w:tc>
            </w:tr>
            <w:tr w14:paraId="10940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dxa"/>
                  <w:vAlign w:val="center"/>
                </w:tcPr>
                <w:p w14:paraId="2384A0E3">
                  <w:pPr>
                    <w:pStyle w:val="61"/>
                    <w:spacing w:before="24" w:after="24" w:line="340" w:lineRule="exact"/>
                    <w:rPr>
                      <w:rFonts w:ascii="Times New Roman"/>
                      <w:color w:val="auto"/>
                      <w:kern w:val="2"/>
                      <w:szCs w:val="21"/>
                    </w:rPr>
                  </w:pPr>
                  <w:r>
                    <w:rPr>
                      <w:rFonts w:hint="eastAsia" w:ascii="Times New Roman"/>
                      <w:color w:val="auto"/>
                      <w:kern w:val="2"/>
                      <w:szCs w:val="21"/>
                    </w:rPr>
                    <w:t>2</w:t>
                  </w:r>
                </w:p>
              </w:tc>
              <w:tc>
                <w:tcPr>
                  <w:tcW w:w="1692" w:type="dxa"/>
                  <w:vAlign w:val="center"/>
                </w:tcPr>
                <w:p w14:paraId="4A27A0A9">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1343" w:type="dxa"/>
                  <w:vMerge w:val="continue"/>
                  <w:vAlign w:val="center"/>
                </w:tcPr>
                <w:p w14:paraId="6D1E88D7">
                  <w:pPr>
                    <w:adjustRightInd w:val="0"/>
                    <w:spacing w:line="340" w:lineRule="exact"/>
                    <w:jc w:val="center"/>
                    <w:rPr>
                      <w:rFonts w:hint="eastAsia"/>
                      <w:snapToGrid w:val="0"/>
                      <w:color w:val="auto"/>
                      <w:szCs w:val="21"/>
                    </w:rPr>
                  </w:pPr>
                </w:p>
              </w:tc>
              <w:tc>
                <w:tcPr>
                  <w:tcW w:w="1085" w:type="dxa"/>
                  <w:shd w:val="clear" w:color="auto" w:fill="auto"/>
                  <w:vAlign w:val="center"/>
                </w:tcPr>
                <w:p w14:paraId="78D7C103">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55</w:t>
                  </w:r>
                </w:p>
              </w:tc>
              <w:tc>
                <w:tcPr>
                  <w:tcW w:w="1089" w:type="dxa"/>
                  <w:shd w:val="clear" w:color="auto" w:fill="auto"/>
                  <w:vAlign w:val="center"/>
                </w:tcPr>
                <w:p w14:paraId="4B840D21">
                  <w:pPr>
                    <w:jc w:val="center"/>
                    <w:rPr>
                      <w:rFonts w:hint="default"/>
                      <w:szCs w:val="21"/>
                      <w:lang w:val="en-US" w:eastAsia="zh-CN"/>
                    </w:rPr>
                  </w:pPr>
                  <w:r>
                    <w:rPr>
                      <w:rFonts w:hint="eastAsia"/>
                      <w:szCs w:val="21"/>
                      <w:lang w:val="en-US" w:eastAsia="zh-CN"/>
                    </w:rPr>
                    <w:t>50</w:t>
                  </w:r>
                </w:p>
              </w:tc>
              <w:tc>
                <w:tcPr>
                  <w:tcW w:w="939" w:type="dxa"/>
                  <w:vMerge w:val="continue"/>
                  <w:vAlign w:val="center"/>
                </w:tcPr>
                <w:p w14:paraId="2CEAFB39">
                  <w:pPr>
                    <w:widowControl/>
                    <w:spacing w:line="340" w:lineRule="exact"/>
                    <w:jc w:val="center"/>
                    <w:rPr>
                      <w:rFonts w:hint="eastAsia"/>
                      <w:color w:val="auto"/>
                      <w:szCs w:val="21"/>
                    </w:rPr>
                  </w:pPr>
                </w:p>
              </w:tc>
              <w:tc>
                <w:tcPr>
                  <w:tcW w:w="941" w:type="dxa"/>
                  <w:vMerge w:val="continue"/>
                  <w:vAlign w:val="center"/>
                </w:tcPr>
                <w:p w14:paraId="0985E5F1">
                  <w:pPr>
                    <w:widowControl/>
                    <w:spacing w:line="340" w:lineRule="exact"/>
                    <w:jc w:val="center"/>
                    <w:rPr>
                      <w:rFonts w:hint="eastAsia"/>
                      <w:color w:val="auto"/>
                      <w:szCs w:val="21"/>
                    </w:rPr>
                  </w:pPr>
                </w:p>
              </w:tc>
              <w:tc>
                <w:tcPr>
                  <w:tcW w:w="920" w:type="dxa"/>
                  <w:vMerge w:val="continue"/>
                  <w:vAlign w:val="center"/>
                </w:tcPr>
                <w:p w14:paraId="36B5BDF8">
                  <w:pPr>
                    <w:widowControl/>
                    <w:spacing w:line="340" w:lineRule="exact"/>
                    <w:jc w:val="center"/>
                    <w:rPr>
                      <w:color w:val="auto"/>
                      <w:szCs w:val="21"/>
                    </w:rPr>
                  </w:pPr>
                </w:p>
              </w:tc>
            </w:tr>
            <w:tr w14:paraId="0693A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dxa"/>
                  <w:vAlign w:val="center"/>
                </w:tcPr>
                <w:p w14:paraId="4809F7E2">
                  <w:pPr>
                    <w:pStyle w:val="61"/>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1692" w:type="dxa"/>
                  <w:vAlign w:val="center"/>
                </w:tcPr>
                <w:p w14:paraId="1477516E">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1343" w:type="dxa"/>
                  <w:vMerge w:val="continue"/>
                  <w:vAlign w:val="center"/>
                </w:tcPr>
                <w:p w14:paraId="6485AD21">
                  <w:pPr>
                    <w:adjustRightInd w:val="0"/>
                    <w:spacing w:line="340" w:lineRule="exact"/>
                    <w:jc w:val="center"/>
                    <w:rPr>
                      <w:rFonts w:hint="eastAsia"/>
                      <w:snapToGrid w:val="0"/>
                      <w:color w:val="auto"/>
                      <w:szCs w:val="21"/>
                    </w:rPr>
                  </w:pPr>
                </w:p>
              </w:tc>
              <w:tc>
                <w:tcPr>
                  <w:tcW w:w="1085" w:type="dxa"/>
                  <w:shd w:val="clear" w:color="auto" w:fill="auto"/>
                  <w:vAlign w:val="center"/>
                </w:tcPr>
                <w:p w14:paraId="4162605E">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56</w:t>
                  </w:r>
                </w:p>
              </w:tc>
              <w:tc>
                <w:tcPr>
                  <w:tcW w:w="1089" w:type="dxa"/>
                  <w:shd w:val="clear" w:color="auto" w:fill="auto"/>
                  <w:vAlign w:val="center"/>
                </w:tcPr>
                <w:p w14:paraId="7AE7B2E2">
                  <w:pPr>
                    <w:jc w:val="center"/>
                    <w:rPr>
                      <w:rFonts w:hint="default"/>
                      <w:szCs w:val="21"/>
                      <w:lang w:val="en-US" w:eastAsia="zh-CN"/>
                    </w:rPr>
                  </w:pPr>
                  <w:r>
                    <w:rPr>
                      <w:rFonts w:hint="eastAsia"/>
                      <w:szCs w:val="21"/>
                      <w:lang w:val="en-US" w:eastAsia="zh-CN"/>
                    </w:rPr>
                    <w:t>53</w:t>
                  </w:r>
                </w:p>
              </w:tc>
              <w:tc>
                <w:tcPr>
                  <w:tcW w:w="939" w:type="dxa"/>
                  <w:vMerge w:val="continue"/>
                  <w:vAlign w:val="center"/>
                </w:tcPr>
                <w:p w14:paraId="6182F8F4">
                  <w:pPr>
                    <w:widowControl/>
                    <w:spacing w:line="340" w:lineRule="exact"/>
                    <w:jc w:val="center"/>
                    <w:rPr>
                      <w:rFonts w:hint="eastAsia"/>
                      <w:color w:val="auto"/>
                      <w:szCs w:val="21"/>
                    </w:rPr>
                  </w:pPr>
                </w:p>
              </w:tc>
              <w:tc>
                <w:tcPr>
                  <w:tcW w:w="941" w:type="dxa"/>
                  <w:vMerge w:val="continue"/>
                  <w:vAlign w:val="center"/>
                </w:tcPr>
                <w:p w14:paraId="15B14985">
                  <w:pPr>
                    <w:widowControl/>
                    <w:spacing w:line="340" w:lineRule="exact"/>
                    <w:jc w:val="center"/>
                    <w:rPr>
                      <w:rFonts w:hint="eastAsia"/>
                      <w:color w:val="auto"/>
                      <w:szCs w:val="21"/>
                    </w:rPr>
                  </w:pPr>
                </w:p>
              </w:tc>
              <w:tc>
                <w:tcPr>
                  <w:tcW w:w="920" w:type="dxa"/>
                  <w:vMerge w:val="continue"/>
                  <w:vAlign w:val="center"/>
                </w:tcPr>
                <w:p w14:paraId="479D86A2">
                  <w:pPr>
                    <w:widowControl/>
                    <w:spacing w:line="340" w:lineRule="exact"/>
                    <w:jc w:val="center"/>
                    <w:rPr>
                      <w:color w:val="auto"/>
                      <w:szCs w:val="21"/>
                    </w:rPr>
                  </w:pPr>
                </w:p>
              </w:tc>
            </w:tr>
            <w:tr w14:paraId="2E9CB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dxa"/>
                  <w:vAlign w:val="center"/>
                </w:tcPr>
                <w:p w14:paraId="0EB6944E">
                  <w:pPr>
                    <w:pStyle w:val="61"/>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1692" w:type="dxa"/>
                  <w:vAlign w:val="center"/>
                </w:tcPr>
                <w:p w14:paraId="48FA9319">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1343" w:type="dxa"/>
                  <w:vMerge w:val="continue"/>
                  <w:vAlign w:val="center"/>
                </w:tcPr>
                <w:p w14:paraId="49BF0342">
                  <w:pPr>
                    <w:spacing w:line="340" w:lineRule="exact"/>
                    <w:jc w:val="center"/>
                    <w:rPr>
                      <w:rFonts w:hint="eastAsia"/>
                      <w:color w:val="auto"/>
                      <w:szCs w:val="21"/>
                    </w:rPr>
                  </w:pPr>
                </w:p>
              </w:tc>
              <w:tc>
                <w:tcPr>
                  <w:tcW w:w="1085" w:type="dxa"/>
                  <w:shd w:val="clear" w:color="auto" w:fill="auto"/>
                  <w:vAlign w:val="center"/>
                </w:tcPr>
                <w:p w14:paraId="5F26DAEB">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55</w:t>
                  </w:r>
                </w:p>
              </w:tc>
              <w:tc>
                <w:tcPr>
                  <w:tcW w:w="1089" w:type="dxa"/>
                  <w:shd w:val="clear" w:color="auto" w:fill="auto"/>
                  <w:vAlign w:val="center"/>
                </w:tcPr>
                <w:p w14:paraId="1C8E5009">
                  <w:pPr>
                    <w:jc w:val="center"/>
                    <w:rPr>
                      <w:rFonts w:hint="default"/>
                      <w:szCs w:val="21"/>
                      <w:lang w:val="en-US" w:eastAsia="zh-CN"/>
                    </w:rPr>
                  </w:pPr>
                  <w:r>
                    <w:rPr>
                      <w:rFonts w:hint="eastAsia"/>
                      <w:szCs w:val="21"/>
                      <w:lang w:val="en-US" w:eastAsia="zh-CN"/>
                    </w:rPr>
                    <w:t>52</w:t>
                  </w:r>
                </w:p>
              </w:tc>
              <w:tc>
                <w:tcPr>
                  <w:tcW w:w="939" w:type="dxa"/>
                  <w:vMerge w:val="continue"/>
                  <w:vAlign w:val="center"/>
                </w:tcPr>
                <w:p w14:paraId="6D31C4E8">
                  <w:pPr>
                    <w:widowControl/>
                    <w:spacing w:line="340" w:lineRule="exact"/>
                    <w:jc w:val="center"/>
                    <w:rPr>
                      <w:color w:val="auto"/>
                      <w:szCs w:val="21"/>
                    </w:rPr>
                  </w:pPr>
                </w:p>
              </w:tc>
              <w:tc>
                <w:tcPr>
                  <w:tcW w:w="941" w:type="dxa"/>
                  <w:vMerge w:val="continue"/>
                  <w:vAlign w:val="center"/>
                </w:tcPr>
                <w:p w14:paraId="2F3B49D9">
                  <w:pPr>
                    <w:widowControl/>
                    <w:spacing w:line="340" w:lineRule="exact"/>
                    <w:jc w:val="center"/>
                    <w:rPr>
                      <w:color w:val="auto"/>
                      <w:szCs w:val="21"/>
                    </w:rPr>
                  </w:pPr>
                </w:p>
              </w:tc>
              <w:tc>
                <w:tcPr>
                  <w:tcW w:w="920" w:type="dxa"/>
                  <w:vMerge w:val="continue"/>
                  <w:vAlign w:val="center"/>
                </w:tcPr>
                <w:p w14:paraId="5D36C81D">
                  <w:pPr>
                    <w:widowControl/>
                    <w:spacing w:line="340" w:lineRule="exact"/>
                    <w:jc w:val="center"/>
                    <w:rPr>
                      <w:color w:val="auto"/>
                      <w:szCs w:val="21"/>
                    </w:rPr>
                  </w:pPr>
                </w:p>
              </w:tc>
            </w:tr>
          </w:tbl>
          <w:p w14:paraId="1E17229D">
            <w:pPr>
              <w:pStyle w:val="58"/>
              <w:spacing w:line="360" w:lineRule="auto"/>
              <w:ind w:firstLine="480"/>
              <w:rPr>
                <w:rFonts w:ascii="Times New Roman" w:hAnsi="Times New Roman"/>
                <w:bCs w:val="0"/>
                <w:szCs w:val="24"/>
              </w:rPr>
            </w:pPr>
            <w:r>
              <w:rPr>
                <w:rFonts w:ascii="Times New Roman" w:hAnsi="Times New Roman"/>
                <w:bCs w:val="0"/>
                <w:szCs w:val="24"/>
                <w:lang w:val="zh-CN"/>
              </w:rPr>
              <w:t>根据表</w:t>
            </w:r>
            <w:r>
              <w:rPr>
                <w:rFonts w:ascii="Times New Roman" w:hAnsi="Times New Roman"/>
                <w:bCs w:val="0"/>
                <w:szCs w:val="24"/>
              </w:rPr>
              <w:t>4.3-2</w:t>
            </w:r>
            <w:r>
              <w:rPr>
                <w:rFonts w:ascii="Times New Roman" w:hAnsi="Times New Roman"/>
                <w:bCs w:val="0"/>
                <w:szCs w:val="24"/>
                <w:lang w:val="zh-CN"/>
              </w:rPr>
              <w:t>预测结果表明，项目主要噪声源在采取有效的降噪措施前提下，项目</w:t>
            </w:r>
            <w:r>
              <w:rPr>
                <w:rFonts w:hint="eastAsia"/>
                <w:bCs w:val="0"/>
                <w:szCs w:val="24"/>
                <w:lang w:val="en-US" w:eastAsia="zh-CN"/>
              </w:rPr>
              <w:t>厂界</w:t>
            </w:r>
            <w:r>
              <w:rPr>
                <w:rFonts w:ascii="Times New Roman" w:hAnsi="Times New Roman"/>
                <w:bCs w:val="0"/>
                <w:szCs w:val="24"/>
                <w:lang w:val="zh-CN"/>
              </w:rPr>
              <w:t>噪声均可满足《工业企业厂界环境噪声排放标准》</w:t>
            </w:r>
            <w:r>
              <w:rPr>
                <w:rFonts w:hint="eastAsia"/>
                <w:bCs w:val="0"/>
                <w:szCs w:val="24"/>
                <w:lang w:val="zh-CN"/>
              </w:rPr>
              <w:t>（</w:t>
            </w:r>
            <w:r>
              <w:rPr>
                <w:rFonts w:ascii="Times New Roman" w:hAnsi="Times New Roman"/>
                <w:bCs w:val="0"/>
                <w:szCs w:val="24"/>
                <w:lang w:val="zh-CN"/>
              </w:rPr>
              <w:t>GB12348-2008</w:t>
            </w:r>
            <w:r>
              <w:rPr>
                <w:rFonts w:hint="eastAsia"/>
                <w:bCs w:val="0"/>
                <w:szCs w:val="24"/>
                <w:lang w:val="zh-CN"/>
              </w:rPr>
              <w:t>）</w:t>
            </w:r>
            <w:r>
              <w:rPr>
                <w:rFonts w:ascii="Times New Roman" w:hAnsi="Times New Roman"/>
                <w:bCs w:val="0"/>
                <w:szCs w:val="24"/>
                <w:lang w:val="zh-CN"/>
              </w:rPr>
              <w:t>中3类标准。</w:t>
            </w:r>
          </w:p>
          <w:p w14:paraId="3F5331D1">
            <w:pPr>
              <w:pStyle w:val="50"/>
              <w:ind w:firstLine="480"/>
              <w:rPr>
                <w:rFonts w:ascii="Times New Roman" w:hAnsi="Times New Roman"/>
                <w:sz w:val="24"/>
                <w:szCs w:val="24"/>
                <w:lang w:val="zh-CN"/>
              </w:rPr>
            </w:pPr>
            <w:r>
              <w:rPr>
                <w:rFonts w:hint="eastAsia" w:ascii="Times New Roman" w:hAnsi="Times New Roman"/>
                <w:sz w:val="24"/>
                <w:szCs w:val="24"/>
                <w:lang w:val="zh-CN"/>
              </w:rPr>
              <w:t>（</w:t>
            </w:r>
            <w:r>
              <w:rPr>
                <w:rFonts w:hint="eastAsia" w:ascii="Times New Roman" w:hAnsi="Times New Roman"/>
                <w:sz w:val="24"/>
                <w:szCs w:val="24"/>
                <w:lang w:val="en-US" w:eastAsia="zh-CN"/>
              </w:rPr>
              <w:t>7</w:t>
            </w:r>
            <w:r>
              <w:rPr>
                <w:rFonts w:hint="eastAsia" w:ascii="Times New Roman" w:hAnsi="Times New Roman"/>
                <w:sz w:val="24"/>
                <w:szCs w:val="24"/>
                <w:lang w:val="zh-CN"/>
              </w:rPr>
              <w:t>）</w:t>
            </w:r>
            <w:r>
              <w:rPr>
                <w:rFonts w:ascii="Times New Roman" w:hAnsi="Times New Roman"/>
                <w:sz w:val="24"/>
                <w:szCs w:val="24"/>
                <w:lang w:val="zh-CN"/>
              </w:rPr>
              <w:t>敏感点噪声预测结果分析</w:t>
            </w:r>
          </w:p>
          <w:p w14:paraId="19EB0FCB">
            <w:pPr>
              <w:spacing w:line="360" w:lineRule="auto"/>
              <w:ind w:firstLine="480"/>
              <w:rPr>
                <w:sz w:val="24"/>
                <w:lang w:val="zh-CN"/>
              </w:rPr>
            </w:pPr>
            <w:r>
              <w:rPr>
                <w:rFonts w:hint="eastAsia"/>
                <w:sz w:val="24"/>
                <w:lang w:val="zh-CN"/>
              </w:rPr>
              <w:t>根据现场勘查，项目</w:t>
            </w:r>
            <w:r>
              <w:rPr>
                <w:sz w:val="24"/>
                <w:lang w:val="zh-CN"/>
              </w:rPr>
              <w:t>周边</w:t>
            </w:r>
            <w:r>
              <w:rPr>
                <w:rFonts w:hint="eastAsia"/>
                <w:sz w:val="24"/>
              </w:rPr>
              <w:t>5</w:t>
            </w:r>
            <w:r>
              <w:rPr>
                <w:sz w:val="24"/>
              </w:rPr>
              <w:t>0m范围内</w:t>
            </w:r>
            <w:r>
              <w:rPr>
                <w:rFonts w:hint="eastAsia"/>
                <w:sz w:val="24"/>
              </w:rPr>
              <w:t>无</w:t>
            </w:r>
            <w:r>
              <w:rPr>
                <w:sz w:val="24"/>
              </w:rPr>
              <w:t>声环境</w:t>
            </w:r>
            <w:r>
              <w:rPr>
                <w:rFonts w:hint="eastAsia"/>
                <w:sz w:val="24"/>
              </w:rPr>
              <w:t>保护目标</w:t>
            </w:r>
            <w:r>
              <w:rPr>
                <w:sz w:val="24"/>
                <w:lang w:val="zh-CN"/>
              </w:rPr>
              <w:t>。</w:t>
            </w:r>
          </w:p>
          <w:p w14:paraId="7042CE3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87" w:name="_Toc31999"/>
            <w:bookmarkStart w:id="188" w:name="_Toc8846"/>
            <w:bookmarkStart w:id="189" w:name="_Toc18677"/>
            <w:r>
              <w:rPr>
                <w:rFonts w:hint="default"/>
                <w:b/>
                <w:color w:val="262626"/>
                <w:kern w:val="0"/>
                <w:sz w:val="24"/>
                <w:lang w:val="en-US" w:eastAsia="zh-CN"/>
              </w:rPr>
              <w:t>4.3.3</w:t>
            </w:r>
            <w:r>
              <w:rPr>
                <w:rFonts w:hint="default"/>
                <w:b/>
                <w:color w:val="262626"/>
                <w:kern w:val="0"/>
                <w:sz w:val="24"/>
                <w:lang w:val="zh-CN" w:eastAsia="zh-CN"/>
              </w:rPr>
              <w:t>噪声污染控制措施</w:t>
            </w:r>
            <w:bookmarkEnd w:id="187"/>
            <w:bookmarkEnd w:id="188"/>
            <w:bookmarkEnd w:id="189"/>
          </w:p>
          <w:p w14:paraId="2872BAC9">
            <w:pPr>
              <w:spacing w:line="360" w:lineRule="auto"/>
              <w:ind w:firstLine="480"/>
              <w:rPr>
                <w:rFonts w:hint="eastAsia" w:ascii="Times New Roman" w:hAnsi="Times New Roman" w:eastAsia="宋体" w:cs="Times New Roman"/>
                <w:bCs/>
                <w:color w:val="auto"/>
                <w:sz w:val="24"/>
                <w:lang w:val="en-US" w:eastAsia="zh-CN"/>
              </w:rPr>
            </w:pPr>
            <w:r>
              <w:rPr>
                <w:color w:val="000000"/>
                <w:sz w:val="24"/>
                <w:lang w:val="zh-CN"/>
              </w:rPr>
              <w:t>为了确保厂界噪声达到《工业企业厂界环境噪声排放标准》</w:t>
            </w:r>
            <w:r>
              <w:rPr>
                <w:rFonts w:hint="eastAsia"/>
                <w:color w:val="000000"/>
                <w:sz w:val="24"/>
                <w:lang w:val="zh-CN"/>
              </w:rPr>
              <w:t>（</w:t>
            </w:r>
            <w:r>
              <w:rPr>
                <w:color w:val="000000"/>
                <w:sz w:val="24"/>
                <w:lang w:val="zh-CN"/>
              </w:rPr>
              <w:t>GB12348-2008</w:t>
            </w:r>
            <w:r>
              <w:rPr>
                <w:rFonts w:hint="eastAsia"/>
                <w:color w:val="000000"/>
                <w:sz w:val="24"/>
                <w:lang w:val="zh-CN"/>
              </w:rPr>
              <w:t>）</w:t>
            </w:r>
            <w:r>
              <w:rPr>
                <w:color w:val="000000"/>
                <w:sz w:val="24"/>
                <w:lang w:val="zh-CN"/>
              </w:rPr>
              <w:t>中3类标准，本报告建议采用以下降噪措施：</w:t>
            </w:r>
          </w:p>
          <w:p w14:paraId="41919312">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2D9A0182">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5ADF470C">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7F2E0B0C">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3719748B">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15A02722">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2CFAEA41">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0660125A">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59A915DB">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755B2B6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highlight w:val="none"/>
                <w:u w:val="none"/>
                <w:lang w:val="en-US" w:eastAsia="zh-CN"/>
              </w:rPr>
            </w:pPr>
            <w:bookmarkStart w:id="190" w:name="_Toc8658"/>
            <w:bookmarkStart w:id="191" w:name="_Toc11896"/>
            <w:r>
              <w:rPr>
                <w:rFonts w:hint="eastAsia" w:ascii="Times New Roman" w:hAnsi="Times New Roman" w:eastAsia="宋体" w:cs="Times New Roman"/>
                <w:color w:val="auto"/>
                <w:sz w:val="28"/>
                <w:szCs w:val="28"/>
                <w:highlight w:val="none"/>
                <w:u w:val="none"/>
                <w:lang w:val="en-US" w:eastAsia="zh-CN"/>
              </w:rPr>
              <w:t>4.4固体废物环境影响分析和污染防治措施</w:t>
            </w:r>
            <w:bookmarkEnd w:id="190"/>
            <w:bookmarkEnd w:id="191"/>
          </w:p>
          <w:p w14:paraId="6EB23CE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zh-CN" w:eastAsia="zh-CN"/>
              </w:rPr>
            </w:pPr>
            <w:bookmarkStart w:id="192" w:name="_Toc21337"/>
            <w:bookmarkStart w:id="193" w:name="_Toc4923"/>
            <w:r>
              <w:rPr>
                <w:rFonts w:hint="default"/>
                <w:b/>
                <w:color w:val="auto"/>
                <w:kern w:val="0"/>
                <w:sz w:val="24"/>
                <w:lang w:val="zh-CN" w:eastAsia="zh-CN"/>
              </w:rPr>
              <w:t>4.4.1固体废物</w:t>
            </w:r>
            <w:r>
              <w:rPr>
                <w:rFonts w:hint="eastAsia"/>
                <w:b/>
                <w:color w:val="auto"/>
                <w:kern w:val="0"/>
                <w:sz w:val="24"/>
                <w:lang w:val="en-US" w:eastAsia="zh-CN"/>
              </w:rPr>
              <w:t>污染源</w:t>
            </w:r>
            <w:r>
              <w:rPr>
                <w:rFonts w:hint="default"/>
                <w:b/>
                <w:color w:val="auto"/>
                <w:kern w:val="0"/>
                <w:sz w:val="24"/>
                <w:lang w:val="zh-CN" w:eastAsia="zh-CN"/>
              </w:rPr>
              <w:t>分析</w:t>
            </w:r>
            <w:bookmarkEnd w:id="192"/>
            <w:bookmarkEnd w:id="193"/>
          </w:p>
          <w:p w14:paraId="4BAD7C7E">
            <w:pPr>
              <w:widowControl/>
              <w:spacing w:line="360" w:lineRule="auto"/>
              <w:ind w:firstLine="480" w:firstLineChars="200"/>
              <w:jc w:val="left"/>
              <w:rPr>
                <w:rFonts w:ascii="Times New Roman" w:hAnsi="Times New Roman" w:cs="Times New Roman"/>
                <w:color w:val="auto"/>
                <w:kern w:val="0"/>
                <w:sz w:val="24"/>
                <w:highlight w:val="none"/>
                <w:lang w:bidi="ar"/>
              </w:rPr>
            </w:pPr>
            <w:r>
              <w:rPr>
                <w:rFonts w:hint="eastAsia"/>
                <w:color w:val="000000"/>
                <w:sz w:val="24"/>
                <w:lang w:val="en-US" w:eastAsia="zh-CN"/>
              </w:rPr>
              <w:t>本项目运营期内产品检测过程会产生不合格产品属于一般工业固体废物，收集后暂存于一般固废间。废气处理设施产生的废活性炭、设备维护保养时产生的废液压油、冷却水循环沉淀池产生的污泥为危险废物</w:t>
            </w:r>
            <w:r>
              <w:rPr>
                <w:rFonts w:hint="eastAsia" w:cs="Times New Roman"/>
                <w:strike w:val="0"/>
                <w:dstrike w:val="0"/>
                <w:color w:val="000000" w:themeColor="text1"/>
                <w:sz w:val="24"/>
                <w:lang w:val="en-US" w:eastAsia="zh-CN"/>
                <w14:textFill>
                  <w14:solidFill>
                    <w14:schemeClr w14:val="tx1"/>
                  </w14:solidFill>
                </w14:textFill>
              </w:rPr>
              <w:t>收集后暂存于危险废物贮存库，委托有危废资质单位回收处置。</w:t>
            </w:r>
          </w:p>
          <w:p w14:paraId="48D351C3">
            <w:pPr>
              <w:spacing w:line="360" w:lineRule="auto"/>
              <w:ind w:firstLine="480" w:firstLineChars="200"/>
              <w:rPr>
                <w:color w:val="000000"/>
                <w:sz w:val="24"/>
              </w:rPr>
            </w:pPr>
            <w:r>
              <w:rPr>
                <w:color w:val="000000"/>
                <w:sz w:val="24"/>
              </w:rPr>
              <w:t>（</w:t>
            </w:r>
            <w:r>
              <w:rPr>
                <w:rFonts w:hint="eastAsia"/>
                <w:color w:val="000000"/>
                <w:sz w:val="24"/>
                <w:lang w:val="en-US" w:eastAsia="zh-CN"/>
              </w:rPr>
              <w:t>1</w:t>
            </w:r>
            <w:r>
              <w:rPr>
                <w:color w:val="000000"/>
                <w:sz w:val="24"/>
              </w:rPr>
              <w:t>）生活固废</w:t>
            </w:r>
          </w:p>
          <w:p w14:paraId="60D5B842">
            <w:pPr>
              <w:spacing w:line="360" w:lineRule="auto"/>
              <w:ind w:firstLine="480"/>
              <w:rPr>
                <w:color w:val="000000"/>
                <w:sz w:val="24"/>
                <w:lang w:val="zh-CN"/>
              </w:rPr>
            </w:pPr>
            <w:r>
              <w:rPr>
                <w:rFonts w:hint="eastAsia"/>
                <w:color w:val="000000"/>
                <w:sz w:val="24"/>
              </w:rPr>
              <w:t>根据我国生活垃圾排放系数，不住厂职工生活垃圾排放系数取</w:t>
            </w:r>
            <w:r>
              <w:rPr>
                <w:color w:val="000000"/>
                <w:sz w:val="24"/>
              </w:rPr>
              <w:t>K=0.5kg/</w:t>
            </w:r>
            <w:r>
              <w:rPr>
                <w:rFonts w:hint="eastAsia"/>
                <w:color w:val="000000"/>
                <w:sz w:val="24"/>
              </w:rPr>
              <w:t>人</w:t>
            </w:r>
            <w:r>
              <w:rPr>
                <w:color w:val="000000"/>
                <w:sz w:val="24"/>
              </w:rPr>
              <w:t>•</w:t>
            </w:r>
            <w:r>
              <w:rPr>
                <w:rFonts w:hint="eastAsia"/>
                <w:color w:val="000000"/>
                <w:sz w:val="24"/>
              </w:rPr>
              <w:t>天，项目职工</w:t>
            </w:r>
            <w:r>
              <w:rPr>
                <w:rFonts w:hint="eastAsia"/>
                <w:color w:val="000000"/>
                <w:sz w:val="24"/>
                <w:lang w:val="en-US" w:eastAsia="zh-CN"/>
              </w:rPr>
              <w:t>80</w:t>
            </w:r>
            <w:r>
              <w:rPr>
                <w:rFonts w:hint="eastAsia"/>
                <w:color w:val="000000"/>
                <w:sz w:val="24"/>
              </w:rPr>
              <w:t>人，按</w:t>
            </w:r>
            <w:r>
              <w:rPr>
                <w:color w:val="000000"/>
                <w:sz w:val="24"/>
              </w:rPr>
              <w:t>3</w:t>
            </w:r>
            <w:r>
              <w:rPr>
                <w:rFonts w:hint="eastAsia"/>
                <w:color w:val="000000"/>
                <w:sz w:val="24"/>
                <w:lang w:val="en-US" w:eastAsia="zh-CN"/>
              </w:rPr>
              <w:t>3</w:t>
            </w:r>
            <w:r>
              <w:rPr>
                <w:color w:val="000000"/>
                <w:sz w:val="24"/>
              </w:rPr>
              <w:t>0</w:t>
            </w:r>
            <w:r>
              <w:rPr>
                <w:rFonts w:hint="eastAsia"/>
                <w:color w:val="000000"/>
                <w:sz w:val="24"/>
              </w:rPr>
              <w:t>天</w:t>
            </w:r>
            <w:r>
              <w:rPr>
                <w:color w:val="000000"/>
                <w:sz w:val="24"/>
              </w:rPr>
              <w:t>/</w:t>
            </w:r>
            <w:r>
              <w:rPr>
                <w:rFonts w:hint="eastAsia"/>
                <w:color w:val="000000"/>
                <w:sz w:val="24"/>
              </w:rPr>
              <w:t>年计，则项目生活垃圾产生量为</w:t>
            </w:r>
            <w:r>
              <w:rPr>
                <w:rFonts w:hint="eastAsia"/>
                <w:color w:val="000000"/>
                <w:sz w:val="24"/>
                <w:lang w:val="en-US" w:eastAsia="zh-CN"/>
              </w:rPr>
              <w:t>13.2</w:t>
            </w:r>
            <w:r>
              <w:rPr>
                <w:color w:val="000000"/>
                <w:sz w:val="24"/>
              </w:rPr>
              <w:t>t/a</w:t>
            </w:r>
            <w:r>
              <w:rPr>
                <w:rFonts w:hint="eastAsia"/>
                <w:color w:val="000000"/>
                <w:sz w:val="24"/>
              </w:rPr>
              <w:t>。</w:t>
            </w:r>
            <w:r>
              <w:rPr>
                <w:color w:val="000000"/>
                <w:sz w:val="24"/>
              </w:rPr>
              <w:t>集中收集后委托环卫部门清运处理。</w:t>
            </w:r>
            <w:r>
              <w:rPr>
                <w:rFonts w:hint="eastAsia"/>
                <w:color w:val="000000"/>
                <w:sz w:val="24"/>
              </w:rPr>
              <w:t>对照《固体废物分类与代码目录》（公告2024年第4号），属于SW64，900-099-S64。</w:t>
            </w:r>
          </w:p>
          <w:p w14:paraId="558E2BE4">
            <w:pPr>
              <w:adjustRightInd w:val="0"/>
              <w:snapToGrid w:val="0"/>
              <w:spacing w:line="360" w:lineRule="auto"/>
              <w:ind w:firstLine="480" w:firstLineChars="200"/>
              <w:rPr>
                <w:color w:val="000000"/>
                <w:sz w:val="24"/>
                <w:lang w:val="zh-CN"/>
              </w:rPr>
            </w:pPr>
            <w:r>
              <w:rPr>
                <w:color w:val="000000"/>
                <w:sz w:val="24"/>
                <w:lang w:val="zh-CN"/>
              </w:rPr>
              <w:t>（</w:t>
            </w:r>
            <w:r>
              <w:rPr>
                <w:rFonts w:hint="eastAsia"/>
                <w:color w:val="000000"/>
                <w:sz w:val="24"/>
                <w:lang w:val="en-US" w:eastAsia="zh-CN"/>
              </w:rPr>
              <w:t>2</w:t>
            </w:r>
            <w:r>
              <w:rPr>
                <w:color w:val="000000"/>
                <w:sz w:val="24"/>
              </w:rPr>
              <w:t>）</w:t>
            </w:r>
            <w:r>
              <w:rPr>
                <w:color w:val="000000"/>
                <w:sz w:val="24"/>
                <w:lang w:val="zh-CN"/>
              </w:rPr>
              <w:t>一般工业固废</w:t>
            </w:r>
          </w:p>
          <w:p w14:paraId="31D9A1CA">
            <w:pPr>
              <w:adjustRightInd w:val="0"/>
              <w:snapToGrid w:val="0"/>
              <w:spacing w:line="360" w:lineRule="auto"/>
              <w:ind w:firstLine="480" w:firstLineChars="200"/>
              <w:rPr>
                <w:rFonts w:hint="default"/>
                <w:color w:val="000000"/>
                <w:sz w:val="24"/>
                <w:lang w:val="en-US" w:eastAsia="zh-CN"/>
              </w:rPr>
            </w:pPr>
            <w:r>
              <w:rPr>
                <w:rFonts w:hint="eastAsia"/>
                <w:color w:val="000000"/>
                <w:sz w:val="24"/>
                <w:lang w:val="en-US" w:eastAsia="zh-CN"/>
              </w:rPr>
              <w:t>①不合格产品</w:t>
            </w:r>
          </w:p>
          <w:p w14:paraId="5B070262">
            <w:pPr>
              <w:spacing w:line="360" w:lineRule="auto"/>
              <w:ind w:firstLine="480"/>
              <w:rPr>
                <w:rFonts w:hint="default" w:ascii="Times New Roman" w:hAnsi="Times New Roman" w:eastAsia="宋体" w:cs="Times New Roman"/>
                <w:color w:val="000000"/>
                <w:sz w:val="24"/>
                <w:lang w:val="en-US" w:eastAsia="zh-CN"/>
              </w:rPr>
            </w:pPr>
            <w:r>
              <w:rPr>
                <w:rFonts w:hint="eastAsia"/>
                <w:color w:val="000000"/>
                <w:sz w:val="24"/>
                <w:lang w:val="en-US" w:eastAsia="zh-CN"/>
              </w:rPr>
              <w:t>根据业主提供资料项目产品检测时产品合格率为96%，则本次扩建不合格产品的产生量约为（6800+900+1200）t/a×（1-96%）=356t/a，属于一般固体废物且具有一定的回收价值，经收集后外售综合利用。</w:t>
            </w:r>
          </w:p>
          <w:p w14:paraId="11D580B5">
            <w:pPr>
              <w:adjustRightInd w:val="0"/>
              <w:snapToGrid w:val="0"/>
              <w:spacing w:line="360" w:lineRule="auto"/>
              <w:ind w:firstLine="480" w:firstLineChars="200"/>
              <w:rPr>
                <w:rFonts w:hint="eastAsia" w:ascii="Times New Roman" w:hAnsi="Times New Roman" w:eastAsia="宋体" w:cs="Times New Roman"/>
                <w:strike w:val="0"/>
                <w:dstrike w:val="0"/>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（3）危险废物</w:t>
            </w:r>
            <w:bookmarkEnd w:id="176"/>
            <w:bookmarkEnd w:id="177"/>
            <w:bookmarkEnd w:id="178"/>
          </w:p>
          <w:p w14:paraId="13CE1537">
            <w:pPr>
              <w:widowControl/>
              <w:spacing w:line="360" w:lineRule="auto"/>
              <w:ind w:firstLine="480" w:firstLineChars="200"/>
              <w:jc w:val="left"/>
              <w:rPr>
                <w:rFonts w:hint="default" w:ascii="Times New Roman" w:hAnsi="Times New Roman" w:eastAsia="宋体" w:cs="Times New Roman"/>
                <w:strike w:val="0"/>
                <w:dstrike w:val="0"/>
                <w:color w:val="000000" w:themeColor="text1"/>
                <w:sz w:val="24"/>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①</w:t>
            </w:r>
            <w:r>
              <w:rPr>
                <w:rFonts w:hint="default" w:ascii="Times New Roman" w:hAnsi="Times New Roman" w:eastAsia="宋体" w:cs="Times New Roman"/>
                <w:strike w:val="0"/>
                <w:dstrike w:val="0"/>
                <w:color w:val="000000" w:themeColor="text1"/>
                <w:sz w:val="24"/>
                <w14:textFill>
                  <w14:solidFill>
                    <w14:schemeClr w14:val="tx1"/>
                  </w14:solidFill>
                </w14:textFill>
              </w:rPr>
              <w:t>废活性炭</w:t>
            </w:r>
          </w:p>
          <w:p w14:paraId="6FFBF7BE">
            <w:pPr>
              <w:widowControl/>
              <w:spacing w:line="360" w:lineRule="auto"/>
              <w:ind w:firstLine="480" w:firstLineChars="200"/>
              <w:jc w:val="left"/>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根据中国建筑出版社</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1997</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出版的《简明通风设计手册》第十章中关于活性吸附处理治理废气的方法中提供的数据：每1.0kg活性炭吸附</w:t>
            </w:r>
            <w:r>
              <w:rPr>
                <w:rFonts w:hint="eastAsia" w:cs="Times New Roman"/>
                <w:strike w:val="0"/>
                <w:dstrike w:val="0"/>
                <w:color w:val="000000" w:themeColor="text1"/>
                <w:sz w:val="24"/>
                <w:lang w:val="en-US" w:eastAsia="zh-CN"/>
                <w14:textFill>
                  <w14:solidFill>
                    <w14:schemeClr w14:val="tx1"/>
                  </w14:solidFill>
                </w14:textFill>
              </w:rPr>
              <w:t>生产</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废气的平衡量为0.43～0.61kg，本项目按1t活性炭吸附</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0.3</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t有机废气计算，</w:t>
            </w:r>
            <w:r>
              <w:rPr>
                <w:rFonts w:hint="default" w:ascii="Times New Roman" w:hAnsi="Times New Roman" w:eastAsia="宋体" w:cs="Times New Roman"/>
                <w:strike w:val="0"/>
                <w:dstrike w:val="0"/>
                <w:color w:val="000000" w:themeColor="text1"/>
                <w:sz w:val="24"/>
                <w:lang w:val="zh-CN" w:eastAsia="zh-CN"/>
                <w14:textFill>
                  <w14:solidFill>
                    <w14:schemeClr w14:val="tx1"/>
                  </w14:solidFill>
                </w14:textFill>
              </w:rPr>
              <w:t>根据前文产排污分</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析可知，项目有组织</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净化了</w:t>
            </w:r>
            <w:r>
              <w:rPr>
                <w:rFonts w:hint="eastAsia" w:cs="Times New Roman"/>
                <w:bCs/>
                <w:color w:val="000000" w:themeColor="text1"/>
                <w:sz w:val="24"/>
                <w:highlight w:val="none"/>
                <w:lang w:val="en-US" w:eastAsia="zh-CN"/>
                <w14:textFill>
                  <w14:solidFill>
                    <w14:schemeClr w14:val="tx1"/>
                  </w14:solidFill>
                </w14:textFill>
              </w:rPr>
              <w:t>3.5818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，本项目</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废气采用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活性炭吸附装置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净化处理，则预计项目年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活性炭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量为</w:t>
            </w:r>
            <w:r>
              <w:rPr>
                <w:rFonts w:hint="eastAsia" w:cs="Times New Roman"/>
                <w:bCs/>
                <w:color w:val="000000" w:themeColor="text1"/>
                <w:sz w:val="24"/>
                <w:highlight w:val="none"/>
                <w:lang w:val="en-US" w:eastAsia="zh-CN"/>
                <w14:textFill>
                  <w14:solidFill>
                    <w14:schemeClr w14:val="tx1"/>
                  </w14:solidFill>
                </w14:textFill>
              </w:rPr>
              <w:t>3.5818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t/a÷0.3</w:t>
            </w:r>
            <w:r>
              <w:rPr>
                <w:rFonts w:hint="eastAsia" w:ascii="Times New Roman" w:hAnsi="Times New Roman" w:cs="Times New Roman"/>
                <w:bCs/>
                <w:color w:val="000000" w:themeColor="text1"/>
                <w:sz w:val="24"/>
                <w:highlight w:val="none"/>
                <w:lang w:val="en-US" w:eastAsia="zh-CN"/>
                <w14:textFill>
                  <w14:solidFill>
                    <w14:schemeClr w14:val="tx1"/>
                  </w14:solidFill>
                </w14:textFill>
              </w:rPr>
              <w:t>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3.8518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15.52</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活性炭的填充量为</w:t>
            </w:r>
            <w:r>
              <w:rPr>
                <w:rFonts w:hint="eastAsia" w:cs="Times New Roman"/>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，项目计划</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每</w:t>
            </w:r>
            <w:r>
              <w:rPr>
                <w:rFonts w:hint="eastAsia" w:cs="Times New Roman"/>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个月更换一次活性炭吸附填料，确保项目</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废气达标排放</w:t>
            </w:r>
            <w:r>
              <w:rPr>
                <w:rFonts w:hint="eastAsia" w:ascii="Times New Roman" w:hAnsi="Times New Roman" w:eastAsia="宋体" w:cs="Times New Roman"/>
                <w:bCs/>
                <w:color w:val="000000" w:themeColor="text1"/>
                <w:sz w:val="24"/>
                <w:highlight w:val="none"/>
                <w:lang w:val="zh-CN"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根据《国家危险废物名录》</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年版</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，废活性炭属于危险废物，废物类别为HW49其他废物，废物代码900-039-49</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妥善收集后</w:t>
            </w:r>
            <w:r>
              <w:rPr>
                <w:rFonts w:hint="eastAsia" w:ascii="Times New Roman" w:hAnsi="Times New Roman" w:eastAsia="宋体" w:cs="Times New Roman"/>
                <w:bCs/>
                <w:color w:val="000000" w:themeColor="text1"/>
                <w:sz w:val="24"/>
                <w:highlight w:val="none"/>
                <w14:textFill>
                  <w14:solidFill>
                    <w14:schemeClr w14:val="tx1"/>
                  </w14:solidFill>
                </w14:textFill>
              </w:rPr>
              <w:t>暂存于危险废物</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贮存库，定期委托有资质单位处置。</w:t>
            </w:r>
          </w:p>
          <w:p w14:paraId="2D60B855">
            <w:pPr>
              <w:widowControl/>
              <w:spacing w:line="360" w:lineRule="auto"/>
              <w:ind w:firstLine="480" w:firstLineChars="200"/>
              <w:jc w:val="left"/>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②废液压油</w:t>
            </w:r>
          </w:p>
          <w:p w14:paraId="3D15AD01">
            <w:pPr>
              <w:widowControl/>
              <w:spacing w:line="360" w:lineRule="auto"/>
              <w:ind w:firstLine="480" w:firstLineChars="200"/>
              <w:jc w:val="left"/>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本项目在设备检修维护过</w:t>
            </w:r>
            <w:r>
              <w:rPr>
                <w:rFonts w:hint="eastAsia" w:cs="Times New Roman"/>
                <w:bCs/>
                <w:color w:val="000000" w:themeColor="text1"/>
                <w:sz w:val="24"/>
                <w:highlight w:val="none"/>
                <w:lang w:val="en-US" w:eastAsia="zh-CN"/>
                <w14:textFill>
                  <w14:solidFill>
                    <w14:schemeClr w14:val="tx1"/>
                  </w14:solidFill>
                </w14:textFill>
              </w:rPr>
              <w:t>程中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会产生少量废</w:t>
            </w:r>
            <w:r>
              <w:rPr>
                <w:rFonts w:hint="eastAsia" w:ascii="Times New Roman" w:hAnsi="Times New Roman" w:cs="Times New Roman"/>
                <w:color w:val="auto"/>
                <w:kern w:val="0"/>
                <w:sz w:val="24"/>
                <w:highlight w:val="none"/>
                <w:lang w:bidi="ar"/>
              </w:rPr>
              <w:t>液压油</w:t>
            </w:r>
            <w:r>
              <w:rPr>
                <w:rFonts w:hint="eastAsia" w:cs="Times New Roman"/>
                <w:bCs/>
                <w:color w:val="000000" w:themeColor="text1"/>
                <w:sz w:val="24"/>
                <w:highlight w:val="none"/>
                <w:lang w:val="en-US" w:eastAsia="zh-CN"/>
                <w14:textFill>
                  <w14:solidFill>
                    <w14:schemeClr w14:val="tx1"/>
                  </w14:solidFill>
                </w14:textFill>
              </w:rPr>
              <w:t>使用量约0.4t/a</w:t>
            </w:r>
            <w:r>
              <w:rPr>
                <w:rFonts w:hint="eastAsia" w:ascii="Times New Roman" w:hAnsi="Times New Roman" w:cs="Times New Roman"/>
                <w:color w:val="auto"/>
                <w:kern w:val="0"/>
                <w:sz w:val="24"/>
                <w:highlight w:val="none"/>
                <w:lang w:bidi="ar"/>
              </w:rPr>
              <w:t>，折合每年0.</w:t>
            </w:r>
            <w:r>
              <w:rPr>
                <w:rFonts w:hint="eastAsia" w:cs="Times New Roman"/>
                <w:color w:val="auto"/>
                <w:kern w:val="0"/>
                <w:sz w:val="24"/>
                <w:highlight w:val="none"/>
                <w:lang w:val="en-US" w:eastAsia="zh-CN" w:bidi="ar"/>
              </w:rPr>
              <w:t>4</w:t>
            </w:r>
            <w:r>
              <w:rPr>
                <w:rFonts w:hint="eastAsia" w:ascii="Times New Roman" w:hAnsi="Times New Roman" w:cs="Times New Roman"/>
                <w:color w:val="auto"/>
                <w:kern w:val="0"/>
                <w:sz w:val="24"/>
                <w:highlight w:val="none"/>
                <w:lang w:bidi="ar"/>
              </w:rPr>
              <w:t>t/a，扣除液压油消耗部分（约为使用量的20%），则项目平均年产废液压油0.</w:t>
            </w:r>
            <w:r>
              <w:rPr>
                <w:rFonts w:hint="eastAsia" w:cs="Times New Roman"/>
                <w:color w:val="auto"/>
                <w:kern w:val="0"/>
                <w:sz w:val="24"/>
                <w:highlight w:val="none"/>
                <w:lang w:val="en-US" w:eastAsia="zh-CN" w:bidi="ar"/>
              </w:rPr>
              <w:t>08</w:t>
            </w:r>
            <w:r>
              <w:rPr>
                <w:rFonts w:hint="eastAsia" w:ascii="Times New Roman" w:hAnsi="Times New Roman" w:cs="Times New Roman"/>
                <w:color w:val="auto"/>
                <w:kern w:val="0"/>
                <w:sz w:val="24"/>
                <w:highlight w:val="none"/>
                <w:lang w:bidi="ar"/>
              </w:rPr>
              <w:t>t/a</w:t>
            </w:r>
            <w:r>
              <w:rPr>
                <w:rFonts w:hint="eastAsia" w:cs="Times New Roman"/>
                <w:color w:val="auto"/>
                <w:kern w:val="0"/>
                <w:sz w:val="24"/>
                <w:highlight w:val="none"/>
                <w:lang w:eastAsia="zh-CN" w:bidi="ar"/>
              </w:rPr>
              <w:t>。</w:t>
            </w:r>
            <w:r>
              <w:rPr>
                <w:rFonts w:hint="eastAsia" w:cs="Times New Roman"/>
                <w:bCs/>
                <w:color w:val="000000" w:themeColor="text1"/>
                <w:sz w:val="24"/>
                <w:highlight w:val="none"/>
                <w:lang w:val="en-US" w:eastAsia="zh-CN"/>
                <w14:textFill>
                  <w14:solidFill>
                    <w14:schemeClr w14:val="tx1"/>
                  </w14:solidFill>
                </w14:textFill>
              </w:rPr>
              <w:t>废液压油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属于《国家危险废物名录》（</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年版）中的</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HW08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类危废（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900-217-08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eastAsia" w:cs="Times New Roman"/>
                <w:bCs/>
                <w:color w:val="000000" w:themeColor="text1"/>
                <w:sz w:val="24"/>
                <w:highlight w:val="none"/>
                <w:lang w:val="en-US" w:eastAsia="zh-CN"/>
                <w14:textFill>
                  <w14:solidFill>
                    <w14:schemeClr w14:val="tx1"/>
                  </w14:solidFill>
                </w14:textFill>
              </w:rPr>
              <w:t>液压油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统一收集后暂存于危险废物贮存库，后交由有资质单位进行处置。</w:t>
            </w:r>
          </w:p>
          <w:p w14:paraId="56ED7DB6">
            <w:pPr>
              <w:spacing w:line="360" w:lineRule="auto"/>
              <w:ind w:firstLine="480"/>
              <w:rPr>
                <w:rFonts w:hint="eastAsia"/>
                <w:color w:val="000000"/>
                <w:sz w:val="24"/>
                <w:lang w:val="en-US" w:eastAsia="zh-CN"/>
              </w:rPr>
            </w:pPr>
            <w:r>
              <w:rPr>
                <w:rFonts w:hint="eastAsia"/>
                <w:color w:val="000000"/>
                <w:sz w:val="24"/>
                <w:lang w:val="en-US" w:eastAsia="zh-CN"/>
              </w:rPr>
              <w:t>⑥冷却水循环沉淀池产生的污泥</w:t>
            </w:r>
          </w:p>
          <w:p w14:paraId="635B109E">
            <w:pPr>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auto"/>
                <w:sz w:val="24"/>
                <w:szCs w:val="24"/>
                <w:highlight w:val="none"/>
                <w:lang w:val="en-US" w:eastAsia="zh-CN"/>
              </w:rPr>
              <w:t>根据4.2.1运营期废水源强分析</w:t>
            </w:r>
            <w:r>
              <w:rPr>
                <w:rFonts w:hint="eastAsia" w:cs="Times New Roman"/>
                <w:b w:val="0"/>
                <w:bCs w:val="0"/>
                <w:color w:val="auto"/>
                <w:sz w:val="24"/>
                <w:szCs w:val="24"/>
                <w:highlight w:val="none"/>
                <w:lang w:val="en-US" w:eastAsia="zh-CN"/>
              </w:rPr>
              <w:t>，</w:t>
            </w:r>
            <w:r>
              <w:rPr>
                <w:rFonts w:hint="eastAsia"/>
                <w:color w:val="000000" w:themeColor="text1"/>
                <w:sz w:val="24"/>
                <w:highlight w:val="none"/>
                <w14:textFill>
                  <w14:solidFill>
                    <w14:schemeClr w14:val="tx1"/>
                  </w14:solidFill>
                </w14:textFill>
              </w:rPr>
              <w:t>项目生产废水主要是模具冷却水及蒸汽冷凝水，生产废水经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olor w:val="000000" w:themeColor="text1"/>
                <w:sz w:val="24"/>
                <w:highlight w:val="none"/>
                <w14:textFill>
                  <w14:solidFill>
                    <w14:schemeClr w14:val="tx1"/>
                  </w14:solidFill>
                </w14:textFill>
              </w:rPr>
              <w:t>处理后回用于模具冷却，</w:t>
            </w:r>
            <w:r>
              <w:rPr>
                <w:rFonts w:hint="eastAsia"/>
                <w:color w:val="000000" w:themeColor="text1"/>
                <w:sz w:val="24"/>
                <w:highlight w:val="none"/>
                <w:lang w:val="en-US" w:eastAsia="zh-CN"/>
                <w14:textFill>
                  <w14:solidFill>
                    <w14:schemeClr w14:val="tx1"/>
                  </w14:solidFill>
                </w14:textFill>
              </w:rPr>
              <w:t>本项目建成后全厂年生产EPS包装泡沫7800吨、EPP包装泡沫900吨、EPP包装泡沫1200吨，</w:t>
            </w:r>
            <w:r>
              <w:rPr>
                <w:rFonts w:hint="eastAsia" w:cs="Times New Roman"/>
                <w:b w:val="0"/>
                <w:bCs w:val="0"/>
                <w:color w:val="auto"/>
                <w:sz w:val="24"/>
                <w:szCs w:val="24"/>
                <w:highlight w:val="none"/>
                <w:lang w:val="en-US" w:eastAsia="zh-CN"/>
              </w:rPr>
              <w:t>则冷却水循环沉淀池处理量为</w:t>
            </w:r>
            <w:r>
              <w:rPr>
                <w:rFonts w:hint="eastAsia"/>
                <w:color w:val="000000" w:themeColor="text1"/>
                <w:sz w:val="24"/>
                <w:highlight w:val="none"/>
                <w:lang w:val="en-US" w:eastAsia="zh-CN"/>
                <w14:textFill>
                  <w14:solidFill>
                    <w14:schemeClr w14:val="tx1"/>
                  </w14:solidFill>
                </w14:textFill>
              </w:rPr>
              <w:t>1t/d÷1800t×9900t=5.5t/d（1815t/a），</w:t>
            </w:r>
            <w:r>
              <w:rPr>
                <w:rFonts w:hint="eastAsia" w:cs="Times New Roman"/>
                <w:b w:val="0"/>
                <w:bCs w:val="0"/>
                <w:color w:val="auto"/>
                <w:sz w:val="24"/>
                <w:szCs w:val="24"/>
                <w:highlight w:val="none"/>
                <w:lang w:val="en-US" w:eastAsia="zh-CN"/>
              </w:rPr>
              <w:t>污泥产生量按照废水处理量的0.2%进行计算，则本项目冷却水循环沉淀池污泥产生量为1815×0.2%=3.63t/a。属于《国家危险废物名录》（</w:t>
            </w:r>
            <w:r>
              <w:rPr>
                <w:rFonts w:hint="default" w:cs="Times New Roman"/>
                <w:b w:val="0"/>
                <w:bCs w:val="0"/>
                <w:color w:val="auto"/>
                <w:sz w:val="24"/>
                <w:szCs w:val="24"/>
                <w:highlight w:val="none"/>
                <w:lang w:val="en-US" w:eastAsia="zh-CN"/>
              </w:rPr>
              <w:t>2025</w:t>
            </w:r>
            <w:r>
              <w:rPr>
                <w:rFonts w:hint="eastAsia" w:cs="Times New Roman"/>
                <w:b w:val="0"/>
                <w:bCs w:val="0"/>
                <w:color w:val="auto"/>
                <w:sz w:val="24"/>
                <w:szCs w:val="24"/>
                <w:highlight w:val="none"/>
                <w:lang w:val="en-US" w:eastAsia="zh-CN"/>
              </w:rPr>
              <w:t>年版）中的HW13类有机树脂类废物（265-103-13）。收集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后暂存于危险废物贮存库，后交由有资质单位进行处置。</w:t>
            </w:r>
          </w:p>
          <w:p w14:paraId="061B5CEC">
            <w:pPr>
              <w:keepNext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Times New Roman" w:cs="Times New Roman"/>
                <w:b/>
                <w:bCs/>
                <w:color w:val="000000" w:themeColor="text1"/>
                <w:sz w:val="24"/>
                <w:highlight w:val="none"/>
                <w:lang w:val="zh-CN"/>
                <w14:textFill>
                  <w14:solidFill>
                    <w14:schemeClr w14:val="tx1"/>
                  </w14:solidFill>
                </w14:textFill>
              </w:rPr>
            </w:pPr>
            <w:r>
              <w:rPr>
                <w:rFonts w:ascii="Times New Roman" w:hAnsi="Times New Roman" w:eastAsia="宋体" w:cs="Times New Roman"/>
                <w:bCs/>
                <w:color w:val="000000" w:themeColor="text1"/>
                <w:sz w:val="24"/>
                <w:highlight w:val="none"/>
                <w14:textFill>
                  <w14:solidFill>
                    <w14:schemeClr w14:val="tx1"/>
                  </w14:solidFill>
                </w14:textFill>
              </w:rPr>
              <w:t>综上分析，项目运营期各类固体废物产生及处置情况详见表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w:t>
            </w:r>
            <w:r>
              <w:rPr>
                <w:rFonts w:hint="eastAsia" w:eastAsia="宋体"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ascii="Times New Roman" w:hAnsi="Times New Roman" w:eastAsia="宋体" w:cs="Times New Roman"/>
                <w:bCs/>
                <w:color w:val="000000" w:themeColor="text1"/>
                <w:sz w:val="24"/>
                <w:highlight w:val="none"/>
                <w14:textFill>
                  <w14:solidFill>
                    <w14:schemeClr w14:val="tx1"/>
                  </w14:solidFill>
                </w14:textFill>
              </w:rPr>
              <w:t>。</w:t>
            </w:r>
          </w:p>
          <w:p w14:paraId="0009C38E">
            <w:pPr>
              <w:pStyle w:val="3"/>
              <w:rPr>
                <w:rFonts w:hint="default"/>
                <w:lang w:val="en-US" w:eastAsia="zh-CN"/>
              </w:rPr>
            </w:pPr>
          </w:p>
        </w:tc>
      </w:tr>
    </w:tbl>
    <w:p w14:paraId="17E9A5B5">
      <w:bookmarkStart w:id="194" w:name="_Toc27194"/>
      <w:bookmarkStart w:id="195" w:name="_Toc9430"/>
      <w:bookmarkStart w:id="196" w:name="_Toc1654"/>
      <w:bookmarkStart w:id="197" w:name="_Toc25037"/>
      <w:bookmarkStart w:id="198" w:name="_Toc31345"/>
      <w:bookmarkStart w:id="199" w:name="_Toc28805"/>
      <w:bookmarkStart w:id="200" w:name="_Toc12951"/>
      <w:bookmarkStart w:id="201" w:name="_Toc28426"/>
      <w:r>
        <w:br w:type="page"/>
      </w:r>
    </w:p>
    <w:p w14:paraId="0B8BD320">
      <w:pPr>
        <w:jc w:val="center"/>
        <w:rPr>
          <w:rFonts w:hint="default" w:ascii="Times New Roman" w:hAnsi="Times New Roman" w:eastAsia="宋体" w:cs="Times New Roman"/>
          <w:color w:val="auto"/>
          <w:kern w:val="0"/>
          <w:sz w:val="24"/>
          <w:szCs w:val="24"/>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13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3170"/>
      </w:tblGrid>
      <w:tr w14:paraId="2977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rPr>
        <w:tc>
          <w:tcPr>
            <w:tcW w:w="699" w:type="dxa"/>
            <w:vAlign w:val="center"/>
          </w:tcPr>
          <w:p w14:paraId="1E0FE3AB">
            <w:pPr>
              <w:jc w:val="center"/>
              <w:rPr>
                <w:rFonts w:hint="default" w:ascii="Times New Roman" w:hAnsi="Times New Roman" w:eastAsia="宋体" w:cs="Times New Roman"/>
                <w:color w:val="auto"/>
                <w:kern w:val="0"/>
                <w:sz w:val="24"/>
                <w:szCs w:val="24"/>
                <w:lang w:val="en-US" w:eastAsia="zh-CN"/>
              </w:rPr>
            </w:pPr>
          </w:p>
        </w:tc>
        <w:tc>
          <w:tcPr>
            <w:tcW w:w="13170" w:type="dxa"/>
          </w:tcPr>
          <w:p w14:paraId="5EE87DBF">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Times New Roman" w:cs="Times New Roman"/>
                <w:b/>
                <w:bCs/>
                <w:color w:val="000000" w:themeColor="text1"/>
                <w:sz w:val="24"/>
                <w:highlight w:val="none"/>
                <w:lang w:val="zh-CN"/>
                <w14:textFill>
                  <w14:solidFill>
                    <w14:schemeClr w14:val="tx1"/>
                  </w14:solidFill>
                </w14:textFill>
              </w:rPr>
              <w:t>表</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项目</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固废产生及处置</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情况汇总表</w:t>
            </w:r>
          </w:p>
          <w:tbl>
            <w:tblPr>
              <w:tblStyle w:val="23"/>
              <w:tblW w:w="129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41"/>
              <w:gridCol w:w="957"/>
              <w:gridCol w:w="1326"/>
              <w:gridCol w:w="1450"/>
              <w:gridCol w:w="1144"/>
              <w:gridCol w:w="599"/>
              <w:gridCol w:w="1022"/>
              <w:gridCol w:w="732"/>
              <w:gridCol w:w="1022"/>
              <w:gridCol w:w="947"/>
              <w:gridCol w:w="892"/>
              <w:gridCol w:w="1586"/>
            </w:tblGrid>
            <w:tr w14:paraId="3E1E4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36" w:type="dxa"/>
                  <w:tcBorders>
                    <w:tl2br w:val="nil"/>
                    <w:tr2bl w:val="nil"/>
                  </w:tcBorders>
                  <w:shd w:val="clear" w:color="auto" w:fill="auto"/>
                  <w:vAlign w:val="center"/>
                </w:tcPr>
                <w:p w14:paraId="717559B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序号</w:t>
                  </w:r>
                </w:p>
              </w:tc>
              <w:tc>
                <w:tcPr>
                  <w:tcW w:w="641" w:type="dxa"/>
                  <w:tcBorders>
                    <w:tl2br w:val="nil"/>
                    <w:tr2bl w:val="nil"/>
                  </w:tcBorders>
                  <w:shd w:val="clear" w:color="auto" w:fill="auto"/>
                  <w:vAlign w:val="center"/>
                </w:tcPr>
                <w:p w14:paraId="6E1961D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分类</w:t>
                  </w:r>
                </w:p>
              </w:tc>
              <w:tc>
                <w:tcPr>
                  <w:tcW w:w="957" w:type="dxa"/>
                  <w:tcBorders>
                    <w:tl2br w:val="nil"/>
                    <w:tr2bl w:val="nil"/>
                  </w:tcBorders>
                  <w:shd w:val="clear" w:color="auto" w:fill="auto"/>
                  <w:vAlign w:val="center"/>
                </w:tcPr>
                <w:p w14:paraId="30E21DF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固废名称</w:t>
                  </w:r>
                </w:p>
              </w:tc>
              <w:tc>
                <w:tcPr>
                  <w:tcW w:w="1326" w:type="dxa"/>
                  <w:tcBorders>
                    <w:tl2br w:val="nil"/>
                    <w:tr2bl w:val="nil"/>
                  </w:tcBorders>
                  <w:shd w:val="clear" w:color="auto" w:fill="auto"/>
                  <w:vAlign w:val="center"/>
                </w:tcPr>
                <w:p w14:paraId="2FDB84C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类别</w:t>
                  </w:r>
                </w:p>
              </w:tc>
              <w:tc>
                <w:tcPr>
                  <w:tcW w:w="1450" w:type="dxa"/>
                  <w:tcBorders>
                    <w:tl2br w:val="nil"/>
                    <w:tr2bl w:val="nil"/>
                  </w:tcBorders>
                  <w:shd w:val="clear" w:color="auto" w:fill="auto"/>
                  <w:vAlign w:val="center"/>
                </w:tcPr>
                <w:p w14:paraId="4F4504D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废物代码</w:t>
                  </w:r>
                </w:p>
              </w:tc>
              <w:tc>
                <w:tcPr>
                  <w:tcW w:w="1144" w:type="dxa"/>
                  <w:tcBorders>
                    <w:tl2br w:val="nil"/>
                    <w:tr2bl w:val="nil"/>
                  </w:tcBorders>
                  <w:shd w:val="clear" w:color="auto" w:fill="auto"/>
                  <w:vAlign w:val="center"/>
                </w:tcPr>
                <w:p w14:paraId="28357AF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产生环节</w:t>
                  </w:r>
                </w:p>
              </w:tc>
              <w:tc>
                <w:tcPr>
                  <w:tcW w:w="599" w:type="dxa"/>
                  <w:tcBorders>
                    <w:tl2br w:val="nil"/>
                    <w:tr2bl w:val="nil"/>
                  </w:tcBorders>
                  <w:shd w:val="clear" w:color="auto" w:fill="auto"/>
                  <w:vAlign w:val="center"/>
                </w:tcPr>
                <w:p w14:paraId="5383C0E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形态</w:t>
                  </w:r>
                </w:p>
              </w:tc>
              <w:tc>
                <w:tcPr>
                  <w:tcW w:w="1022" w:type="dxa"/>
                  <w:tcBorders>
                    <w:tl2br w:val="nil"/>
                    <w:tr2bl w:val="nil"/>
                  </w:tcBorders>
                  <w:shd w:val="clear" w:color="auto" w:fill="auto"/>
                  <w:vAlign w:val="center"/>
                </w:tcPr>
                <w:p w14:paraId="183AFE6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主要成分</w:t>
                  </w:r>
                </w:p>
              </w:tc>
              <w:tc>
                <w:tcPr>
                  <w:tcW w:w="732" w:type="dxa"/>
                  <w:tcBorders>
                    <w:tl2br w:val="nil"/>
                    <w:tr2bl w:val="nil"/>
                  </w:tcBorders>
                  <w:shd w:val="clear" w:color="auto" w:fill="auto"/>
                  <w:vAlign w:val="center"/>
                </w:tcPr>
                <w:p w14:paraId="176FF1B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有害成分</w:t>
                  </w:r>
                </w:p>
              </w:tc>
              <w:tc>
                <w:tcPr>
                  <w:tcW w:w="1022" w:type="dxa"/>
                  <w:tcBorders>
                    <w:tl2br w:val="nil"/>
                    <w:tr2bl w:val="nil"/>
                  </w:tcBorders>
                  <w:shd w:val="clear" w:color="auto" w:fill="auto"/>
                  <w:vAlign w:val="center"/>
                </w:tcPr>
                <w:p w14:paraId="3C0D2DA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现有项目产生量t/a</w:t>
                  </w:r>
                </w:p>
              </w:tc>
              <w:tc>
                <w:tcPr>
                  <w:tcW w:w="947" w:type="dxa"/>
                  <w:tcBorders>
                    <w:tl2br w:val="nil"/>
                    <w:tr2bl w:val="nil"/>
                  </w:tcBorders>
                  <w:shd w:val="clear" w:color="auto" w:fill="auto"/>
                  <w:vAlign w:val="center"/>
                </w:tcPr>
                <w:p w14:paraId="030E994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本次扩建后产生量</w:t>
                  </w:r>
                </w:p>
              </w:tc>
              <w:tc>
                <w:tcPr>
                  <w:tcW w:w="892" w:type="dxa"/>
                  <w:tcBorders>
                    <w:tl2br w:val="nil"/>
                    <w:tr2bl w:val="nil"/>
                  </w:tcBorders>
                  <w:shd w:val="clear" w:color="auto" w:fill="auto"/>
                  <w:vAlign w:val="center"/>
                </w:tcPr>
                <w:p w14:paraId="65B5060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变化量</w:t>
                  </w:r>
                </w:p>
              </w:tc>
              <w:tc>
                <w:tcPr>
                  <w:tcW w:w="1586" w:type="dxa"/>
                  <w:tcBorders>
                    <w:tl2br w:val="nil"/>
                    <w:tr2bl w:val="nil"/>
                  </w:tcBorders>
                  <w:shd w:val="clear" w:color="auto" w:fill="auto"/>
                  <w:vAlign w:val="center"/>
                </w:tcPr>
                <w:p w14:paraId="76F665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处置方式</w:t>
                  </w:r>
                </w:p>
              </w:tc>
            </w:tr>
            <w:tr w14:paraId="66EBC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71" w:hRule="atLeast"/>
                <w:jc w:val="center"/>
              </w:trPr>
              <w:tc>
                <w:tcPr>
                  <w:tcW w:w="636" w:type="dxa"/>
                  <w:tcBorders>
                    <w:tl2br w:val="nil"/>
                    <w:tr2bl w:val="nil"/>
                  </w:tcBorders>
                  <w:shd w:val="clear" w:color="auto" w:fill="auto"/>
                  <w:vAlign w:val="center"/>
                </w:tcPr>
                <w:p w14:paraId="56965B4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641" w:type="dxa"/>
                  <w:tcBorders>
                    <w:tl2br w:val="nil"/>
                    <w:tr2bl w:val="nil"/>
                  </w:tcBorders>
                  <w:shd w:val="clear" w:color="auto" w:fill="auto"/>
                  <w:vAlign w:val="center"/>
                </w:tcPr>
                <w:p w14:paraId="3EC8D8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957" w:type="dxa"/>
                  <w:tcBorders>
                    <w:tl2br w:val="nil"/>
                    <w:tr2bl w:val="nil"/>
                  </w:tcBorders>
                  <w:shd w:val="clear" w:color="auto" w:fill="auto"/>
                  <w:vAlign w:val="center"/>
                </w:tcPr>
                <w:p w14:paraId="7C25F7A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办公、生活等</w:t>
                  </w:r>
                </w:p>
              </w:tc>
              <w:tc>
                <w:tcPr>
                  <w:tcW w:w="1326" w:type="dxa"/>
                  <w:tcBorders>
                    <w:tl2br w:val="nil"/>
                    <w:tr2bl w:val="nil"/>
                  </w:tcBorders>
                  <w:shd w:val="clear" w:color="auto" w:fill="auto"/>
                  <w:vAlign w:val="center"/>
                </w:tcPr>
                <w:p w14:paraId="7386409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SW64其他垃圾</w:t>
                  </w:r>
                </w:p>
              </w:tc>
              <w:tc>
                <w:tcPr>
                  <w:tcW w:w="1450" w:type="dxa"/>
                  <w:tcBorders>
                    <w:tl2br w:val="nil"/>
                    <w:tr2bl w:val="nil"/>
                  </w:tcBorders>
                  <w:shd w:val="clear" w:color="auto" w:fill="auto"/>
                  <w:vAlign w:val="center"/>
                </w:tcPr>
                <w:p w14:paraId="4E36A00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900-099-S64</w:t>
                  </w:r>
                </w:p>
              </w:tc>
              <w:tc>
                <w:tcPr>
                  <w:tcW w:w="1144" w:type="dxa"/>
                  <w:tcBorders>
                    <w:tl2br w:val="nil"/>
                    <w:tr2bl w:val="nil"/>
                  </w:tcBorders>
                  <w:shd w:val="clear" w:color="auto" w:fill="auto"/>
                  <w:vAlign w:val="center"/>
                </w:tcPr>
                <w:p w14:paraId="3E6EE48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职工日常生活</w:t>
                  </w:r>
                </w:p>
              </w:tc>
              <w:tc>
                <w:tcPr>
                  <w:tcW w:w="599" w:type="dxa"/>
                  <w:tcBorders>
                    <w:tl2br w:val="nil"/>
                    <w:tr2bl w:val="nil"/>
                  </w:tcBorders>
                  <w:shd w:val="clear" w:color="auto" w:fill="auto"/>
                  <w:vAlign w:val="center"/>
                </w:tcPr>
                <w:p w14:paraId="59397C7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22" w:type="dxa"/>
                  <w:tcBorders>
                    <w:tl2br w:val="nil"/>
                    <w:tr2bl w:val="nil"/>
                  </w:tcBorders>
                  <w:shd w:val="clear" w:color="auto" w:fill="auto"/>
                  <w:vAlign w:val="center"/>
                </w:tcPr>
                <w:p w14:paraId="5F0345D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32" w:type="dxa"/>
                  <w:tcBorders>
                    <w:tl2br w:val="nil"/>
                    <w:tr2bl w:val="nil"/>
                  </w:tcBorders>
                  <w:shd w:val="clear" w:color="auto" w:fill="auto"/>
                  <w:vAlign w:val="center"/>
                </w:tcPr>
                <w:p w14:paraId="7459313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22" w:type="dxa"/>
                  <w:tcBorders>
                    <w:tl2br w:val="nil"/>
                    <w:tr2bl w:val="nil"/>
                  </w:tcBorders>
                  <w:shd w:val="clear" w:color="auto" w:fill="auto"/>
                  <w:vAlign w:val="center"/>
                </w:tcPr>
                <w:p w14:paraId="16A238D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11.55</w:t>
                  </w:r>
                </w:p>
              </w:tc>
              <w:tc>
                <w:tcPr>
                  <w:tcW w:w="947" w:type="dxa"/>
                  <w:tcBorders>
                    <w:tl2br w:val="nil"/>
                    <w:tr2bl w:val="nil"/>
                  </w:tcBorders>
                  <w:shd w:val="clear" w:color="auto" w:fill="auto"/>
                  <w:vAlign w:val="center"/>
                </w:tcPr>
                <w:p w14:paraId="7150B77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13.2</w:t>
                  </w:r>
                </w:p>
              </w:tc>
              <w:tc>
                <w:tcPr>
                  <w:tcW w:w="892" w:type="dxa"/>
                  <w:tcBorders>
                    <w:tl2br w:val="nil"/>
                    <w:tr2bl w:val="nil"/>
                  </w:tcBorders>
                  <w:shd w:val="clear" w:color="auto" w:fill="auto"/>
                  <w:vAlign w:val="center"/>
                </w:tcPr>
                <w:p w14:paraId="4C9792C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+1.65</w:t>
                  </w:r>
                </w:p>
              </w:tc>
              <w:tc>
                <w:tcPr>
                  <w:tcW w:w="1586" w:type="dxa"/>
                  <w:tcBorders>
                    <w:tl2br w:val="nil"/>
                    <w:tr2bl w:val="nil"/>
                  </w:tcBorders>
                  <w:shd w:val="clear" w:color="auto" w:fill="auto"/>
                  <w:vAlign w:val="center"/>
                </w:tcPr>
                <w:p w14:paraId="0F227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分类</w:t>
                  </w:r>
                  <w:r>
                    <w:rPr>
                      <w:rFonts w:hint="default" w:ascii="Times New Roman" w:hAnsi="Times New Roman" w:eastAsia="宋体" w:cs="Times New Roman"/>
                      <w:color w:val="000000" w:themeColor="text1"/>
                      <w:sz w:val="21"/>
                      <w:szCs w:val="21"/>
                      <w:highlight w:val="none"/>
                      <w14:textFill>
                        <w14:solidFill>
                          <w14:schemeClr w14:val="tx1"/>
                        </w14:solidFill>
                      </w14:textFill>
                    </w:rPr>
                    <w:t>收集后交由环卫部门统一清运处置</w:t>
                  </w:r>
                </w:p>
              </w:tc>
            </w:tr>
            <w:tr w14:paraId="79308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57" w:hRule="atLeast"/>
                <w:jc w:val="center"/>
              </w:trPr>
              <w:tc>
                <w:tcPr>
                  <w:tcW w:w="636" w:type="dxa"/>
                  <w:tcBorders>
                    <w:tl2br w:val="nil"/>
                    <w:tr2bl w:val="nil"/>
                  </w:tcBorders>
                  <w:vAlign w:val="center"/>
                </w:tcPr>
                <w:p w14:paraId="191B869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641" w:type="dxa"/>
                  <w:tcBorders>
                    <w:tl2br w:val="nil"/>
                    <w:tr2bl w:val="nil"/>
                  </w:tcBorders>
                  <w:vAlign w:val="center"/>
                </w:tcPr>
                <w:p w14:paraId="4E0838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一般工业固废</w:t>
                  </w:r>
                </w:p>
              </w:tc>
              <w:tc>
                <w:tcPr>
                  <w:tcW w:w="957" w:type="dxa"/>
                  <w:tcBorders>
                    <w:tl2br w:val="nil"/>
                    <w:tr2bl w:val="nil"/>
                  </w:tcBorders>
                  <w:shd w:val="clear" w:color="auto" w:fill="auto"/>
                  <w:vAlign w:val="center"/>
                </w:tcPr>
                <w:p w14:paraId="18D65F5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不合格产品</w:t>
                  </w:r>
                </w:p>
              </w:tc>
              <w:tc>
                <w:tcPr>
                  <w:tcW w:w="1326" w:type="dxa"/>
                  <w:tcBorders>
                    <w:tl2br w:val="nil"/>
                    <w:tr2bl w:val="nil"/>
                  </w:tcBorders>
                  <w:shd w:val="clear" w:color="auto" w:fill="auto"/>
                  <w:vAlign w:val="center"/>
                </w:tcPr>
                <w:p w14:paraId="733EAE9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1450" w:type="dxa"/>
                  <w:tcBorders>
                    <w:tl2br w:val="nil"/>
                    <w:tr2bl w:val="nil"/>
                  </w:tcBorders>
                  <w:shd w:val="clear" w:color="auto" w:fill="auto"/>
                  <w:vAlign w:val="center"/>
                </w:tcPr>
                <w:p w14:paraId="2130DF2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900-002-S17</w:t>
                  </w:r>
                </w:p>
              </w:tc>
              <w:tc>
                <w:tcPr>
                  <w:tcW w:w="1144" w:type="dxa"/>
                  <w:tcBorders>
                    <w:tl2br w:val="nil"/>
                    <w:tr2bl w:val="nil"/>
                  </w:tcBorders>
                  <w:shd w:val="clear" w:color="auto" w:fill="auto"/>
                  <w:vAlign w:val="center"/>
                </w:tcPr>
                <w:p w14:paraId="18FC398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产品检测</w:t>
                  </w:r>
                </w:p>
              </w:tc>
              <w:tc>
                <w:tcPr>
                  <w:tcW w:w="599" w:type="dxa"/>
                  <w:tcBorders>
                    <w:tl2br w:val="nil"/>
                    <w:tr2bl w:val="nil"/>
                  </w:tcBorders>
                  <w:shd w:val="clear" w:color="auto" w:fill="auto"/>
                  <w:vAlign w:val="center"/>
                </w:tcPr>
                <w:p w14:paraId="42B55FD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固态</w:t>
                  </w:r>
                </w:p>
              </w:tc>
              <w:tc>
                <w:tcPr>
                  <w:tcW w:w="1022" w:type="dxa"/>
                  <w:tcBorders>
                    <w:tl2br w:val="nil"/>
                    <w:tr2bl w:val="nil"/>
                  </w:tcBorders>
                  <w:shd w:val="clear" w:color="auto" w:fill="auto"/>
                  <w:vAlign w:val="center"/>
                </w:tcPr>
                <w:p w14:paraId="33ED7EE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泡沫塑料</w:t>
                  </w:r>
                </w:p>
              </w:tc>
              <w:tc>
                <w:tcPr>
                  <w:tcW w:w="732" w:type="dxa"/>
                  <w:tcBorders>
                    <w:tl2br w:val="nil"/>
                    <w:tr2bl w:val="nil"/>
                  </w:tcBorders>
                  <w:shd w:val="clear" w:color="auto" w:fill="auto"/>
                  <w:vAlign w:val="center"/>
                </w:tcPr>
                <w:p w14:paraId="50573CA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22" w:type="dxa"/>
                  <w:tcBorders>
                    <w:tl2br w:val="nil"/>
                    <w:tr2bl w:val="nil"/>
                  </w:tcBorders>
                  <w:vAlign w:val="center"/>
                </w:tcPr>
                <w:p w14:paraId="3FDA524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75</w:t>
                  </w:r>
                </w:p>
              </w:tc>
              <w:tc>
                <w:tcPr>
                  <w:tcW w:w="947" w:type="dxa"/>
                  <w:tcBorders>
                    <w:tl2br w:val="nil"/>
                    <w:tr2bl w:val="nil"/>
                  </w:tcBorders>
                  <w:vAlign w:val="center"/>
                </w:tcPr>
                <w:p w14:paraId="37F31C5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396</w:t>
                  </w:r>
                </w:p>
              </w:tc>
              <w:tc>
                <w:tcPr>
                  <w:tcW w:w="892" w:type="dxa"/>
                  <w:tcBorders>
                    <w:tl2br w:val="nil"/>
                    <w:tr2bl w:val="nil"/>
                  </w:tcBorders>
                  <w:vAlign w:val="center"/>
                </w:tcPr>
                <w:p w14:paraId="1D3B286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+321</w:t>
                  </w:r>
                </w:p>
              </w:tc>
              <w:tc>
                <w:tcPr>
                  <w:tcW w:w="1586" w:type="dxa"/>
                  <w:tcBorders>
                    <w:tl2br w:val="nil"/>
                    <w:tr2bl w:val="nil"/>
                  </w:tcBorders>
                  <w:vAlign w:val="center"/>
                </w:tcPr>
                <w:p w14:paraId="6B3829D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具有一定的利用价值，统一收集后外售综合利用</w:t>
                  </w:r>
                </w:p>
              </w:tc>
            </w:tr>
            <w:tr w14:paraId="07F68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636" w:type="dxa"/>
                  <w:vMerge w:val="restart"/>
                  <w:tcBorders>
                    <w:tl2br w:val="nil"/>
                    <w:tr2bl w:val="nil"/>
                  </w:tcBorders>
                  <w:vAlign w:val="center"/>
                </w:tcPr>
                <w:p w14:paraId="34105E1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41" w:type="dxa"/>
                  <w:vMerge w:val="restart"/>
                  <w:tcBorders>
                    <w:tl2br w:val="nil"/>
                    <w:tr2bl w:val="nil"/>
                  </w:tcBorders>
                  <w:vAlign w:val="center"/>
                </w:tcPr>
                <w:p w14:paraId="797B97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957" w:type="dxa"/>
                  <w:tcBorders>
                    <w:tl2br w:val="nil"/>
                    <w:tr2bl w:val="nil"/>
                  </w:tcBorders>
                  <w:shd w:val="clear" w:color="auto" w:fill="auto"/>
                  <w:vAlign w:val="center"/>
                </w:tcPr>
                <w:p w14:paraId="4C8DAE8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1326" w:type="dxa"/>
                  <w:tcBorders>
                    <w:tl2br w:val="nil"/>
                    <w:tr2bl w:val="nil"/>
                  </w:tcBorders>
                  <w:shd w:val="clear" w:color="auto" w:fill="auto"/>
                  <w:vAlign w:val="center"/>
                </w:tcPr>
                <w:p w14:paraId="4BEA5E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1450" w:type="dxa"/>
                  <w:tcBorders>
                    <w:tl2br w:val="nil"/>
                    <w:tr2bl w:val="nil"/>
                  </w:tcBorders>
                  <w:shd w:val="clear" w:color="auto" w:fill="auto"/>
                  <w:vAlign w:val="center"/>
                </w:tcPr>
                <w:p w14:paraId="208CE0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1144" w:type="dxa"/>
                  <w:tcBorders>
                    <w:tl2br w:val="nil"/>
                    <w:tr2bl w:val="nil"/>
                  </w:tcBorders>
                  <w:shd w:val="clear" w:color="auto" w:fill="auto"/>
                  <w:vAlign w:val="center"/>
                </w:tcPr>
                <w:p w14:paraId="7D3B812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599" w:type="dxa"/>
                  <w:tcBorders>
                    <w:tl2br w:val="nil"/>
                    <w:tr2bl w:val="nil"/>
                  </w:tcBorders>
                  <w:shd w:val="clear" w:color="auto" w:fill="auto"/>
                  <w:vAlign w:val="center"/>
                </w:tcPr>
                <w:p w14:paraId="31AE650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1022" w:type="dxa"/>
                  <w:tcBorders>
                    <w:tl2br w:val="nil"/>
                    <w:tr2bl w:val="nil"/>
                  </w:tcBorders>
                  <w:shd w:val="clear" w:color="auto" w:fill="auto"/>
                  <w:vAlign w:val="center"/>
                </w:tcPr>
                <w:p w14:paraId="1717A62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活性炭、有机物</w:t>
                  </w:r>
                </w:p>
              </w:tc>
              <w:tc>
                <w:tcPr>
                  <w:tcW w:w="732" w:type="dxa"/>
                  <w:tcBorders>
                    <w:tl2br w:val="nil"/>
                    <w:tr2bl w:val="nil"/>
                  </w:tcBorders>
                  <w:shd w:val="clear" w:color="auto" w:fill="auto"/>
                  <w:vAlign w:val="center"/>
                </w:tcPr>
                <w:p w14:paraId="67B0916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1022" w:type="dxa"/>
                  <w:tcBorders>
                    <w:tl2br w:val="nil"/>
                    <w:tr2bl w:val="nil"/>
                  </w:tcBorders>
                  <w:vAlign w:val="center"/>
                </w:tcPr>
                <w:p w14:paraId="76D577A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47" w:type="dxa"/>
                  <w:tcBorders>
                    <w:tl2br w:val="nil"/>
                    <w:tr2bl w:val="nil"/>
                  </w:tcBorders>
                  <w:vAlign w:val="center"/>
                </w:tcPr>
                <w:p w14:paraId="715D33D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15.52</w:t>
                  </w:r>
                </w:p>
              </w:tc>
              <w:tc>
                <w:tcPr>
                  <w:tcW w:w="892" w:type="dxa"/>
                  <w:tcBorders>
                    <w:tl2br w:val="nil"/>
                    <w:tr2bl w:val="nil"/>
                  </w:tcBorders>
                  <w:vAlign w:val="center"/>
                </w:tcPr>
                <w:p w14:paraId="52C340C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+15.52</w:t>
                  </w:r>
                </w:p>
              </w:tc>
              <w:tc>
                <w:tcPr>
                  <w:tcW w:w="1586" w:type="dxa"/>
                  <w:vMerge w:val="restart"/>
                  <w:tcBorders>
                    <w:tl2br w:val="nil"/>
                    <w:tr2bl w:val="nil"/>
                  </w:tcBorders>
                  <w:vAlign w:val="center"/>
                </w:tcPr>
                <w:p w14:paraId="4A3FB97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4C0D6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636" w:type="dxa"/>
                  <w:vMerge w:val="continue"/>
                  <w:tcBorders>
                    <w:tl2br w:val="nil"/>
                    <w:tr2bl w:val="nil"/>
                  </w:tcBorders>
                  <w:vAlign w:val="center"/>
                </w:tcPr>
                <w:p w14:paraId="0DE4713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41" w:type="dxa"/>
                  <w:vMerge w:val="continue"/>
                  <w:tcBorders>
                    <w:tl2br w:val="nil"/>
                    <w:tr2bl w:val="nil"/>
                  </w:tcBorders>
                  <w:vAlign w:val="center"/>
                </w:tcPr>
                <w:p w14:paraId="27625BF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957" w:type="dxa"/>
                  <w:tcBorders>
                    <w:tl2br w:val="nil"/>
                    <w:tr2bl w:val="nil"/>
                  </w:tcBorders>
                  <w:vAlign w:val="center"/>
                </w:tcPr>
                <w:p w14:paraId="3AC14F0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废液压油</w:t>
                  </w:r>
                </w:p>
              </w:tc>
              <w:tc>
                <w:tcPr>
                  <w:tcW w:w="1326" w:type="dxa"/>
                  <w:tcBorders>
                    <w:tl2br w:val="nil"/>
                    <w:tr2bl w:val="nil"/>
                  </w:tcBorders>
                  <w:vAlign w:val="center"/>
                </w:tcPr>
                <w:p w14:paraId="18A2B82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1450" w:type="dxa"/>
                  <w:tcBorders>
                    <w:tl2br w:val="nil"/>
                    <w:tr2bl w:val="nil"/>
                  </w:tcBorders>
                  <w:shd w:val="clear" w:color="auto" w:fill="auto"/>
                  <w:vAlign w:val="center"/>
                </w:tcPr>
                <w:p w14:paraId="1A0264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62D7852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4" w:type="dxa"/>
                  <w:tcBorders>
                    <w:tl2br w:val="nil"/>
                    <w:tr2bl w:val="nil"/>
                  </w:tcBorders>
                  <w:shd w:val="clear" w:color="auto" w:fill="auto"/>
                  <w:vAlign w:val="center"/>
                </w:tcPr>
                <w:p w14:paraId="05C69EB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599" w:type="dxa"/>
                  <w:tcBorders>
                    <w:tl2br w:val="nil"/>
                    <w:tr2bl w:val="nil"/>
                  </w:tcBorders>
                  <w:shd w:val="clear" w:color="auto" w:fill="auto"/>
                  <w:vAlign w:val="center"/>
                </w:tcPr>
                <w:p w14:paraId="7068A20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1022" w:type="dxa"/>
                  <w:tcBorders>
                    <w:tl2br w:val="nil"/>
                    <w:tr2bl w:val="nil"/>
                  </w:tcBorders>
                  <w:shd w:val="clear" w:color="auto" w:fill="auto"/>
                  <w:vAlign w:val="center"/>
                </w:tcPr>
                <w:p w14:paraId="682E69B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732" w:type="dxa"/>
                  <w:tcBorders>
                    <w:tl2br w:val="nil"/>
                    <w:tr2bl w:val="nil"/>
                  </w:tcBorders>
                  <w:shd w:val="clear" w:color="auto" w:fill="auto"/>
                  <w:vAlign w:val="center"/>
                </w:tcPr>
                <w:p w14:paraId="5A4B26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1022" w:type="dxa"/>
                  <w:tcBorders>
                    <w:tl2br w:val="nil"/>
                    <w:tr2bl w:val="nil"/>
                  </w:tcBorders>
                  <w:shd w:val="clear" w:color="auto" w:fill="auto"/>
                  <w:vAlign w:val="center"/>
                </w:tcPr>
                <w:p w14:paraId="00901DE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47" w:type="dxa"/>
                  <w:tcBorders>
                    <w:tl2br w:val="nil"/>
                    <w:tr2bl w:val="nil"/>
                  </w:tcBorders>
                  <w:shd w:val="clear" w:color="auto" w:fill="auto"/>
                  <w:vAlign w:val="center"/>
                </w:tcPr>
                <w:p w14:paraId="6583B28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w:t>
                  </w:r>
                </w:p>
              </w:tc>
              <w:tc>
                <w:tcPr>
                  <w:tcW w:w="892" w:type="dxa"/>
                  <w:tcBorders>
                    <w:tl2br w:val="nil"/>
                    <w:tr2bl w:val="nil"/>
                  </w:tcBorders>
                  <w:vAlign w:val="center"/>
                </w:tcPr>
                <w:p w14:paraId="7C08E40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w:t>
                  </w:r>
                </w:p>
              </w:tc>
              <w:tc>
                <w:tcPr>
                  <w:tcW w:w="1586" w:type="dxa"/>
                  <w:vMerge w:val="continue"/>
                  <w:tcBorders>
                    <w:tl2br w:val="nil"/>
                    <w:tr2bl w:val="nil"/>
                  </w:tcBorders>
                  <w:vAlign w:val="center"/>
                </w:tcPr>
                <w:p w14:paraId="6A70CC4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70805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12" w:hRule="atLeast"/>
                <w:jc w:val="center"/>
              </w:trPr>
              <w:tc>
                <w:tcPr>
                  <w:tcW w:w="636" w:type="dxa"/>
                  <w:vMerge w:val="continue"/>
                  <w:tcBorders>
                    <w:tl2br w:val="nil"/>
                    <w:tr2bl w:val="nil"/>
                  </w:tcBorders>
                  <w:vAlign w:val="center"/>
                </w:tcPr>
                <w:p w14:paraId="79F51A0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41" w:type="dxa"/>
                  <w:vMerge w:val="continue"/>
                  <w:tcBorders>
                    <w:tl2br w:val="nil"/>
                    <w:tr2bl w:val="nil"/>
                  </w:tcBorders>
                  <w:vAlign w:val="center"/>
                </w:tcPr>
                <w:p w14:paraId="0177F6D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957" w:type="dxa"/>
                  <w:tcBorders>
                    <w:tl2br w:val="nil"/>
                    <w:tr2bl w:val="nil"/>
                  </w:tcBorders>
                  <w:vAlign w:val="center"/>
                </w:tcPr>
                <w:p w14:paraId="4B3E6AD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污泥</w:t>
                  </w:r>
                </w:p>
              </w:tc>
              <w:tc>
                <w:tcPr>
                  <w:tcW w:w="1326" w:type="dxa"/>
                  <w:tcBorders>
                    <w:tl2br w:val="nil"/>
                    <w:tr2bl w:val="nil"/>
                  </w:tcBorders>
                  <w:vAlign w:val="center"/>
                </w:tcPr>
                <w:p w14:paraId="7185C9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HW13有机树脂类废物</w:t>
                  </w:r>
                </w:p>
              </w:tc>
              <w:tc>
                <w:tcPr>
                  <w:tcW w:w="1450" w:type="dxa"/>
                  <w:tcBorders>
                    <w:tl2br w:val="nil"/>
                    <w:tr2bl w:val="nil"/>
                  </w:tcBorders>
                  <w:vAlign w:val="center"/>
                </w:tcPr>
                <w:p w14:paraId="56B35F6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265-103-13</w:t>
                  </w:r>
                </w:p>
              </w:tc>
              <w:tc>
                <w:tcPr>
                  <w:tcW w:w="1144" w:type="dxa"/>
                  <w:tcBorders>
                    <w:tl2br w:val="nil"/>
                    <w:tr2bl w:val="nil"/>
                  </w:tcBorders>
                  <w:shd w:val="clear" w:color="auto" w:fill="auto"/>
                  <w:vAlign w:val="center"/>
                </w:tcPr>
                <w:p w14:paraId="1B7DA4C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冷却水循环沉淀池</w:t>
                  </w:r>
                </w:p>
              </w:tc>
              <w:tc>
                <w:tcPr>
                  <w:tcW w:w="599" w:type="dxa"/>
                  <w:tcBorders>
                    <w:tl2br w:val="nil"/>
                    <w:tr2bl w:val="nil"/>
                  </w:tcBorders>
                  <w:shd w:val="clear" w:color="auto" w:fill="auto"/>
                  <w:vAlign w:val="center"/>
                </w:tcPr>
                <w:p w14:paraId="667E4F5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固态</w:t>
                  </w:r>
                </w:p>
              </w:tc>
              <w:tc>
                <w:tcPr>
                  <w:tcW w:w="1022" w:type="dxa"/>
                  <w:tcBorders>
                    <w:tl2br w:val="nil"/>
                    <w:tr2bl w:val="nil"/>
                  </w:tcBorders>
                  <w:shd w:val="clear" w:color="auto" w:fill="auto"/>
                  <w:vAlign w:val="center"/>
                </w:tcPr>
                <w:p w14:paraId="25E895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污泥、有机物</w:t>
                  </w:r>
                </w:p>
              </w:tc>
              <w:tc>
                <w:tcPr>
                  <w:tcW w:w="732" w:type="dxa"/>
                  <w:tcBorders>
                    <w:tl2br w:val="nil"/>
                    <w:tr2bl w:val="nil"/>
                  </w:tcBorders>
                  <w:shd w:val="clear" w:color="auto" w:fill="auto"/>
                  <w:vAlign w:val="center"/>
                </w:tcPr>
                <w:p w14:paraId="79FC9F3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有机物</w:t>
                  </w:r>
                </w:p>
              </w:tc>
              <w:tc>
                <w:tcPr>
                  <w:tcW w:w="1022" w:type="dxa"/>
                  <w:tcBorders>
                    <w:tl2br w:val="nil"/>
                    <w:tr2bl w:val="nil"/>
                  </w:tcBorders>
                  <w:vAlign w:val="center"/>
                </w:tcPr>
                <w:p w14:paraId="065173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47" w:type="dxa"/>
                  <w:tcBorders>
                    <w:tl2br w:val="nil"/>
                    <w:tr2bl w:val="nil"/>
                  </w:tcBorders>
                  <w:vAlign w:val="center"/>
                </w:tcPr>
                <w:p w14:paraId="7090515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3.63</w:t>
                  </w:r>
                </w:p>
              </w:tc>
              <w:tc>
                <w:tcPr>
                  <w:tcW w:w="892" w:type="dxa"/>
                  <w:tcBorders>
                    <w:tl2br w:val="nil"/>
                    <w:tr2bl w:val="nil"/>
                  </w:tcBorders>
                  <w:vAlign w:val="center"/>
                </w:tcPr>
                <w:p w14:paraId="080B795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+3.63</w:t>
                  </w:r>
                </w:p>
              </w:tc>
              <w:tc>
                <w:tcPr>
                  <w:tcW w:w="1586" w:type="dxa"/>
                  <w:vMerge w:val="continue"/>
                  <w:tcBorders>
                    <w:tl2br w:val="nil"/>
                    <w:tr2bl w:val="nil"/>
                  </w:tcBorders>
                  <w:vAlign w:val="center"/>
                </w:tcPr>
                <w:p w14:paraId="3249EC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4BE9CA84">
            <w:pPr>
              <w:pStyle w:val="3"/>
              <w:rPr>
                <w:rFonts w:hint="default"/>
                <w:lang w:val="en-US" w:eastAsia="zh-CN"/>
              </w:rPr>
            </w:pPr>
          </w:p>
        </w:tc>
      </w:tr>
    </w:tbl>
    <w:p w14:paraId="372C99D8"/>
    <w:p w14:paraId="7785CC46">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813"/>
      </w:tblGrid>
      <w:tr w14:paraId="63CE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3" w:hRule="atLeast"/>
        </w:trPr>
        <w:tc>
          <w:tcPr>
            <w:tcW w:w="468" w:type="dxa"/>
            <w:vAlign w:val="center"/>
          </w:tcPr>
          <w:p w14:paraId="606986FB">
            <w:pPr>
              <w:jc w:val="center"/>
              <w:rPr>
                <w:rFonts w:hint="default" w:ascii="Times New Roman" w:hAnsi="Times New Roman" w:eastAsia="宋体" w:cs="Times New Roman"/>
                <w:color w:val="auto"/>
                <w:kern w:val="0"/>
                <w:sz w:val="24"/>
                <w:szCs w:val="24"/>
                <w:lang w:val="en-US" w:eastAsia="zh-CN"/>
              </w:rPr>
            </w:pPr>
          </w:p>
        </w:tc>
        <w:tc>
          <w:tcPr>
            <w:tcW w:w="8813" w:type="dxa"/>
          </w:tcPr>
          <w:p w14:paraId="1A951A0F">
            <w:pPr>
              <w:keepNext w:val="0"/>
              <w:keepLines w:val="0"/>
              <w:pageBreakBefore w:val="0"/>
              <w:widowControl w:val="0"/>
              <w:kinsoku/>
              <w:wordWrap/>
              <w:overflowPunct/>
              <w:topLinePunct w:val="0"/>
              <w:autoSpaceDE/>
              <w:autoSpaceDN/>
              <w:bidi w:val="0"/>
              <w:adjustRightInd/>
              <w:snapToGrid/>
              <w:spacing w:before="163" w:beforeLines="50"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表4.4-2</w:t>
            </w:r>
            <w:r>
              <w:rPr>
                <w:rFonts w:hint="default" w:ascii="Times New Roman" w:hAnsi="Times New Roman" w:eastAsia="宋体" w:cs="Times New Roman"/>
                <w:b/>
                <w:bCs/>
                <w:color w:val="auto"/>
                <w:sz w:val="24"/>
                <w:highlight w:val="none"/>
                <w:lang w:val="en-US" w:eastAsia="zh-CN"/>
              </w:rPr>
              <w:t>危险废物暂存间基本情况</w:t>
            </w:r>
          </w:p>
          <w:tbl>
            <w:tblPr>
              <w:tblStyle w:val="23"/>
              <w:tblW w:w="85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096"/>
              <w:gridCol w:w="902"/>
              <w:gridCol w:w="1271"/>
              <w:gridCol w:w="1704"/>
              <w:gridCol w:w="762"/>
              <w:gridCol w:w="676"/>
              <w:gridCol w:w="1060"/>
              <w:gridCol w:w="650"/>
            </w:tblGrid>
            <w:tr w14:paraId="049DD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71" w:type="dxa"/>
                  <w:vAlign w:val="center"/>
                </w:tcPr>
                <w:p w14:paraId="15C2199E">
                  <w:pPr>
                    <w:pStyle w:val="34"/>
                    <w:rPr>
                      <w:kern w:val="0"/>
                      <w:szCs w:val="21"/>
                    </w:rPr>
                  </w:pPr>
                  <w:r>
                    <w:rPr>
                      <w:rFonts w:hint="eastAsia"/>
                      <w:kern w:val="0"/>
                      <w:szCs w:val="21"/>
                    </w:rPr>
                    <w:t>序</w:t>
                  </w:r>
                  <w:r>
                    <w:rPr>
                      <w:kern w:val="0"/>
                      <w:szCs w:val="21"/>
                    </w:rPr>
                    <w:t>号</w:t>
                  </w:r>
                </w:p>
              </w:tc>
              <w:tc>
                <w:tcPr>
                  <w:tcW w:w="1096" w:type="dxa"/>
                  <w:vAlign w:val="center"/>
                </w:tcPr>
                <w:p w14:paraId="258474C3">
                  <w:pPr>
                    <w:pStyle w:val="34"/>
                    <w:rPr>
                      <w:kern w:val="0"/>
                      <w:szCs w:val="21"/>
                    </w:rPr>
                  </w:pPr>
                  <w:r>
                    <w:rPr>
                      <w:kern w:val="0"/>
                      <w:szCs w:val="21"/>
                    </w:rPr>
                    <w:t>危险废</w:t>
                  </w:r>
                </w:p>
                <w:p w14:paraId="4AB4B31D">
                  <w:pPr>
                    <w:pStyle w:val="34"/>
                    <w:rPr>
                      <w:kern w:val="0"/>
                      <w:szCs w:val="21"/>
                    </w:rPr>
                  </w:pPr>
                  <w:r>
                    <w:rPr>
                      <w:kern w:val="0"/>
                      <w:szCs w:val="21"/>
                    </w:rPr>
                    <w:t>物名称</w:t>
                  </w:r>
                </w:p>
              </w:tc>
              <w:tc>
                <w:tcPr>
                  <w:tcW w:w="902" w:type="dxa"/>
                  <w:vAlign w:val="center"/>
                </w:tcPr>
                <w:p w14:paraId="466A68BE">
                  <w:pPr>
                    <w:pStyle w:val="34"/>
                    <w:rPr>
                      <w:kern w:val="0"/>
                      <w:szCs w:val="21"/>
                    </w:rPr>
                  </w:pPr>
                  <w:r>
                    <w:rPr>
                      <w:kern w:val="0"/>
                      <w:szCs w:val="21"/>
                    </w:rPr>
                    <w:t>危险废物类别</w:t>
                  </w:r>
                </w:p>
              </w:tc>
              <w:tc>
                <w:tcPr>
                  <w:tcW w:w="1271" w:type="dxa"/>
                  <w:vAlign w:val="center"/>
                </w:tcPr>
                <w:p w14:paraId="14715542">
                  <w:pPr>
                    <w:pStyle w:val="34"/>
                    <w:rPr>
                      <w:kern w:val="0"/>
                      <w:szCs w:val="21"/>
                    </w:rPr>
                  </w:pPr>
                  <w:r>
                    <w:rPr>
                      <w:kern w:val="0"/>
                      <w:szCs w:val="21"/>
                    </w:rPr>
                    <w:t>危险废物代码</w:t>
                  </w:r>
                </w:p>
              </w:tc>
              <w:tc>
                <w:tcPr>
                  <w:tcW w:w="1704" w:type="dxa"/>
                  <w:vAlign w:val="center"/>
                </w:tcPr>
                <w:p w14:paraId="5B36DCA3">
                  <w:pPr>
                    <w:pStyle w:val="34"/>
                    <w:rPr>
                      <w:kern w:val="0"/>
                      <w:szCs w:val="21"/>
                    </w:rPr>
                  </w:pPr>
                  <w:r>
                    <w:rPr>
                      <w:kern w:val="0"/>
                      <w:szCs w:val="21"/>
                    </w:rPr>
                    <w:t>位置</w:t>
                  </w:r>
                </w:p>
              </w:tc>
              <w:tc>
                <w:tcPr>
                  <w:tcW w:w="762" w:type="dxa"/>
                  <w:vAlign w:val="center"/>
                </w:tcPr>
                <w:p w14:paraId="2DC0B5BF">
                  <w:pPr>
                    <w:pStyle w:val="34"/>
                    <w:rPr>
                      <w:kern w:val="0"/>
                      <w:szCs w:val="21"/>
                    </w:rPr>
                  </w:pPr>
                  <w:r>
                    <w:rPr>
                      <w:kern w:val="0"/>
                      <w:szCs w:val="21"/>
                    </w:rPr>
                    <w:t>占地面积</w:t>
                  </w:r>
                </w:p>
              </w:tc>
              <w:tc>
                <w:tcPr>
                  <w:tcW w:w="676" w:type="dxa"/>
                  <w:vAlign w:val="center"/>
                </w:tcPr>
                <w:p w14:paraId="0B670126">
                  <w:pPr>
                    <w:pStyle w:val="34"/>
                    <w:rPr>
                      <w:kern w:val="0"/>
                      <w:szCs w:val="21"/>
                    </w:rPr>
                  </w:pPr>
                  <w:r>
                    <w:rPr>
                      <w:kern w:val="0"/>
                      <w:szCs w:val="21"/>
                    </w:rPr>
                    <w:t>贮存方式</w:t>
                  </w:r>
                </w:p>
              </w:tc>
              <w:tc>
                <w:tcPr>
                  <w:tcW w:w="1060" w:type="dxa"/>
                  <w:vAlign w:val="center"/>
                </w:tcPr>
                <w:p w14:paraId="025EC19D">
                  <w:pPr>
                    <w:pStyle w:val="34"/>
                    <w:rPr>
                      <w:kern w:val="0"/>
                      <w:szCs w:val="21"/>
                    </w:rPr>
                  </w:pPr>
                  <w:r>
                    <w:rPr>
                      <w:kern w:val="0"/>
                      <w:szCs w:val="21"/>
                    </w:rPr>
                    <w:t>贮存能力</w:t>
                  </w:r>
                </w:p>
                <w:p w14:paraId="1832FE13">
                  <w:pPr>
                    <w:pStyle w:val="34"/>
                    <w:rPr>
                      <w:kern w:val="0"/>
                      <w:szCs w:val="21"/>
                    </w:rPr>
                  </w:pPr>
                  <w:r>
                    <w:rPr>
                      <w:rFonts w:hint="eastAsia"/>
                      <w:kern w:val="0"/>
                      <w:szCs w:val="21"/>
                      <w:lang w:eastAsia="zh-CN"/>
                    </w:rPr>
                    <w:t>（</w:t>
                  </w:r>
                  <w:r>
                    <w:rPr>
                      <w:rFonts w:hint="eastAsia"/>
                      <w:kern w:val="0"/>
                      <w:szCs w:val="21"/>
                      <w:lang w:val="en-US" w:eastAsia="zh-CN"/>
                    </w:rPr>
                    <w:t>t</w:t>
                  </w:r>
                  <w:r>
                    <w:rPr>
                      <w:rFonts w:hint="eastAsia"/>
                      <w:kern w:val="0"/>
                      <w:szCs w:val="21"/>
                      <w:lang w:eastAsia="zh-CN"/>
                    </w:rPr>
                    <w:t>）</w:t>
                  </w:r>
                </w:p>
              </w:tc>
              <w:tc>
                <w:tcPr>
                  <w:tcW w:w="650" w:type="dxa"/>
                  <w:vAlign w:val="center"/>
                </w:tcPr>
                <w:p w14:paraId="3D208B59">
                  <w:pPr>
                    <w:pStyle w:val="34"/>
                    <w:rPr>
                      <w:kern w:val="0"/>
                      <w:szCs w:val="21"/>
                    </w:rPr>
                  </w:pPr>
                  <w:r>
                    <w:rPr>
                      <w:kern w:val="0"/>
                      <w:szCs w:val="21"/>
                    </w:rPr>
                    <w:t>贮存</w:t>
                  </w:r>
                </w:p>
                <w:p w14:paraId="545F6066">
                  <w:pPr>
                    <w:pStyle w:val="34"/>
                    <w:rPr>
                      <w:kern w:val="0"/>
                      <w:szCs w:val="21"/>
                    </w:rPr>
                  </w:pPr>
                  <w:r>
                    <w:rPr>
                      <w:kern w:val="0"/>
                      <w:szCs w:val="21"/>
                    </w:rPr>
                    <w:t>周期</w:t>
                  </w:r>
                </w:p>
              </w:tc>
            </w:tr>
            <w:tr w14:paraId="3D9FE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71" w:type="dxa"/>
                  <w:vAlign w:val="center"/>
                </w:tcPr>
                <w:p w14:paraId="7A9A7753">
                  <w:pPr>
                    <w:pStyle w:val="63"/>
                    <w:ind w:left="420" w:hanging="420"/>
                    <w:rPr>
                      <w:rFonts w:hint="eastAsia"/>
                      <w:sz w:val="21"/>
                      <w:szCs w:val="21"/>
                    </w:rPr>
                  </w:pPr>
                  <w:r>
                    <w:rPr>
                      <w:rFonts w:hint="eastAsia"/>
                      <w:sz w:val="21"/>
                      <w:szCs w:val="21"/>
                    </w:rPr>
                    <w:t>1</w:t>
                  </w:r>
                </w:p>
              </w:tc>
              <w:tc>
                <w:tcPr>
                  <w:tcW w:w="1096" w:type="dxa"/>
                  <w:shd w:val="clear" w:color="auto" w:fill="auto"/>
                  <w:vAlign w:val="center"/>
                </w:tcPr>
                <w:p w14:paraId="5F1576F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902" w:type="dxa"/>
                  <w:vAlign w:val="center"/>
                </w:tcPr>
                <w:p w14:paraId="5D781DAA">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HW49</w:t>
                  </w:r>
                </w:p>
              </w:tc>
              <w:tc>
                <w:tcPr>
                  <w:tcW w:w="1271" w:type="dxa"/>
                  <w:shd w:val="clear" w:color="auto" w:fill="auto"/>
                  <w:vAlign w:val="center"/>
                </w:tcPr>
                <w:p w14:paraId="4256403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900-039-49</w:t>
                  </w:r>
                </w:p>
              </w:tc>
              <w:tc>
                <w:tcPr>
                  <w:tcW w:w="1704" w:type="dxa"/>
                  <w:vMerge w:val="restart"/>
                  <w:shd w:val="clear" w:color="auto" w:fill="auto"/>
                  <w:vAlign w:val="center"/>
                </w:tcPr>
                <w:p w14:paraId="5641D1BB">
                  <w:pPr>
                    <w:pStyle w:val="34"/>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1#车间西侧外建设一间独立的危险废物贮存间</w:t>
                  </w:r>
                </w:p>
              </w:tc>
              <w:tc>
                <w:tcPr>
                  <w:tcW w:w="762" w:type="dxa"/>
                  <w:vMerge w:val="restart"/>
                  <w:shd w:val="clear" w:color="auto" w:fill="auto"/>
                  <w:vAlign w:val="center"/>
                </w:tcPr>
                <w:p w14:paraId="02CED88C">
                  <w:pPr>
                    <w:pStyle w:val="63"/>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2-3</w:t>
                  </w:r>
                  <w:r>
                    <w:rPr>
                      <w:sz w:val="21"/>
                      <w:szCs w:val="21"/>
                    </w:rPr>
                    <w:t>m</w:t>
                  </w:r>
                  <w:r>
                    <w:rPr>
                      <w:sz w:val="21"/>
                      <w:szCs w:val="21"/>
                      <w:vertAlign w:val="superscript"/>
                    </w:rPr>
                    <w:t>2</w:t>
                  </w:r>
                </w:p>
              </w:tc>
              <w:tc>
                <w:tcPr>
                  <w:tcW w:w="676" w:type="dxa"/>
                  <w:vAlign w:val="center"/>
                </w:tcPr>
                <w:p w14:paraId="0E7FA2C6">
                  <w:pPr>
                    <w:pStyle w:val="63"/>
                    <w:ind w:left="420" w:hanging="420"/>
                    <w:rPr>
                      <w:sz w:val="21"/>
                      <w:szCs w:val="21"/>
                    </w:rPr>
                  </w:pPr>
                  <w:r>
                    <w:rPr>
                      <w:rFonts w:hint="eastAsia"/>
                      <w:sz w:val="21"/>
                      <w:szCs w:val="21"/>
                    </w:rPr>
                    <w:t>袋</w:t>
                  </w:r>
                  <w:r>
                    <w:rPr>
                      <w:sz w:val="21"/>
                      <w:szCs w:val="21"/>
                    </w:rPr>
                    <w:t>装</w:t>
                  </w:r>
                </w:p>
              </w:tc>
              <w:tc>
                <w:tcPr>
                  <w:tcW w:w="1060" w:type="dxa"/>
                  <w:vAlign w:val="center"/>
                </w:tcPr>
                <w:p w14:paraId="672F096D">
                  <w:pPr>
                    <w:pStyle w:val="63"/>
                    <w:ind w:left="420" w:hanging="420"/>
                    <w:rPr>
                      <w:rFonts w:hint="default" w:eastAsia="宋体"/>
                      <w:sz w:val="21"/>
                      <w:szCs w:val="21"/>
                      <w:lang w:val="en-US" w:eastAsia="zh-CN"/>
                    </w:rPr>
                  </w:pPr>
                  <w:r>
                    <w:rPr>
                      <w:rFonts w:hint="eastAsia"/>
                      <w:sz w:val="21"/>
                      <w:szCs w:val="21"/>
                      <w:lang w:val="en-US" w:eastAsia="zh-CN"/>
                    </w:rPr>
                    <w:t>1.5</w:t>
                  </w:r>
                </w:p>
              </w:tc>
              <w:tc>
                <w:tcPr>
                  <w:tcW w:w="650" w:type="dxa"/>
                  <w:shd w:val="clear" w:color="auto" w:fill="auto"/>
                  <w:vAlign w:val="center"/>
                </w:tcPr>
                <w:p w14:paraId="6D5A2EB6">
                  <w:pPr>
                    <w:pStyle w:val="63"/>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rPr>
                    <w:t>1</w:t>
                  </w:r>
                  <w:r>
                    <w:rPr>
                      <w:sz w:val="21"/>
                      <w:szCs w:val="21"/>
                    </w:rPr>
                    <w:t>年</w:t>
                  </w:r>
                </w:p>
              </w:tc>
            </w:tr>
            <w:tr w14:paraId="451BB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vAlign w:val="center"/>
                </w:tcPr>
                <w:p w14:paraId="000BA818">
                  <w:pPr>
                    <w:pStyle w:val="63"/>
                    <w:ind w:left="420" w:hanging="420"/>
                    <w:rPr>
                      <w:rFonts w:hint="eastAsia" w:eastAsia="宋体"/>
                      <w:sz w:val="21"/>
                      <w:szCs w:val="21"/>
                      <w:lang w:val="en-US" w:eastAsia="zh-CN"/>
                    </w:rPr>
                  </w:pPr>
                  <w:r>
                    <w:rPr>
                      <w:rFonts w:hint="eastAsia"/>
                      <w:sz w:val="21"/>
                      <w:szCs w:val="21"/>
                      <w:lang w:val="en-US" w:eastAsia="zh-CN"/>
                    </w:rPr>
                    <w:t>2</w:t>
                  </w:r>
                </w:p>
              </w:tc>
              <w:tc>
                <w:tcPr>
                  <w:tcW w:w="1096" w:type="dxa"/>
                  <w:shd w:val="clear" w:color="auto" w:fill="auto"/>
                  <w:vAlign w:val="center"/>
                </w:tcPr>
                <w:p w14:paraId="51B4883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废液压油</w:t>
                  </w:r>
                </w:p>
              </w:tc>
              <w:tc>
                <w:tcPr>
                  <w:tcW w:w="902" w:type="dxa"/>
                  <w:vAlign w:val="center"/>
                </w:tcPr>
                <w:p w14:paraId="44844344">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HW08</w:t>
                  </w:r>
                </w:p>
              </w:tc>
              <w:tc>
                <w:tcPr>
                  <w:tcW w:w="1271" w:type="dxa"/>
                  <w:shd w:val="clear" w:color="auto" w:fill="auto"/>
                  <w:vAlign w:val="center"/>
                </w:tcPr>
                <w:p w14:paraId="70FCD9E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900-217-08</w:t>
                  </w:r>
                </w:p>
              </w:tc>
              <w:tc>
                <w:tcPr>
                  <w:tcW w:w="1704" w:type="dxa"/>
                  <w:vMerge w:val="continue"/>
                  <w:shd w:val="clear" w:color="auto" w:fill="auto"/>
                  <w:vAlign w:val="center"/>
                </w:tcPr>
                <w:p w14:paraId="767B0C63">
                  <w:pPr>
                    <w:pStyle w:val="34"/>
                    <w:rPr>
                      <w:rFonts w:hint="eastAsia" w:ascii="Times New Roman" w:hAnsi="Times New Roman" w:eastAsia="宋体" w:cs="Times New Roman"/>
                      <w:kern w:val="0"/>
                      <w:sz w:val="21"/>
                      <w:szCs w:val="21"/>
                      <w:lang w:val="en-US" w:eastAsia="zh-CN" w:bidi="ar-SA"/>
                    </w:rPr>
                  </w:pPr>
                </w:p>
              </w:tc>
              <w:tc>
                <w:tcPr>
                  <w:tcW w:w="762" w:type="dxa"/>
                  <w:vMerge w:val="continue"/>
                  <w:shd w:val="clear" w:color="auto" w:fill="auto"/>
                  <w:vAlign w:val="center"/>
                </w:tcPr>
                <w:p w14:paraId="3B7DCD7E">
                  <w:pPr>
                    <w:pStyle w:val="63"/>
                    <w:ind w:left="420" w:leftChars="0" w:hanging="420" w:hangingChars="200"/>
                    <w:rPr>
                      <w:rFonts w:hint="eastAsia" w:ascii="Times New Roman" w:hAnsi="Times New Roman" w:eastAsia="宋体" w:cs="Times New Roman"/>
                      <w:kern w:val="0"/>
                      <w:sz w:val="21"/>
                      <w:szCs w:val="21"/>
                      <w:lang w:val="en-US" w:eastAsia="zh-CN" w:bidi="he-IL"/>
                    </w:rPr>
                  </w:pPr>
                </w:p>
              </w:tc>
              <w:tc>
                <w:tcPr>
                  <w:tcW w:w="676" w:type="dxa"/>
                  <w:vAlign w:val="center"/>
                </w:tcPr>
                <w:p w14:paraId="3B12452B">
                  <w:pPr>
                    <w:pStyle w:val="63"/>
                    <w:ind w:left="420" w:hanging="420"/>
                    <w:rPr>
                      <w:rFonts w:hint="default" w:eastAsia="宋体"/>
                      <w:sz w:val="21"/>
                      <w:szCs w:val="21"/>
                      <w:lang w:val="en-US" w:eastAsia="zh-CN"/>
                    </w:rPr>
                  </w:pPr>
                  <w:r>
                    <w:rPr>
                      <w:rFonts w:hint="eastAsia"/>
                      <w:sz w:val="21"/>
                      <w:szCs w:val="21"/>
                      <w:lang w:val="en-US" w:eastAsia="zh-CN"/>
                    </w:rPr>
                    <w:t>桶装</w:t>
                  </w:r>
                </w:p>
              </w:tc>
              <w:tc>
                <w:tcPr>
                  <w:tcW w:w="1060" w:type="dxa"/>
                  <w:vAlign w:val="center"/>
                </w:tcPr>
                <w:p w14:paraId="54F37C94">
                  <w:pPr>
                    <w:pStyle w:val="63"/>
                    <w:ind w:left="420" w:hanging="420"/>
                    <w:rPr>
                      <w:rFonts w:hint="default"/>
                      <w:sz w:val="21"/>
                      <w:szCs w:val="21"/>
                      <w:lang w:val="en-US" w:eastAsia="zh-CN"/>
                    </w:rPr>
                  </w:pPr>
                  <w:r>
                    <w:rPr>
                      <w:rFonts w:hint="eastAsia"/>
                      <w:sz w:val="21"/>
                      <w:szCs w:val="21"/>
                      <w:lang w:val="en-US" w:eastAsia="zh-CN"/>
                    </w:rPr>
                    <w:t>0.1</w:t>
                  </w:r>
                </w:p>
              </w:tc>
              <w:tc>
                <w:tcPr>
                  <w:tcW w:w="650" w:type="dxa"/>
                  <w:shd w:val="clear" w:color="auto" w:fill="auto"/>
                  <w:vAlign w:val="center"/>
                </w:tcPr>
                <w:p w14:paraId="5229D58D">
                  <w:pPr>
                    <w:pStyle w:val="63"/>
                    <w:ind w:left="420" w:leftChars="0" w:hanging="420" w:hangingChars="200"/>
                    <w:rPr>
                      <w:rFonts w:hint="default" w:ascii="Times New Roman" w:hAnsi="Times New Roman" w:eastAsia="宋体" w:cs="Times New Roman"/>
                      <w:kern w:val="0"/>
                      <w:sz w:val="21"/>
                      <w:szCs w:val="21"/>
                      <w:lang w:val="en-US" w:eastAsia="zh-CN" w:bidi="he-IL"/>
                    </w:rPr>
                  </w:pPr>
                  <w:r>
                    <w:rPr>
                      <w:rFonts w:hint="eastAsia"/>
                      <w:sz w:val="21"/>
                      <w:szCs w:val="21"/>
                      <w:lang w:val="en-US" w:eastAsia="zh-CN"/>
                    </w:rPr>
                    <w:t>1年</w:t>
                  </w:r>
                </w:p>
              </w:tc>
            </w:tr>
            <w:tr w14:paraId="12B73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71" w:type="dxa"/>
                  <w:vAlign w:val="center"/>
                </w:tcPr>
                <w:p w14:paraId="5268718A">
                  <w:pPr>
                    <w:pStyle w:val="63"/>
                    <w:ind w:left="420" w:hanging="420"/>
                    <w:rPr>
                      <w:rFonts w:hint="default"/>
                      <w:sz w:val="21"/>
                      <w:szCs w:val="21"/>
                      <w:lang w:val="en-US" w:eastAsia="zh-CN"/>
                    </w:rPr>
                  </w:pPr>
                  <w:bookmarkStart w:id="202" w:name="_Toc16892"/>
                  <w:r>
                    <w:rPr>
                      <w:rFonts w:hint="eastAsia"/>
                      <w:sz w:val="21"/>
                      <w:szCs w:val="21"/>
                      <w:lang w:val="en-US" w:eastAsia="zh-CN"/>
                    </w:rPr>
                    <w:t>3</w:t>
                  </w:r>
                </w:p>
              </w:tc>
              <w:tc>
                <w:tcPr>
                  <w:tcW w:w="1096" w:type="dxa"/>
                  <w:shd w:val="clear" w:color="auto" w:fill="auto"/>
                  <w:vAlign w:val="center"/>
                </w:tcPr>
                <w:p w14:paraId="1128FC0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污泥</w:t>
                  </w:r>
                </w:p>
              </w:tc>
              <w:tc>
                <w:tcPr>
                  <w:tcW w:w="902" w:type="dxa"/>
                  <w:vAlign w:val="center"/>
                </w:tcPr>
                <w:p w14:paraId="33B00500">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HW13</w:t>
                  </w:r>
                </w:p>
              </w:tc>
              <w:tc>
                <w:tcPr>
                  <w:tcW w:w="1271" w:type="dxa"/>
                  <w:shd w:val="clear" w:color="auto" w:fill="auto"/>
                  <w:vAlign w:val="center"/>
                </w:tcPr>
                <w:p w14:paraId="6F3296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265-103-13</w:t>
                  </w:r>
                </w:p>
              </w:tc>
              <w:tc>
                <w:tcPr>
                  <w:tcW w:w="1704" w:type="dxa"/>
                  <w:vMerge w:val="continue"/>
                  <w:vAlign w:val="center"/>
                </w:tcPr>
                <w:p w14:paraId="31C194EC">
                  <w:pPr>
                    <w:pStyle w:val="34"/>
                    <w:rPr>
                      <w:rFonts w:hint="eastAsia"/>
                      <w:kern w:val="0"/>
                      <w:szCs w:val="21"/>
                      <w:lang w:val="en-US" w:eastAsia="zh-CN"/>
                    </w:rPr>
                  </w:pPr>
                </w:p>
              </w:tc>
              <w:tc>
                <w:tcPr>
                  <w:tcW w:w="762" w:type="dxa"/>
                  <w:vMerge w:val="continue"/>
                  <w:shd w:val="clear" w:color="auto" w:fill="auto"/>
                  <w:vAlign w:val="center"/>
                </w:tcPr>
                <w:p w14:paraId="3429BB89">
                  <w:pPr>
                    <w:pStyle w:val="63"/>
                    <w:ind w:left="420" w:leftChars="0" w:hanging="420" w:hangingChars="200"/>
                    <w:rPr>
                      <w:rFonts w:hint="eastAsia" w:ascii="Times New Roman" w:hAnsi="Times New Roman" w:eastAsia="宋体" w:cs="Times New Roman"/>
                      <w:kern w:val="0"/>
                      <w:sz w:val="21"/>
                      <w:szCs w:val="21"/>
                      <w:lang w:val="en-US" w:eastAsia="zh-CN" w:bidi="he-IL"/>
                    </w:rPr>
                  </w:pPr>
                </w:p>
              </w:tc>
              <w:tc>
                <w:tcPr>
                  <w:tcW w:w="676" w:type="dxa"/>
                  <w:vAlign w:val="center"/>
                </w:tcPr>
                <w:p w14:paraId="250E8868">
                  <w:pPr>
                    <w:pStyle w:val="63"/>
                    <w:ind w:left="420" w:hanging="420"/>
                    <w:rPr>
                      <w:rFonts w:hint="default" w:eastAsia="宋体"/>
                      <w:sz w:val="21"/>
                      <w:szCs w:val="21"/>
                      <w:lang w:val="en-US" w:eastAsia="zh-CN"/>
                    </w:rPr>
                  </w:pPr>
                  <w:r>
                    <w:rPr>
                      <w:rFonts w:hint="eastAsia"/>
                      <w:sz w:val="21"/>
                      <w:szCs w:val="21"/>
                      <w:lang w:val="en-US" w:eastAsia="zh-CN"/>
                    </w:rPr>
                    <w:t>袋装</w:t>
                  </w:r>
                </w:p>
              </w:tc>
              <w:tc>
                <w:tcPr>
                  <w:tcW w:w="1060" w:type="dxa"/>
                  <w:vAlign w:val="center"/>
                </w:tcPr>
                <w:p w14:paraId="57B9B50E">
                  <w:pPr>
                    <w:pStyle w:val="63"/>
                    <w:ind w:left="420" w:hanging="420"/>
                    <w:rPr>
                      <w:rFonts w:hint="default"/>
                      <w:sz w:val="21"/>
                      <w:szCs w:val="21"/>
                      <w:lang w:val="en-US" w:eastAsia="zh-CN"/>
                    </w:rPr>
                  </w:pPr>
                  <w:r>
                    <w:rPr>
                      <w:rFonts w:hint="eastAsia"/>
                      <w:sz w:val="21"/>
                      <w:szCs w:val="21"/>
                      <w:lang w:val="en-US" w:eastAsia="zh-CN"/>
                    </w:rPr>
                    <w:t>0.5</w:t>
                  </w:r>
                </w:p>
              </w:tc>
              <w:tc>
                <w:tcPr>
                  <w:tcW w:w="650" w:type="dxa"/>
                  <w:shd w:val="clear" w:color="auto" w:fill="auto"/>
                  <w:vAlign w:val="center"/>
                </w:tcPr>
                <w:p w14:paraId="10EC74CC">
                  <w:pPr>
                    <w:pStyle w:val="63"/>
                    <w:ind w:left="420" w:leftChars="0" w:hanging="420" w:hangingChars="200"/>
                    <w:rPr>
                      <w:rFonts w:hint="default" w:ascii="Times New Roman" w:hAnsi="Times New Roman" w:eastAsia="宋体" w:cs="Times New Roman"/>
                      <w:kern w:val="0"/>
                      <w:sz w:val="21"/>
                      <w:szCs w:val="21"/>
                      <w:lang w:val="en-US" w:eastAsia="zh-CN" w:bidi="he-IL"/>
                    </w:rPr>
                  </w:pPr>
                  <w:r>
                    <w:rPr>
                      <w:rFonts w:hint="eastAsia"/>
                      <w:sz w:val="21"/>
                      <w:szCs w:val="21"/>
                    </w:rPr>
                    <w:t>1</w:t>
                  </w:r>
                  <w:r>
                    <w:rPr>
                      <w:sz w:val="21"/>
                      <w:szCs w:val="21"/>
                    </w:rPr>
                    <w:t>年</w:t>
                  </w:r>
                </w:p>
              </w:tc>
            </w:tr>
          </w:tbl>
          <w:p w14:paraId="2E8DF58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highlight w:val="none"/>
                <w:lang w:val="zh-CN" w:eastAsia="zh-CN"/>
              </w:rPr>
            </w:pPr>
            <w:bookmarkStart w:id="203" w:name="_Toc8384"/>
            <w:r>
              <w:rPr>
                <w:rFonts w:hint="eastAsia"/>
                <w:b/>
                <w:color w:val="262626"/>
                <w:kern w:val="0"/>
                <w:sz w:val="24"/>
                <w:highlight w:val="none"/>
                <w:lang w:val="zh-CN" w:eastAsia="zh-CN"/>
              </w:rPr>
              <w:t>4.4.2固废管理要求</w:t>
            </w:r>
            <w:bookmarkEnd w:id="202"/>
            <w:bookmarkEnd w:id="203"/>
          </w:p>
          <w:p w14:paraId="772E9997">
            <w:pPr>
              <w:spacing w:line="360" w:lineRule="auto"/>
              <w:ind w:firstLine="480" w:firstLineChars="200"/>
              <w:rPr>
                <w:color w:val="262626"/>
                <w:sz w:val="24"/>
              </w:rPr>
            </w:pPr>
            <w:r>
              <w:rPr>
                <w:rFonts w:hint="eastAsia"/>
                <w:color w:val="262626"/>
                <w:sz w:val="24"/>
              </w:rPr>
              <w:t>本项目在生产过程中产生</w:t>
            </w:r>
            <w:r>
              <w:rPr>
                <w:rFonts w:hint="eastAsia"/>
                <w:color w:val="262626"/>
                <w:sz w:val="24"/>
                <w:lang w:eastAsia="zh-CN"/>
              </w:rPr>
              <w:t>的</w:t>
            </w:r>
            <w:r>
              <w:rPr>
                <w:rFonts w:hint="eastAsia"/>
                <w:color w:val="262626"/>
                <w:sz w:val="24"/>
                <w:lang w:val="en-US" w:eastAsia="zh-CN"/>
              </w:rPr>
              <w:t>不合格产品</w:t>
            </w:r>
            <w:r>
              <w:rPr>
                <w:rFonts w:hint="eastAsia"/>
                <w:color w:val="000000"/>
                <w:sz w:val="24"/>
                <w:lang w:val="en-US" w:eastAsia="zh-CN"/>
              </w:rPr>
              <w:t>属于一般工业固体废物</w:t>
            </w:r>
            <w:r>
              <w:rPr>
                <w:color w:val="262626"/>
                <w:sz w:val="24"/>
              </w:rPr>
              <w:t>等一般工业固废，经</w:t>
            </w:r>
            <w:r>
              <w:rPr>
                <w:rFonts w:hint="eastAsia"/>
                <w:color w:val="262626"/>
                <w:sz w:val="24"/>
              </w:rPr>
              <w:t>分类</w:t>
            </w:r>
            <w:r>
              <w:rPr>
                <w:color w:val="262626"/>
                <w:sz w:val="24"/>
              </w:rPr>
              <w:t>收集后出售给回收企业回收利用</w:t>
            </w:r>
            <w:r>
              <w:rPr>
                <w:rFonts w:hint="eastAsia"/>
                <w:color w:val="262626"/>
                <w:sz w:val="24"/>
              </w:rPr>
              <w:t>或自行综合利用</w:t>
            </w:r>
            <w:r>
              <w:rPr>
                <w:color w:val="262626"/>
                <w:sz w:val="24"/>
              </w:rPr>
              <w:t>，本评价要求项目产生的一般工业固废应按《一般工业固体废物贮存和填埋污染控制标准》</w:t>
            </w:r>
            <w:r>
              <w:rPr>
                <w:rFonts w:hint="eastAsia"/>
                <w:color w:val="262626"/>
                <w:sz w:val="24"/>
                <w:lang w:eastAsia="zh-CN"/>
              </w:rPr>
              <w:t>（</w:t>
            </w:r>
            <w:r>
              <w:rPr>
                <w:color w:val="262626"/>
                <w:sz w:val="24"/>
              </w:rPr>
              <w:t>GB18599-2020</w:t>
            </w:r>
            <w:r>
              <w:rPr>
                <w:rFonts w:hint="eastAsia"/>
                <w:color w:val="262626"/>
                <w:sz w:val="24"/>
                <w:lang w:eastAsia="zh-CN"/>
              </w:rPr>
              <w:t>）</w:t>
            </w:r>
            <w:r>
              <w:rPr>
                <w:color w:val="262626"/>
                <w:sz w:val="24"/>
              </w:rPr>
              <w:t>要求进行规范化的</w:t>
            </w:r>
            <w:r>
              <w:rPr>
                <w:rFonts w:hint="eastAsia"/>
                <w:color w:val="262626"/>
                <w:sz w:val="24"/>
              </w:rPr>
              <w:t>暂存管理</w:t>
            </w:r>
            <w:r>
              <w:rPr>
                <w:color w:val="262626"/>
                <w:sz w:val="24"/>
              </w:rPr>
              <w:t>，并做好</w:t>
            </w:r>
            <w:r>
              <w:rPr>
                <w:rFonts w:hint="eastAsia"/>
                <w:color w:val="262626"/>
                <w:sz w:val="24"/>
              </w:rPr>
              <w:t>防雨、防漏、防渗</w:t>
            </w:r>
            <w:r>
              <w:rPr>
                <w:color w:val="262626"/>
                <w:sz w:val="24"/>
              </w:rPr>
              <w:t>等措施。</w:t>
            </w:r>
          </w:p>
          <w:p w14:paraId="7E25CB6F">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204" w:name="_Toc4534"/>
            <w:bookmarkStart w:id="205" w:name="_Toc30940"/>
            <w:r>
              <w:rPr>
                <w:rFonts w:hint="eastAsia"/>
                <w:b/>
                <w:color w:val="262626"/>
                <w:kern w:val="0"/>
                <w:sz w:val="24"/>
                <w:lang w:val="zh-CN" w:eastAsia="zh-CN"/>
              </w:rPr>
              <w:t>4.4.3危险废物管理要求</w:t>
            </w:r>
            <w:bookmarkEnd w:id="204"/>
            <w:bookmarkEnd w:id="205"/>
          </w:p>
          <w:p w14:paraId="45D60376">
            <w:pPr>
              <w:pStyle w:val="36"/>
              <w:spacing w:line="360" w:lineRule="auto"/>
              <w:ind w:firstLine="480"/>
              <w:rPr>
                <w:rFonts w:hint="eastAsia" w:cs="Times New Roman"/>
                <w:color w:val="262626"/>
                <w:kern w:val="2"/>
                <w:sz w:val="24"/>
                <w:szCs w:val="24"/>
                <w:lang w:val="en-US" w:eastAsia="zh-CN" w:bidi="ar-SA"/>
              </w:rPr>
            </w:pPr>
            <w:r>
              <w:rPr>
                <w:rFonts w:hint="eastAsia"/>
                <w:color w:val="000000"/>
                <w:sz w:val="24"/>
                <w:lang w:val="en-US" w:eastAsia="zh-CN"/>
              </w:rPr>
              <w:t>本项目运营期内所产生的危险废物为废气处理设施产生的废活性炭、设备维护保养时产生的废液压油、冷却水循环沉淀池产生的污泥</w:t>
            </w:r>
          </w:p>
          <w:p w14:paraId="2621BCB3">
            <w:pPr>
              <w:pStyle w:val="36"/>
              <w:spacing w:line="360" w:lineRule="auto"/>
              <w:ind w:firstLine="480"/>
              <w:rPr>
                <w:rFonts w:ascii="Times New Roman" w:hAnsi="Times New Roman" w:eastAsia="宋体" w:cs="Times New Roman"/>
                <w:color w:val="262626"/>
                <w:kern w:val="2"/>
                <w:sz w:val="24"/>
                <w:szCs w:val="24"/>
                <w:lang w:val="en-US" w:eastAsia="zh-CN" w:bidi="ar-SA"/>
              </w:rPr>
            </w:pPr>
            <w:r>
              <w:rPr>
                <w:rFonts w:hint="eastAsia" w:cs="Times New Roman"/>
                <w:color w:val="262626"/>
                <w:kern w:val="2"/>
                <w:sz w:val="24"/>
                <w:szCs w:val="24"/>
                <w:lang w:val="en-US" w:eastAsia="zh-CN" w:bidi="ar-SA"/>
              </w:rPr>
              <w:t>本项目危险废物为</w:t>
            </w:r>
            <w:r>
              <w:rPr>
                <w:rFonts w:hint="eastAsia" w:ascii="Times New Roman" w:hAnsi="Times New Roman" w:eastAsia="宋体" w:cs="Times New Roman"/>
                <w:color w:val="262626"/>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4697FA5D">
            <w:pPr>
              <w:spacing w:line="360" w:lineRule="auto"/>
              <w:ind w:firstLine="480" w:firstLineChars="200"/>
              <w:rPr>
                <w:rFonts w:hint="eastAsia"/>
                <w:color w:val="262626"/>
                <w:sz w:val="24"/>
              </w:rPr>
            </w:pPr>
            <w:r>
              <w:rPr>
                <w:rFonts w:hint="eastAsia"/>
                <w:color w:val="262626"/>
                <w:sz w:val="24"/>
                <w:lang w:eastAsia="zh-CN"/>
              </w:rPr>
              <w:t>（</w:t>
            </w:r>
            <w:r>
              <w:rPr>
                <w:rFonts w:hint="eastAsia"/>
                <w:color w:val="262626"/>
                <w:sz w:val="24"/>
                <w:lang w:val="en-US" w:eastAsia="zh-CN"/>
              </w:rPr>
              <w:t>1）</w:t>
            </w:r>
            <w:r>
              <w:rPr>
                <w:rFonts w:hint="eastAsia"/>
                <w:color w:val="262626"/>
                <w:sz w:val="24"/>
              </w:rPr>
              <w:t>危险废物的收集包装</w:t>
            </w:r>
          </w:p>
          <w:p w14:paraId="1E49B3EA">
            <w:pPr>
              <w:spacing w:line="360" w:lineRule="auto"/>
              <w:ind w:firstLine="480" w:firstLineChars="200"/>
              <w:rPr>
                <w:rFonts w:hint="eastAsia"/>
                <w:color w:val="262626"/>
                <w:sz w:val="24"/>
              </w:rPr>
            </w:pPr>
            <w:r>
              <w:rPr>
                <w:rFonts w:hint="eastAsia"/>
                <w:color w:val="262626"/>
                <w:sz w:val="24"/>
                <w:lang w:val="en-US" w:eastAsia="zh-CN"/>
              </w:rPr>
              <w:t>①</w:t>
            </w:r>
            <w:r>
              <w:rPr>
                <w:rFonts w:hint="eastAsia"/>
                <w:color w:val="262626"/>
                <w:sz w:val="24"/>
              </w:rPr>
              <w:t>有符合要求的包装容器、收集人员的个人防护设备；</w:t>
            </w:r>
          </w:p>
          <w:p w14:paraId="573BB187">
            <w:pPr>
              <w:spacing w:line="360" w:lineRule="auto"/>
              <w:ind w:firstLine="480" w:firstLineChars="200"/>
              <w:rPr>
                <w:rFonts w:hint="eastAsia"/>
                <w:color w:val="262626"/>
                <w:sz w:val="24"/>
              </w:rPr>
            </w:pPr>
            <w:r>
              <w:rPr>
                <w:rFonts w:hint="eastAsia"/>
                <w:color w:val="262626"/>
                <w:sz w:val="24"/>
                <w:lang w:val="en-US" w:eastAsia="zh-CN"/>
              </w:rPr>
              <w:t>②</w:t>
            </w:r>
            <w:r>
              <w:rPr>
                <w:rFonts w:hint="eastAsia"/>
                <w:color w:val="262626"/>
                <w:sz w:val="24"/>
              </w:rPr>
              <w:t>危险废物的收集容器应在醒目位置贴有危险废物标签，在收集场所醒目的地方设置危险废物警告标识。</w:t>
            </w:r>
          </w:p>
          <w:p w14:paraId="74595880">
            <w:pPr>
              <w:spacing w:line="360" w:lineRule="auto"/>
              <w:ind w:firstLine="480" w:firstLineChars="200"/>
              <w:rPr>
                <w:rFonts w:hint="eastAsia" w:eastAsia="宋体"/>
                <w:color w:val="262626"/>
                <w:sz w:val="24"/>
                <w:lang w:eastAsia="zh-CN"/>
              </w:rPr>
            </w:pPr>
            <w:r>
              <w:rPr>
                <w:rFonts w:hint="eastAsia"/>
                <w:color w:val="262626"/>
                <w:sz w:val="24"/>
                <w:lang w:val="en-US" w:eastAsia="zh-CN"/>
              </w:rPr>
              <w:t>③</w:t>
            </w:r>
            <w:r>
              <w:rPr>
                <w:rFonts w:hint="eastAsia"/>
                <w:color w:val="262626"/>
                <w:sz w:val="24"/>
              </w:rPr>
              <w:t>危险废物标签应标明以下信息：主要化学成分或危险废物名称、数量、物理形态、危险类别、安全措施以及危险废物产生单位名称、地址、联系人及电话。</w:t>
            </w:r>
          </w:p>
          <w:p w14:paraId="195DB2A5">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2）</w:t>
            </w:r>
            <w:r>
              <w:rPr>
                <w:rFonts w:hint="eastAsia" w:ascii="Times New Roman" w:hAnsi="Times New Roman" w:eastAsia="宋体" w:cs="Times New Roman"/>
                <w:color w:val="262626"/>
                <w:sz w:val="24"/>
              </w:rPr>
              <w:t>危险废物的暂存要求</w:t>
            </w:r>
          </w:p>
          <w:p w14:paraId="4C683F70">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a.一般规定：</w:t>
            </w:r>
          </w:p>
          <w:p w14:paraId="13056CFD">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①应根据危险废物的形态、物理化学性质、包装形式和污染物迁移途径，采取必要的防风、防晒、防雨、防漏、防渗、防腐以及其他环境污染防治措施，不应露天堆放危险废物；</w:t>
            </w:r>
          </w:p>
          <w:p w14:paraId="66AF51BD">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②应根据危险废物的类别、数量、形态、物理化学性质和污染防治等要求设置必要的贮存分区，避免不相容的危险废物接触、混合；</w:t>
            </w:r>
          </w:p>
          <w:p w14:paraId="48F54505">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③地面、墙面</w:t>
            </w:r>
            <w:r>
              <w:rPr>
                <w:rFonts w:hint="eastAsia" w:cs="Times New Roman"/>
                <w:color w:val="262626"/>
                <w:sz w:val="24"/>
                <w:lang w:eastAsia="zh-CN"/>
              </w:rPr>
              <w:t>裙角</w:t>
            </w:r>
            <w:r>
              <w:rPr>
                <w:rFonts w:hint="eastAsia" w:ascii="Times New Roman" w:hAnsi="Times New Roman" w:eastAsia="宋体" w:cs="Times New Roman"/>
                <w:color w:val="262626"/>
                <w:sz w:val="24"/>
              </w:rPr>
              <w:t>、堵截泄漏的围堰、接触危险废物的隔板和墙体等应采用坚固的材料建造，表面无裂缝；</w:t>
            </w:r>
          </w:p>
          <w:p w14:paraId="01F904FA">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④地面与裙脚应采取表面防渗措施</w:t>
            </w:r>
            <w:r>
              <w:rPr>
                <w:rFonts w:hint="eastAsia" w:cs="Times New Roman"/>
                <w:color w:val="262626"/>
                <w:sz w:val="24"/>
                <w:lang w:eastAsia="zh-CN"/>
              </w:rPr>
              <w:t>；</w:t>
            </w:r>
            <w:r>
              <w:rPr>
                <w:rFonts w:hint="eastAsia" w:ascii="Times New Roman" w:hAnsi="Times New Roman" w:eastAsia="宋体" w:cs="Times New Roman"/>
                <w:color w:val="262626"/>
                <w:sz w:val="24"/>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262626"/>
                <w:sz w:val="24"/>
                <w:vertAlign w:val="superscript"/>
                <w:lang w:val="en-US" w:eastAsia="zh-CN"/>
              </w:rPr>
              <w:t>-7</w:t>
            </w:r>
            <w:r>
              <w:rPr>
                <w:rFonts w:hint="eastAsia" w:ascii="Times New Roman" w:hAnsi="Times New Roman" w:eastAsia="宋体" w:cs="Times New Roman"/>
                <w:color w:val="262626"/>
                <w:sz w:val="24"/>
              </w:rPr>
              <w:t>cm/s），或至少2mm厚高密度聚乙烯膜等人工防渗材料（渗透系数不大于10</w:t>
            </w:r>
            <w:r>
              <w:rPr>
                <w:rFonts w:hint="eastAsia" w:cs="Times New Roman"/>
                <w:color w:val="262626"/>
                <w:sz w:val="24"/>
                <w:vertAlign w:val="superscript"/>
                <w:lang w:val="en-US" w:eastAsia="zh-CN"/>
              </w:rPr>
              <w:t>-1</w:t>
            </w:r>
            <w:r>
              <w:rPr>
                <w:rFonts w:hint="eastAsia" w:ascii="Times New Roman" w:hAnsi="Times New Roman" w:eastAsia="宋体" w:cs="Times New Roman"/>
                <w:color w:val="262626"/>
                <w:sz w:val="24"/>
                <w:vertAlign w:val="superscript"/>
              </w:rPr>
              <w:t>0</w:t>
            </w:r>
            <w:r>
              <w:rPr>
                <w:rFonts w:hint="eastAsia" w:ascii="Times New Roman" w:hAnsi="Times New Roman" w:eastAsia="宋体" w:cs="Times New Roman"/>
                <w:color w:val="262626"/>
                <w:sz w:val="24"/>
              </w:rPr>
              <w:t>cm/s），或其他防渗性能等效的材料；</w:t>
            </w:r>
          </w:p>
          <w:p w14:paraId="14F049BE">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⑤应采取技术和管理措施防止无关人员进入。</w:t>
            </w:r>
          </w:p>
          <w:p w14:paraId="34F4195D">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val="en-US" w:eastAsia="zh-CN"/>
              </w:rPr>
              <w:t>（3）</w:t>
            </w:r>
            <w:r>
              <w:rPr>
                <w:rFonts w:hint="eastAsia" w:ascii="Times New Roman" w:hAnsi="Times New Roman" w:eastAsia="宋体" w:cs="Times New Roman"/>
                <w:color w:val="262626"/>
                <w:sz w:val="24"/>
              </w:rPr>
              <w:t>危险废物转移要求</w:t>
            </w:r>
          </w:p>
          <w:p w14:paraId="4ABA21D1">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根据《危险废物转移管理办法》，危险废物转移过程应满足以下要求：</w:t>
            </w:r>
          </w:p>
          <w:p w14:paraId="2106BE30">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①危险废物转移联单应当根据危险废物管理计划中填报的危险废物转移等备案信息填写、运行。</w:t>
            </w:r>
          </w:p>
          <w:p w14:paraId="07B66EB6">
            <w:pPr>
              <w:pStyle w:val="64"/>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2C75B205">
            <w:pPr>
              <w:pStyle w:val="64"/>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6FC368CF">
            <w:pPr>
              <w:pStyle w:val="64"/>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6CFED123">
            <w:pPr>
              <w:pStyle w:val="64"/>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752C361F">
            <w:pPr>
              <w:pStyle w:val="64"/>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4574A702">
            <w:pPr>
              <w:pStyle w:val="64"/>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2E3BE077">
            <w:pPr>
              <w:pStyle w:val="64"/>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w:t>
            </w:r>
            <w:r>
              <w:rPr>
                <w:rFonts w:hint="eastAsia" w:cs="Times New Roman"/>
                <w:color w:val="auto"/>
                <w:lang w:eastAsia="zh-CN"/>
              </w:rPr>
              <w:t>程中</w:t>
            </w:r>
            <w:r>
              <w:rPr>
                <w:rFonts w:hint="eastAsia" w:ascii="Times New Roman" w:hAnsi="Times New Roman" w:eastAsia="宋体" w:cs="Times New Roman"/>
                <w:color w:val="auto"/>
              </w:rPr>
              <w:t>需注意：</w:t>
            </w:r>
          </w:p>
          <w:p w14:paraId="46E921C0">
            <w:pPr>
              <w:pStyle w:val="64"/>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0C3EEC82">
            <w:pPr>
              <w:pStyle w:val="64"/>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0CF6F7C6">
            <w:pPr>
              <w:pStyle w:val="64"/>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4E86798A">
            <w:pPr>
              <w:pStyle w:val="64"/>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748EEB0C">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206" w:name="_Toc26263"/>
            <w:bookmarkStart w:id="207" w:name="_Toc19317"/>
            <w:r>
              <w:rPr>
                <w:rFonts w:hint="eastAsia" w:ascii="Times New Roman" w:hAnsi="Times New Roman" w:eastAsia="宋体" w:cs="Times New Roman"/>
                <w:color w:val="auto"/>
                <w:sz w:val="28"/>
                <w:szCs w:val="28"/>
                <w:u w:val="none"/>
                <w:lang w:val="en-US" w:eastAsia="zh-CN"/>
              </w:rPr>
              <w:t>4.5地下水、土壤环境影响和保护措施</w:t>
            </w:r>
            <w:bookmarkEnd w:id="206"/>
            <w:bookmarkEnd w:id="207"/>
          </w:p>
          <w:p w14:paraId="361D519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208" w:name="_Toc22084"/>
            <w:bookmarkStart w:id="209" w:name="_Toc11459"/>
            <w:r>
              <w:rPr>
                <w:rFonts w:hint="eastAsia"/>
                <w:b/>
                <w:color w:val="262626"/>
                <w:kern w:val="0"/>
                <w:sz w:val="24"/>
                <w:lang w:val="zh-CN" w:eastAsia="zh-CN"/>
              </w:rPr>
              <w:t>4.5.1地下水、土壤环境影响分析</w:t>
            </w:r>
            <w:bookmarkEnd w:id="208"/>
            <w:bookmarkEnd w:id="209"/>
          </w:p>
          <w:p w14:paraId="19C4EA1E">
            <w:pPr>
              <w:pStyle w:val="58"/>
              <w:spacing w:line="360" w:lineRule="auto"/>
              <w:ind w:firstLine="480"/>
              <w:rPr>
                <w:rFonts w:hint="eastAsia" w:ascii="Times New Roman" w:hAnsi="Times New Roman"/>
                <w:bCs w:val="0"/>
                <w:color w:val="262626"/>
                <w:szCs w:val="24"/>
              </w:rPr>
            </w:pPr>
            <w:r>
              <w:rPr>
                <w:rFonts w:hint="eastAsia" w:ascii="Times New Roman" w:hAnsi="Times New Roman"/>
                <w:bCs w:val="0"/>
                <w:color w:val="262626"/>
                <w:szCs w:val="24"/>
              </w:rPr>
              <w:t>地下水环境：</w:t>
            </w:r>
            <w:r>
              <w:rPr>
                <w:rFonts w:ascii="Times New Roman" w:hAnsi="Times New Roman"/>
                <w:bCs w:val="0"/>
                <w:color w:val="262626"/>
                <w:szCs w:val="24"/>
              </w:rPr>
              <w:t>本项目生活用水全部采用自来水，不取用地下水，项目对区域地下水环境可能造成影响的污染源主要是化粪池、危废暂存间。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化粪池</w:t>
            </w:r>
            <w:r>
              <w:rPr>
                <w:rFonts w:hint="eastAsia" w:ascii="Times New Roman" w:hAnsi="Times New Roman"/>
                <w:bCs w:val="0"/>
                <w:color w:val="262626"/>
                <w:szCs w:val="24"/>
              </w:rPr>
              <w:t>、</w:t>
            </w:r>
            <w:r>
              <w:rPr>
                <w:rFonts w:hint="eastAsia"/>
                <w:bCs w:val="0"/>
                <w:color w:val="262626"/>
                <w:szCs w:val="24"/>
                <w:lang w:val="en-US" w:eastAsia="zh-CN"/>
              </w:rPr>
              <w:t>危险废物贮存</w:t>
            </w:r>
            <w:r>
              <w:rPr>
                <w:rFonts w:ascii="Times New Roman" w:hAnsi="Times New Roman"/>
                <w:bCs w:val="0"/>
                <w:color w:val="262626"/>
                <w:szCs w:val="24"/>
              </w:rPr>
              <w:t>场地、污水管网系统堵塞、管道破裂破损情况下等污水下渗对地下水造成的污染</w:t>
            </w:r>
            <w:r>
              <w:rPr>
                <w:rFonts w:hint="eastAsia" w:ascii="Times New Roman" w:hAnsi="Times New Roman"/>
                <w:bCs w:val="0"/>
                <w:color w:val="262626"/>
                <w:szCs w:val="24"/>
              </w:rPr>
              <w:t>。</w:t>
            </w:r>
          </w:p>
          <w:p w14:paraId="19F3B0CB">
            <w:pPr>
              <w:pStyle w:val="58"/>
              <w:spacing w:line="360" w:lineRule="auto"/>
              <w:ind w:firstLine="480"/>
              <w:rPr>
                <w:rFonts w:ascii="Times New Roman" w:hAnsi="Times New Roman"/>
                <w:bCs w:val="0"/>
                <w:color w:val="262626"/>
                <w:szCs w:val="24"/>
              </w:rPr>
            </w:pPr>
            <w:r>
              <w:rPr>
                <w:rFonts w:hint="eastAsia" w:ascii="Times New Roman" w:hAnsi="Times New Roman"/>
                <w:bCs w:val="0"/>
                <w:color w:val="262626"/>
                <w:szCs w:val="24"/>
              </w:rPr>
              <w:t>土壤环境：</w:t>
            </w:r>
            <w:r>
              <w:rPr>
                <w:rFonts w:ascii="Times New Roman" w:hAnsi="Times New Roman"/>
                <w:bCs w:val="0"/>
                <w:color w:val="262626"/>
                <w:szCs w:val="24"/>
              </w:rPr>
              <w:t>项目对区域</w:t>
            </w:r>
            <w:r>
              <w:rPr>
                <w:rFonts w:hint="eastAsia" w:ascii="Times New Roman" w:hAnsi="Times New Roman"/>
                <w:bCs w:val="0"/>
                <w:color w:val="262626"/>
                <w:szCs w:val="24"/>
              </w:rPr>
              <w:t>土壤</w:t>
            </w:r>
            <w:r>
              <w:rPr>
                <w:rFonts w:ascii="Times New Roman" w:hAnsi="Times New Roman"/>
                <w:bCs w:val="0"/>
                <w:color w:val="262626"/>
                <w:szCs w:val="24"/>
              </w:rPr>
              <w:t>环境可能造成影响的污染源主要是</w:t>
            </w:r>
            <w:r>
              <w:rPr>
                <w:rFonts w:hint="eastAsia" w:ascii="Times New Roman" w:hAnsi="Times New Roman"/>
                <w:bCs w:val="0"/>
                <w:color w:val="262626"/>
                <w:szCs w:val="24"/>
              </w:rPr>
              <w:t>生产产生的有机废气沉降、</w:t>
            </w:r>
            <w:r>
              <w:rPr>
                <w:rFonts w:ascii="Times New Roman" w:hAnsi="Times New Roman"/>
                <w:bCs w:val="0"/>
                <w:color w:val="262626"/>
                <w:szCs w:val="24"/>
              </w:rPr>
              <w:t>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有机废气大气沉降影响，以及废水设施及排放管道发生泄漏和危险废物贮存、运输过程中发生泄漏或渗漏，污染因子受土壤的截留作用，因而改变土壤理化性质，影响植物的生长和发育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262626"/>
                <w:szCs w:val="24"/>
              </w:rPr>
              <w:t>。</w:t>
            </w:r>
          </w:p>
          <w:p w14:paraId="07F05FB0">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210" w:name="_Toc32750"/>
            <w:bookmarkStart w:id="211" w:name="_Toc19666"/>
            <w:r>
              <w:rPr>
                <w:rFonts w:hint="eastAsia"/>
                <w:b/>
                <w:color w:val="262626"/>
                <w:kern w:val="0"/>
                <w:sz w:val="24"/>
                <w:lang w:val="zh-CN" w:eastAsia="zh-CN"/>
              </w:rPr>
              <w:t>4.5.2地下水、土壤环境防控措施</w:t>
            </w:r>
            <w:bookmarkEnd w:id="210"/>
            <w:bookmarkEnd w:id="211"/>
          </w:p>
          <w:p w14:paraId="141F2B0E">
            <w:pPr>
              <w:pStyle w:val="58"/>
              <w:spacing w:line="360" w:lineRule="auto"/>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1）重点污染区防渗措施为：</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的要求，重点防治区的防渗性能应等效黏土防渗层≥6.0m，渗透系数≤1.0×10</w:t>
            </w:r>
            <w:r>
              <w:rPr>
                <w:rFonts w:hint="eastAsia"/>
                <w:color w:val="262626"/>
                <w:kern w:val="0"/>
                <w:lang w:eastAsia="zh-CN"/>
              </w:rPr>
              <w:t>—</w:t>
            </w:r>
            <w:r>
              <w:rPr>
                <w:rFonts w:ascii="Times New Roman" w:hAnsi="Times New Roman"/>
                <w:color w:val="262626"/>
                <w:kern w:val="0"/>
                <w:vertAlign w:val="superscript"/>
              </w:rPr>
              <w:t>7</w:t>
            </w:r>
            <w:r>
              <w:rPr>
                <w:rFonts w:ascii="Times New Roman" w:hAnsi="Times New Roman"/>
                <w:color w:val="262626"/>
                <w:kern w:val="0"/>
              </w:rPr>
              <w:t>cm/s。危险废物暂存场重点防渗区应按照《危险废物污染防治技术政策》及</w:t>
            </w:r>
            <w:r>
              <w:rPr>
                <w:rFonts w:ascii="Times New Roman" w:hAnsi="Times New Roman"/>
                <w:color w:val="262626"/>
              </w:rPr>
              <w:t>《危险废物贮存污染控制标准》</w:t>
            </w:r>
            <w:r>
              <w:rPr>
                <w:rFonts w:hint="eastAsia"/>
                <w:color w:val="262626"/>
                <w:lang w:eastAsia="zh-CN"/>
              </w:rPr>
              <w:t>（</w:t>
            </w:r>
            <w:r>
              <w:rPr>
                <w:rFonts w:ascii="Times New Roman" w:hAnsi="Times New Roman"/>
                <w:color w:val="262626"/>
              </w:rPr>
              <w:t>GB18597-2023</w:t>
            </w:r>
            <w:r>
              <w:rPr>
                <w:rFonts w:hint="eastAsia"/>
                <w:color w:val="262626"/>
                <w:lang w:eastAsia="zh-CN"/>
              </w:rPr>
              <w:t>）</w:t>
            </w:r>
            <w:r>
              <w:rPr>
                <w:rFonts w:ascii="Times New Roman" w:hAnsi="Times New Roman"/>
                <w:color w:val="262626"/>
                <w:kern w:val="0"/>
              </w:rPr>
              <w:t>等危险废物处理的相关标准、法律法规的要求</w:t>
            </w:r>
            <w:r>
              <w:rPr>
                <w:rFonts w:ascii="Times New Roman" w:hAnsi="Times New Roman"/>
                <w:szCs w:val="24"/>
              </w:rPr>
              <w:t>；</w:t>
            </w:r>
          </w:p>
          <w:p w14:paraId="6F79D903">
            <w:pPr>
              <w:pStyle w:val="58"/>
              <w:spacing w:line="360" w:lineRule="auto"/>
              <w:ind w:firstLine="480"/>
              <w:rPr>
                <w:color w:val="262626"/>
              </w:rPr>
            </w:pPr>
            <w:bookmarkStart w:id="212" w:name="_Toc12701"/>
            <w:bookmarkStart w:id="213" w:name="_Toc15205"/>
            <w:bookmarkStart w:id="214" w:name="_Toc9711"/>
            <w:bookmarkStart w:id="215" w:name="_Toc19130"/>
            <w:bookmarkStart w:id="216" w:name="_Toc3195"/>
            <w:r>
              <w:rPr>
                <w:rFonts w:ascii="Times New Roman" w:hAnsi="Times New Roman"/>
                <w:szCs w:val="24"/>
              </w:rPr>
              <w:t>（2）一般污染区防渗措施：</w:t>
            </w:r>
            <w:r>
              <w:rPr>
                <w:rFonts w:ascii="Times New Roman" w:hAnsi="Times New Roman"/>
                <w:color w:val="262626"/>
                <w:szCs w:val="24"/>
              </w:rPr>
              <w:t>一般工业固废间、项目生产车间、</w:t>
            </w:r>
            <w:r>
              <w:rPr>
                <w:rFonts w:ascii="Times New Roman" w:hAnsi="Times New Roman"/>
                <w:szCs w:val="24"/>
              </w:rPr>
              <w:t>化粪池地面采取防渗水泥固化。</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，一般防渗区的防渗性能等效黏土防渗层≥1.5m，渗透系数≤1.0×10</w:t>
            </w:r>
            <w:r>
              <w:rPr>
                <w:rFonts w:hint="eastAsia"/>
                <w:color w:val="262626"/>
                <w:kern w:val="0"/>
                <w:lang w:eastAsia="zh-CN"/>
              </w:rPr>
              <w:t>—</w:t>
            </w:r>
            <w:r>
              <w:rPr>
                <w:rFonts w:ascii="Times New Roman" w:hAnsi="Times New Roman"/>
                <w:color w:val="262626"/>
                <w:kern w:val="0"/>
                <w:vertAlign w:val="superscript"/>
              </w:rPr>
              <w:t>7</w:t>
            </w:r>
            <w:r>
              <w:rPr>
                <w:rFonts w:ascii="Times New Roman" w:hAnsi="Times New Roman"/>
                <w:color w:val="262626"/>
                <w:kern w:val="0"/>
              </w:rPr>
              <w:t>cm/s。一般工业固体废物暂存场一般防渗区应按照</w:t>
            </w:r>
            <w:r>
              <w:rPr>
                <w:rFonts w:ascii="Times New Roman" w:hAnsi="Times New Roman"/>
                <w:color w:val="262626"/>
              </w:rPr>
              <w:t>《一般工业固体废物贮存和填埋污染控制标准》</w:t>
            </w:r>
            <w:r>
              <w:rPr>
                <w:rFonts w:hint="eastAsia"/>
                <w:color w:val="262626"/>
                <w:lang w:eastAsia="zh-CN"/>
              </w:rPr>
              <w:t>（</w:t>
            </w:r>
            <w:r>
              <w:rPr>
                <w:rFonts w:ascii="Times New Roman" w:hAnsi="Times New Roman"/>
                <w:color w:val="262626"/>
              </w:rPr>
              <w:t>GB18599-2020</w:t>
            </w:r>
            <w:r>
              <w:rPr>
                <w:rFonts w:hint="eastAsia"/>
                <w:color w:val="262626"/>
                <w:lang w:eastAsia="zh-CN"/>
              </w:rPr>
              <w:t>）</w:t>
            </w:r>
            <w:r>
              <w:rPr>
                <w:rFonts w:ascii="Times New Roman" w:hAnsi="Times New Roman"/>
                <w:color w:val="262626"/>
              </w:rPr>
              <w:t>中要求</w:t>
            </w:r>
            <w:r>
              <w:rPr>
                <w:rFonts w:ascii="Times New Roman" w:hAnsi="Times New Roman"/>
                <w:color w:val="262626"/>
                <w:kern w:val="0"/>
              </w:rPr>
              <w:t>进行设计</w:t>
            </w:r>
            <w:r>
              <w:rPr>
                <w:rFonts w:hint="eastAsia"/>
                <w:color w:val="262626"/>
                <w:kern w:val="0"/>
                <w:lang w:eastAsia="zh-CN"/>
              </w:rPr>
              <w:t>且</w:t>
            </w:r>
            <w:r>
              <w:rPr>
                <w:rFonts w:ascii="Times New Roman" w:hAnsi="Times New Roman"/>
                <w:color w:val="262626"/>
              </w:rPr>
              <w:t>具有防雨、防渗、防</w:t>
            </w:r>
            <w:r>
              <w:rPr>
                <w:color w:val="262626"/>
              </w:rPr>
              <w:t>风、防日晒的功能。</w:t>
            </w:r>
          </w:p>
          <w:bookmarkEnd w:id="212"/>
          <w:bookmarkEnd w:id="213"/>
          <w:bookmarkEnd w:id="214"/>
          <w:bookmarkEnd w:id="215"/>
          <w:bookmarkEnd w:id="216"/>
          <w:p w14:paraId="7DE85797">
            <w:pPr>
              <w:pStyle w:val="58"/>
              <w:spacing w:line="360" w:lineRule="auto"/>
              <w:ind w:firstLine="480"/>
              <w:rPr>
                <w:rFonts w:hint="eastAsia" w:ascii="Times New Roman" w:hAnsi="Times New Roman"/>
                <w:szCs w:val="24"/>
              </w:rPr>
            </w:pPr>
            <w:r>
              <w:rPr>
                <w:rFonts w:ascii="Times New Roman" w:hAnsi="Times New Roman"/>
                <w:szCs w:val="24"/>
              </w:rPr>
              <w:t>（3）污水管网系统堵塞、管道破裂、破损情况</w:t>
            </w:r>
            <w:r>
              <w:rPr>
                <w:rFonts w:hint="eastAsia"/>
                <w:szCs w:val="24"/>
                <w:lang w:eastAsia="zh-CN"/>
              </w:rPr>
              <w:t>下</w:t>
            </w:r>
            <w:r>
              <w:rPr>
                <w:rFonts w:ascii="Times New Roman" w:hAnsi="Times New Roman"/>
                <w:szCs w:val="24"/>
              </w:rPr>
              <w:t>污水下渗可能会对地下水造成污染，但这种情况发生的</w:t>
            </w:r>
            <w:r>
              <w:rPr>
                <w:rFonts w:hint="eastAsia"/>
                <w:szCs w:val="24"/>
                <w:lang w:eastAsia="zh-CN"/>
              </w:rPr>
              <w:t>概率</w:t>
            </w:r>
            <w:r>
              <w:rPr>
                <w:rFonts w:ascii="Times New Roman" w:hAnsi="Times New Roman"/>
                <w:szCs w:val="24"/>
              </w:rPr>
              <w:t>很小，其避免措施是：在污水管道设计中，要选择适当的设计流速和充满度，防止污泥沉积；选择合适的防腐管材，注意其封闭性，防止污水</w:t>
            </w:r>
            <w:r>
              <w:rPr>
                <w:rFonts w:hint="eastAsia"/>
                <w:szCs w:val="24"/>
                <w:lang w:eastAsia="zh-CN"/>
              </w:rPr>
              <w:t>“</w:t>
            </w:r>
            <w:r>
              <w:rPr>
                <w:rFonts w:ascii="Times New Roman" w:hAnsi="Times New Roman"/>
                <w:szCs w:val="24"/>
              </w:rPr>
              <w:t>跑、冒、滴、漏</w:t>
            </w:r>
            <w:r>
              <w:rPr>
                <w:rFonts w:hint="eastAsia"/>
                <w:szCs w:val="24"/>
                <w:lang w:eastAsia="zh-CN"/>
              </w:rPr>
              <w:t>”</w:t>
            </w:r>
            <w:r>
              <w:rPr>
                <w:rFonts w:ascii="Times New Roman" w:hAnsi="Times New Roman"/>
                <w:szCs w:val="24"/>
              </w:rPr>
              <w:t>；制定严格的污水管网维修制度；建设单位应严禁固体废物排入下水管道，环保部门应与市政部门密切配合，强化监测与管理工作</w:t>
            </w:r>
            <w:r>
              <w:rPr>
                <w:rFonts w:hint="eastAsia" w:ascii="Times New Roman" w:hAnsi="Times New Roman"/>
                <w:szCs w:val="24"/>
              </w:rPr>
              <w:t>；</w:t>
            </w:r>
          </w:p>
          <w:p w14:paraId="47245439">
            <w:pPr>
              <w:pStyle w:val="58"/>
              <w:spacing w:line="360" w:lineRule="auto"/>
              <w:ind w:firstLine="480"/>
              <w:rPr>
                <w:rFonts w:hint="eastAsia" w:ascii="Times New Roman" w:hAnsi="Times New Roman"/>
                <w:szCs w:val="24"/>
              </w:rPr>
            </w:pPr>
            <w:r>
              <w:rPr>
                <w:rFonts w:hint="eastAsia" w:ascii="Times New Roman" w:hAnsi="Times New Roman"/>
                <w:szCs w:val="24"/>
              </w:rPr>
              <w:t>（4）</w:t>
            </w:r>
            <w:r>
              <w:rPr>
                <w:rFonts w:ascii="Times New Roman" w:hAnsi="Times New Roman"/>
                <w:szCs w:val="24"/>
              </w:rPr>
              <w:t>加强废气环保设施管理，保证废气达标排放</w:t>
            </w:r>
            <w:r>
              <w:rPr>
                <w:rFonts w:hint="eastAsia" w:ascii="Times New Roman" w:hAnsi="Times New Roman"/>
                <w:szCs w:val="24"/>
              </w:rPr>
              <w:t>，减少大气沉降对地面土壤的影响；</w:t>
            </w:r>
          </w:p>
          <w:p w14:paraId="732F9479">
            <w:pPr>
              <w:pStyle w:val="11"/>
              <w:spacing w:before="0" w:after="0" w:line="360" w:lineRule="auto"/>
              <w:ind w:firstLine="480" w:firstLineChars="200"/>
              <w:rPr>
                <w:rFonts w:hint="eastAsia"/>
                <w:sz w:val="24"/>
                <w:szCs w:val="24"/>
              </w:rPr>
            </w:pPr>
            <w:r>
              <w:rPr>
                <w:rFonts w:hint="eastAsia"/>
                <w:b w:val="0"/>
                <w:bCs/>
                <w:sz w:val="24"/>
                <w:szCs w:val="24"/>
              </w:rPr>
              <w:t>跟踪监测要求：项</w:t>
            </w:r>
            <w:r>
              <w:rPr>
                <w:rFonts w:hint="eastAsia"/>
                <w:sz w:val="24"/>
                <w:szCs w:val="24"/>
              </w:rPr>
              <w:t>目已按分区防控要求提出相应的防控措施，同时项目车间地面</w:t>
            </w:r>
            <w:r>
              <w:rPr>
                <w:rFonts w:hint="eastAsia"/>
                <w:sz w:val="24"/>
                <w:szCs w:val="24"/>
                <w:lang w:val="en-US" w:eastAsia="zh-CN"/>
              </w:rPr>
              <w:t>已全部</w:t>
            </w:r>
            <w:r>
              <w:rPr>
                <w:rFonts w:hint="eastAsia"/>
                <w:sz w:val="24"/>
                <w:szCs w:val="24"/>
              </w:rPr>
              <w:t>硬化，一般情况下不会对周边地下水、土壤环境造成影响，故可不需要进行跟踪监测。</w:t>
            </w:r>
          </w:p>
          <w:p w14:paraId="4BF930DA">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5"/>
                <w:rFonts w:ascii="Times New Roman" w:hAnsi="Times New Roman"/>
                <w:b/>
                <w:bCs/>
                <w:color w:val="262626"/>
                <w:kern w:val="0"/>
                <w:sz w:val="28"/>
                <w:szCs w:val="28"/>
              </w:rPr>
            </w:pPr>
            <w:bookmarkStart w:id="217" w:name="_Toc2007"/>
            <w:bookmarkStart w:id="218" w:name="_Toc31004"/>
            <w:r>
              <w:rPr>
                <w:rStyle w:val="65"/>
                <w:rFonts w:ascii="Times New Roman" w:hAnsi="Times New Roman"/>
                <w:b/>
                <w:bCs/>
                <w:color w:val="262626"/>
                <w:kern w:val="0"/>
                <w:sz w:val="28"/>
                <w:szCs w:val="28"/>
              </w:rPr>
              <w:t>4.</w:t>
            </w:r>
            <w:r>
              <w:rPr>
                <w:rStyle w:val="65"/>
                <w:rFonts w:hint="eastAsia" w:ascii="Times New Roman" w:hAnsi="Times New Roman"/>
                <w:b/>
                <w:bCs/>
                <w:color w:val="262626"/>
                <w:kern w:val="0"/>
                <w:sz w:val="28"/>
                <w:szCs w:val="28"/>
              </w:rPr>
              <w:t>6</w:t>
            </w:r>
            <w:r>
              <w:rPr>
                <w:rStyle w:val="65"/>
                <w:rFonts w:ascii="Times New Roman" w:hAnsi="Times New Roman"/>
                <w:b/>
                <w:bCs/>
                <w:color w:val="262626"/>
                <w:kern w:val="0"/>
                <w:sz w:val="28"/>
                <w:szCs w:val="28"/>
              </w:rPr>
              <w:t>环境风险</w:t>
            </w:r>
            <w:bookmarkEnd w:id="217"/>
            <w:r>
              <w:rPr>
                <w:rStyle w:val="65"/>
                <w:rFonts w:ascii="Times New Roman" w:hAnsi="Times New Roman"/>
                <w:b/>
                <w:bCs/>
                <w:color w:val="262626"/>
                <w:kern w:val="0"/>
                <w:sz w:val="28"/>
                <w:szCs w:val="28"/>
              </w:rPr>
              <w:t>分析</w:t>
            </w:r>
            <w:bookmarkEnd w:id="218"/>
          </w:p>
          <w:p w14:paraId="7D97A19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219" w:name="_Toc28081"/>
            <w:bookmarkStart w:id="220" w:name="_Toc27752"/>
            <w:r>
              <w:rPr>
                <w:rFonts w:hint="eastAsia"/>
                <w:b/>
                <w:color w:val="262626"/>
                <w:kern w:val="0"/>
                <w:sz w:val="24"/>
                <w:lang w:val="en-US" w:eastAsia="zh-CN"/>
              </w:rPr>
              <w:t>4.6.1</w:t>
            </w:r>
            <w:r>
              <w:rPr>
                <w:rFonts w:hint="default"/>
                <w:b/>
                <w:color w:val="262626"/>
                <w:kern w:val="0"/>
                <w:sz w:val="24"/>
                <w:lang w:val="en-US" w:eastAsia="zh-CN"/>
              </w:rPr>
              <w:t>项目危险物质调查</w:t>
            </w:r>
            <w:bookmarkEnd w:id="219"/>
            <w:bookmarkEnd w:id="220"/>
          </w:p>
          <w:p w14:paraId="724A1E07">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ascii="Times New Roman" w:hAnsi="Times New Roman" w:eastAsia="宋体" w:cs="Times New Roman"/>
                <w:color w:val="auto"/>
                <w:sz w:val="24"/>
                <w:lang w:val="en-US" w:eastAsia="zh-CN"/>
              </w:rPr>
              <w:t>对照《危险化学品重大危险源辨识》（GB18218-2018）、</w:t>
            </w:r>
            <w:r>
              <w:rPr>
                <w:rFonts w:hint="default" w:ascii="Times New Roman" w:hAnsi="Times New Roman" w:eastAsia="宋体" w:cs="Times New Roman"/>
                <w:color w:val="auto"/>
                <w:sz w:val="24"/>
              </w:rPr>
              <w:t>《建设项目环境风险评价技术导则》（HJ169-2018）和《</w:t>
            </w:r>
            <w:r>
              <w:rPr>
                <w:rFonts w:hint="default" w:ascii="Times New Roman" w:hAnsi="Times New Roman" w:eastAsia="宋体" w:cs="Times New Roman"/>
                <w:color w:val="auto"/>
                <w:sz w:val="24"/>
                <w:lang w:val="en-US" w:eastAsia="zh-CN"/>
              </w:rPr>
              <w:t>关于进一步加强环境影响评价管理防范环境风险的通知》</w:t>
            </w:r>
            <w:r>
              <w:rPr>
                <w:rFonts w:hint="default" w:ascii="Times New Roman" w:hAnsi="Times New Roman" w:eastAsia="宋体" w:cs="Times New Roman"/>
                <w:color w:val="auto"/>
                <w:sz w:val="24"/>
              </w:rPr>
              <w:t>（环发</w:t>
            </w:r>
            <w:r>
              <w:rPr>
                <w:rFonts w:hint="eastAsia" w:ascii="宋体" w:hAnsi="宋体" w:eastAsia="宋体" w:cs="宋体"/>
                <w:color w:val="auto"/>
                <w:sz w:val="24"/>
                <w:lang w:val="en-US" w:eastAsia="zh-CN"/>
              </w:rPr>
              <w:t>〔2012〕77</w:t>
            </w:r>
            <w:r>
              <w:rPr>
                <w:rFonts w:hint="default" w:ascii="Times New Roman" w:hAnsi="Times New Roman" w:eastAsia="宋体" w:cs="Times New Roman"/>
                <w:color w:val="auto"/>
                <w:sz w:val="24"/>
              </w:rPr>
              <w:t>号），对环境风险源进行了识别，本项目</w:t>
            </w:r>
            <w:r>
              <w:rPr>
                <w:rFonts w:hint="eastAsia" w:ascii="Times New Roman" w:hAnsi="Times New Roman" w:eastAsia="宋体" w:cs="Times New Roman"/>
                <w:color w:val="auto"/>
                <w:sz w:val="24"/>
                <w:lang w:val="en-US" w:eastAsia="zh-CN"/>
              </w:rPr>
              <w:t>使用液压油、机油，</w:t>
            </w:r>
            <w:r>
              <w:rPr>
                <w:rFonts w:hint="default" w:ascii="Times New Roman" w:hAnsi="Times New Roman" w:eastAsia="宋体" w:cs="Times New Roman"/>
                <w:color w:val="auto"/>
                <w:sz w:val="24"/>
              </w:rPr>
              <w:t>涉及</w:t>
            </w:r>
            <w:r>
              <w:rPr>
                <w:rFonts w:hint="eastAsia" w:ascii="Times New Roman" w:hAnsi="Times New Roman" w:eastAsia="宋体" w:cs="Times New Roman"/>
                <w:color w:val="auto"/>
                <w:sz w:val="24"/>
                <w:lang w:val="en-US" w:eastAsia="zh-CN"/>
              </w:rPr>
              <w:t>突发环境风险物质中的油类物质，临界量为2500。风险物质情况</w:t>
            </w:r>
            <w:r>
              <w:rPr>
                <w:rFonts w:hint="eastAsia"/>
                <w:color w:val="auto"/>
                <w:sz w:val="24"/>
                <w:lang w:val="en-US" w:eastAsia="zh-CN"/>
              </w:rPr>
              <w:t>详见表4.6-1。</w:t>
            </w:r>
          </w:p>
          <w:p w14:paraId="6DF8B772">
            <w:pPr>
              <w:keepNext w:val="0"/>
              <w:keepLines w:val="0"/>
              <w:pageBreakBefore w:val="0"/>
              <w:widowControl w:val="0"/>
              <w:numPr>
                <w:ilvl w:val="0"/>
                <w:numId w:val="0"/>
              </w:numPr>
              <w:kinsoku/>
              <w:wordWrap/>
              <w:overflowPunct/>
              <w:topLinePunct w:val="0"/>
              <w:autoSpaceDE/>
              <w:autoSpaceDN/>
              <w:bidi w:val="0"/>
              <w:adjustRightInd/>
              <w:snapToGrid/>
              <w:spacing w:before="163" w:beforeLines="50" w:line="240" w:lineRule="auto"/>
              <w:ind w:firstLine="482" w:firstLineChars="200"/>
              <w:jc w:val="center"/>
              <w:textAlignment w:val="auto"/>
              <w:rPr>
                <w:rFonts w:hint="default" w:ascii="Times New Roman" w:hAnsi="Times New Roman" w:eastAsia="宋体" w:cs="Times New Roman"/>
                <w:b/>
                <w:bCs/>
                <w:color w:val="auto"/>
                <w:sz w:val="24"/>
              </w:rPr>
            </w:pPr>
          </w:p>
          <w:p w14:paraId="4561EE34">
            <w:pPr>
              <w:keepNext w:val="0"/>
              <w:keepLines w:val="0"/>
              <w:pageBreakBefore w:val="0"/>
              <w:widowControl w:val="0"/>
              <w:numPr>
                <w:ilvl w:val="0"/>
                <w:numId w:val="0"/>
              </w:numPr>
              <w:kinsoku/>
              <w:wordWrap/>
              <w:overflowPunct/>
              <w:topLinePunct w:val="0"/>
              <w:autoSpaceDE/>
              <w:autoSpaceDN/>
              <w:bidi w:val="0"/>
              <w:adjustRightInd/>
              <w:snapToGrid/>
              <w:spacing w:before="163" w:beforeLines="50" w:line="240" w:lineRule="auto"/>
              <w:ind w:firstLine="482" w:firstLineChars="200"/>
              <w:jc w:val="center"/>
              <w:textAlignment w:val="auto"/>
              <w:rPr>
                <w:rFonts w:hint="default" w:ascii="Times New Roman" w:hAnsi="Times New Roman" w:eastAsia="宋体" w:cs="Times New Roman"/>
                <w:b/>
                <w:bCs/>
                <w:color w:val="auto"/>
                <w:sz w:val="24"/>
              </w:rPr>
            </w:pPr>
          </w:p>
          <w:p w14:paraId="1774FD9F">
            <w:pPr>
              <w:keepNext w:val="0"/>
              <w:keepLines w:val="0"/>
              <w:pageBreakBefore w:val="0"/>
              <w:widowControl w:val="0"/>
              <w:numPr>
                <w:ilvl w:val="0"/>
                <w:numId w:val="0"/>
              </w:numPr>
              <w:kinsoku/>
              <w:wordWrap/>
              <w:overflowPunct/>
              <w:topLinePunct w:val="0"/>
              <w:autoSpaceDE/>
              <w:autoSpaceDN/>
              <w:bidi w:val="0"/>
              <w:adjustRightInd/>
              <w:snapToGrid/>
              <w:spacing w:before="163" w:beforeLines="50" w:line="240" w:lineRule="auto"/>
              <w:ind w:firstLine="482" w:firstLineChars="200"/>
              <w:jc w:val="center"/>
              <w:textAlignment w:val="auto"/>
              <w:rPr>
                <w:rFonts w:hint="default" w:ascii="Times New Roman" w:hAnsi="Times New Roman" w:eastAsia="宋体" w:cs="Times New Roman"/>
                <w:b/>
                <w:bCs/>
                <w:color w:val="auto"/>
                <w:sz w:val="24"/>
              </w:rPr>
            </w:pPr>
          </w:p>
          <w:p w14:paraId="5D08F235">
            <w:pPr>
              <w:keepNext w:val="0"/>
              <w:keepLines w:val="0"/>
              <w:pageBreakBefore w:val="0"/>
              <w:widowControl w:val="0"/>
              <w:numPr>
                <w:ilvl w:val="0"/>
                <w:numId w:val="0"/>
              </w:numPr>
              <w:kinsoku/>
              <w:wordWrap/>
              <w:overflowPunct/>
              <w:topLinePunct w:val="0"/>
              <w:autoSpaceDE/>
              <w:autoSpaceDN/>
              <w:bidi w:val="0"/>
              <w:adjustRightInd/>
              <w:snapToGrid/>
              <w:spacing w:before="163" w:beforeLines="50"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主要</w:t>
            </w:r>
            <w:r>
              <w:rPr>
                <w:rFonts w:hint="eastAsia" w:cs="Times New Roman"/>
                <w:b/>
                <w:bCs/>
                <w:color w:val="auto"/>
                <w:sz w:val="24"/>
                <w:lang w:val="en-US" w:eastAsia="zh-CN"/>
              </w:rPr>
              <w:t>风险物质</w:t>
            </w:r>
            <w:r>
              <w:rPr>
                <w:rFonts w:hint="default" w:ascii="Times New Roman" w:hAnsi="Times New Roman" w:eastAsia="宋体" w:cs="Times New Roman"/>
                <w:b/>
                <w:bCs/>
                <w:color w:val="auto"/>
                <w:sz w:val="24"/>
                <w:lang w:eastAsia="zh-CN"/>
              </w:rPr>
              <w:t>数量</w:t>
            </w:r>
            <w:r>
              <w:rPr>
                <w:rFonts w:hint="default" w:ascii="Times New Roman" w:hAnsi="Times New Roman" w:eastAsia="宋体" w:cs="Times New Roman"/>
                <w:b/>
                <w:bCs/>
                <w:color w:val="auto"/>
                <w:sz w:val="24"/>
              </w:rPr>
              <w:t>、有害因素分布表</w:t>
            </w:r>
          </w:p>
          <w:tbl>
            <w:tblPr>
              <w:tblStyle w:val="24"/>
              <w:tblW w:w="85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83"/>
              <w:gridCol w:w="1084"/>
              <w:gridCol w:w="1400"/>
              <w:gridCol w:w="1697"/>
              <w:gridCol w:w="826"/>
              <w:gridCol w:w="1081"/>
              <w:gridCol w:w="1091"/>
            </w:tblGrid>
            <w:tr w14:paraId="571E9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30" w:type="dxa"/>
                  <w:tcBorders>
                    <w:tl2br w:val="nil"/>
                    <w:tr2bl w:val="nil"/>
                  </w:tcBorders>
                  <w:vAlign w:val="center"/>
                </w:tcPr>
                <w:p w14:paraId="6450B137">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683" w:type="dxa"/>
                  <w:tcBorders>
                    <w:tl2br w:val="nil"/>
                    <w:tr2bl w:val="nil"/>
                  </w:tcBorders>
                  <w:vAlign w:val="center"/>
                </w:tcPr>
                <w:p w14:paraId="21C72E4E">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1084" w:type="dxa"/>
                  <w:tcBorders>
                    <w:tl2br w:val="nil"/>
                    <w:tr2bl w:val="nil"/>
                  </w:tcBorders>
                  <w:vAlign w:val="center"/>
                </w:tcPr>
                <w:p w14:paraId="387D7253">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年储存量（t）</w:t>
                  </w:r>
                </w:p>
              </w:tc>
              <w:tc>
                <w:tcPr>
                  <w:tcW w:w="1400" w:type="dxa"/>
                  <w:tcBorders>
                    <w:tl2br w:val="nil"/>
                    <w:tr2bl w:val="nil"/>
                  </w:tcBorders>
                  <w:vAlign w:val="center"/>
                </w:tcPr>
                <w:p w14:paraId="392B12AC">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最大储存量（t）</w:t>
                  </w:r>
                </w:p>
              </w:tc>
              <w:tc>
                <w:tcPr>
                  <w:tcW w:w="1697" w:type="dxa"/>
                  <w:tcBorders>
                    <w:tl2br w:val="nil"/>
                    <w:tr2bl w:val="nil"/>
                  </w:tcBorders>
                  <w:vAlign w:val="center"/>
                </w:tcPr>
                <w:p w14:paraId="1AD54E1D">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826" w:type="dxa"/>
                  <w:tcBorders>
                    <w:tl2br w:val="nil"/>
                    <w:tr2bl w:val="nil"/>
                  </w:tcBorders>
                  <w:vAlign w:val="center"/>
                </w:tcPr>
                <w:p w14:paraId="07A79588">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危险特性</w:t>
                  </w:r>
                </w:p>
              </w:tc>
              <w:tc>
                <w:tcPr>
                  <w:tcW w:w="1081" w:type="dxa"/>
                  <w:tcBorders>
                    <w:tl2br w:val="nil"/>
                    <w:tr2bl w:val="nil"/>
                  </w:tcBorders>
                  <w:vAlign w:val="center"/>
                </w:tcPr>
                <w:p w14:paraId="6FB04F6D">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临界量（t）</w:t>
                  </w:r>
                </w:p>
              </w:tc>
              <w:tc>
                <w:tcPr>
                  <w:tcW w:w="1091" w:type="dxa"/>
                  <w:tcBorders>
                    <w:tl2br w:val="nil"/>
                    <w:tr2bl w:val="nil"/>
                  </w:tcBorders>
                  <w:vAlign w:val="center"/>
                </w:tcPr>
                <w:p w14:paraId="7942D38C">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位置</w:t>
                  </w:r>
                </w:p>
              </w:tc>
            </w:tr>
            <w:tr w14:paraId="1CC97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30" w:type="dxa"/>
                  <w:tcBorders>
                    <w:tl2br w:val="nil"/>
                    <w:tr2bl w:val="nil"/>
                  </w:tcBorders>
                  <w:shd w:val="clear" w:color="auto" w:fill="auto"/>
                  <w:vAlign w:val="center"/>
                </w:tcPr>
                <w:p w14:paraId="7AD5EF8D">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废机油</w:t>
                  </w:r>
                </w:p>
              </w:tc>
              <w:tc>
                <w:tcPr>
                  <w:tcW w:w="683" w:type="dxa"/>
                  <w:tcBorders>
                    <w:tl2br w:val="nil"/>
                    <w:tr2bl w:val="nil"/>
                  </w:tcBorders>
                  <w:shd w:val="clear" w:color="auto" w:fill="auto"/>
                  <w:vAlign w:val="center"/>
                </w:tcPr>
                <w:p w14:paraId="00BFF591">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液态</w:t>
                  </w:r>
                </w:p>
              </w:tc>
              <w:tc>
                <w:tcPr>
                  <w:tcW w:w="1084" w:type="dxa"/>
                  <w:tcBorders>
                    <w:tl2br w:val="nil"/>
                    <w:tr2bl w:val="nil"/>
                  </w:tcBorders>
                  <w:shd w:val="clear" w:color="auto" w:fill="auto"/>
                  <w:vAlign w:val="center"/>
                </w:tcPr>
                <w:p w14:paraId="05CFC5D2">
                  <w:pPr>
                    <w:keepNext w:val="0"/>
                    <w:keepLines/>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0.08</w:t>
                  </w:r>
                </w:p>
              </w:tc>
              <w:tc>
                <w:tcPr>
                  <w:tcW w:w="1400" w:type="dxa"/>
                  <w:tcBorders>
                    <w:tl2br w:val="nil"/>
                    <w:tr2bl w:val="nil"/>
                  </w:tcBorders>
                  <w:shd w:val="clear" w:color="auto" w:fill="auto"/>
                  <w:vAlign w:val="center"/>
                </w:tcPr>
                <w:p w14:paraId="317F9BE0">
                  <w:pPr>
                    <w:pStyle w:val="63"/>
                    <w:keepNext w:val="0"/>
                    <w:pageBreakBefore w:val="0"/>
                    <w:kinsoku/>
                    <w:wordWrap/>
                    <w:overflowPunct/>
                    <w:topLinePunct w:val="0"/>
                    <w:bidi w:val="0"/>
                    <w:spacing w:line="240" w:lineRule="auto"/>
                    <w:ind w:left="0" w:leftChars="0" w:firstLine="0" w:firstLineChars="0"/>
                    <w:jc w:val="center"/>
                    <w:outlineLvl w:val="9"/>
                    <w:rPr>
                      <w:rFonts w:hint="default" w:ascii="Times New Roman" w:hAnsi="Times New Roman" w:eastAsia="宋体" w:cs="Times New Roman"/>
                      <w:kern w:val="0"/>
                      <w:sz w:val="21"/>
                      <w:szCs w:val="21"/>
                      <w:lang w:val="en-US" w:eastAsia="zh-CN" w:bidi="he-IL"/>
                    </w:rPr>
                  </w:pPr>
                  <w:r>
                    <w:rPr>
                      <w:rFonts w:hint="default" w:ascii="Times New Roman" w:hAnsi="Times New Roman" w:eastAsia="宋体" w:cs="Times New Roman"/>
                      <w:kern w:val="0"/>
                      <w:sz w:val="21"/>
                      <w:szCs w:val="21"/>
                      <w:lang w:val="en-US" w:eastAsia="zh-CN" w:bidi="he-IL"/>
                    </w:rPr>
                    <w:t>0.1</w:t>
                  </w:r>
                </w:p>
              </w:tc>
              <w:tc>
                <w:tcPr>
                  <w:tcW w:w="1697" w:type="dxa"/>
                  <w:tcBorders>
                    <w:tl2br w:val="nil"/>
                    <w:tr2bl w:val="nil"/>
                  </w:tcBorders>
                  <w:shd w:val="clear" w:color="auto" w:fill="auto"/>
                  <w:vAlign w:val="center"/>
                </w:tcPr>
                <w:p w14:paraId="1D2A40E0">
                  <w:pPr>
                    <w:keepNext w:val="0"/>
                    <w:keepLines/>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826" w:type="dxa"/>
                  <w:tcBorders>
                    <w:tl2br w:val="nil"/>
                    <w:tr2bl w:val="nil"/>
                  </w:tcBorders>
                  <w:shd w:val="clear" w:color="auto" w:fill="auto"/>
                  <w:vAlign w:val="center"/>
                </w:tcPr>
                <w:p w14:paraId="69463785">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易燃物质</w:t>
                  </w:r>
                </w:p>
              </w:tc>
              <w:tc>
                <w:tcPr>
                  <w:tcW w:w="1081" w:type="dxa"/>
                  <w:tcBorders>
                    <w:tl2br w:val="nil"/>
                    <w:tr2bl w:val="nil"/>
                  </w:tcBorders>
                  <w:shd w:val="clear" w:color="auto" w:fill="auto"/>
                  <w:vAlign w:val="center"/>
                </w:tcPr>
                <w:p w14:paraId="5DE9C482">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2500</w:t>
                  </w:r>
                </w:p>
              </w:tc>
              <w:tc>
                <w:tcPr>
                  <w:tcW w:w="1091" w:type="dxa"/>
                  <w:tcBorders>
                    <w:tl2br w:val="nil"/>
                    <w:tr2bl w:val="nil"/>
                  </w:tcBorders>
                  <w:vAlign w:val="center"/>
                </w:tcPr>
                <w:p w14:paraId="07067C9B">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危险废物贮存间</w:t>
                  </w:r>
                </w:p>
              </w:tc>
            </w:tr>
            <w:tr w14:paraId="6E6E7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8592" w:type="dxa"/>
                  <w:gridSpan w:val="8"/>
                  <w:tcBorders>
                    <w:tl2br w:val="nil"/>
                    <w:tr2bl w:val="nil"/>
                  </w:tcBorders>
                  <w:vAlign w:val="center"/>
                </w:tcPr>
                <w:p w14:paraId="21F67ACB">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left"/>
                    <w:textAlignment w:val="baseline"/>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备注：</w:t>
                  </w:r>
                  <w:r>
                    <w:rPr>
                      <w:rFonts w:hint="default"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因项目物质未直接列入《建设项目环境风险评价技术导则》（HJ169-2018）附录B表B.1突发环境事件风险物质及临界量内，但其属于环境风险物质，</w:t>
                  </w:r>
                  <w:r>
                    <w:rPr>
                      <w:rFonts w:hint="default" w:ascii="Times New Roman" w:hAnsi="Times New Roman" w:eastAsia="宋体" w:cs="Times New Roman"/>
                      <w:color w:val="auto"/>
                      <w:kern w:val="0"/>
                      <w:sz w:val="21"/>
                      <w:szCs w:val="21"/>
                      <w:lang w:val="en-US" w:eastAsia="zh-CN" w:bidi="ar"/>
                    </w:rPr>
                    <w:t>危险废物临界量参考《建设项目环境风险评价技术导则》（HJ169-2018）附录B的表B.2中健康危险急性毒性物质（类别2，类别3）的推荐临界量50t</w:t>
                  </w:r>
                </w:p>
              </w:tc>
            </w:tr>
          </w:tbl>
          <w:p w14:paraId="0F47E707">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w:t>
            </w:r>
            <w:r>
              <w:rPr>
                <w:rFonts w:hint="eastAsia" w:cs="Times New Roman"/>
                <w:b w:val="0"/>
                <w:bCs w:val="0"/>
                <w:color w:val="auto"/>
                <w:sz w:val="24"/>
                <w:lang w:val="en-US" w:eastAsia="zh-CN"/>
              </w:rPr>
              <w:t>0.00016</w:t>
            </w:r>
            <w:r>
              <w:rPr>
                <w:rFonts w:hint="default" w:ascii="Times New Roman" w:hAnsi="Times New Roman" w:eastAsia="宋体" w:cs="Times New Roman"/>
                <w:b w:val="0"/>
                <w:bCs w:val="0"/>
                <w:color w:val="auto"/>
                <w:sz w:val="24"/>
                <w:lang w:val="en-US" w:eastAsia="zh-CN"/>
              </w:rPr>
              <w:t>＜1，根据《建设项目环境风险评价技术导则》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09D7E938">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221" w:name="_Toc1796"/>
            <w:bookmarkStart w:id="222" w:name="_Toc26828"/>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环境风险识别</w:t>
            </w:r>
            <w:bookmarkEnd w:id="221"/>
            <w:bookmarkEnd w:id="222"/>
          </w:p>
          <w:p w14:paraId="42E9FE4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319A4DD4">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3"/>
              <w:tblW w:w="859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7"/>
              <w:gridCol w:w="1793"/>
              <w:gridCol w:w="3376"/>
              <w:gridCol w:w="2194"/>
            </w:tblGrid>
            <w:tr w14:paraId="340912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4" w:hRule="atLeast"/>
                <w:jc w:val="center"/>
              </w:trPr>
              <w:tc>
                <w:tcPr>
                  <w:tcW w:w="1227" w:type="dxa"/>
                  <w:vAlign w:val="center"/>
                </w:tcPr>
                <w:p w14:paraId="5BFA3504">
                  <w:pPr>
                    <w:pStyle w:val="6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223" w:name="_Toc215736207"/>
                  <w:r>
                    <w:rPr>
                      <w:rFonts w:hint="default" w:ascii="Times New Roman" w:hAnsi="Times New Roman" w:cs="Times New Roman"/>
                      <w:color w:val="auto"/>
                      <w:sz w:val="21"/>
                      <w:szCs w:val="21"/>
                      <w:highlight w:val="none"/>
                      <w:u w:val="none"/>
                    </w:rPr>
                    <w:t>潜在事故</w:t>
                  </w:r>
                </w:p>
                <w:p w14:paraId="680A827C">
                  <w:pPr>
                    <w:pStyle w:val="6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1793" w:type="dxa"/>
                  <w:vAlign w:val="center"/>
                </w:tcPr>
                <w:p w14:paraId="3DCBBDAA">
                  <w:pPr>
                    <w:pStyle w:val="6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3376" w:type="dxa"/>
                  <w:vAlign w:val="center"/>
                </w:tcPr>
                <w:p w14:paraId="62B6F010">
                  <w:pPr>
                    <w:pStyle w:val="6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2194" w:type="dxa"/>
                  <w:vAlign w:val="center"/>
                </w:tcPr>
                <w:p w14:paraId="6CBCE3EA">
                  <w:pPr>
                    <w:pStyle w:val="6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089084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27" w:type="dxa"/>
                  <w:vAlign w:val="center"/>
                </w:tcPr>
                <w:p w14:paraId="53F6161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1FE172E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1793" w:type="dxa"/>
                  <w:vAlign w:val="center"/>
                </w:tcPr>
                <w:p w14:paraId="1595337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77558B4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3376" w:type="dxa"/>
                  <w:vAlign w:val="center"/>
                </w:tcPr>
                <w:p w14:paraId="25582ADF">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2194" w:type="dxa"/>
                  <w:vAlign w:val="center"/>
                </w:tcPr>
                <w:p w14:paraId="00321D8D">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4449F1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227" w:type="dxa"/>
                  <w:vMerge w:val="restart"/>
                  <w:vAlign w:val="center"/>
                </w:tcPr>
                <w:p w14:paraId="3AB4FF4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18BB4819">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1793" w:type="dxa"/>
                  <w:vAlign w:val="center"/>
                </w:tcPr>
                <w:p w14:paraId="472CC6F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3376" w:type="dxa"/>
                  <w:vAlign w:val="center"/>
                </w:tcPr>
                <w:p w14:paraId="23DD36EE">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2194" w:type="dxa"/>
                  <w:vMerge w:val="restart"/>
                  <w:vAlign w:val="center"/>
                </w:tcPr>
                <w:p w14:paraId="282FC48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2442EE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227" w:type="dxa"/>
                  <w:vMerge w:val="continue"/>
                  <w:vAlign w:val="center"/>
                </w:tcPr>
                <w:p w14:paraId="212E9CDC">
                  <w:pPr>
                    <w:pStyle w:val="6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1793" w:type="dxa"/>
                  <w:vAlign w:val="center"/>
                </w:tcPr>
                <w:p w14:paraId="3CA8E447">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3376" w:type="dxa"/>
                  <w:vAlign w:val="center"/>
                </w:tcPr>
                <w:p w14:paraId="452A275B">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2194" w:type="dxa"/>
                  <w:vMerge w:val="continue"/>
                  <w:vAlign w:val="center"/>
                </w:tcPr>
                <w:p w14:paraId="24F4D566">
                  <w:pPr>
                    <w:pStyle w:val="6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61559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74" w:hRule="atLeast"/>
                <w:jc w:val="center"/>
              </w:trPr>
              <w:tc>
                <w:tcPr>
                  <w:tcW w:w="1227" w:type="dxa"/>
                  <w:vAlign w:val="center"/>
                </w:tcPr>
                <w:p w14:paraId="4A2A213A">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1793" w:type="dxa"/>
                  <w:vAlign w:val="center"/>
                </w:tcPr>
                <w:p w14:paraId="1EF5370B">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3376" w:type="dxa"/>
                  <w:vAlign w:val="center"/>
                </w:tcPr>
                <w:p w14:paraId="6093B3C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2194" w:type="dxa"/>
                  <w:vAlign w:val="center"/>
                </w:tcPr>
                <w:p w14:paraId="0A78D456">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752A09B2">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224" w:name="_Toc29837"/>
            <w:bookmarkStart w:id="225" w:name="_Toc20357"/>
            <w:r>
              <w:rPr>
                <w:rFonts w:hint="eastAsia" w:cs="Times New Roman"/>
                <w:b/>
                <w:bCs/>
                <w:color w:val="auto"/>
                <w:sz w:val="24"/>
                <w:highlight w:val="none"/>
                <w:lang w:val="en-US" w:eastAsia="zh-CN"/>
              </w:rPr>
              <w:t>4.6.3</w:t>
            </w:r>
            <w:r>
              <w:rPr>
                <w:rFonts w:hint="default" w:ascii="Times New Roman" w:hAnsi="Times New Roman" w:eastAsia="宋体" w:cs="Times New Roman"/>
                <w:b/>
                <w:bCs/>
                <w:color w:val="auto"/>
                <w:sz w:val="24"/>
                <w:highlight w:val="none"/>
                <w:lang w:val="en-US" w:eastAsia="zh-CN"/>
              </w:rPr>
              <w:t>环境风险防范措施</w:t>
            </w:r>
            <w:bookmarkEnd w:id="224"/>
            <w:bookmarkEnd w:id="225"/>
          </w:p>
          <w:p w14:paraId="476D3C7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（1）</w:t>
            </w:r>
            <w:r>
              <w:rPr>
                <w:rFonts w:hint="default" w:ascii="Times New Roman" w:hAnsi="Times New Roman" w:eastAsia="宋体" w:cs="Times New Roman"/>
                <w:color w:val="auto"/>
                <w:kern w:val="0"/>
                <w:sz w:val="24"/>
              </w:rPr>
              <w:t>废气事故排放风险防范措施</w:t>
            </w:r>
          </w:p>
          <w:p w14:paraId="2E0DA4F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①定期对废气处理设施从设备到运输管道进行检修，发现问题及时解决。</w:t>
            </w:r>
          </w:p>
          <w:p w14:paraId="497C843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②各生产岗位制定严格的操作规程和注意事项，车间工人需熟悉工作流程，严格按操作规程进行运行控制，防止操作失误导致废气事故排放。</w:t>
            </w:r>
          </w:p>
          <w:p w14:paraId="2DCA802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③定期更换活性炭，</w:t>
            </w:r>
            <w:r>
              <w:rPr>
                <w:rFonts w:hint="default" w:ascii="Times New Roman" w:hAnsi="Times New Roman" w:eastAsia="宋体" w:cs="Times New Roman"/>
                <w:color w:val="auto"/>
                <w:sz w:val="24"/>
              </w:rPr>
              <w:t>同时确保项目</w:t>
            </w:r>
            <w:r>
              <w:rPr>
                <w:rFonts w:hint="default" w:ascii="Times New Roman" w:hAnsi="Times New Roman" w:eastAsia="宋体" w:cs="Times New Roman"/>
                <w:color w:val="auto"/>
                <w:sz w:val="24"/>
                <w:lang w:eastAsia="zh-CN"/>
              </w:rPr>
              <w:t>活性炭吸附装置</w:t>
            </w:r>
            <w:r>
              <w:rPr>
                <w:rFonts w:hint="default" w:ascii="Times New Roman" w:hAnsi="Times New Roman" w:eastAsia="宋体" w:cs="Times New Roman"/>
                <w:color w:val="auto"/>
                <w:sz w:val="24"/>
              </w:rPr>
              <w:t>一次性装置量。</w:t>
            </w:r>
          </w:p>
          <w:p w14:paraId="34C6BD66">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lang w:eastAsia="zh-CN"/>
              </w:rPr>
              <w:t>（2）</w:t>
            </w:r>
            <w:r>
              <w:rPr>
                <w:rFonts w:hint="default" w:ascii="Times New Roman" w:hAnsi="Times New Roman" w:eastAsia="宋体" w:cs="Times New Roman"/>
                <w:color w:val="auto"/>
                <w:kern w:val="0"/>
                <w:sz w:val="24"/>
              </w:rPr>
              <w:t>危险废物等泄漏事故风险防范措施</w:t>
            </w:r>
          </w:p>
          <w:p w14:paraId="6226CE1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①危险废物间周围设置围堰，地面采取防渗，设置导流沟，设置警示标识等。</w:t>
            </w:r>
          </w:p>
          <w:p w14:paraId="6A19C02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②危险废物间严禁明火，严格遵守操作规程，避免因操作失误发生事故。</w:t>
            </w:r>
          </w:p>
          <w:p w14:paraId="26301A2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color w:val="auto"/>
                <w:kern w:val="0"/>
                <w:sz w:val="24"/>
              </w:rPr>
              <w:t>配备</w:t>
            </w:r>
            <w:r>
              <w:rPr>
                <w:rFonts w:hint="default" w:ascii="Times New Roman" w:hAnsi="Times New Roman" w:eastAsia="宋体" w:cs="Times New Roman"/>
                <w:color w:val="auto"/>
                <w:sz w:val="24"/>
              </w:rPr>
              <w:t>相应的堵漏材料</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沙袋、吸油毡等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1CAFF07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④项目危险废物贮存库应按照《危险废物贮存污染控制标准》（GB18597-2023）要求进行建设，具备防风、防雨、防晒、防止流失及扬散、防渗、防漏等要求。危险废物等不得与禁忌化学品混合贮存。</w:t>
            </w:r>
          </w:p>
          <w:p w14:paraId="3FE752C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（3）</w:t>
            </w:r>
            <w:r>
              <w:rPr>
                <w:rFonts w:hint="default" w:ascii="Times New Roman" w:hAnsi="Times New Roman" w:eastAsia="宋体" w:cs="Times New Roman"/>
                <w:color w:val="auto"/>
                <w:kern w:val="0"/>
                <w:sz w:val="24"/>
              </w:rPr>
              <w:t>火灾事故风险防范施</w:t>
            </w:r>
          </w:p>
          <w:p w14:paraId="5B85B9D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①加强消防设施和灭火器材的配备，严格落实有关消防技术规范的规定，加强人员疏散设施管理，保证疏散通道畅通。</w:t>
            </w:r>
          </w:p>
          <w:p w14:paraId="497B128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②定期进行防火安全检查，确保消防设施完整好用。</w:t>
            </w:r>
          </w:p>
          <w:p w14:paraId="529835C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bCs/>
                <w:color w:val="auto"/>
                <w:sz w:val="24"/>
              </w:rPr>
              <w:t>公司要求职工应遵守各项规章制度，杜绝</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三违</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违章作业、违章指挥、违反劳动纪律</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，作业时要遵守各项规定</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如动火、高处作业、进入设备作业等规定</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要求，确保安全生产。</w:t>
            </w:r>
          </w:p>
          <w:p w14:paraId="71B4FE9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④公司强化安全、消防和环保管理，完善环保安全管理机构，完善各项管理制度，加强日常监督检查；车间内严禁烟火，严格动火审批制度，进料车辆必须戴阻火器。</w:t>
            </w:r>
          </w:p>
          <w:p w14:paraId="2B60795A">
            <w:pPr>
              <w:pStyle w:val="69"/>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4.6.4</w:t>
            </w:r>
            <w:r>
              <w:rPr>
                <w:rFonts w:hint="default" w:ascii="Times New Roman" w:hAnsi="Times New Roman" w:cs="Times New Roman"/>
                <w:b/>
                <w:bCs/>
                <w:color w:val="auto"/>
                <w:highlight w:val="none"/>
              </w:rPr>
              <w:t>风险分析结论</w:t>
            </w:r>
          </w:p>
          <w:p w14:paraId="6E4C529B">
            <w:pPr>
              <w:pStyle w:val="69"/>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223"/>
          </w:p>
          <w:p w14:paraId="1986825D">
            <w:pPr>
              <w:pStyle w:val="69"/>
              <w:rPr>
                <w:rFonts w:hint="default" w:ascii="Times New Roman" w:hAnsi="Times New Roman" w:cs="Times New Roman"/>
                <w:color w:val="auto"/>
                <w:highlight w:val="none"/>
                <w:lang w:val="en-GB"/>
              </w:rPr>
            </w:pPr>
          </w:p>
          <w:p w14:paraId="616DEEAF">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226" w:name="_Toc4336"/>
            <w:bookmarkStart w:id="227" w:name="_Toc2954"/>
            <w:r>
              <w:rPr>
                <w:rFonts w:hint="eastAsia" w:ascii="Times New Roman" w:hAnsi="Times New Roman" w:eastAsia="宋体" w:cs="Times New Roman"/>
                <w:color w:val="auto"/>
                <w:sz w:val="28"/>
                <w:szCs w:val="28"/>
                <w:u w:val="none"/>
                <w:lang w:val="en-US" w:eastAsia="zh-CN"/>
              </w:rPr>
              <w:t>4.7自行监测计划</w:t>
            </w:r>
            <w:bookmarkEnd w:id="226"/>
            <w:bookmarkEnd w:id="227"/>
          </w:p>
          <w:p w14:paraId="5A501C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本评价根据</w:t>
            </w:r>
            <w:r>
              <w:rPr>
                <w:rFonts w:hint="default" w:ascii="Times New Roman" w:hAnsi="Times New Roman" w:eastAsia="宋体" w:cs="Times New Roman"/>
                <w:color w:val="auto"/>
                <w:sz w:val="24"/>
                <w:lang w:bidi="ar"/>
              </w:rPr>
              <w:t>《排污许可证申请与核发技术规范</w:t>
            </w:r>
            <w:r>
              <w:rPr>
                <w:rFonts w:hint="default" w:ascii="Times New Roman" w:hAnsi="Times New Roman" w:eastAsia="宋体" w:cs="Times New Roman"/>
                <w:color w:val="auto"/>
                <w:sz w:val="24"/>
                <w:lang w:val="en-US" w:eastAsia="zh-CN" w:bidi="ar"/>
              </w:rPr>
              <w:t>橡胶和塑料制品</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kern w:val="0"/>
                <w:sz w:val="24"/>
                <w:szCs w:val="24"/>
                <w:lang w:val="en-US" w:eastAsia="zh-CN" w:bidi="ar"/>
              </w:rPr>
              <w:t>（HJ1207-2021）、《排污单位自行监测技术指南总则》（HJ819-2017）、《排污许可证自行监测技术指南</w:t>
            </w:r>
            <w:r>
              <w:rPr>
                <w:rFonts w:hint="default" w:ascii="Times New Roman" w:hAnsi="Times New Roman" w:eastAsia="宋体" w:cs="Times New Roman"/>
                <w:color w:val="auto"/>
                <w:sz w:val="24"/>
                <w:lang w:val="en-US" w:eastAsia="zh-CN" w:bidi="ar"/>
              </w:rPr>
              <w:t>橡胶和塑料制品</w:t>
            </w:r>
            <w:r>
              <w:rPr>
                <w:rFonts w:hint="default" w:ascii="Times New Roman" w:hAnsi="Times New Roman" w:eastAsia="宋体" w:cs="Times New Roman"/>
                <w:color w:val="auto"/>
                <w:kern w:val="0"/>
                <w:sz w:val="24"/>
                <w:szCs w:val="24"/>
                <w:lang w:val="en-US" w:eastAsia="zh-CN" w:bidi="ar"/>
              </w:rPr>
              <w:t>》（HJ1207-2021）的要求，提出项目运营期自行监测计划，具体详见表4.8-1。</w:t>
            </w:r>
          </w:p>
          <w:p w14:paraId="2FCCE024">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highlight w:val="none"/>
                <w:lang w:val="en-US" w:eastAsia="zh-CN"/>
              </w:rPr>
            </w:pPr>
          </w:p>
          <w:p w14:paraId="110AFEB8">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highlight w:val="none"/>
                <w:lang w:val="en-US" w:eastAsia="zh-CN"/>
              </w:rPr>
            </w:pPr>
          </w:p>
          <w:p w14:paraId="094D41D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表4.8-1本项目自行监测计划</w:t>
            </w:r>
          </w:p>
          <w:tbl>
            <w:tblPr>
              <w:tblStyle w:val="24"/>
              <w:tblW w:w="859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54"/>
              <w:gridCol w:w="1873"/>
              <w:gridCol w:w="3144"/>
              <w:gridCol w:w="1109"/>
              <w:gridCol w:w="1079"/>
            </w:tblGrid>
            <w:tr w14:paraId="16DFC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387" w:type="dxa"/>
                  <w:gridSpan w:val="2"/>
                  <w:tcBorders>
                    <w:tl2br w:val="nil"/>
                    <w:tr2bl w:val="nil"/>
                  </w:tcBorders>
                  <w:vAlign w:val="center"/>
                </w:tcPr>
                <w:p w14:paraId="6569E8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873" w:type="dxa"/>
                  <w:tcBorders>
                    <w:tl2br w:val="nil"/>
                    <w:tr2bl w:val="nil"/>
                  </w:tcBorders>
                  <w:vAlign w:val="center"/>
                </w:tcPr>
                <w:p w14:paraId="79499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3144" w:type="dxa"/>
                  <w:tcBorders>
                    <w:tl2br w:val="nil"/>
                    <w:tr2bl w:val="nil"/>
                  </w:tcBorders>
                  <w:vAlign w:val="center"/>
                </w:tcPr>
                <w:p w14:paraId="76E889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1109" w:type="dxa"/>
                  <w:tcBorders>
                    <w:tl2br w:val="nil"/>
                    <w:tr2bl w:val="nil"/>
                  </w:tcBorders>
                  <w:vAlign w:val="center"/>
                </w:tcPr>
                <w:p w14:paraId="2F2FF2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1079" w:type="dxa"/>
                  <w:tcBorders>
                    <w:tl2br w:val="nil"/>
                    <w:tr2bl w:val="nil"/>
                  </w:tcBorders>
                  <w:vAlign w:val="center"/>
                </w:tcPr>
                <w:p w14:paraId="55CB62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5F572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3" w:type="dxa"/>
                  <w:vMerge w:val="restart"/>
                  <w:tcBorders>
                    <w:tl2br w:val="nil"/>
                    <w:tr2bl w:val="nil"/>
                  </w:tcBorders>
                  <w:vAlign w:val="center"/>
                </w:tcPr>
                <w:p w14:paraId="73FA68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854" w:type="dxa"/>
                  <w:vMerge w:val="restart"/>
                  <w:tcBorders>
                    <w:tl2br w:val="nil"/>
                    <w:tr2bl w:val="nil"/>
                  </w:tcBorders>
                  <w:vAlign w:val="center"/>
                </w:tcPr>
                <w:p w14:paraId="3954E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p w14:paraId="7989B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73" w:type="dxa"/>
                  <w:tcBorders>
                    <w:tl2br w:val="nil"/>
                    <w:tr2bl w:val="nil"/>
                  </w:tcBorders>
                  <w:vAlign w:val="center"/>
                </w:tcPr>
                <w:p w14:paraId="67D0990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厂区内</w:t>
                  </w:r>
                  <w:r>
                    <w:rPr>
                      <w:rFonts w:hint="eastAsia" w:cs="Times New Roman"/>
                      <w:color w:val="000000"/>
                      <w:kern w:val="0"/>
                      <w:sz w:val="21"/>
                      <w:szCs w:val="21"/>
                      <w:lang w:val="en-US" w:eastAsia="zh-CN" w:bidi="ar"/>
                    </w:rPr>
                    <w:t>主要设施旁1</w:t>
                  </w:r>
                  <w:r>
                    <w:rPr>
                      <w:rFonts w:hint="default" w:ascii="Times New Roman" w:hAnsi="Times New Roman" w:eastAsia="宋体" w:cs="Times New Roman"/>
                      <w:color w:val="000000"/>
                      <w:kern w:val="0"/>
                      <w:sz w:val="21"/>
                      <w:szCs w:val="21"/>
                      <w:lang w:val="en-US" w:eastAsia="zh-CN" w:bidi="ar"/>
                    </w:rPr>
                    <w:t>个监控点</w:t>
                  </w:r>
                </w:p>
              </w:tc>
              <w:tc>
                <w:tcPr>
                  <w:tcW w:w="3144" w:type="dxa"/>
                  <w:tcBorders>
                    <w:tl2br w:val="nil"/>
                    <w:tr2bl w:val="nil"/>
                  </w:tcBorders>
                  <w:vAlign w:val="center"/>
                </w:tcPr>
                <w:p w14:paraId="20435AA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p>
              </w:tc>
              <w:tc>
                <w:tcPr>
                  <w:tcW w:w="1109" w:type="dxa"/>
                  <w:tcBorders>
                    <w:tl2br w:val="nil"/>
                    <w:tr2bl w:val="nil"/>
                  </w:tcBorders>
                  <w:vAlign w:val="center"/>
                </w:tcPr>
                <w:p w14:paraId="54AB8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次</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半</w:t>
                  </w:r>
                  <w:r>
                    <w:rPr>
                      <w:rFonts w:hint="default" w:ascii="Times New Roman" w:hAnsi="Times New Roman" w:eastAsia="宋体" w:cs="Times New Roman"/>
                      <w:bCs/>
                      <w:color w:val="auto"/>
                      <w:sz w:val="21"/>
                      <w:szCs w:val="21"/>
                    </w:rPr>
                    <w:t>年</w:t>
                  </w:r>
                </w:p>
              </w:tc>
              <w:tc>
                <w:tcPr>
                  <w:tcW w:w="1079" w:type="dxa"/>
                  <w:vMerge w:val="restart"/>
                  <w:tcBorders>
                    <w:tl2br w:val="nil"/>
                    <w:tr2bl w:val="nil"/>
                  </w:tcBorders>
                  <w:vAlign w:val="center"/>
                </w:tcPr>
                <w:p w14:paraId="4A8CC57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委托专业检测单位</w:t>
                  </w:r>
                </w:p>
                <w:p w14:paraId="66A2DD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57D50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Merge w:val="continue"/>
                  <w:tcBorders>
                    <w:tl2br w:val="nil"/>
                    <w:tr2bl w:val="nil"/>
                  </w:tcBorders>
                  <w:vAlign w:val="center"/>
                </w:tcPr>
                <w:p w14:paraId="3C9D31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54" w:type="dxa"/>
                  <w:vMerge w:val="continue"/>
                  <w:tcBorders>
                    <w:tl2br w:val="nil"/>
                    <w:tr2bl w:val="nil"/>
                  </w:tcBorders>
                  <w:vAlign w:val="center"/>
                </w:tcPr>
                <w:p w14:paraId="3069C8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73" w:type="dxa"/>
                  <w:vMerge w:val="restart"/>
                  <w:tcBorders>
                    <w:tl2br w:val="nil"/>
                    <w:tr2bl w:val="nil"/>
                  </w:tcBorders>
                  <w:vAlign w:val="center"/>
                </w:tcPr>
                <w:p w14:paraId="63E9681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厂界上风向1个监控点；下风向</w:t>
                  </w: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个监控点</w:t>
                  </w:r>
                </w:p>
              </w:tc>
              <w:tc>
                <w:tcPr>
                  <w:tcW w:w="3144" w:type="dxa"/>
                  <w:tcBorders>
                    <w:tl2br w:val="nil"/>
                    <w:tr2bl w:val="nil"/>
                  </w:tcBorders>
                  <w:vAlign w:val="center"/>
                </w:tcPr>
                <w:p w14:paraId="7ED6FC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非甲烷总烃</w:t>
                  </w:r>
                </w:p>
              </w:tc>
              <w:tc>
                <w:tcPr>
                  <w:tcW w:w="1109" w:type="dxa"/>
                  <w:tcBorders>
                    <w:tl2br w:val="nil"/>
                    <w:tr2bl w:val="nil"/>
                  </w:tcBorders>
                  <w:vAlign w:val="center"/>
                </w:tcPr>
                <w:p w14:paraId="32F88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次</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半</w:t>
                  </w:r>
                  <w:r>
                    <w:rPr>
                      <w:rFonts w:hint="default" w:ascii="Times New Roman" w:hAnsi="Times New Roman" w:eastAsia="宋体" w:cs="Times New Roman"/>
                      <w:bCs/>
                      <w:color w:val="auto"/>
                      <w:sz w:val="21"/>
                      <w:szCs w:val="21"/>
                    </w:rPr>
                    <w:t>年</w:t>
                  </w:r>
                </w:p>
              </w:tc>
              <w:tc>
                <w:tcPr>
                  <w:tcW w:w="1079" w:type="dxa"/>
                  <w:vMerge w:val="continue"/>
                  <w:tcBorders>
                    <w:tl2br w:val="nil"/>
                    <w:tr2bl w:val="nil"/>
                  </w:tcBorders>
                  <w:vAlign w:val="center"/>
                </w:tcPr>
                <w:p w14:paraId="12FB97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9EC4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Merge w:val="continue"/>
                  <w:tcBorders>
                    <w:tl2br w:val="nil"/>
                    <w:tr2bl w:val="nil"/>
                  </w:tcBorders>
                  <w:vAlign w:val="center"/>
                </w:tcPr>
                <w:p w14:paraId="08DF0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54" w:type="dxa"/>
                  <w:vMerge w:val="continue"/>
                  <w:tcBorders>
                    <w:tl2br w:val="nil"/>
                    <w:tr2bl w:val="nil"/>
                  </w:tcBorders>
                  <w:vAlign w:val="center"/>
                </w:tcPr>
                <w:p w14:paraId="6CCDA8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73" w:type="dxa"/>
                  <w:vMerge w:val="continue"/>
                  <w:tcBorders>
                    <w:tl2br w:val="nil"/>
                    <w:tr2bl w:val="nil"/>
                  </w:tcBorders>
                  <w:vAlign w:val="center"/>
                </w:tcPr>
                <w:p w14:paraId="3F0315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p>
              </w:tc>
              <w:tc>
                <w:tcPr>
                  <w:tcW w:w="3144" w:type="dxa"/>
                  <w:tcBorders>
                    <w:tl2br w:val="nil"/>
                    <w:tr2bl w:val="nil"/>
                  </w:tcBorders>
                  <w:vAlign w:val="center"/>
                </w:tcPr>
                <w:p w14:paraId="61B4B6D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颗粒物、氯乙烯、臭气浓度</w:t>
                  </w:r>
                  <w:r>
                    <w:rPr>
                      <w:rFonts w:hint="eastAsia" w:cs="Times New Roman"/>
                      <w:color w:val="auto"/>
                      <w:kern w:val="0"/>
                      <w:sz w:val="21"/>
                      <w:szCs w:val="21"/>
                      <w:vertAlign w:val="superscript"/>
                      <w:lang w:val="en-US" w:eastAsia="zh-CN" w:bidi="ar"/>
                    </w:rPr>
                    <w:t>c</w:t>
                  </w:r>
                  <w:r>
                    <w:rPr>
                      <w:rFonts w:hint="eastAsia" w:cs="Times New Roman"/>
                      <w:color w:val="auto"/>
                      <w:kern w:val="0"/>
                      <w:sz w:val="21"/>
                      <w:szCs w:val="21"/>
                      <w:lang w:val="en-US" w:eastAsia="zh-CN" w:bidi="ar"/>
                    </w:rPr>
                    <w:t>、恶臭特征污染物</w:t>
                  </w:r>
                  <w:r>
                    <w:rPr>
                      <w:rFonts w:hint="eastAsia" w:cs="Times New Roman"/>
                      <w:color w:val="auto"/>
                      <w:kern w:val="0"/>
                      <w:sz w:val="21"/>
                      <w:szCs w:val="21"/>
                      <w:vertAlign w:val="superscript"/>
                      <w:lang w:val="en-US" w:eastAsia="zh-CN" w:bidi="ar"/>
                    </w:rPr>
                    <w:t>c</w:t>
                  </w:r>
                </w:p>
              </w:tc>
              <w:tc>
                <w:tcPr>
                  <w:tcW w:w="1109" w:type="dxa"/>
                  <w:tcBorders>
                    <w:tl2br w:val="nil"/>
                    <w:tr2bl w:val="nil"/>
                  </w:tcBorders>
                  <w:vAlign w:val="center"/>
                </w:tcPr>
                <w:p w14:paraId="33AC0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1次/年</w:t>
                  </w:r>
                </w:p>
              </w:tc>
              <w:tc>
                <w:tcPr>
                  <w:tcW w:w="1079" w:type="dxa"/>
                  <w:vMerge w:val="continue"/>
                  <w:tcBorders>
                    <w:tl2br w:val="nil"/>
                    <w:tr2bl w:val="nil"/>
                  </w:tcBorders>
                  <w:vAlign w:val="center"/>
                </w:tcPr>
                <w:p w14:paraId="0E387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2C511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Merge w:val="continue"/>
                  <w:tcBorders>
                    <w:tl2br w:val="nil"/>
                    <w:tr2bl w:val="nil"/>
                  </w:tcBorders>
                  <w:vAlign w:val="center"/>
                </w:tcPr>
                <w:p w14:paraId="55084E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54" w:type="dxa"/>
                  <w:vMerge w:val="restart"/>
                  <w:tcBorders>
                    <w:tl2br w:val="nil"/>
                    <w:tr2bl w:val="nil"/>
                  </w:tcBorders>
                  <w:vAlign w:val="center"/>
                </w:tcPr>
                <w:p w14:paraId="05581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873" w:type="dxa"/>
                  <w:vMerge w:val="restart"/>
                  <w:tcBorders>
                    <w:tl2br w:val="nil"/>
                    <w:tr2bl w:val="nil"/>
                  </w:tcBorders>
                  <w:vAlign w:val="center"/>
                </w:tcPr>
                <w:p w14:paraId="74E52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排气筒DA001</w:t>
                  </w:r>
                </w:p>
              </w:tc>
              <w:tc>
                <w:tcPr>
                  <w:tcW w:w="3144" w:type="dxa"/>
                  <w:tcBorders>
                    <w:tl2br w:val="nil"/>
                    <w:tr2bl w:val="nil"/>
                  </w:tcBorders>
                  <w:vAlign w:val="center"/>
                </w:tcPr>
                <w:p w14:paraId="3CD25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非甲烷总烃</w:t>
                  </w:r>
                </w:p>
              </w:tc>
              <w:tc>
                <w:tcPr>
                  <w:tcW w:w="1109" w:type="dxa"/>
                  <w:tcBorders>
                    <w:tl2br w:val="nil"/>
                    <w:tr2bl w:val="nil"/>
                  </w:tcBorders>
                  <w:vAlign w:val="center"/>
                </w:tcPr>
                <w:p w14:paraId="6FB9F4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次/</w:t>
                  </w:r>
                  <w:r>
                    <w:rPr>
                      <w:rFonts w:hint="eastAsia" w:cs="Times New Roman"/>
                      <w:b w:val="0"/>
                      <w:bCs/>
                      <w:color w:val="auto"/>
                      <w:sz w:val="21"/>
                      <w:szCs w:val="21"/>
                      <w:vertAlign w:val="baseline"/>
                      <w:lang w:val="en-US" w:eastAsia="zh-CN"/>
                    </w:rPr>
                    <w:t>半</w:t>
                  </w:r>
                  <w:r>
                    <w:rPr>
                      <w:rFonts w:hint="default" w:ascii="Times New Roman" w:hAnsi="Times New Roman" w:eastAsia="宋体" w:cs="Times New Roman"/>
                      <w:b w:val="0"/>
                      <w:bCs/>
                      <w:color w:val="auto"/>
                      <w:sz w:val="21"/>
                      <w:szCs w:val="21"/>
                      <w:vertAlign w:val="baseline"/>
                      <w:lang w:val="en-US" w:eastAsia="zh-CN"/>
                    </w:rPr>
                    <w:t>年</w:t>
                  </w:r>
                </w:p>
              </w:tc>
              <w:tc>
                <w:tcPr>
                  <w:tcW w:w="1079" w:type="dxa"/>
                  <w:vMerge w:val="continue"/>
                  <w:tcBorders>
                    <w:tl2br w:val="nil"/>
                    <w:tr2bl w:val="nil"/>
                  </w:tcBorders>
                  <w:vAlign w:val="center"/>
                </w:tcPr>
                <w:p w14:paraId="0C143C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56DEB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533" w:type="dxa"/>
                  <w:vMerge w:val="continue"/>
                  <w:tcBorders>
                    <w:tl2br w:val="nil"/>
                    <w:tr2bl w:val="nil"/>
                  </w:tcBorders>
                  <w:vAlign w:val="center"/>
                </w:tcPr>
                <w:p w14:paraId="1314D1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54" w:type="dxa"/>
                  <w:vMerge w:val="continue"/>
                  <w:tcBorders>
                    <w:tl2br w:val="nil"/>
                    <w:tr2bl w:val="nil"/>
                  </w:tcBorders>
                  <w:vAlign w:val="center"/>
                </w:tcPr>
                <w:p w14:paraId="4303D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73" w:type="dxa"/>
                  <w:vMerge w:val="continue"/>
                  <w:tcBorders>
                    <w:tl2br w:val="nil"/>
                    <w:tr2bl w:val="nil"/>
                  </w:tcBorders>
                  <w:vAlign w:val="center"/>
                </w:tcPr>
                <w:p w14:paraId="01384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3144" w:type="dxa"/>
                  <w:tcBorders>
                    <w:tl2br w:val="nil"/>
                    <w:tr2bl w:val="nil"/>
                  </w:tcBorders>
                  <w:shd w:val="clear" w:color="auto" w:fill="auto"/>
                  <w:vAlign w:val="center"/>
                </w:tcPr>
                <w:p w14:paraId="0711D3F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颗粒物、氯乙烯、臭气浓度</w:t>
                  </w:r>
                  <w:r>
                    <w:rPr>
                      <w:rFonts w:hint="eastAsia" w:cs="Times New Roman"/>
                      <w:color w:val="auto"/>
                      <w:kern w:val="0"/>
                      <w:sz w:val="21"/>
                      <w:szCs w:val="21"/>
                      <w:vertAlign w:val="superscript"/>
                      <w:lang w:val="en-US" w:eastAsia="zh-CN" w:bidi="ar"/>
                    </w:rPr>
                    <w:t>c</w:t>
                  </w:r>
                  <w:r>
                    <w:rPr>
                      <w:rFonts w:hint="eastAsia" w:cs="Times New Roman"/>
                      <w:color w:val="auto"/>
                      <w:kern w:val="0"/>
                      <w:sz w:val="21"/>
                      <w:szCs w:val="21"/>
                      <w:lang w:val="en-US" w:eastAsia="zh-CN" w:bidi="ar"/>
                    </w:rPr>
                    <w:t>、恶臭特征污染物</w:t>
                  </w:r>
                  <w:r>
                    <w:rPr>
                      <w:rFonts w:hint="eastAsia" w:cs="Times New Roman"/>
                      <w:color w:val="auto"/>
                      <w:kern w:val="0"/>
                      <w:sz w:val="21"/>
                      <w:szCs w:val="21"/>
                      <w:vertAlign w:val="superscript"/>
                      <w:lang w:val="en-US" w:eastAsia="zh-CN" w:bidi="ar"/>
                    </w:rPr>
                    <w:t>c</w:t>
                  </w:r>
                </w:p>
              </w:tc>
              <w:tc>
                <w:tcPr>
                  <w:tcW w:w="1109" w:type="dxa"/>
                  <w:tcBorders>
                    <w:tl2br w:val="nil"/>
                    <w:tr2bl w:val="nil"/>
                  </w:tcBorders>
                  <w:shd w:val="clear" w:color="auto" w:fill="auto"/>
                  <w:vAlign w:val="center"/>
                </w:tcPr>
                <w:p w14:paraId="74B69A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1次/年</w:t>
                  </w:r>
                </w:p>
              </w:tc>
              <w:tc>
                <w:tcPr>
                  <w:tcW w:w="1079" w:type="dxa"/>
                  <w:tcBorders>
                    <w:tl2br w:val="nil"/>
                    <w:tr2bl w:val="nil"/>
                  </w:tcBorders>
                  <w:vAlign w:val="center"/>
                </w:tcPr>
                <w:p w14:paraId="3C99F0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6B42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7" w:type="dxa"/>
                  <w:gridSpan w:val="2"/>
                  <w:tcBorders>
                    <w:tl2br w:val="nil"/>
                    <w:tr2bl w:val="nil"/>
                  </w:tcBorders>
                  <w:vAlign w:val="center"/>
                </w:tcPr>
                <w:p w14:paraId="4BAF7F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7205" w:type="dxa"/>
                  <w:gridSpan w:val="4"/>
                  <w:tcBorders>
                    <w:tl2br w:val="nil"/>
                    <w:tr2bl w:val="nil"/>
                  </w:tcBorders>
                  <w:vAlign w:val="center"/>
                </w:tcPr>
                <w:p w14:paraId="392F22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根据《排污单位自行监测技术指南总则》（HJ819-2017）、</w:t>
                  </w:r>
                  <w:r>
                    <w:rPr>
                      <w:rFonts w:hint="eastAsia" w:ascii="Times New Roman" w:hAnsi="Times New Roman" w:eastAsia="宋体" w:cs="Times New Roman"/>
                      <w:color w:val="auto"/>
                      <w:sz w:val="21"/>
                      <w:szCs w:val="21"/>
                      <w:lang w:val="en-US" w:eastAsia="zh-CN"/>
                    </w:rPr>
                    <w:t>《排污许可证自行监测技术指南橡胶和塑料制品》（HJ1207-2021）</w:t>
                  </w:r>
                  <w:r>
                    <w:rPr>
                      <w:rFonts w:hint="default" w:ascii="Times New Roman" w:hAnsi="Times New Roman" w:eastAsia="宋体" w:cs="Times New Roman"/>
                      <w:color w:val="auto"/>
                      <w:sz w:val="21"/>
                      <w:szCs w:val="21"/>
                      <w:lang w:val="en-US" w:eastAsia="zh-CN"/>
                    </w:rPr>
                    <w:t>，间接排放的生活污水单独排放口无自行监测要求。因此，本评价不对生活污水提出自行监测要求。</w:t>
                  </w:r>
                </w:p>
              </w:tc>
            </w:tr>
            <w:tr w14:paraId="1F053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gridSpan w:val="2"/>
                  <w:tcBorders>
                    <w:tl2br w:val="nil"/>
                    <w:tr2bl w:val="nil"/>
                  </w:tcBorders>
                  <w:vAlign w:val="center"/>
                </w:tcPr>
                <w:p w14:paraId="3AA315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873" w:type="dxa"/>
                  <w:tcBorders>
                    <w:tl2br w:val="nil"/>
                    <w:tr2bl w:val="nil"/>
                  </w:tcBorders>
                  <w:vAlign w:val="center"/>
                </w:tcPr>
                <w:p w14:paraId="5F1E9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厂界四周外1m</w:t>
                  </w:r>
                </w:p>
              </w:tc>
              <w:tc>
                <w:tcPr>
                  <w:tcW w:w="3144" w:type="dxa"/>
                  <w:tcBorders>
                    <w:tl2br w:val="nil"/>
                    <w:tr2bl w:val="nil"/>
                  </w:tcBorders>
                  <w:vAlign w:val="center"/>
                </w:tcPr>
                <w:p w14:paraId="3F0B0A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等效A声级</w:t>
                  </w:r>
                </w:p>
              </w:tc>
              <w:tc>
                <w:tcPr>
                  <w:tcW w:w="1109" w:type="dxa"/>
                  <w:tcBorders>
                    <w:tl2br w:val="nil"/>
                    <w:tr2bl w:val="nil"/>
                  </w:tcBorders>
                  <w:vAlign w:val="center"/>
                </w:tcPr>
                <w:p w14:paraId="3297FD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1次/季度</w:t>
                  </w:r>
                </w:p>
              </w:tc>
              <w:tc>
                <w:tcPr>
                  <w:tcW w:w="1079" w:type="dxa"/>
                  <w:tcBorders>
                    <w:tl2br w:val="nil"/>
                    <w:tr2bl w:val="nil"/>
                  </w:tcBorders>
                  <w:vAlign w:val="center"/>
                </w:tcPr>
                <w:p w14:paraId="62C62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委托专业检测单位</w:t>
                  </w:r>
                </w:p>
              </w:tc>
            </w:tr>
            <w:tr w14:paraId="291C3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92" w:type="dxa"/>
                  <w:gridSpan w:val="6"/>
                  <w:tcBorders>
                    <w:tl2br w:val="nil"/>
                    <w:tr2bl w:val="nil"/>
                  </w:tcBorders>
                  <w:vAlign w:val="center"/>
                </w:tcPr>
                <w:p w14:paraId="26AF86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bookmarkStart w:id="228" w:name="_Toc12062"/>
                  <w:bookmarkStart w:id="229" w:name="_Toc25365"/>
                  <w:bookmarkStart w:id="230" w:name="_Toc11633"/>
                  <w:bookmarkStart w:id="231" w:name="_Toc26125"/>
                  <w:bookmarkStart w:id="232" w:name="_Toc30083"/>
                  <w:bookmarkStart w:id="233" w:name="_Toc7744"/>
                  <w:r>
                    <w:rPr>
                      <w:rFonts w:hint="eastAsia" w:ascii="Times New Roman" w:hAnsi="Times New Roman" w:eastAsia="宋体" w:cs="Times New Roman"/>
                      <w:color w:val="auto"/>
                      <w:sz w:val="21"/>
                      <w:szCs w:val="21"/>
                      <w:lang w:val="en-US" w:eastAsia="zh-CN"/>
                    </w:rPr>
                    <w:t>注</w:t>
                  </w:r>
                  <w:r>
                    <w:rPr>
                      <w:rFonts w:hint="eastAsia" w:cs="Times New Roman"/>
                      <w:color w:val="auto"/>
                      <w:sz w:val="21"/>
                      <w:szCs w:val="21"/>
                      <w:lang w:val="en-US" w:eastAsia="zh-CN"/>
                    </w:rPr>
                    <w:t>C</w:t>
                  </w:r>
                  <w:r>
                    <w:rPr>
                      <w:rFonts w:hint="eastAsia" w:ascii="Times New Roman" w:hAnsi="Times New Roman" w:eastAsia="宋体" w:cs="Times New Roman"/>
                      <w:color w:val="auto"/>
                      <w:sz w:val="21"/>
                      <w:szCs w:val="21"/>
                      <w:lang w:val="en-US" w:eastAsia="zh-CN"/>
                    </w:rPr>
                    <w:t>：环境影响评价文件及其批复确定需要监测臭气浓度、恶臭特征污染物的，应监测臭气浓度、恶臭特征污染物，臭气浓度、恶臭特征污染物执行</w:t>
                  </w:r>
                  <w:r>
                    <w:rPr>
                      <w:rFonts w:hint="default" w:ascii="Times New Roman" w:hAnsi="Times New Roman" w:eastAsia="宋体" w:cs="Times New Roman"/>
                      <w:color w:val="auto"/>
                      <w:sz w:val="21"/>
                      <w:szCs w:val="21"/>
                      <w:lang w:val="en-US" w:eastAsia="zh-CN"/>
                    </w:rPr>
                    <w:t>GB14554</w:t>
                  </w:r>
                  <w:r>
                    <w:rPr>
                      <w:rFonts w:hint="eastAsia" w:ascii="Times New Roman" w:hAnsi="Times New Roman" w:eastAsia="宋体" w:cs="Times New Roman"/>
                      <w:color w:val="auto"/>
                      <w:sz w:val="21"/>
                      <w:szCs w:val="21"/>
                      <w:lang w:val="en-US" w:eastAsia="zh-CN"/>
                    </w:rPr>
                    <w:t>，恶臭特征污染物种类按环境影响评价文件及其批复确定。</w:t>
                  </w:r>
                </w:p>
              </w:tc>
            </w:tr>
          </w:tbl>
          <w:p w14:paraId="712FB35C">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234" w:name="_Toc24081"/>
            <w:r>
              <w:rPr>
                <w:rFonts w:hint="eastAsia" w:ascii="Times New Roman" w:hAnsi="Times New Roman" w:eastAsia="宋体" w:cs="Times New Roman"/>
                <w:color w:val="auto"/>
                <w:sz w:val="28"/>
                <w:szCs w:val="28"/>
                <w:u w:val="none"/>
                <w:lang w:val="en-US" w:eastAsia="zh-CN"/>
              </w:rPr>
              <w:t>4.8环保投资估算</w:t>
            </w:r>
            <w:bookmarkEnd w:id="228"/>
            <w:bookmarkEnd w:id="229"/>
            <w:bookmarkEnd w:id="230"/>
            <w:bookmarkEnd w:id="231"/>
            <w:bookmarkEnd w:id="232"/>
            <w:bookmarkEnd w:id="233"/>
            <w:bookmarkEnd w:id="234"/>
          </w:p>
          <w:p w14:paraId="6B6596E7">
            <w:pPr>
              <w:widowControl w:val="0"/>
              <w:bidi w:val="0"/>
              <w:spacing w:line="360" w:lineRule="auto"/>
              <w:ind w:firstLine="480" w:firstLineChars="200"/>
              <w:jc w:val="both"/>
              <w:rPr>
                <w:rFonts w:hint="eastAsia" w:ascii="Times New Roman" w:hAnsi="Times New Roman" w:eastAsia="宋体" w:cs="宋体"/>
                <w:color w:val="000000"/>
                <w:kern w:val="2"/>
                <w:sz w:val="24"/>
                <w:szCs w:val="24"/>
                <w:lang w:val="en-US" w:eastAsia="zh-CN" w:bidi="ar-SA"/>
              </w:rPr>
            </w:pPr>
            <w:r>
              <w:rPr>
                <w:rFonts w:hint="eastAsia" w:ascii="Times New Roman" w:hAnsi="Times New Roman" w:eastAsia="宋体" w:cs="宋体"/>
                <w:color w:val="000000"/>
                <w:kern w:val="2"/>
                <w:sz w:val="24"/>
                <w:szCs w:val="24"/>
                <w:lang w:val="en-US" w:eastAsia="zh-CN" w:bidi="ar-SA"/>
              </w:rPr>
              <w:t>本项目环保措施包括废水、废气、噪声治理措施、固体废物收集场所等。具体见表4.9-1。</w:t>
            </w:r>
          </w:p>
          <w:p w14:paraId="0FF428B6">
            <w:pPr>
              <w:pStyle w:val="70"/>
              <w:bidi w:val="0"/>
              <w:rPr>
                <w:rFonts w:hint="default"/>
                <w:color w:val="000000"/>
                <w:lang w:val="en-US" w:eastAsia="zh-CN"/>
              </w:rPr>
            </w:pPr>
            <w:r>
              <w:rPr>
                <w:rFonts w:hint="eastAsia"/>
                <w:color w:val="000000"/>
                <w:lang w:val="en-US" w:eastAsia="zh-CN"/>
              </w:rPr>
              <w:t>表4.9-1环保投资估算</w:t>
            </w:r>
          </w:p>
          <w:tbl>
            <w:tblPr>
              <w:tblStyle w:val="24"/>
              <w:tblW w:w="859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06"/>
              <w:gridCol w:w="5516"/>
              <w:gridCol w:w="1473"/>
            </w:tblGrid>
            <w:tr w14:paraId="01884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dxa"/>
                  <w:tcBorders>
                    <w:tl2br w:val="nil"/>
                    <w:tr2bl w:val="nil"/>
                  </w:tcBorders>
                  <w:vAlign w:val="center"/>
                </w:tcPr>
                <w:p w14:paraId="647DA184">
                  <w:pPr>
                    <w:pStyle w:val="53"/>
                    <w:bidi w:val="0"/>
                    <w:rPr>
                      <w:rFonts w:hint="default"/>
                      <w:color w:val="000000"/>
                      <w:lang w:val="en-US" w:eastAsia="zh-CN"/>
                    </w:rPr>
                  </w:pPr>
                  <w:r>
                    <w:rPr>
                      <w:rFonts w:hint="eastAsia"/>
                      <w:color w:val="000000"/>
                      <w:lang w:val="en-US" w:eastAsia="zh-CN"/>
                    </w:rPr>
                    <w:t>序号</w:t>
                  </w:r>
                </w:p>
              </w:tc>
              <w:tc>
                <w:tcPr>
                  <w:tcW w:w="906" w:type="dxa"/>
                  <w:tcBorders>
                    <w:tl2br w:val="nil"/>
                    <w:tr2bl w:val="nil"/>
                  </w:tcBorders>
                  <w:vAlign w:val="center"/>
                </w:tcPr>
                <w:p w14:paraId="2A7BBBF1">
                  <w:pPr>
                    <w:pStyle w:val="53"/>
                    <w:bidi w:val="0"/>
                    <w:rPr>
                      <w:rFonts w:hint="default"/>
                      <w:color w:val="000000"/>
                      <w:lang w:val="en-US" w:eastAsia="zh-CN"/>
                    </w:rPr>
                  </w:pPr>
                  <w:r>
                    <w:rPr>
                      <w:rFonts w:hint="eastAsia"/>
                      <w:color w:val="000000"/>
                      <w:lang w:val="en-US" w:eastAsia="zh-CN"/>
                    </w:rPr>
                    <w:t>污染源</w:t>
                  </w:r>
                </w:p>
              </w:tc>
              <w:tc>
                <w:tcPr>
                  <w:tcW w:w="5516" w:type="dxa"/>
                  <w:tcBorders>
                    <w:tl2br w:val="nil"/>
                    <w:tr2bl w:val="nil"/>
                  </w:tcBorders>
                  <w:vAlign w:val="center"/>
                </w:tcPr>
                <w:p w14:paraId="2CE0BD3E">
                  <w:pPr>
                    <w:pStyle w:val="53"/>
                    <w:bidi w:val="0"/>
                    <w:rPr>
                      <w:rFonts w:hint="default"/>
                      <w:color w:val="000000"/>
                      <w:lang w:val="en-US" w:eastAsia="zh-CN"/>
                    </w:rPr>
                  </w:pPr>
                  <w:r>
                    <w:rPr>
                      <w:rFonts w:hint="eastAsia"/>
                      <w:color w:val="000000"/>
                      <w:lang w:val="en-US" w:eastAsia="zh-CN"/>
                    </w:rPr>
                    <w:t>措施</w:t>
                  </w:r>
                </w:p>
              </w:tc>
              <w:tc>
                <w:tcPr>
                  <w:tcW w:w="1473" w:type="dxa"/>
                  <w:tcBorders>
                    <w:tl2br w:val="nil"/>
                    <w:tr2bl w:val="nil"/>
                  </w:tcBorders>
                  <w:vAlign w:val="center"/>
                </w:tcPr>
                <w:p w14:paraId="60C687E3">
                  <w:pPr>
                    <w:pStyle w:val="53"/>
                    <w:bidi w:val="0"/>
                    <w:rPr>
                      <w:rFonts w:hint="default"/>
                      <w:color w:val="000000"/>
                      <w:lang w:val="en-US" w:eastAsia="zh-CN"/>
                    </w:rPr>
                  </w:pPr>
                  <w:r>
                    <w:rPr>
                      <w:rFonts w:hint="eastAsia"/>
                      <w:color w:val="000000"/>
                      <w:lang w:val="en-US" w:eastAsia="zh-CN"/>
                    </w:rPr>
                    <w:t>投资</w:t>
                  </w:r>
                </w:p>
              </w:tc>
            </w:tr>
            <w:tr w14:paraId="0695C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dxa"/>
                  <w:tcBorders>
                    <w:tl2br w:val="nil"/>
                    <w:tr2bl w:val="nil"/>
                  </w:tcBorders>
                  <w:vAlign w:val="center"/>
                </w:tcPr>
                <w:p w14:paraId="5895357C">
                  <w:pPr>
                    <w:pStyle w:val="53"/>
                    <w:bidi w:val="0"/>
                    <w:rPr>
                      <w:rFonts w:hint="default"/>
                      <w:color w:val="000000"/>
                      <w:lang w:val="en-US" w:eastAsia="zh-CN"/>
                    </w:rPr>
                  </w:pPr>
                  <w:r>
                    <w:rPr>
                      <w:rFonts w:hint="eastAsia"/>
                      <w:color w:val="000000"/>
                      <w:lang w:val="en-US" w:eastAsia="zh-CN"/>
                    </w:rPr>
                    <w:t>1</w:t>
                  </w:r>
                </w:p>
              </w:tc>
              <w:tc>
                <w:tcPr>
                  <w:tcW w:w="906" w:type="dxa"/>
                  <w:tcBorders>
                    <w:tl2br w:val="nil"/>
                    <w:tr2bl w:val="nil"/>
                  </w:tcBorders>
                  <w:vAlign w:val="center"/>
                </w:tcPr>
                <w:p w14:paraId="5C12DDF3">
                  <w:pPr>
                    <w:pStyle w:val="53"/>
                    <w:bidi w:val="0"/>
                    <w:rPr>
                      <w:rFonts w:hint="default"/>
                      <w:color w:val="000000"/>
                      <w:lang w:val="en-US" w:eastAsia="zh-CN"/>
                    </w:rPr>
                  </w:pPr>
                  <w:r>
                    <w:rPr>
                      <w:rFonts w:hint="eastAsia"/>
                      <w:color w:val="000000"/>
                      <w:lang w:val="en-US" w:eastAsia="zh-CN"/>
                    </w:rPr>
                    <w:t>废水</w:t>
                  </w:r>
                </w:p>
              </w:tc>
              <w:tc>
                <w:tcPr>
                  <w:tcW w:w="5516" w:type="dxa"/>
                  <w:tcBorders>
                    <w:tl2br w:val="nil"/>
                    <w:tr2bl w:val="nil"/>
                  </w:tcBorders>
                  <w:vAlign w:val="center"/>
                </w:tcPr>
                <w:p w14:paraId="7AD826EA">
                  <w:pPr>
                    <w:pStyle w:val="53"/>
                    <w:bidi w:val="0"/>
                    <w:rPr>
                      <w:rFonts w:hint="default" w:eastAsia="宋体"/>
                      <w:lang w:val="en-US" w:eastAsia="zh-CN"/>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冷却水经“</w:t>
                  </w:r>
                  <w:r>
                    <w:rPr>
                      <w:rFonts w:hint="eastAsia"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冷却水循环沉淀池</w:t>
                  </w: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+冷却塔”处理后循环使用不</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外排。生活污水</w:t>
                  </w:r>
                  <w:r>
                    <w:rPr>
                      <w:rFonts w:hint="default" w:ascii="Times New Roman" w:hAnsi="Times New Roman" w:eastAsia="宋体" w:cs="Times New Roman"/>
                      <w:bCs/>
                      <w:color w:val="000000" w:themeColor="text1"/>
                      <w:sz w:val="21"/>
                      <w:szCs w:val="21"/>
                      <w14:textFill>
                        <w14:solidFill>
                          <w14:schemeClr w14:val="tx1"/>
                        </w14:solidFill>
                      </w14:textFill>
                    </w:rPr>
                    <w:t>经化粪池预处理后接入市政污水管网排入</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江阴污水处理厂（江阴港城经济区污水处理厂）</w:t>
                  </w:r>
                  <w:r>
                    <w:rPr>
                      <w:rFonts w:hint="default" w:ascii="Times New Roman" w:hAnsi="Times New Roman" w:eastAsia="宋体" w:cs="Times New Roman"/>
                      <w:bCs/>
                      <w:color w:val="000000" w:themeColor="text1"/>
                      <w:sz w:val="21"/>
                      <w:szCs w:val="21"/>
                      <w14:textFill>
                        <w14:solidFill>
                          <w14:schemeClr w14:val="tx1"/>
                        </w14:solidFill>
                      </w14:textFill>
                    </w:rPr>
                    <w:t>集中处理</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依托现有项目</w:t>
                  </w:r>
                </w:p>
              </w:tc>
              <w:tc>
                <w:tcPr>
                  <w:tcW w:w="1473" w:type="dxa"/>
                  <w:tcBorders>
                    <w:tl2br w:val="nil"/>
                    <w:tr2bl w:val="nil"/>
                  </w:tcBorders>
                  <w:vAlign w:val="center"/>
                </w:tcPr>
                <w:p w14:paraId="2B1E299A">
                  <w:pPr>
                    <w:pStyle w:val="53"/>
                    <w:bidi w:val="0"/>
                    <w:jc w:val="center"/>
                    <w:rPr>
                      <w:rFonts w:hint="default"/>
                      <w:color w:val="000000"/>
                      <w:lang w:val="en-US" w:eastAsia="zh-CN"/>
                    </w:rPr>
                  </w:pPr>
                  <w:r>
                    <w:rPr>
                      <w:rFonts w:hint="eastAsia"/>
                      <w:color w:val="000000"/>
                      <w:lang w:val="en-US" w:eastAsia="zh-CN"/>
                    </w:rPr>
                    <w:t>0万元</w:t>
                  </w:r>
                </w:p>
              </w:tc>
            </w:tr>
            <w:tr w14:paraId="336D0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tcBorders>
                    <w:tl2br w:val="nil"/>
                    <w:tr2bl w:val="nil"/>
                  </w:tcBorders>
                  <w:vAlign w:val="center"/>
                </w:tcPr>
                <w:p w14:paraId="0CDF408F">
                  <w:pPr>
                    <w:pStyle w:val="53"/>
                    <w:bidi w:val="0"/>
                    <w:rPr>
                      <w:rFonts w:hint="default"/>
                      <w:color w:val="000000"/>
                      <w:lang w:val="en-US" w:eastAsia="zh-CN"/>
                    </w:rPr>
                  </w:pPr>
                  <w:r>
                    <w:rPr>
                      <w:rFonts w:hint="eastAsia"/>
                      <w:color w:val="000000"/>
                      <w:lang w:val="en-US" w:eastAsia="zh-CN"/>
                    </w:rPr>
                    <w:t>2</w:t>
                  </w:r>
                </w:p>
              </w:tc>
              <w:tc>
                <w:tcPr>
                  <w:tcW w:w="906" w:type="dxa"/>
                  <w:tcBorders>
                    <w:tl2br w:val="nil"/>
                    <w:tr2bl w:val="nil"/>
                  </w:tcBorders>
                  <w:vAlign w:val="center"/>
                </w:tcPr>
                <w:p w14:paraId="69172279">
                  <w:pPr>
                    <w:pStyle w:val="53"/>
                    <w:bidi w:val="0"/>
                    <w:rPr>
                      <w:rFonts w:hint="default"/>
                      <w:color w:val="000000"/>
                      <w:lang w:val="en-US" w:eastAsia="zh-CN"/>
                    </w:rPr>
                  </w:pPr>
                  <w:r>
                    <w:rPr>
                      <w:rFonts w:hint="eastAsia"/>
                      <w:color w:val="000000"/>
                      <w:lang w:val="en-US" w:eastAsia="zh-CN"/>
                    </w:rPr>
                    <w:t>废气</w:t>
                  </w:r>
                </w:p>
              </w:tc>
              <w:tc>
                <w:tcPr>
                  <w:tcW w:w="5516" w:type="dxa"/>
                  <w:tcBorders>
                    <w:tl2br w:val="nil"/>
                    <w:tr2bl w:val="nil"/>
                  </w:tcBorders>
                  <w:vAlign w:val="center"/>
                </w:tcPr>
                <w:p w14:paraId="05BB6B36">
                  <w:pP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预发与成型工序所</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产生废气通过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“集气罩收集</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+活性炭吸附装置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处理后，通过1根15m高排气筒（DA001）排放</w:t>
                  </w:r>
                </w:p>
              </w:tc>
              <w:tc>
                <w:tcPr>
                  <w:tcW w:w="1473" w:type="dxa"/>
                  <w:tcBorders>
                    <w:tl2br w:val="nil"/>
                    <w:tr2bl w:val="nil"/>
                  </w:tcBorders>
                  <w:vAlign w:val="center"/>
                </w:tcPr>
                <w:p w14:paraId="3481D780">
                  <w:pPr>
                    <w:pStyle w:val="53"/>
                    <w:bidi w:val="0"/>
                    <w:rPr>
                      <w:rFonts w:hint="default"/>
                      <w:color w:val="000000"/>
                      <w:lang w:val="en-US" w:eastAsia="zh-CN"/>
                    </w:rPr>
                  </w:pPr>
                  <w:r>
                    <w:rPr>
                      <w:rFonts w:hint="eastAsia"/>
                      <w:color w:val="000000"/>
                      <w:lang w:val="en-US" w:eastAsia="zh-CN"/>
                    </w:rPr>
                    <w:t>20万元</w:t>
                  </w:r>
                </w:p>
              </w:tc>
            </w:tr>
            <w:tr w14:paraId="0519C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dxa"/>
                  <w:tcBorders>
                    <w:tl2br w:val="nil"/>
                    <w:tr2bl w:val="nil"/>
                  </w:tcBorders>
                  <w:vAlign w:val="center"/>
                </w:tcPr>
                <w:p w14:paraId="44D78152">
                  <w:pPr>
                    <w:pStyle w:val="53"/>
                    <w:bidi w:val="0"/>
                    <w:rPr>
                      <w:rFonts w:hint="default"/>
                      <w:color w:val="000000"/>
                      <w:lang w:val="en-US" w:eastAsia="zh-CN"/>
                    </w:rPr>
                  </w:pPr>
                  <w:r>
                    <w:rPr>
                      <w:rFonts w:hint="eastAsia"/>
                      <w:color w:val="000000"/>
                      <w:lang w:val="en-US" w:eastAsia="zh-CN"/>
                    </w:rPr>
                    <w:t>3</w:t>
                  </w:r>
                </w:p>
              </w:tc>
              <w:tc>
                <w:tcPr>
                  <w:tcW w:w="906" w:type="dxa"/>
                  <w:tcBorders>
                    <w:tl2br w:val="nil"/>
                    <w:tr2bl w:val="nil"/>
                  </w:tcBorders>
                  <w:vAlign w:val="center"/>
                </w:tcPr>
                <w:p w14:paraId="043C5529">
                  <w:pPr>
                    <w:pStyle w:val="53"/>
                    <w:bidi w:val="0"/>
                    <w:rPr>
                      <w:rFonts w:hint="default"/>
                      <w:color w:val="000000"/>
                      <w:lang w:val="en-US" w:eastAsia="zh-CN"/>
                    </w:rPr>
                  </w:pPr>
                  <w:r>
                    <w:rPr>
                      <w:rFonts w:hint="eastAsia"/>
                      <w:color w:val="000000"/>
                      <w:lang w:val="en-US" w:eastAsia="zh-CN"/>
                    </w:rPr>
                    <w:t>噪声</w:t>
                  </w:r>
                </w:p>
              </w:tc>
              <w:tc>
                <w:tcPr>
                  <w:tcW w:w="5516" w:type="dxa"/>
                  <w:tcBorders>
                    <w:tl2br w:val="nil"/>
                    <w:tr2bl w:val="nil"/>
                  </w:tcBorders>
                  <w:vAlign w:val="center"/>
                </w:tcPr>
                <w:p w14:paraId="2DB4695D">
                  <w:pPr>
                    <w:pStyle w:val="53"/>
                    <w:bidi w:val="0"/>
                    <w:rPr>
                      <w:rFonts w:hint="default"/>
                      <w:color w:val="000000"/>
                      <w:lang w:val="en-US" w:eastAsia="zh-CN"/>
                    </w:rPr>
                  </w:pPr>
                  <w:r>
                    <w:rPr>
                      <w:rFonts w:hint="eastAsia"/>
                      <w:color w:val="000000"/>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1473" w:type="dxa"/>
                  <w:tcBorders>
                    <w:tl2br w:val="nil"/>
                    <w:tr2bl w:val="nil"/>
                  </w:tcBorders>
                  <w:vAlign w:val="center"/>
                </w:tcPr>
                <w:p w14:paraId="2448365E">
                  <w:pPr>
                    <w:pStyle w:val="53"/>
                    <w:bidi w:val="0"/>
                    <w:rPr>
                      <w:rFonts w:hint="default"/>
                      <w:color w:val="000000"/>
                      <w:lang w:val="en-US" w:eastAsia="zh-CN"/>
                    </w:rPr>
                  </w:pPr>
                  <w:r>
                    <w:rPr>
                      <w:rFonts w:hint="eastAsia"/>
                      <w:color w:val="000000"/>
                      <w:lang w:val="en-US" w:eastAsia="zh-CN"/>
                    </w:rPr>
                    <w:t>5万元</w:t>
                  </w:r>
                </w:p>
              </w:tc>
            </w:tr>
            <w:tr w14:paraId="6C0E9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7" w:type="dxa"/>
                  <w:tcBorders>
                    <w:tl2br w:val="nil"/>
                    <w:tr2bl w:val="nil"/>
                  </w:tcBorders>
                  <w:vAlign w:val="center"/>
                </w:tcPr>
                <w:p w14:paraId="62B1061B">
                  <w:pPr>
                    <w:pStyle w:val="53"/>
                    <w:bidi w:val="0"/>
                    <w:rPr>
                      <w:rFonts w:hint="default"/>
                      <w:color w:val="000000"/>
                      <w:lang w:val="en-US" w:eastAsia="zh-CN"/>
                    </w:rPr>
                  </w:pPr>
                  <w:r>
                    <w:rPr>
                      <w:rFonts w:hint="eastAsia"/>
                      <w:color w:val="000000"/>
                      <w:lang w:val="en-US" w:eastAsia="zh-CN"/>
                    </w:rPr>
                    <w:t>4</w:t>
                  </w:r>
                </w:p>
              </w:tc>
              <w:tc>
                <w:tcPr>
                  <w:tcW w:w="906" w:type="dxa"/>
                  <w:tcBorders>
                    <w:tl2br w:val="nil"/>
                    <w:tr2bl w:val="nil"/>
                  </w:tcBorders>
                  <w:vAlign w:val="center"/>
                </w:tcPr>
                <w:p w14:paraId="187E2838">
                  <w:pPr>
                    <w:pStyle w:val="53"/>
                    <w:bidi w:val="0"/>
                    <w:rPr>
                      <w:rFonts w:hint="default"/>
                      <w:color w:val="000000"/>
                      <w:lang w:val="en-US" w:eastAsia="zh-CN"/>
                    </w:rPr>
                  </w:pPr>
                  <w:r>
                    <w:rPr>
                      <w:rFonts w:hint="eastAsia"/>
                      <w:color w:val="000000"/>
                      <w:lang w:val="en-US" w:eastAsia="zh-CN"/>
                    </w:rPr>
                    <w:t>固体废物</w:t>
                  </w:r>
                </w:p>
              </w:tc>
              <w:tc>
                <w:tcPr>
                  <w:tcW w:w="5516" w:type="dxa"/>
                  <w:tcBorders>
                    <w:tl2br w:val="nil"/>
                    <w:tr2bl w:val="nil"/>
                  </w:tcBorders>
                  <w:vAlign w:val="center"/>
                </w:tcPr>
                <w:p w14:paraId="1FAFA9E4">
                  <w:pPr>
                    <w:pStyle w:val="53"/>
                    <w:bidi w:val="0"/>
                    <w:rPr>
                      <w:rFonts w:hint="default"/>
                      <w:color w:val="000000"/>
                      <w:lang w:val="en-US" w:eastAsia="zh-CN"/>
                    </w:rPr>
                  </w:pPr>
                  <w:r>
                    <w:rPr>
                      <w:rFonts w:hint="eastAsia"/>
                      <w:color w:val="000000"/>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000000"/>
                      <w:lang w:val="en-US" w:eastAsia="zh-CN"/>
                    </w:rPr>
                    <w:t>贮存</w:t>
                  </w:r>
                  <w:r>
                    <w:rPr>
                      <w:rFonts w:hint="eastAsia" w:cs="Times New Roman"/>
                      <w:color w:val="000000"/>
                      <w:lang w:val="en-US" w:eastAsia="zh-CN"/>
                    </w:rPr>
                    <w:t>间</w:t>
                  </w:r>
                  <w:r>
                    <w:rPr>
                      <w:rFonts w:hint="eastAsia" w:ascii="Times New Roman" w:hAnsi="Times New Roman" w:eastAsia="宋体" w:cs="Times New Roman"/>
                      <w:color w:val="000000"/>
                      <w:lang w:val="en-US" w:eastAsia="zh-CN"/>
                    </w:rPr>
                    <w:t>，定</w:t>
                  </w:r>
                  <w:r>
                    <w:rPr>
                      <w:rFonts w:hint="eastAsia"/>
                      <w:color w:val="000000"/>
                      <w:lang w:val="en-US" w:eastAsia="zh-CN"/>
                    </w:rPr>
                    <w:t>期委托有处置危险废物资质的单位处置</w:t>
                  </w:r>
                </w:p>
              </w:tc>
              <w:tc>
                <w:tcPr>
                  <w:tcW w:w="1473" w:type="dxa"/>
                  <w:tcBorders>
                    <w:tl2br w:val="nil"/>
                    <w:tr2bl w:val="nil"/>
                  </w:tcBorders>
                  <w:vAlign w:val="center"/>
                </w:tcPr>
                <w:p w14:paraId="379852DF">
                  <w:pPr>
                    <w:pStyle w:val="53"/>
                    <w:bidi w:val="0"/>
                    <w:rPr>
                      <w:rFonts w:hint="default"/>
                      <w:color w:val="000000"/>
                      <w:lang w:val="en-US" w:eastAsia="zh-CN"/>
                    </w:rPr>
                  </w:pPr>
                  <w:r>
                    <w:rPr>
                      <w:rFonts w:hint="eastAsia"/>
                      <w:color w:val="000000"/>
                      <w:lang w:val="en-US" w:eastAsia="zh-CN"/>
                    </w:rPr>
                    <w:t>5万元</w:t>
                  </w:r>
                </w:p>
              </w:tc>
            </w:tr>
            <w:tr w14:paraId="4D2CC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9" w:type="dxa"/>
                  <w:gridSpan w:val="3"/>
                  <w:tcBorders>
                    <w:tl2br w:val="nil"/>
                    <w:tr2bl w:val="nil"/>
                  </w:tcBorders>
                  <w:vAlign w:val="center"/>
                </w:tcPr>
                <w:p w14:paraId="3FA0F0E6">
                  <w:pPr>
                    <w:pStyle w:val="53"/>
                    <w:bidi w:val="0"/>
                    <w:rPr>
                      <w:rFonts w:hint="default"/>
                      <w:color w:val="000000"/>
                      <w:lang w:val="en-US" w:eastAsia="zh-CN"/>
                    </w:rPr>
                  </w:pPr>
                  <w:r>
                    <w:rPr>
                      <w:rFonts w:hint="eastAsia"/>
                      <w:color w:val="000000"/>
                      <w:lang w:val="en-US" w:eastAsia="zh-CN"/>
                    </w:rPr>
                    <w:t>合计</w:t>
                  </w:r>
                </w:p>
              </w:tc>
              <w:tc>
                <w:tcPr>
                  <w:tcW w:w="1473" w:type="dxa"/>
                  <w:tcBorders>
                    <w:tl2br w:val="nil"/>
                    <w:tr2bl w:val="nil"/>
                  </w:tcBorders>
                  <w:vAlign w:val="center"/>
                </w:tcPr>
                <w:p w14:paraId="3F49CD99">
                  <w:pPr>
                    <w:pStyle w:val="53"/>
                    <w:bidi w:val="0"/>
                    <w:rPr>
                      <w:rFonts w:hint="default"/>
                      <w:color w:val="000000"/>
                      <w:lang w:val="en-US" w:eastAsia="zh-CN"/>
                    </w:rPr>
                  </w:pPr>
                  <w:r>
                    <w:rPr>
                      <w:rFonts w:hint="eastAsia"/>
                      <w:color w:val="000000"/>
                      <w:lang w:val="en-US" w:eastAsia="zh-CN"/>
                    </w:rPr>
                    <w:t>30万元</w:t>
                  </w:r>
                </w:p>
              </w:tc>
            </w:tr>
          </w:tbl>
          <w:p w14:paraId="07835C21">
            <w:pPr>
              <w:pStyle w:val="3"/>
              <w:rPr>
                <w:rFonts w:hint="default"/>
                <w:lang w:val="en-US" w:eastAsia="zh-CN"/>
              </w:rPr>
            </w:pPr>
          </w:p>
        </w:tc>
      </w:tr>
    </w:tbl>
    <w:p w14:paraId="2FEE5FB4">
      <w:pPr>
        <w:pStyle w:val="74"/>
        <w:rPr>
          <w:color w:val="auto"/>
          <w:highlight w:val="none"/>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232C0219">
      <w:pPr>
        <w:pStyle w:val="74"/>
        <w:numPr>
          <w:ilvl w:val="0"/>
          <w:numId w:val="10"/>
        </w:numPr>
        <w:rPr>
          <w:rFonts w:hint="default"/>
          <w:color w:val="auto"/>
          <w:highlight w:val="none"/>
          <w:lang w:val="en-GB" w:eastAsia="zh-CN"/>
        </w:rPr>
      </w:pPr>
      <w:bookmarkStart w:id="235" w:name="_Toc15653"/>
      <w:bookmarkStart w:id="236" w:name="_Hlk54167917"/>
      <w:r>
        <w:rPr>
          <w:color w:val="auto"/>
          <w:highlight w:val="none"/>
        </w:rPr>
        <w:t>环境保护措施监督检查清单</w:t>
      </w:r>
      <w:bookmarkEnd w:id="194"/>
      <w:bookmarkEnd w:id="195"/>
      <w:bookmarkEnd w:id="196"/>
      <w:bookmarkEnd w:id="197"/>
      <w:bookmarkEnd w:id="198"/>
      <w:bookmarkEnd w:id="199"/>
      <w:bookmarkEnd w:id="200"/>
      <w:bookmarkEnd w:id="201"/>
      <w:bookmarkEnd w:id="235"/>
      <w:bookmarkEnd w:id="236"/>
    </w:p>
    <w:tbl>
      <w:tblPr>
        <w:tblStyle w:val="2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75"/>
        <w:gridCol w:w="1394"/>
        <w:gridCol w:w="997"/>
        <w:gridCol w:w="2968"/>
        <w:gridCol w:w="3171"/>
      </w:tblGrid>
      <w:tr w14:paraId="6E8C8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58" w:type="dxa"/>
            <w:gridSpan w:val="2"/>
            <w:tcBorders>
              <w:tl2br w:val="single" w:color="auto" w:sz="4" w:space="0"/>
            </w:tcBorders>
            <w:vAlign w:val="top"/>
          </w:tcPr>
          <w:p w14:paraId="57B96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sz w:val="21"/>
                <w:szCs w:val="21"/>
                <w:highlight w:val="none"/>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20BB75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00924F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394" w:type="dxa"/>
            <w:vAlign w:val="center"/>
          </w:tcPr>
          <w:p w14:paraId="45B5E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997" w:type="dxa"/>
            <w:vAlign w:val="center"/>
          </w:tcPr>
          <w:p w14:paraId="4B120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968" w:type="dxa"/>
            <w:vAlign w:val="center"/>
          </w:tcPr>
          <w:p w14:paraId="200ED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171" w:type="dxa"/>
            <w:vAlign w:val="center"/>
          </w:tcPr>
          <w:p w14:paraId="61D99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1FD9D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58" w:type="dxa"/>
            <w:gridSpan w:val="2"/>
            <w:vMerge w:val="restart"/>
            <w:vAlign w:val="center"/>
          </w:tcPr>
          <w:p w14:paraId="3FEA3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restart"/>
            <w:vAlign w:val="center"/>
          </w:tcPr>
          <w:p w14:paraId="2B5963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排气筒</w:t>
            </w:r>
          </w:p>
          <w:p w14:paraId="2D28A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(DA001)</w:t>
            </w:r>
          </w:p>
          <w:p w14:paraId="0A07F9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预发、成型废气</w:t>
            </w:r>
          </w:p>
        </w:tc>
        <w:tc>
          <w:tcPr>
            <w:tcW w:w="997" w:type="dxa"/>
            <w:vAlign w:val="center"/>
          </w:tcPr>
          <w:p w14:paraId="70B26F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非甲烷总烃</w:t>
            </w:r>
          </w:p>
        </w:tc>
        <w:tc>
          <w:tcPr>
            <w:tcW w:w="2968" w:type="dxa"/>
            <w:vMerge w:val="restart"/>
            <w:vAlign w:val="center"/>
          </w:tcPr>
          <w:p w14:paraId="669A29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预发与成型工序所</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产生废气通过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“集气罩收集</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+活性炭吸附装置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处理后，通过1根15m高排气筒（DA001）排放</w:t>
            </w:r>
            <w:r>
              <w:rPr>
                <w:rFonts w:hint="eastAsia" w:cs="Times New Roman"/>
                <w:color w:val="auto"/>
                <w:sz w:val="21"/>
                <w:szCs w:val="21"/>
                <w:highlight w:val="none"/>
                <w:lang w:val="en-US" w:eastAsia="zh-CN"/>
              </w:rPr>
              <w:t>，风机风量为20000m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采用集气罩收集，采用碘值不低于800毫克/克的活性炭，并定期更换</w:t>
            </w:r>
            <w:r>
              <w:rPr>
                <w:color w:val="000000" w:themeColor="text1"/>
                <w:highlight w:val="none"/>
                <w14:textFill>
                  <w14:solidFill>
                    <w14:schemeClr w14:val="tx1"/>
                  </w14:solidFill>
                </w14:textFill>
              </w:rPr>
              <w:t>。</w:t>
            </w:r>
          </w:p>
        </w:tc>
        <w:tc>
          <w:tcPr>
            <w:tcW w:w="3171" w:type="dxa"/>
            <w:vMerge w:val="restart"/>
            <w:vAlign w:val="center"/>
          </w:tcPr>
          <w:p w14:paraId="0B1C6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highlight w:val="none"/>
                <w:lang w:val="en-US" w:eastAsia="zh-CN"/>
              </w:rPr>
            </w:pPr>
            <w:r>
              <w:rPr>
                <w:rFonts w:hint="eastAsia" w:cs="Times New Roman"/>
                <w:bCs/>
                <w:color w:val="000000" w:themeColor="text1"/>
                <w:kern w:val="2"/>
                <w:sz w:val="21"/>
                <w:szCs w:val="21"/>
                <w:highlight w:val="none"/>
                <w:lang w:val="en-US" w:eastAsia="zh-CN" w:bidi="ar-SA"/>
                <w14:textFill>
                  <w14:solidFill>
                    <w14:schemeClr w14:val="tx1"/>
                  </w14:solidFill>
                </w14:textFill>
              </w:rPr>
              <w:t>非甲烷总烃、苯乙烯、甲苯、乙苯</w:t>
            </w: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《合成树脂工艺污染物排放标准限值》（GB31572-2015）表5特别标准限值</w:t>
            </w:r>
            <w:r>
              <w:rPr>
                <w:rFonts w:hint="eastAsia" w:cs="Times New Roman"/>
                <w:color w:val="auto"/>
                <w:sz w:val="21"/>
                <w:szCs w:val="21"/>
                <w:highlight w:val="none"/>
                <w:lang w:val="en-US" w:eastAsia="zh-CN"/>
              </w:rPr>
              <w:t>（即非甲烷总烃</w:t>
            </w:r>
            <w:r>
              <w:rPr>
                <w:rFonts w:hint="eastAsia" w:cs="Times New Roman"/>
                <w:color w:val="auto"/>
                <w:kern w:val="18"/>
                <w:highlight w:val="none"/>
                <w:lang w:val="en-US" w:eastAsia="zh-CN"/>
              </w:rPr>
              <w:t>≤60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苯乙烯</w:t>
            </w:r>
            <w:r>
              <w:rPr>
                <w:rFonts w:hint="eastAsia" w:cs="Times New Roman"/>
                <w:color w:val="auto"/>
                <w:kern w:val="18"/>
                <w:highlight w:val="none"/>
                <w:lang w:val="en-US" w:eastAsia="zh-CN"/>
              </w:rPr>
              <w:t>≤20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甲苯</w:t>
            </w:r>
            <w:r>
              <w:rPr>
                <w:rFonts w:hint="eastAsia" w:cs="Times New Roman"/>
                <w:color w:val="auto"/>
                <w:kern w:val="18"/>
                <w:highlight w:val="none"/>
                <w:lang w:val="en-US" w:eastAsia="zh-CN"/>
              </w:rPr>
              <w:t>≤8</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乙苯</w:t>
            </w:r>
            <w:r>
              <w:rPr>
                <w:rFonts w:hint="eastAsia" w:cs="Times New Roman"/>
                <w:color w:val="auto"/>
                <w:kern w:val="18"/>
                <w:highlight w:val="none"/>
                <w:lang w:val="en-US" w:eastAsia="zh-CN"/>
              </w:rPr>
              <w:t>≤50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 w:val="21"/>
                <w:szCs w:val="21"/>
                <w:highlight w:val="none"/>
                <w:lang w:val="en-US" w:eastAsia="zh-CN"/>
              </w:rPr>
              <w:t>）</w:t>
            </w:r>
          </w:p>
        </w:tc>
      </w:tr>
      <w:tr w14:paraId="2F030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8" w:type="dxa"/>
            <w:gridSpan w:val="2"/>
            <w:vMerge w:val="continue"/>
            <w:vAlign w:val="center"/>
          </w:tcPr>
          <w:p w14:paraId="742DFC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vAlign w:val="center"/>
          </w:tcPr>
          <w:p w14:paraId="450AD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p>
        </w:tc>
        <w:tc>
          <w:tcPr>
            <w:tcW w:w="997" w:type="dxa"/>
            <w:vAlign w:val="center"/>
          </w:tcPr>
          <w:p w14:paraId="5ECB16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苯乙烯</w:t>
            </w:r>
          </w:p>
        </w:tc>
        <w:tc>
          <w:tcPr>
            <w:tcW w:w="2968" w:type="dxa"/>
            <w:vMerge w:val="continue"/>
            <w:vAlign w:val="center"/>
          </w:tcPr>
          <w:p w14:paraId="0EFC34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p>
        </w:tc>
        <w:tc>
          <w:tcPr>
            <w:tcW w:w="3171" w:type="dxa"/>
            <w:vMerge w:val="continue"/>
            <w:vAlign w:val="center"/>
          </w:tcPr>
          <w:p w14:paraId="5834F2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kern w:val="18"/>
                <w:highlight w:val="none"/>
                <w:lang w:val="en-US" w:eastAsia="zh-CN"/>
              </w:rPr>
            </w:pPr>
          </w:p>
        </w:tc>
      </w:tr>
      <w:tr w14:paraId="483A9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8" w:type="dxa"/>
            <w:gridSpan w:val="2"/>
            <w:vMerge w:val="continue"/>
            <w:vAlign w:val="center"/>
          </w:tcPr>
          <w:p w14:paraId="4B6BF1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vAlign w:val="center"/>
          </w:tcPr>
          <w:p w14:paraId="00247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p>
        </w:tc>
        <w:tc>
          <w:tcPr>
            <w:tcW w:w="997" w:type="dxa"/>
            <w:vAlign w:val="center"/>
          </w:tcPr>
          <w:p w14:paraId="4A668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甲苯</w:t>
            </w:r>
          </w:p>
        </w:tc>
        <w:tc>
          <w:tcPr>
            <w:tcW w:w="2968" w:type="dxa"/>
            <w:vMerge w:val="continue"/>
            <w:vAlign w:val="center"/>
          </w:tcPr>
          <w:p w14:paraId="332A0B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p>
        </w:tc>
        <w:tc>
          <w:tcPr>
            <w:tcW w:w="3171" w:type="dxa"/>
            <w:vMerge w:val="continue"/>
            <w:vAlign w:val="center"/>
          </w:tcPr>
          <w:p w14:paraId="62B9ED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kern w:val="18"/>
                <w:highlight w:val="none"/>
                <w:lang w:val="en-US" w:eastAsia="zh-CN"/>
              </w:rPr>
            </w:pPr>
          </w:p>
        </w:tc>
      </w:tr>
      <w:tr w14:paraId="7849B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58" w:type="dxa"/>
            <w:gridSpan w:val="2"/>
            <w:vMerge w:val="continue"/>
            <w:vAlign w:val="center"/>
          </w:tcPr>
          <w:p w14:paraId="1CAF9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vAlign w:val="center"/>
          </w:tcPr>
          <w:p w14:paraId="07F9A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p>
        </w:tc>
        <w:tc>
          <w:tcPr>
            <w:tcW w:w="997" w:type="dxa"/>
            <w:vAlign w:val="center"/>
          </w:tcPr>
          <w:p w14:paraId="5AEF38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乙苯</w:t>
            </w:r>
          </w:p>
        </w:tc>
        <w:tc>
          <w:tcPr>
            <w:tcW w:w="2968" w:type="dxa"/>
            <w:vMerge w:val="continue"/>
            <w:vAlign w:val="center"/>
          </w:tcPr>
          <w:p w14:paraId="3EF27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p>
        </w:tc>
        <w:tc>
          <w:tcPr>
            <w:tcW w:w="3171" w:type="dxa"/>
            <w:vMerge w:val="continue"/>
            <w:vAlign w:val="center"/>
          </w:tcPr>
          <w:p w14:paraId="556E4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kern w:val="18"/>
                <w:highlight w:val="none"/>
                <w:lang w:val="en-US" w:eastAsia="zh-CN"/>
              </w:rPr>
            </w:pPr>
          </w:p>
        </w:tc>
      </w:tr>
      <w:tr w14:paraId="7D324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758" w:type="dxa"/>
            <w:gridSpan w:val="2"/>
            <w:vMerge w:val="continue"/>
            <w:vAlign w:val="center"/>
          </w:tcPr>
          <w:p w14:paraId="23DCFE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Align w:val="center"/>
          </w:tcPr>
          <w:p w14:paraId="104F5A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997" w:type="dxa"/>
            <w:vAlign w:val="center"/>
          </w:tcPr>
          <w:p w14:paraId="445D79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2968" w:type="dxa"/>
            <w:vMerge w:val="restart"/>
            <w:vAlign w:val="center"/>
          </w:tcPr>
          <w:p w14:paraId="66A8FC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bCs/>
                <w:color w:val="000000"/>
                <w:sz w:val="21"/>
                <w:szCs w:val="21"/>
                <w:highlight w:val="none"/>
                <w:lang w:val="en-US" w:eastAsia="zh-CN"/>
              </w:rPr>
              <w:t>设置密闭生产车间，加强车间管理。</w:t>
            </w:r>
            <w:r>
              <w:rPr>
                <w:rFonts w:hint="eastAsia" w:cs="Times New Roman"/>
                <w:bCs/>
                <w:color w:val="000000"/>
                <w:sz w:val="21"/>
                <w:szCs w:val="21"/>
                <w:highlight w:val="none"/>
                <w:lang w:val="en-US" w:eastAsia="zh-CN"/>
              </w:rPr>
              <w:t>减少废气无组织排放。</w:t>
            </w:r>
          </w:p>
        </w:tc>
        <w:tc>
          <w:tcPr>
            <w:tcW w:w="3171" w:type="dxa"/>
            <w:tcBorders>
              <w:bottom w:val="single" w:color="000000" w:sz="4" w:space="0"/>
            </w:tcBorders>
            <w:vAlign w:val="center"/>
          </w:tcPr>
          <w:p w14:paraId="1F4FD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厂区内监控点任意一次浓度值</w:t>
            </w:r>
            <w:r>
              <w:rPr>
                <w:rFonts w:hint="eastAsia" w:cs="Times New Roman"/>
                <w:color w:val="auto"/>
                <w:sz w:val="21"/>
                <w:szCs w:val="21"/>
                <w:highlight w:val="none"/>
                <w:lang w:val="en-US" w:eastAsia="zh-CN"/>
              </w:rPr>
              <w:t>、</w:t>
            </w:r>
            <w:r>
              <w:rPr>
                <w:rFonts w:hint="eastAsia" w:cs="Times New Roman"/>
                <w:color w:val="auto"/>
                <w:sz w:val="21"/>
                <w:szCs w:val="21"/>
                <w:highlight w:val="none"/>
                <w:shd w:val="clear" w:color="auto" w:fill="FFFFFF"/>
                <w:lang w:val="en-US" w:eastAsia="zh-CN"/>
              </w:rPr>
              <w:t>颗粒物企业厂区内执行</w:t>
            </w: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《挥发性有机物无组织排放控制标准》（GB37822-2019）附录A中表A.1相关排放限值</w:t>
            </w:r>
            <w:r>
              <w:rPr>
                <w:rFonts w:hint="eastAsia" w:ascii="Times New Roman" w:hAnsi="Times New Roman"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w:t>
            </w:r>
            <w:r>
              <w:rPr>
                <w:rFonts w:hint="eastAsia" w:cs="Times New Roman"/>
                <w:color w:val="auto"/>
                <w:sz w:val="21"/>
                <w:szCs w:val="21"/>
                <w:highlight w:val="none"/>
                <w:lang w:val="en-US" w:eastAsia="zh-CN"/>
              </w:rPr>
              <w:t>厂区内</w:t>
            </w:r>
            <w:r>
              <w:rPr>
                <w:rFonts w:hint="default" w:ascii="Times New Roman" w:hAnsi="Times New Roman" w:eastAsia="宋体" w:cs="Times New Roman"/>
                <w:color w:val="auto"/>
                <w:sz w:val="21"/>
                <w:szCs w:val="21"/>
                <w:highlight w:val="none"/>
                <w:lang w:val="en-US" w:eastAsia="zh-CN"/>
              </w:rPr>
              <w:t>无组织排放</w:t>
            </w:r>
            <w:r>
              <w:rPr>
                <w:rFonts w:hint="default" w:ascii="Times New Roman" w:hAnsi="Times New Roman" w:eastAsia="宋体" w:cs="Times New Roman"/>
                <w:color w:val="auto"/>
                <w:sz w:val="21"/>
                <w:szCs w:val="21"/>
                <w:highlight w:val="none"/>
                <w:shd w:val="clear" w:color="auto" w:fill="FFFFFF"/>
                <w:lang w:eastAsia="zh-CN"/>
              </w:rPr>
              <w:t>监控点处</w:t>
            </w:r>
            <w:r>
              <w:rPr>
                <w:rFonts w:hint="default" w:ascii="Times New Roman" w:hAnsi="Times New Roman" w:eastAsia="宋体" w:cs="Times New Roman"/>
                <w:color w:val="auto"/>
                <w:sz w:val="21"/>
                <w:szCs w:val="21"/>
                <w:highlight w:val="none"/>
                <w:shd w:val="clear" w:color="auto" w:fill="FFFFFF"/>
                <w:lang w:val="en-US" w:eastAsia="zh-CN"/>
              </w:rPr>
              <w:t>1h平均浓度值</w:t>
            </w:r>
            <w:r>
              <w:rPr>
                <w:rFonts w:hint="eastAsia" w:ascii="Times New Roman" w:hAnsi="Times New Roman" w:eastAsia="宋体" w:cs="Times New Roman"/>
                <w:color w:val="auto"/>
                <w:sz w:val="21"/>
                <w:szCs w:val="21"/>
                <w:highlight w:val="none"/>
                <w:shd w:val="clear" w:color="auto" w:fill="FFFFFF"/>
                <w:lang w:val="en-US" w:eastAsia="zh-CN"/>
              </w:rPr>
              <w:t>≤</w:t>
            </w:r>
            <w:r>
              <w:rPr>
                <w:rFonts w:hint="eastAsia" w:cs="Times New Roman"/>
                <w:color w:val="auto"/>
                <w:sz w:val="21"/>
                <w:szCs w:val="21"/>
                <w:highlight w:val="none"/>
                <w:shd w:val="clear" w:color="auto" w:fill="FFFFFF"/>
                <w:lang w:val="en-US" w:eastAsia="zh-CN"/>
              </w:rPr>
              <w:t>6</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，监控点处任意一点浓度值</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r>
      <w:tr w14:paraId="5CDFE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58" w:type="dxa"/>
            <w:gridSpan w:val="2"/>
            <w:vMerge w:val="continue"/>
            <w:vAlign w:val="center"/>
          </w:tcPr>
          <w:p w14:paraId="69BA78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restart"/>
            <w:vAlign w:val="center"/>
          </w:tcPr>
          <w:p w14:paraId="594FD5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997" w:type="dxa"/>
            <w:vAlign w:val="center"/>
          </w:tcPr>
          <w:p w14:paraId="676370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z w:val="21"/>
                <w:szCs w:val="21"/>
                <w:highlight w:val="none"/>
                <w:lang w:val="en-US" w:eastAsia="zh-CN"/>
              </w:rPr>
              <w:t>非甲烷总烃</w:t>
            </w:r>
          </w:p>
        </w:tc>
        <w:tc>
          <w:tcPr>
            <w:tcW w:w="2968" w:type="dxa"/>
            <w:vMerge w:val="continue"/>
            <w:vAlign w:val="center"/>
          </w:tcPr>
          <w:p w14:paraId="79319B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171" w:type="dxa"/>
            <w:vMerge w:val="restart"/>
            <w:vAlign w:val="center"/>
          </w:tcPr>
          <w:p w14:paraId="4F1212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sz w:val="21"/>
                <w:szCs w:val="21"/>
                <w:highlight w:val="none"/>
                <w:lang w:val="en-US" w:eastAsia="zh-CN"/>
              </w:rPr>
              <w:t>VOCs、甲苯</w:t>
            </w: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《合成树脂工艺污染物排放标准限值》（GB31572-2015）表9标准限值</w:t>
            </w:r>
            <w:r>
              <w:rPr>
                <w:rFonts w:hint="eastAsia" w:cs="Times New Roman"/>
                <w:color w:val="auto"/>
                <w:kern w:val="18"/>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即非甲烷总烃≤</w:t>
            </w:r>
            <w:r>
              <w:rPr>
                <w:rFonts w:hint="eastAsia" w:cs="Times New Roman"/>
                <w:color w:val="auto"/>
                <w:kern w:val="2"/>
                <w:sz w:val="21"/>
                <w:szCs w:val="21"/>
                <w:highlight w:val="none"/>
                <w:lang w:val="en-US" w:eastAsia="zh-CN" w:bidi="ar-SA"/>
              </w:rPr>
              <w:t>4</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苯</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0.4</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甲苯</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0.8</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r>
      <w:tr w14:paraId="2E17A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vMerge w:val="continue"/>
            <w:vAlign w:val="center"/>
          </w:tcPr>
          <w:p w14:paraId="657E1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pPr>
          </w:p>
        </w:tc>
        <w:tc>
          <w:tcPr>
            <w:tcW w:w="1394" w:type="dxa"/>
            <w:vMerge w:val="continue"/>
            <w:vAlign w:val="center"/>
          </w:tcPr>
          <w:p w14:paraId="58441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pPr>
          </w:p>
        </w:tc>
        <w:tc>
          <w:tcPr>
            <w:tcW w:w="997" w:type="dxa"/>
            <w:vAlign w:val="center"/>
          </w:tcPr>
          <w:p w14:paraId="1CEFC8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甲苯</w:t>
            </w:r>
          </w:p>
        </w:tc>
        <w:tc>
          <w:tcPr>
            <w:tcW w:w="2968" w:type="dxa"/>
            <w:vMerge w:val="continue"/>
            <w:vAlign w:val="center"/>
          </w:tcPr>
          <w:p w14:paraId="2DFED4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p>
        </w:tc>
        <w:tc>
          <w:tcPr>
            <w:tcW w:w="3171" w:type="dxa"/>
            <w:vMerge w:val="continue"/>
            <w:vAlign w:val="center"/>
          </w:tcPr>
          <w:p w14:paraId="053BCF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p>
        </w:tc>
      </w:tr>
      <w:tr w14:paraId="0F5E0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58" w:type="dxa"/>
            <w:gridSpan w:val="2"/>
            <w:vMerge w:val="restart"/>
            <w:vAlign w:val="center"/>
          </w:tcPr>
          <w:p w14:paraId="04B0F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1B201F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394" w:type="dxa"/>
            <w:vAlign w:val="center"/>
          </w:tcPr>
          <w:p w14:paraId="5E3026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模具冷却水</w:t>
            </w:r>
            <w:r>
              <w:rPr>
                <w:rFonts w:hint="eastAsia" w:cs="Times New Roman"/>
                <w:color w:val="auto"/>
                <w:sz w:val="21"/>
                <w:szCs w:val="21"/>
                <w:highlight w:val="none"/>
                <w:lang w:val="en-US" w:eastAsia="zh-CN"/>
              </w:rPr>
              <w:t>（循环使用不外排）</w:t>
            </w:r>
          </w:p>
        </w:tc>
        <w:tc>
          <w:tcPr>
            <w:tcW w:w="997" w:type="dxa"/>
            <w:vAlign w:val="center"/>
          </w:tcPr>
          <w:p w14:paraId="72C5FF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68" w:type="dxa"/>
            <w:vMerge w:val="restart"/>
            <w:vAlign w:val="center"/>
          </w:tcPr>
          <w:p w14:paraId="179D7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冷却水经“</w:t>
            </w:r>
            <w:r>
              <w:rPr>
                <w:rFonts w:hint="eastAsia"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冷却水循环沉淀池</w:t>
            </w: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+冷却塔”处理后循环使用不外排</w:t>
            </w:r>
            <w:r>
              <w:rPr>
                <w:rFonts w:hint="eastAsia"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w:t>
            </w:r>
          </w:p>
        </w:tc>
        <w:tc>
          <w:tcPr>
            <w:tcW w:w="3171" w:type="dxa"/>
            <w:vAlign w:val="center"/>
          </w:tcPr>
          <w:p w14:paraId="1E172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w:t>
            </w:r>
          </w:p>
        </w:tc>
      </w:tr>
      <w:tr w14:paraId="2D6B9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58" w:type="dxa"/>
            <w:gridSpan w:val="2"/>
            <w:vMerge w:val="continue"/>
            <w:vAlign w:val="center"/>
          </w:tcPr>
          <w:p w14:paraId="46B348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Align w:val="center"/>
          </w:tcPr>
          <w:p w14:paraId="0F9E43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蒸汽冷凝水</w:t>
            </w:r>
          </w:p>
        </w:tc>
        <w:tc>
          <w:tcPr>
            <w:tcW w:w="997" w:type="dxa"/>
            <w:vAlign w:val="center"/>
          </w:tcPr>
          <w:p w14:paraId="042DC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68" w:type="dxa"/>
            <w:vMerge w:val="continue"/>
            <w:vAlign w:val="center"/>
          </w:tcPr>
          <w:p w14:paraId="6ACE66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bCs/>
                <w:color w:val="000000"/>
                <w:sz w:val="21"/>
                <w:szCs w:val="21"/>
                <w:highlight w:val="none"/>
                <w:lang w:val="en-US" w:eastAsia="zh-CN"/>
              </w:rPr>
            </w:pPr>
          </w:p>
        </w:tc>
        <w:tc>
          <w:tcPr>
            <w:tcW w:w="3171" w:type="dxa"/>
            <w:vAlign w:val="center"/>
          </w:tcPr>
          <w:p w14:paraId="5272D1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34BC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758" w:type="dxa"/>
            <w:gridSpan w:val="2"/>
            <w:vMerge w:val="continue"/>
            <w:vAlign w:val="center"/>
          </w:tcPr>
          <w:p w14:paraId="76EF8D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Align w:val="center"/>
          </w:tcPr>
          <w:p w14:paraId="00C388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w:t>
            </w:r>
            <w:r>
              <w:rPr>
                <w:rFonts w:hint="eastAsia" w:cs="Times New Roman"/>
                <w:color w:val="auto"/>
                <w:sz w:val="21"/>
                <w:szCs w:val="21"/>
                <w:highlight w:val="none"/>
                <w:lang w:val="en-US" w:eastAsia="zh-CN"/>
              </w:rPr>
              <w:t>污水（DW001）</w:t>
            </w:r>
          </w:p>
        </w:tc>
        <w:tc>
          <w:tcPr>
            <w:tcW w:w="997" w:type="dxa"/>
            <w:vAlign w:val="center"/>
          </w:tcPr>
          <w:p w14:paraId="719F9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968" w:type="dxa"/>
            <w:vAlign w:val="center"/>
          </w:tcPr>
          <w:p w14:paraId="0F1D05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000000"/>
                <w:sz w:val="21"/>
                <w:szCs w:val="21"/>
                <w:highlight w:val="none"/>
                <w:lang w:val="en-US" w:eastAsia="zh-CN"/>
              </w:rPr>
              <w:t>生活污水</w:t>
            </w:r>
            <w:r>
              <w:rPr>
                <w:rFonts w:hint="default" w:ascii="Times New Roman" w:hAnsi="Times New Roman" w:eastAsia="宋体" w:cs="Times New Roman"/>
                <w:bCs/>
                <w:color w:val="000000"/>
                <w:sz w:val="21"/>
                <w:szCs w:val="21"/>
                <w:highlight w:val="none"/>
              </w:rPr>
              <w:t>经化粪池预处理后接入市政污水管网排入</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江阴污水处理厂（江阴港城经济区污水处理厂）</w:t>
            </w:r>
            <w:r>
              <w:rPr>
                <w:rFonts w:hint="default" w:ascii="Times New Roman" w:hAnsi="Times New Roman" w:eastAsia="宋体" w:cs="Times New Roman"/>
                <w:bCs/>
                <w:color w:val="auto"/>
                <w:sz w:val="21"/>
                <w:szCs w:val="21"/>
                <w:highlight w:val="none"/>
              </w:rPr>
              <w:t>集中</w:t>
            </w:r>
            <w:r>
              <w:rPr>
                <w:rFonts w:hint="default" w:ascii="Times New Roman" w:hAnsi="Times New Roman" w:eastAsia="宋体" w:cs="Times New Roman"/>
                <w:bCs/>
                <w:color w:val="000000"/>
                <w:sz w:val="21"/>
                <w:szCs w:val="21"/>
                <w:highlight w:val="none"/>
              </w:rPr>
              <w:t>处理</w:t>
            </w:r>
          </w:p>
        </w:tc>
        <w:tc>
          <w:tcPr>
            <w:tcW w:w="3171" w:type="dxa"/>
            <w:vAlign w:val="center"/>
          </w:tcPr>
          <w:p w14:paraId="1C3DF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10E2A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758" w:type="dxa"/>
            <w:gridSpan w:val="2"/>
            <w:vAlign w:val="center"/>
          </w:tcPr>
          <w:p w14:paraId="616FC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394" w:type="dxa"/>
            <w:vAlign w:val="center"/>
          </w:tcPr>
          <w:p w14:paraId="0207AD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997" w:type="dxa"/>
            <w:vAlign w:val="center"/>
          </w:tcPr>
          <w:p w14:paraId="7BDB52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968" w:type="dxa"/>
            <w:vAlign w:val="center"/>
          </w:tcPr>
          <w:p w14:paraId="0136EA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eastAsia" w:cs="Times New Roman"/>
                <w:color w:val="auto"/>
                <w:kern w:val="2"/>
                <w:sz w:val="21"/>
                <w:szCs w:val="21"/>
                <w:highlight w:val="none"/>
                <w:lang w:val="en-US" w:eastAsia="zh-CN" w:bidi="ar-SA"/>
              </w:rPr>
              <w:t>本项目生产时间为24小时工作制。</w:t>
            </w: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171" w:type="dxa"/>
            <w:vAlign w:val="center"/>
          </w:tcPr>
          <w:p w14:paraId="23DD4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GB12348-2008</w:t>
            </w:r>
            <w:r>
              <w:rPr>
                <w:rFonts w:hint="eastAsia"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r>
              <w:rPr>
                <w:rFonts w:hint="eastAsia" w:cs="Times New Roman"/>
                <w:color w:val="auto"/>
                <w:kern w:val="2"/>
                <w:sz w:val="21"/>
                <w:szCs w:val="21"/>
                <w:highlight w:val="none"/>
                <w:lang w:val="en-GB" w:eastAsia="zh-CN" w:bidi="ar-SA"/>
              </w:rPr>
              <w:t>；</w:t>
            </w:r>
            <w:r>
              <w:rPr>
                <w:rFonts w:hint="eastAsia" w:cs="Times New Roman"/>
                <w:color w:val="auto"/>
                <w:kern w:val="2"/>
                <w:sz w:val="21"/>
                <w:szCs w:val="21"/>
                <w:highlight w:val="none"/>
                <w:lang w:val="en-US" w:eastAsia="zh-CN" w:bidi="ar-SA"/>
              </w:rPr>
              <w:t>夜间噪声</w:t>
            </w:r>
            <w:r>
              <w:rPr>
                <w:rFonts w:hint="default" w:ascii="Times New Roman" w:hAnsi="Times New Roman" w:eastAsia="宋体" w:cs="Times New Roman"/>
                <w:color w:val="auto"/>
                <w:kern w:val="2"/>
                <w:sz w:val="21"/>
                <w:szCs w:val="21"/>
                <w:highlight w:val="none"/>
                <w:lang w:val="en-GB" w:eastAsia="zh-CN" w:bidi="ar-SA"/>
              </w:rPr>
              <w:t>≤</w:t>
            </w:r>
            <w:r>
              <w:rPr>
                <w:rFonts w:hint="eastAsia"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GB" w:eastAsia="zh-CN" w:bidi="ar-SA"/>
              </w:rPr>
              <w:t>dB</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p>
        </w:tc>
      </w:tr>
      <w:tr w14:paraId="55650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758" w:type="dxa"/>
            <w:gridSpan w:val="2"/>
            <w:vAlign w:val="center"/>
          </w:tcPr>
          <w:p w14:paraId="6C28CEA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7CEDA83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394" w:type="dxa"/>
            <w:vAlign w:val="center"/>
          </w:tcPr>
          <w:p w14:paraId="170D42A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997" w:type="dxa"/>
            <w:vAlign w:val="center"/>
          </w:tcPr>
          <w:p w14:paraId="12E49D7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968" w:type="dxa"/>
            <w:vAlign w:val="center"/>
          </w:tcPr>
          <w:p w14:paraId="4308BF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171" w:type="dxa"/>
            <w:vAlign w:val="center"/>
          </w:tcPr>
          <w:p w14:paraId="04FE5A9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32243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5" w:hRule="atLeast"/>
          <w:jc w:val="center"/>
        </w:trPr>
        <w:tc>
          <w:tcPr>
            <w:tcW w:w="758" w:type="dxa"/>
            <w:gridSpan w:val="2"/>
            <w:vAlign w:val="center"/>
          </w:tcPr>
          <w:p w14:paraId="04B327E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00A96B2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530" w:type="dxa"/>
            <w:gridSpan w:val="4"/>
            <w:vAlign w:val="center"/>
          </w:tcPr>
          <w:p w14:paraId="25FDE82F">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w:t>
            </w:r>
            <w:r>
              <w:rPr>
                <w:rFonts w:hint="eastAsia" w:cs="Times New Roman"/>
                <w:color w:val="auto"/>
                <w:sz w:val="24"/>
                <w:szCs w:val="24"/>
                <w:highlight w:val="none"/>
                <w:lang w:val="en-US" w:eastAsia="zh-CN"/>
              </w:rPr>
              <w:t>不合格产品，</w:t>
            </w:r>
            <w:r>
              <w:rPr>
                <w:rFonts w:hint="default" w:ascii="Times New Roman" w:hAnsi="Times New Roman" w:eastAsia="宋体" w:cs="Times New Roman"/>
                <w:color w:val="auto"/>
                <w:sz w:val="24"/>
                <w:szCs w:val="24"/>
                <w:highlight w:val="none"/>
              </w:rPr>
              <w:t>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，满足《一般工业固体废物贮存和填埋污染控制标准》（GB18599-2020）的相关要求；</w:t>
            </w:r>
          </w:p>
          <w:p w14:paraId="0710A6E9">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w:t>
            </w:r>
            <w:r>
              <w:rPr>
                <w:rFonts w:hint="eastAsia" w:cs="Times New Roman"/>
                <w:color w:val="auto"/>
                <w:sz w:val="24"/>
                <w:szCs w:val="24"/>
                <w:highlight w:val="none"/>
                <w:lang w:val="en-US" w:eastAsia="zh-CN"/>
              </w:rPr>
              <w:t>废活性炭、废液压油、污泥</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color w:val="auto"/>
                <w:sz w:val="24"/>
                <w:szCs w:val="24"/>
                <w:highlight w:val="none"/>
              </w:rPr>
              <w:t>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5327833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4C269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758" w:type="dxa"/>
            <w:gridSpan w:val="2"/>
            <w:vAlign w:val="center"/>
          </w:tcPr>
          <w:p w14:paraId="17E41C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530" w:type="dxa"/>
            <w:gridSpan w:val="4"/>
            <w:vAlign w:val="center"/>
          </w:tcPr>
          <w:p w14:paraId="4C74F55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1C914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758" w:type="dxa"/>
            <w:gridSpan w:val="2"/>
            <w:vAlign w:val="center"/>
          </w:tcPr>
          <w:p w14:paraId="051331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530" w:type="dxa"/>
            <w:gridSpan w:val="4"/>
            <w:vAlign w:val="center"/>
          </w:tcPr>
          <w:p w14:paraId="50A8CD7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0C486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58" w:type="dxa"/>
            <w:gridSpan w:val="2"/>
            <w:vAlign w:val="center"/>
          </w:tcPr>
          <w:p w14:paraId="5EC532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530" w:type="dxa"/>
            <w:gridSpan w:val="4"/>
            <w:vAlign w:val="center"/>
          </w:tcPr>
          <w:p w14:paraId="2B1CC1E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4DA2B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dxa"/>
            <w:vAlign w:val="center"/>
          </w:tcPr>
          <w:p w14:paraId="7668CF0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48DB181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705" w:type="dxa"/>
            <w:gridSpan w:val="5"/>
            <w:vAlign w:val="center"/>
          </w:tcPr>
          <w:p w14:paraId="0403F0F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2F6676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39A1C128">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3"/>
              <w:tblW w:w="8486"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1390"/>
              <w:gridCol w:w="1391"/>
              <w:gridCol w:w="1391"/>
              <w:gridCol w:w="1440"/>
              <w:gridCol w:w="1339"/>
            </w:tblGrid>
            <w:tr w14:paraId="069BE9F1">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535" w:type="dxa"/>
                  <w:tcBorders>
                    <w:top w:val="single" w:color="auto" w:sz="12" w:space="0"/>
                    <w:left w:val="nil"/>
                    <w:bottom w:val="single" w:color="auto" w:sz="6" w:space="0"/>
                    <w:right w:val="single" w:color="auto" w:sz="6" w:space="0"/>
                    <w:tl2br w:val="single" w:color="auto" w:sz="4" w:space="0"/>
                  </w:tcBorders>
                  <w:vAlign w:val="center"/>
                </w:tcPr>
                <w:p w14:paraId="56C30157">
                  <w:pPr>
                    <w:pStyle w:val="63"/>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237" w:name="_Toc24814499"/>
                  <w:r>
                    <w:rPr>
                      <w:color w:val="auto"/>
                      <w:sz w:val="21"/>
                      <w:highlight w:val="none"/>
                      <w:lang w:val="en-GB"/>
                    </w:rPr>
                    <w:t>排放部位</w:t>
                  </w:r>
                </w:p>
                <w:p w14:paraId="050339AB">
                  <w:pPr>
                    <w:pStyle w:val="63"/>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1390" w:type="dxa"/>
                  <w:tcBorders>
                    <w:top w:val="single" w:color="auto" w:sz="12" w:space="0"/>
                    <w:left w:val="single" w:color="auto" w:sz="6" w:space="0"/>
                    <w:bottom w:val="single" w:color="auto" w:sz="6" w:space="0"/>
                    <w:right w:val="single" w:color="auto" w:sz="6" w:space="0"/>
                  </w:tcBorders>
                  <w:vAlign w:val="center"/>
                </w:tcPr>
                <w:p w14:paraId="1BB80CEB">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1391" w:type="dxa"/>
                  <w:tcBorders>
                    <w:top w:val="single" w:color="auto" w:sz="12" w:space="0"/>
                    <w:left w:val="single" w:color="auto" w:sz="6" w:space="0"/>
                    <w:bottom w:val="single" w:color="auto" w:sz="6" w:space="0"/>
                    <w:right w:val="single" w:color="auto" w:sz="6" w:space="0"/>
                  </w:tcBorders>
                  <w:vAlign w:val="center"/>
                </w:tcPr>
                <w:p w14:paraId="160E3A55">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1391" w:type="dxa"/>
                  <w:tcBorders>
                    <w:top w:val="single" w:color="auto" w:sz="12" w:space="0"/>
                    <w:left w:val="single" w:color="auto" w:sz="6" w:space="0"/>
                    <w:bottom w:val="single" w:color="auto" w:sz="6" w:space="0"/>
                    <w:right w:val="single" w:color="auto" w:sz="6" w:space="0"/>
                  </w:tcBorders>
                  <w:vAlign w:val="center"/>
                </w:tcPr>
                <w:p w14:paraId="41052850">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1440" w:type="dxa"/>
                  <w:tcBorders>
                    <w:top w:val="single" w:color="auto" w:sz="12" w:space="0"/>
                    <w:left w:val="single" w:color="auto" w:sz="6" w:space="0"/>
                    <w:bottom w:val="single" w:color="auto" w:sz="6" w:space="0"/>
                    <w:right w:val="single" w:color="auto" w:sz="6" w:space="0"/>
                  </w:tcBorders>
                  <w:vAlign w:val="center"/>
                </w:tcPr>
                <w:p w14:paraId="75CBF5C6">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1339" w:type="dxa"/>
                  <w:tcBorders>
                    <w:top w:val="single" w:color="auto" w:sz="12" w:space="0"/>
                    <w:left w:val="single" w:color="auto" w:sz="6" w:space="0"/>
                    <w:bottom w:val="single" w:color="auto" w:sz="6" w:space="0"/>
                    <w:right w:val="nil"/>
                  </w:tcBorders>
                  <w:vAlign w:val="center"/>
                </w:tcPr>
                <w:p w14:paraId="60F6C259">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3E2B19F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535" w:type="dxa"/>
                  <w:tcBorders>
                    <w:top w:val="single" w:color="auto" w:sz="6" w:space="0"/>
                    <w:left w:val="nil"/>
                    <w:bottom w:val="single" w:color="auto" w:sz="6" w:space="0"/>
                    <w:right w:val="single" w:color="auto" w:sz="6" w:space="0"/>
                  </w:tcBorders>
                  <w:vAlign w:val="center"/>
                </w:tcPr>
                <w:p w14:paraId="159BCE11">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1390" w:type="dxa"/>
                  <w:tcBorders>
                    <w:top w:val="single" w:color="auto" w:sz="6" w:space="0"/>
                    <w:left w:val="single" w:color="auto" w:sz="6" w:space="0"/>
                    <w:bottom w:val="single" w:color="auto" w:sz="6" w:space="0"/>
                    <w:right w:val="single" w:color="auto" w:sz="6" w:space="0"/>
                  </w:tcBorders>
                  <w:vAlign w:val="center"/>
                </w:tcPr>
                <w:p w14:paraId="7A0357F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62336"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3" name="组合 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37"/>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38"/>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39"/>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40"/>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62336;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37"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38"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39"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40" o:title=""/>
                              <o:lock v:ext="edit" aspectratio="f"/>
                            </v:shape>
                          </v:group>
                        </w:pict>
                      </mc:Fallback>
                    </mc:AlternateContent>
                  </w:r>
                </w:p>
                <w:p w14:paraId="6D9769F3">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46326C4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69821C4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1391" w:type="dxa"/>
                  <w:tcBorders>
                    <w:top w:val="single" w:color="auto" w:sz="6" w:space="0"/>
                    <w:left w:val="single" w:color="auto" w:sz="6" w:space="0"/>
                    <w:bottom w:val="single" w:color="auto" w:sz="6" w:space="0"/>
                    <w:right w:val="single" w:color="auto" w:sz="6" w:space="0"/>
                  </w:tcBorders>
                  <w:vAlign w:val="center"/>
                </w:tcPr>
                <w:p w14:paraId="77C60FA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1FE0CD3">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60296282">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1391" w:type="dxa"/>
                  <w:tcBorders>
                    <w:top w:val="single" w:color="auto" w:sz="6" w:space="0"/>
                    <w:left w:val="single" w:color="auto" w:sz="6" w:space="0"/>
                    <w:bottom w:val="single" w:color="auto" w:sz="6" w:space="0"/>
                    <w:right w:val="single" w:color="auto" w:sz="6" w:space="0"/>
                  </w:tcBorders>
                  <w:vAlign w:val="center"/>
                </w:tcPr>
                <w:p w14:paraId="611443BA">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62CE5C64">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7B42AE2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1440" w:type="dxa"/>
                  <w:tcBorders>
                    <w:top w:val="single" w:color="auto" w:sz="6" w:space="0"/>
                    <w:left w:val="single" w:color="auto" w:sz="6" w:space="0"/>
                    <w:bottom w:val="single" w:color="auto" w:sz="6" w:space="0"/>
                    <w:right w:val="single" w:color="auto" w:sz="6" w:space="0"/>
                  </w:tcBorders>
                  <w:vAlign w:val="center"/>
                </w:tcPr>
                <w:p w14:paraId="2EE86D1D">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1339" w:type="dxa"/>
                  <w:tcBorders>
                    <w:top w:val="single" w:color="auto" w:sz="6" w:space="0"/>
                    <w:left w:val="single" w:color="auto" w:sz="6" w:space="0"/>
                    <w:bottom w:val="single" w:color="auto" w:sz="6" w:space="0"/>
                    <w:right w:val="nil"/>
                  </w:tcBorders>
                  <w:vAlign w:val="center"/>
                </w:tcPr>
                <w:p w14:paraId="6A119367">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41"/>
                                <a:stretch>
                                  <a:fillRect/>
                                </a:stretch>
                              </pic:blipFill>
                              <pic:spPr>
                                <a:xfrm>
                                  <a:off x="0" y="0"/>
                                  <a:ext cx="660400" cy="600710"/>
                                </a:xfrm>
                                <a:prstGeom prst="rect">
                                  <a:avLst/>
                                </a:prstGeom>
                                <a:noFill/>
                                <a:ln>
                                  <a:noFill/>
                                </a:ln>
                              </pic:spPr>
                            </pic:pic>
                          </a:graphicData>
                        </a:graphic>
                      </wp:inline>
                    </w:drawing>
                  </w:r>
                </w:p>
              </w:tc>
            </w:tr>
            <w:tr w14:paraId="16E5822F">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535" w:type="dxa"/>
                  <w:tcBorders>
                    <w:top w:val="single" w:color="auto" w:sz="6" w:space="0"/>
                    <w:left w:val="nil"/>
                    <w:bottom w:val="single" w:color="auto" w:sz="6" w:space="0"/>
                    <w:right w:val="single" w:color="auto" w:sz="6" w:space="0"/>
                  </w:tcBorders>
                  <w:vAlign w:val="center"/>
                </w:tcPr>
                <w:p w14:paraId="03945D53">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1390" w:type="dxa"/>
                  <w:tcBorders>
                    <w:top w:val="single" w:color="auto" w:sz="6" w:space="0"/>
                    <w:left w:val="single" w:color="auto" w:sz="6" w:space="0"/>
                    <w:bottom w:val="single" w:color="auto" w:sz="6" w:space="0"/>
                    <w:right w:val="single" w:color="auto" w:sz="6" w:space="0"/>
                  </w:tcBorders>
                  <w:vAlign w:val="center"/>
                </w:tcPr>
                <w:p w14:paraId="72EEC84C">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1391" w:type="dxa"/>
                  <w:tcBorders>
                    <w:top w:val="single" w:color="auto" w:sz="6" w:space="0"/>
                    <w:left w:val="single" w:color="auto" w:sz="6" w:space="0"/>
                    <w:bottom w:val="single" w:color="auto" w:sz="6" w:space="0"/>
                    <w:right w:val="single" w:color="auto" w:sz="6" w:space="0"/>
                  </w:tcBorders>
                  <w:vAlign w:val="center"/>
                </w:tcPr>
                <w:p w14:paraId="4C9C6DE3">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1391" w:type="dxa"/>
                  <w:tcBorders>
                    <w:top w:val="single" w:color="auto" w:sz="6" w:space="0"/>
                    <w:left w:val="single" w:color="auto" w:sz="6" w:space="0"/>
                    <w:bottom w:val="single" w:color="auto" w:sz="6" w:space="0"/>
                    <w:right w:val="single" w:color="auto" w:sz="6" w:space="0"/>
                  </w:tcBorders>
                  <w:vAlign w:val="center"/>
                </w:tcPr>
                <w:p w14:paraId="23BD1927">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1440" w:type="dxa"/>
                  <w:tcBorders>
                    <w:top w:val="single" w:color="auto" w:sz="6" w:space="0"/>
                    <w:left w:val="single" w:color="auto" w:sz="6" w:space="0"/>
                    <w:bottom w:val="single" w:color="auto" w:sz="6" w:space="0"/>
                    <w:right w:val="single" w:color="auto" w:sz="6" w:space="0"/>
                  </w:tcBorders>
                  <w:vAlign w:val="center"/>
                </w:tcPr>
                <w:p w14:paraId="40222638">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1339" w:type="dxa"/>
                  <w:tcBorders>
                    <w:top w:val="single" w:color="auto" w:sz="6" w:space="0"/>
                    <w:left w:val="single" w:color="auto" w:sz="6" w:space="0"/>
                    <w:bottom w:val="single" w:color="auto" w:sz="6" w:space="0"/>
                    <w:right w:val="nil"/>
                  </w:tcBorders>
                  <w:vAlign w:val="center"/>
                </w:tcPr>
                <w:p w14:paraId="1D09EBF7">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5997A953">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535" w:type="dxa"/>
                  <w:tcBorders>
                    <w:top w:val="single" w:color="auto" w:sz="6" w:space="0"/>
                    <w:left w:val="nil"/>
                    <w:bottom w:val="single" w:color="auto" w:sz="6" w:space="0"/>
                    <w:right w:val="single" w:color="auto" w:sz="6" w:space="0"/>
                  </w:tcBorders>
                  <w:vAlign w:val="center"/>
                </w:tcPr>
                <w:p w14:paraId="2FE719B1">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1390" w:type="dxa"/>
                  <w:tcBorders>
                    <w:top w:val="single" w:color="auto" w:sz="6" w:space="0"/>
                    <w:left w:val="single" w:color="auto" w:sz="6" w:space="0"/>
                    <w:bottom w:val="single" w:color="auto" w:sz="6" w:space="0"/>
                    <w:right w:val="single" w:color="auto" w:sz="6" w:space="0"/>
                  </w:tcBorders>
                  <w:vAlign w:val="center"/>
                </w:tcPr>
                <w:p w14:paraId="6877579D">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1391" w:type="dxa"/>
                  <w:tcBorders>
                    <w:top w:val="single" w:color="auto" w:sz="6" w:space="0"/>
                    <w:left w:val="single" w:color="auto" w:sz="6" w:space="0"/>
                    <w:bottom w:val="single" w:color="auto" w:sz="6" w:space="0"/>
                    <w:right w:val="single" w:color="auto" w:sz="6" w:space="0"/>
                  </w:tcBorders>
                  <w:vAlign w:val="center"/>
                </w:tcPr>
                <w:p w14:paraId="5492A4CD">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1391" w:type="dxa"/>
                  <w:tcBorders>
                    <w:top w:val="single" w:color="auto" w:sz="6" w:space="0"/>
                    <w:left w:val="single" w:color="auto" w:sz="6" w:space="0"/>
                    <w:bottom w:val="single" w:color="auto" w:sz="6" w:space="0"/>
                    <w:right w:val="single" w:color="auto" w:sz="6" w:space="0"/>
                  </w:tcBorders>
                  <w:vAlign w:val="center"/>
                </w:tcPr>
                <w:p w14:paraId="25B6B608">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1440" w:type="dxa"/>
                  <w:tcBorders>
                    <w:top w:val="single" w:color="auto" w:sz="6" w:space="0"/>
                    <w:left w:val="single" w:color="auto" w:sz="6" w:space="0"/>
                    <w:bottom w:val="single" w:color="auto" w:sz="6" w:space="0"/>
                    <w:right w:val="single" w:color="auto" w:sz="6" w:space="0"/>
                  </w:tcBorders>
                  <w:vAlign w:val="center"/>
                </w:tcPr>
                <w:p w14:paraId="124E9057">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1339" w:type="dxa"/>
                  <w:tcBorders>
                    <w:top w:val="single" w:color="auto" w:sz="6" w:space="0"/>
                    <w:left w:val="single" w:color="auto" w:sz="6" w:space="0"/>
                    <w:bottom w:val="single" w:color="auto" w:sz="6" w:space="0"/>
                    <w:right w:val="nil"/>
                  </w:tcBorders>
                  <w:vAlign w:val="center"/>
                </w:tcPr>
                <w:p w14:paraId="30035055">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19D05CB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535" w:type="dxa"/>
                  <w:tcBorders>
                    <w:top w:val="single" w:color="auto" w:sz="6" w:space="0"/>
                    <w:left w:val="nil"/>
                    <w:bottom w:val="single" w:color="auto" w:sz="12" w:space="0"/>
                    <w:right w:val="single" w:color="auto" w:sz="6" w:space="0"/>
                  </w:tcBorders>
                  <w:vAlign w:val="center"/>
                </w:tcPr>
                <w:p w14:paraId="700ED3C1">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1390" w:type="dxa"/>
                  <w:tcBorders>
                    <w:top w:val="single" w:color="auto" w:sz="6" w:space="0"/>
                    <w:left w:val="single" w:color="auto" w:sz="6" w:space="0"/>
                    <w:bottom w:val="single" w:color="auto" w:sz="12" w:space="0"/>
                    <w:right w:val="single" w:color="auto" w:sz="6" w:space="0"/>
                  </w:tcBorders>
                  <w:vAlign w:val="center"/>
                </w:tcPr>
                <w:p w14:paraId="62B4E2A9">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1391" w:type="dxa"/>
                  <w:tcBorders>
                    <w:top w:val="single" w:color="auto" w:sz="6" w:space="0"/>
                    <w:left w:val="single" w:color="auto" w:sz="6" w:space="0"/>
                    <w:bottom w:val="single" w:color="auto" w:sz="12" w:space="0"/>
                    <w:right w:val="single" w:color="auto" w:sz="6" w:space="0"/>
                  </w:tcBorders>
                  <w:vAlign w:val="center"/>
                </w:tcPr>
                <w:p w14:paraId="619C0735">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1391" w:type="dxa"/>
                  <w:tcBorders>
                    <w:top w:val="single" w:color="auto" w:sz="6" w:space="0"/>
                    <w:left w:val="single" w:color="auto" w:sz="6" w:space="0"/>
                    <w:bottom w:val="single" w:color="auto" w:sz="12" w:space="0"/>
                    <w:right w:val="single" w:color="auto" w:sz="6" w:space="0"/>
                  </w:tcBorders>
                  <w:vAlign w:val="center"/>
                </w:tcPr>
                <w:p w14:paraId="2645AB20">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1440" w:type="dxa"/>
                  <w:tcBorders>
                    <w:top w:val="single" w:color="auto" w:sz="6" w:space="0"/>
                    <w:left w:val="single" w:color="auto" w:sz="6" w:space="0"/>
                    <w:bottom w:val="single" w:color="auto" w:sz="12" w:space="0"/>
                    <w:right w:val="single" w:color="auto" w:sz="6" w:space="0"/>
                  </w:tcBorders>
                  <w:vAlign w:val="center"/>
                </w:tcPr>
                <w:p w14:paraId="2222D5B3">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1339" w:type="dxa"/>
                  <w:tcBorders>
                    <w:top w:val="single" w:color="auto" w:sz="6" w:space="0"/>
                    <w:left w:val="single" w:color="auto" w:sz="6" w:space="0"/>
                    <w:bottom w:val="single" w:color="auto" w:sz="12" w:space="0"/>
                    <w:right w:val="nil"/>
                  </w:tcBorders>
                  <w:vAlign w:val="center"/>
                </w:tcPr>
                <w:p w14:paraId="34913B35">
                  <w:pPr>
                    <w:pStyle w:val="63"/>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462DEB9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55D21B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登记</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许可证登记申报</w:t>
            </w:r>
            <w:r>
              <w:rPr>
                <w:rFonts w:hint="default" w:ascii="Times New Roman" w:hAnsi="Times New Roman" w:eastAsia="宋体" w:cs="Times New Roman"/>
                <w:color w:val="auto"/>
                <w:kern w:val="2"/>
                <w:sz w:val="24"/>
                <w:szCs w:val="24"/>
                <w:highlight w:val="none"/>
                <w:lang w:val="en-US" w:eastAsia="zh-CN" w:bidi="ar-SA"/>
              </w:rPr>
              <w:t>。</w:t>
            </w:r>
          </w:p>
          <w:p w14:paraId="0F721466">
            <w:pPr>
              <w:pStyle w:val="8"/>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表5.1-2</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8"/>
              <w:gridCol w:w="1064"/>
              <w:gridCol w:w="1664"/>
              <w:gridCol w:w="3850"/>
              <w:gridCol w:w="1128"/>
            </w:tblGrid>
            <w:tr w14:paraId="17A6B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8" w:type="dxa"/>
                  <w:shd w:val="clear" w:color="auto" w:fill="auto"/>
                  <w:vAlign w:val="center"/>
                </w:tcPr>
                <w:p w14:paraId="38A842E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64" w:type="dxa"/>
                  <w:shd w:val="clear" w:color="auto" w:fill="auto"/>
                  <w:vAlign w:val="center"/>
                </w:tcPr>
                <w:p w14:paraId="2318DF5C">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1664" w:type="dxa"/>
                  <w:shd w:val="clear" w:color="auto" w:fill="auto"/>
                  <w:vAlign w:val="center"/>
                </w:tcPr>
                <w:p w14:paraId="413FB0BE">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重点管理</w:t>
                  </w:r>
                </w:p>
              </w:tc>
              <w:tc>
                <w:tcPr>
                  <w:tcW w:w="3850" w:type="dxa"/>
                  <w:tcBorders>
                    <w:top w:val="single" w:color="auto" w:sz="12" w:space="0"/>
                    <w:bottom w:val="single" w:color="auto" w:sz="4" w:space="0"/>
                  </w:tcBorders>
                  <w:shd w:val="clear" w:color="auto" w:fill="auto"/>
                  <w:vAlign w:val="center"/>
                </w:tcPr>
                <w:p w14:paraId="309F0BDF">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简化管理</w:t>
                  </w:r>
                </w:p>
              </w:tc>
              <w:tc>
                <w:tcPr>
                  <w:tcW w:w="1128" w:type="dxa"/>
                  <w:tcBorders>
                    <w:top w:val="single" w:color="auto" w:sz="12" w:space="0"/>
                    <w:bottom w:val="single" w:color="auto" w:sz="4" w:space="0"/>
                  </w:tcBorders>
                  <w:shd w:val="clear" w:color="auto" w:fill="BEBEBE" w:themeFill="background1" w:themeFillShade="BF"/>
                  <w:vAlign w:val="center"/>
                </w:tcPr>
                <w:p w14:paraId="317C112A">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登记管理</w:t>
                  </w:r>
                </w:p>
              </w:tc>
            </w:tr>
            <w:tr w14:paraId="02B52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BEBEBE" w:themeFill="background1" w:themeFillShade="BF"/>
                  <w:vAlign w:val="center"/>
                </w:tcPr>
                <w:p w14:paraId="3CECD75C">
                  <w:pPr>
                    <w:adjustRightInd w:val="0"/>
                    <w:snapToGrid w:val="0"/>
                    <w:spacing w:line="340" w:lineRule="exact"/>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bCs/>
                      <w:color w:val="auto"/>
                      <w:sz w:val="21"/>
                      <w:szCs w:val="21"/>
                    </w:rPr>
                    <w:t>二十</w:t>
                  </w:r>
                  <w:r>
                    <w:rPr>
                      <w:rFonts w:hint="eastAsia" w:cs="Times New Roman"/>
                      <w:b/>
                      <w:bCs/>
                      <w:color w:val="auto"/>
                      <w:sz w:val="21"/>
                      <w:szCs w:val="21"/>
                      <w:lang w:val="en-US" w:eastAsia="zh-CN"/>
                    </w:rPr>
                    <w:t>四</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橡胶和塑料制品业29</w:t>
                  </w:r>
                </w:p>
              </w:tc>
            </w:tr>
            <w:tr w14:paraId="2E4F4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8" w:type="dxa"/>
                  <w:shd w:val="clear" w:color="auto" w:fill="auto"/>
                  <w:vAlign w:val="center"/>
                </w:tcPr>
                <w:p w14:paraId="726D2E9F">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1064" w:type="dxa"/>
                  <w:shd w:val="clear" w:color="auto" w:fill="auto"/>
                  <w:vAlign w:val="center"/>
                </w:tcPr>
                <w:p w14:paraId="76794B65">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塑料制品业292</w:t>
                  </w:r>
                </w:p>
              </w:tc>
              <w:tc>
                <w:tcPr>
                  <w:tcW w:w="1664" w:type="dxa"/>
                  <w:shd w:val="clear" w:color="auto" w:fill="auto"/>
                  <w:vAlign w:val="center"/>
                </w:tcPr>
                <w:p w14:paraId="4887BA48">
                  <w:pPr>
                    <w:spacing w:line="34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塑料人造革、合成革制造2925</w:t>
                  </w:r>
                </w:p>
              </w:tc>
              <w:tc>
                <w:tcPr>
                  <w:tcW w:w="3850" w:type="dxa"/>
                  <w:tcBorders>
                    <w:top w:val="single" w:color="auto" w:sz="4" w:space="0"/>
                    <w:bottom w:val="single" w:color="auto" w:sz="4" w:space="0"/>
                  </w:tcBorders>
                  <w:shd w:val="clear" w:color="auto" w:fill="auto"/>
                  <w:vAlign w:val="center"/>
                </w:tcPr>
                <w:p w14:paraId="57BB702B">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val="en-US" w:eastAsia="zh-CN"/>
                    </w:rPr>
                    <w:t>年产1万吨及以上的泡沫塑料制造2924</w:t>
                  </w:r>
                  <w:r>
                    <w:rPr>
                      <w:rFonts w:hint="eastAsia" w:ascii="Times New Roman" w:hAnsi="Times New Roman" w:eastAsia="宋体" w:cs="Times New Roman"/>
                      <w:color w:val="auto"/>
                      <w:sz w:val="21"/>
                      <w:szCs w:val="21"/>
                      <w:lang w:val="en-US" w:eastAsia="zh-CN"/>
                    </w:rPr>
                    <w:t>，年产1万吨及以上涉及改性的塑料薄膜制造2921、塑料板、管、型材制造2922、塑料丝、绳和编织品制</w:t>
                  </w:r>
                  <w:r>
                    <w:rPr>
                      <w:rFonts w:hint="eastAsia" w:cs="Times New Roman"/>
                      <w:color w:val="auto"/>
                      <w:sz w:val="21"/>
                      <w:szCs w:val="21"/>
                      <w:lang w:val="en-US" w:eastAsia="zh-CN"/>
                    </w:rPr>
                    <w:t>造</w:t>
                  </w:r>
                  <w:r>
                    <w:rPr>
                      <w:rFonts w:hint="eastAsia" w:ascii="Times New Roman" w:hAnsi="Times New Roman" w:eastAsia="宋体" w:cs="Times New Roman"/>
                      <w:color w:val="auto"/>
                      <w:sz w:val="21"/>
                      <w:szCs w:val="21"/>
                      <w:lang w:val="en-US" w:eastAsia="zh-CN"/>
                    </w:rPr>
                    <w:t>2923、塑料包装箱及容器制造2926、日用塑料品制造2927、人造草坪制</w:t>
                  </w:r>
                  <w:r>
                    <w:rPr>
                      <w:rFonts w:hint="eastAsia" w:cs="Times New Roman"/>
                      <w:color w:val="auto"/>
                      <w:sz w:val="21"/>
                      <w:szCs w:val="21"/>
                      <w:lang w:val="en-US" w:eastAsia="zh-CN"/>
                    </w:rPr>
                    <w:t>造</w:t>
                  </w:r>
                  <w:r>
                    <w:rPr>
                      <w:rFonts w:hint="eastAsia" w:ascii="Times New Roman" w:hAnsi="Times New Roman" w:eastAsia="宋体" w:cs="Times New Roman"/>
                      <w:color w:val="auto"/>
                      <w:sz w:val="21"/>
                      <w:szCs w:val="21"/>
                      <w:lang w:val="en-US" w:eastAsia="zh-CN"/>
                    </w:rPr>
                    <w:t>2928、塑料零件及其他塑料制品制造2929</w:t>
                  </w:r>
                </w:p>
              </w:tc>
              <w:tc>
                <w:tcPr>
                  <w:tcW w:w="1128" w:type="dxa"/>
                  <w:tcBorders>
                    <w:top w:val="single" w:color="auto" w:sz="4" w:space="0"/>
                    <w:bottom w:val="single" w:color="auto" w:sz="4" w:space="0"/>
                  </w:tcBorders>
                  <w:shd w:val="clear" w:color="auto" w:fill="BEBEBE" w:themeFill="background1" w:themeFillShade="BF"/>
                  <w:vAlign w:val="center"/>
                </w:tcPr>
                <w:p w14:paraId="369E33B1">
                  <w:pPr>
                    <w:adjustRightInd w:val="0"/>
                    <w:snapToGrid w:val="0"/>
                    <w:spacing w:line="340" w:lineRule="exac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其他</w:t>
                  </w:r>
                </w:p>
              </w:tc>
            </w:tr>
          </w:tbl>
          <w:p w14:paraId="237160F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237"/>
            <w:bookmarkStart w:id="238"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238"/>
          </w:p>
          <w:p w14:paraId="7FED31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59240F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生态环境部</w:t>
            </w:r>
            <w:r>
              <w:rPr>
                <w:rFonts w:hint="default" w:ascii="Times New Roman" w:hAnsi="Times New Roman" w:eastAsia="宋体" w:cs="Times New Roman"/>
                <w:color w:val="auto"/>
                <w:kern w:val="2"/>
                <w:sz w:val="24"/>
                <w:szCs w:val="24"/>
                <w:highlight w:val="none"/>
                <w:lang w:val="en-US" w:eastAsia="zh-CN" w:bidi="ar-SA"/>
              </w:rPr>
              <w:t>《建设项目竣工环境保护验收技术指南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4A2AC7C9">
      <w:pPr>
        <w:pStyle w:val="74"/>
        <w:widowControl/>
        <w:numPr>
          <w:ilvl w:val="0"/>
          <w:numId w:val="0"/>
        </w:numPr>
        <w:adjustRightInd w:val="0"/>
        <w:snapToGrid w:val="0"/>
        <w:spacing w:before="0" w:beforeAutospacing="0" w:after="0" w:afterAutospacing="0" w:line="360" w:lineRule="auto"/>
        <w:jc w:val="center"/>
        <w:outlineLvl w:val="0"/>
        <w:rPr>
          <w:rFonts w:hint="default"/>
          <w:color w:val="auto"/>
          <w:highlight w:val="none"/>
          <w:lang w:val="en-GB"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122A7FC2">
      <w:pPr>
        <w:pStyle w:val="20"/>
        <w:jc w:val="center"/>
        <w:outlineLvl w:val="0"/>
        <w:rPr>
          <w:rFonts w:ascii="Times New Roman" w:hAnsi="Times New Roman" w:eastAsia="黑体"/>
          <w:snapToGrid w:val="0"/>
          <w:sz w:val="30"/>
          <w:szCs w:val="30"/>
        </w:rPr>
      </w:pPr>
      <w:bookmarkStart w:id="239" w:name="_Toc4252"/>
      <w:bookmarkStart w:id="240" w:name="_Toc17280"/>
      <w:bookmarkStart w:id="241" w:name="_Toc7328"/>
      <w:r>
        <w:drawing>
          <wp:anchor distT="0" distB="0" distL="114300" distR="114300" simplePos="0" relativeHeight="251667456" behindDoc="0" locked="0" layoutInCell="1" allowOverlap="1">
            <wp:simplePos x="0" y="0"/>
            <wp:positionH relativeFrom="column">
              <wp:posOffset>-878205</wp:posOffset>
            </wp:positionH>
            <wp:positionV relativeFrom="paragraph">
              <wp:posOffset>-978535</wp:posOffset>
            </wp:positionV>
            <wp:extent cx="7552690" cy="10774680"/>
            <wp:effectExtent l="0" t="0" r="10160" b="7620"/>
            <wp:wrapNone/>
            <wp:docPr id="1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
                    <pic:cNvPicPr>
                      <a:picLocks noChangeAspect="1"/>
                    </pic:cNvPicPr>
                  </pic:nvPicPr>
                  <pic:blipFill>
                    <a:blip r:embed="rId42"/>
                    <a:stretch>
                      <a:fillRect/>
                    </a:stretch>
                  </pic:blipFill>
                  <pic:spPr>
                    <a:xfrm>
                      <a:off x="0" y="0"/>
                      <a:ext cx="7552690" cy="10774680"/>
                    </a:xfrm>
                    <a:prstGeom prst="rect">
                      <a:avLst/>
                    </a:prstGeom>
                    <a:noFill/>
                    <a:ln>
                      <a:noFill/>
                    </a:ln>
                  </pic:spPr>
                </pic:pic>
              </a:graphicData>
            </a:graphic>
          </wp:anchor>
        </w:drawing>
      </w:r>
      <w:r>
        <w:rPr>
          <w:rFonts w:ascii="Times New Roman" w:hAnsi="Times New Roman" w:eastAsia="黑体"/>
          <w:snapToGrid w:val="0"/>
          <w:sz w:val="30"/>
          <w:szCs w:val="30"/>
        </w:rPr>
        <w:t>六、结论</w:t>
      </w:r>
      <w:bookmarkEnd w:id="239"/>
      <w:bookmarkEnd w:id="240"/>
      <w:bookmarkEnd w:id="241"/>
    </w:p>
    <w:tbl>
      <w:tblPr>
        <w:tblStyle w:val="2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610F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1712DD19">
            <w:pPr>
              <w:spacing w:line="360" w:lineRule="auto"/>
              <w:rPr>
                <w:b/>
                <w:bCs/>
                <w:sz w:val="28"/>
                <w:szCs w:val="28"/>
              </w:rPr>
            </w:pPr>
            <w:r>
              <w:rPr>
                <w:b/>
                <w:bCs/>
                <w:sz w:val="28"/>
                <w:szCs w:val="28"/>
              </w:rPr>
              <w:t>6.1总结论</w:t>
            </w:r>
          </w:p>
          <w:p w14:paraId="0E938C28">
            <w:pPr>
              <w:keepLines w:val="0"/>
              <w:pageBreakBefore w:val="0"/>
              <w:widowControl/>
              <w:wordWrap/>
              <w:topLinePunct w:val="0"/>
              <w:autoSpaceDE/>
              <w:autoSpaceDN/>
              <w:bidi w:val="0"/>
              <w:adjustRightInd/>
              <w:snapToGrid/>
              <w:spacing w:line="360" w:lineRule="auto"/>
              <w:ind w:left="0" w:right="0" w:firstLine="0" w:firstLineChars="0"/>
              <w:jc w:val="left"/>
              <w:rPr>
                <w:rFonts w:ascii="Times New Roman" w:hAnsi="Times New Roman"/>
                <w:color w:val="auto"/>
                <w:sz w:val="24"/>
                <w:szCs w:val="24"/>
              </w:rPr>
            </w:pPr>
            <w:r>
              <w:rPr>
                <w:rFonts w:hint="eastAsia"/>
                <w:color w:val="auto"/>
                <w:sz w:val="24"/>
              </w:rPr>
              <w:t>本项目</w:t>
            </w:r>
            <w:r>
              <w:rPr>
                <w:rFonts w:hint="eastAsia"/>
                <w:color w:val="auto"/>
                <w:sz w:val="24"/>
                <w:lang w:val="en-US" w:eastAsia="zh-CN"/>
              </w:rPr>
              <w:t>位于福建省福州市</w:t>
            </w:r>
            <w:r>
              <w:rPr>
                <w:rFonts w:hint="eastAsia" w:cs="Times New Roman"/>
                <w:color w:val="auto"/>
                <w:sz w:val="24"/>
                <w:szCs w:val="24"/>
                <w:highlight w:val="none"/>
                <w:u w:val="none"/>
                <w:lang w:val="en-US" w:eastAsia="zh-CN"/>
              </w:rPr>
              <w:t>福清市新厝镇双屿500-22号（江阴港城经济区新厝区块）</w:t>
            </w:r>
            <w:r>
              <w:rPr>
                <w:rFonts w:hint="eastAsia"/>
                <w:color w:val="auto"/>
                <w:sz w:val="24"/>
                <w:lang w:val="en-US" w:eastAsia="zh-CN"/>
              </w:rPr>
              <w:t>，项目主要</w:t>
            </w:r>
            <w:r>
              <w:rPr>
                <w:rFonts w:hint="eastAsia" w:ascii="Times New Roman" w:hAnsi="Times New Roman" w:eastAsia="宋体" w:cs="Times New Roman"/>
                <w:color w:val="auto"/>
                <w:sz w:val="24"/>
                <w:szCs w:val="24"/>
                <w:highlight w:val="none"/>
                <w:u w:val="none"/>
                <w:lang w:val="en-US" w:eastAsia="zh-CN"/>
              </w:rPr>
              <w:t>从事</w:t>
            </w:r>
            <w:r>
              <w:rPr>
                <w:rFonts w:hint="eastAsia" w:cs="Times New Roman"/>
                <w:color w:val="auto"/>
                <w:sz w:val="24"/>
                <w:szCs w:val="24"/>
                <w:highlight w:val="none"/>
                <w:u w:val="none"/>
                <w:lang w:val="en-US" w:eastAsia="zh-CN"/>
              </w:rPr>
              <w:t>包装材料、泡沫塑料、塑料制品生产、销售等相关业务</w:t>
            </w:r>
            <w:r>
              <w:rPr>
                <w:rFonts w:hint="eastAsia" w:ascii="Times New Roman" w:hAnsi="Times New Roman" w:eastAsia="宋体" w:cs="Times New Roman"/>
                <w:color w:val="auto"/>
                <w:sz w:val="24"/>
                <w:szCs w:val="24"/>
                <w:highlight w:val="none"/>
                <w:u w:val="none"/>
                <w:lang w:val="en-US" w:eastAsia="zh-CN"/>
              </w:rPr>
              <w:t>。</w:t>
            </w:r>
            <w:r>
              <w:rPr>
                <w:rFonts w:hint="eastAsia"/>
                <w:color w:val="auto"/>
                <w:sz w:val="24"/>
                <w:lang w:val="en-US" w:eastAsia="zh-CN"/>
              </w:rPr>
              <w:t>建设符合国家相关产业政策、符合</w:t>
            </w:r>
            <w:r>
              <w:rPr>
                <w:rFonts w:hint="default" w:ascii="Times New Roman" w:hAnsi="Times New Roman" w:eastAsia="宋体" w:cs="Times New Roman"/>
                <w:b w:val="0"/>
                <w:color w:val="auto"/>
                <w:kern w:val="0"/>
                <w:sz w:val="24"/>
                <w:szCs w:val="24"/>
                <w:u w:val="none"/>
                <w:lang w:val="en-US" w:eastAsia="zh-CN" w:bidi="ar"/>
              </w:rPr>
              <w:t>《</w:t>
            </w:r>
            <w:r>
              <w:rPr>
                <w:rFonts w:hint="eastAsia" w:ascii="Times New Roman" w:hAnsi="Times New Roman" w:eastAsia="宋体" w:cs="Times New Roman"/>
                <w:b w:val="0"/>
                <w:color w:val="auto"/>
                <w:kern w:val="0"/>
                <w:sz w:val="24"/>
                <w:szCs w:val="24"/>
                <w:u w:val="none"/>
                <w:lang w:val="en-US" w:eastAsia="zh-CN" w:bidi="ar"/>
              </w:rPr>
              <w:t>福州江阴港城总体规划（2018-2035）</w:t>
            </w:r>
            <w:r>
              <w:rPr>
                <w:rFonts w:hint="default" w:ascii="Times New Roman" w:hAnsi="Times New Roman" w:eastAsia="宋体" w:cs="Times New Roman"/>
                <w:b w:val="0"/>
                <w:color w:val="auto"/>
                <w:kern w:val="0"/>
                <w:sz w:val="24"/>
                <w:szCs w:val="24"/>
                <w:u w:val="none"/>
                <w:lang w:val="en-US" w:eastAsia="zh-CN" w:bidi="ar"/>
              </w:rPr>
              <w:t>》</w:t>
            </w:r>
            <w:r>
              <w:rPr>
                <w:rFonts w:hint="eastAsia"/>
                <w:color w:val="auto"/>
                <w:sz w:val="24"/>
                <w:lang w:val="en-US" w:eastAsia="zh-CN"/>
              </w:rPr>
              <w:t>中的相关要求。符合“三线一单”以及生态环境分区管控控制要求，选址可行。经采取综合性、积极有效的防治措施并确保污染物达标排放后，可避免或减少这些不利影响，使这些不利影响均在可接受范围内。</w:t>
            </w:r>
            <w:r>
              <w:rPr>
                <w:rFonts w:ascii="Times New Roman" w:hAnsi="Times New Roman"/>
                <w:color w:val="auto"/>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7860410B">
            <w:pPr>
              <w:spacing w:line="360" w:lineRule="auto"/>
              <w:ind w:firstLine="480" w:firstLineChars="200"/>
              <w:rPr>
                <w:rFonts w:ascii="Times New Roman" w:hAnsi="Times New Roman" w:eastAsia="宋体" w:cs="Times New Roman"/>
                <w:color w:val="auto"/>
                <w:sz w:val="24"/>
              </w:rPr>
            </w:pPr>
            <w:r>
              <w:rPr>
                <w:color w:val="auto"/>
                <w:sz w:val="24"/>
              </w:rPr>
              <w:t>综上所述，在认真执行建设项目</w:t>
            </w:r>
            <w:r>
              <w:rPr>
                <w:rFonts w:hint="eastAsia"/>
                <w:color w:val="auto"/>
                <w:sz w:val="24"/>
                <w:lang w:eastAsia="zh-CN"/>
              </w:rPr>
              <w:t>“</w:t>
            </w:r>
            <w:r>
              <w:rPr>
                <w:color w:val="auto"/>
                <w:sz w:val="24"/>
              </w:rPr>
              <w:t>三同时</w:t>
            </w:r>
            <w:r>
              <w:rPr>
                <w:rFonts w:hint="eastAsia"/>
                <w:b w:val="0"/>
                <w:bCs w:val="0"/>
                <w:color w:val="auto"/>
                <w:sz w:val="24"/>
                <w:lang w:eastAsia="zh-CN"/>
              </w:rPr>
              <w:t>”</w:t>
            </w:r>
            <w:r>
              <w:rPr>
                <w:b w:val="0"/>
                <w:bCs w:val="0"/>
                <w:color w:val="auto"/>
                <w:sz w:val="24"/>
              </w:rPr>
              <w:t>制度，切实落实各项规划方案的要求，完成本次环境影响评价提出的各项污染防治措施</w:t>
            </w:r>
            <w:r>
              <w:rPr>
                <w:rFonts w:hint="eastAsia"/>
                <w:b w:val="0"/>
                <w:bCs w:val="0"/>
                <w:color w:val="auto"/>
                <w:sz w:val="24"/>
                <w:lang w:eastAsia="zh-CN"/>
              </w:rPr>
              <w:t>，在</w:t>
            </w:r>
            <w:r>
              <w:rPr>
                <w:rFonts w:ascii="Times New Roman" w:hAnsi="Times New Roman" w:eastAsia="宋体" w:cs="Times New Roman"/>
                <w:b w:val="0"/>
                <w:bCs w:val="0"/>
                <w:color w:val="auto"/>
                <w:sz w:val="24"/>
              </w:rPr>
              <w:t>严格落实</w:t>
            </w:r>
            <w:r>
              <w:rPr>
                <w:rFonts w:hint="eastAsia" w:ascii="Times New Roman" w:hAnsi="Times New Roman" w:eastAsia="宋体" w:cs="Times New Roman"/>
                <w:b w:val="0"/>
                <w:bCs w:val="0"/>
                <w:color w:val="auto"/>
                <w:sz w:val="24"/>
              </w:rPr>
              <w:t>各项生态环境保护和污染防治措施后，</w:t>
            </w:r>
            <w:r>
              <w:rPr>
                <w:rFonts w:ascii="Times New Roman" w:hAnsi="Times New Roman" w:eastAsia="宋体" w:cs="Times New Roman"/>
                <w:b w:val="0"/>
                <w:bCs w:val="0"/>
                <w:color w:val="auto"/>
                <w:sz w:val="24"/>
              </w:rPr>
              <w:t>确保各污染物达标排放，对周围的环境影响较小。从环</w:t>
            </w:r>
            <w:r>
              <w:rPr>
                <w:rFonts w:ascii="Times New Roman" w:hAnsi="Times New Roman" w:eastAsia="宋体" w:cs="Times New Roman"/>
                <w:color w:val="auto"/>
                <w:sz w:val="24"/>
              </w:rPr>
              <w:t>境</w:t>
            </w:r>
            <w:r>
              <w:rPr>
                <w:rFonts w:hint="eastAsia" w:ascii="Times New Roman" w:hAnsi="Times New Roman" w:eastAsia="宋体" w:cs="Times New Roman"/>
                <w:color w:val="auto"/>
                <w:sz w:val="24"/>
                <w:lang w:val="en-US" w:eastAsia="zh-CN"/>
              </w:rPr>
              <w:t>影响</w:t>
            </w:r>
            <w:r>
              <w:rPr>
                <w:rFonts w:ascii="Times New Roman" w:hAnsi="Times New Roman" w:eastAsia="宋体" w:cs="Times New Roman"/>
                <w:color w:val="auto"/>
                <w:sz w:val="24"/>
              </w:rPr>
              <w:t>角度分析，该项目的建设是可行的。</w:t>
            </w:r>
          </w:p>
          <w:p w14:paraId="0008ABB5">
            <w:pPr>
              <w:spacing w:line="360" w:lineRule="auto"/>
              <w:ind w:firstLine="482" w:firstLineChars="200"/>
              <w:rPr>
                <w:b/>
                <w:bCs/>
                <w:sz w:val="24"/>
              </w:rPr>
            </w:pPr>
          </w:p>
          <w:p w14:paraId="2365D563">
            <w:pPr>
              <w:spacing w:line="360" w:lineRule="auto"/>
              <w:ind w:firstLine="482" w:firstLineChars="200"/>
              <w:jc w:val="right"/>
              <w:rPr>
                <w:rFonts w:hint="default" w:eastAsia="宋体"/>
                <w:b/>
                <w:bCs/>
                <w:sz w:val="24"/>
                <w:lang w:val="en-US" w:eastAsia="zh-CN"/>
              </w:rPr>
            </w:pPr>
          </w:p>
          <w:p w14:paraId="4E683E49">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rFonts w:hint="eastAsia"/>
                <w:b w:val="0"/>
                <w:bCs w:val="0"/>
                <w:sz w:val="24"/>
                <w:highlight w:val="none"/>
                <w:lang w:val="en-US" w:eastAsia="zh-CN"/>
              </w:rPr>
              <w:t>福州朴诚至信环保科技有限公司</w:t>
            </w:r>
          </w:p>
          <w:p w14:paraId="09775FF3">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b w:val="0"/>
                <w:bCs w:val="0"/>
                <w:sz w:val="24"/>
                <w:highlight w:val="none"/>
              </w:rPr>
              <w:t>202</w:t>
            </w:r>
            <w:r>
              <w:rPr>
                <w:rFonts w:hint="eastAsia"/>
                <w:b w:val="0"/>
                <w:bCs w:val="0"/>
                <w:sz w:val="24"/>
                <w:highlight w:val="none"/>
                <w:lang w:val="en-US" w:eastAsia="zh-CN"/>
              </w:rPr>
              <w:t>6</w:t>
            </w:r>
            <w:r>
              <w:rPr>
                <w:b w:val="0"/>
                <w:bCs w:val="0"/>
                <w:sz w:val="24"/>
                <w:highlight w:val="none"/>
              </w:rPr>
              <w:t>年</w:t>
            </w:r>
            <w:r>
              <w:rPr>
                <w:rFonts w:hint="eastAsia"/>
                <w:b w:val="0"/>
                <w:bCs w:val="0"/>
                <w:sz w:val="24"/>
                <w:highlight w:val="none"/>
                <w:lang w:val="en-US" w:eastAsia="zh-CN"/>
              </w:rPr>
              <w:t>2</w:t>
            </w:r>
            <w:r>
              <w:rPr>
                <w:b w:val="0"/>
                <w:bCs w:val="0"/>
                <w:sz w:val="24"/>
                <w:highlight w:val="none"/>
              </w:rPr>
              <w:t>月</w:t>
            </w:r>
            <w:r>
              <w:rPr>
                <w:rFonts w:hint="eastAsia"/>
                <w:b w:val="0"/>
                <w:bCs w:val="0"/>
                <w:sz w:val="24"/>
                <w:highlight w:val="none"/>
                <w:lang w:val="en-US" w:eastAsia="zh-CN"/>
              </w:rPr>
              <w:t xml:space="preserve">       </w:t>
            </w:r>
          </w:p>
          <w:p w14:paraId="6CDD73F1">
            <w:pPr>
              <w:keepNext w:val="0"/>
              <w:keepLines w:val="0"/>
              <w:pageBreakBefore w:val="0"/>
              <w:widowControl w:val="0"/>
              <w:kinsoku/>
              <w:overflowPunct/>
              <w:topLinePunct w:val="0"/>
              <w:autoSpaceDE/>
              <w:autoSpaceDN/>
              <w:bidi w:val="0"/>
              <w:adjustRightInd/>
              <w:snapToGrid/>
              <w:spacing w:line="480" w:lineRule="auto"/>
              <w:ind w:firstLine="482" w:firstLineChars="200"/>
              <w:textAlignment w:val="auto"/>
              <w:rPr>
                <w:b/>
                <w:bCs/>
                <w:sz w:val="24"/>
                <w:highlight w:val="none"/>
              </w:rPr>
            </w:pPr>
          </w:p>
          <w:p w14:paraId="28D35140">
            <w:pPr>
              <w:spacing w:line="360" w:lineRule="auto"/>
              <w:ind w:firstLine="482" w:firstLineChars="200"/>
              <w:rPr>
                <w:b/>
                <w:bCs/>
                <w:sz w:val="24"/>
              </w:rPr>
            </w:pPr>
          </w:p>
          <w:p w14:paraId="3F83EDD7">
            <w:pPr>
              <w:spacing w:line="360" w:lineRule="auto"/>
              <w:ind w:firstLine="482" w:firstLineChars="200"/>
              <w:rPr>
                <w:b/>
                <w:bCs/>
                <w:sz w:val="24"/>
              </w:rPr>
            </w:pPr>
          </w:p>
          <w:p w14:paraId="2D906213">
            <w:pPr>
              <w:spacing w:line="360" w:lineRule="auto"/>
              <w:ind w:firstLine="482" w:firstLineChars="200"/>
              <w:rPr>
                <w:b/>
                <w:bCs/>
                <w:sz w:val="24"/>
              </w:rPr>
            </w:pPr>
          </w:p>
          <w:p w14:paraId="25288FDD">
            <w:pPr>
              <w:spacing w:line="360" w:lineRule="auto"/>
              <w:rPr>
                <w:sz w:val="24"/>
              </w:rPr>
            </w:pPr>
          </w:p>
        </w:tc>
      </w:tr>
    </w:tbl>
    <w:p w14:paraId="4E8CAB3B">
      <w:pPr>
        <w:rPr>
          <w:rFonts w:hint="eastAsia"/>
          <w:b/>
          <w:bCs/>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55C23A37">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sz w:val="28"/>
          <w:szCs w:val="28"/>
          <w:lang w:val="en-US" w:eastAsia="zh-CN"/>
        </w:rPr>
      </w:pPr>
      <w:bookmarkStart w:id="242" w:name="_Toc8825"/>
      <w:bookmarkStart w:id="243" w:name="_Toc30449"/>
      <w:r>
        <w:drawing>
          <wp:anchor distT="0" distB="0" distL="114300" distR="114300" simplePos="0" relativeHeight="251664384" behindDoc="0" locked="0" layoutInCell="1" allowOverlap="1">
            <wp:simplePos x="0" y="0"/>
            <wp:positionH relativeFrom="column">
              <wp:posOffset>-870585</wp:posOffset>
            </wp:positionH>
            <wp:positionV relativeFrom="paragraph">
              <wp:posOffset>-984885</wp:posOffset>
            </wp:positionV>
            <wp:extent cx="7524115" cy="9800590"/>
            <wp:effectExtent l="0" t="0" r="635" b="10160"/>
            <wp:wrapNone/>
            <wp:docPr id="1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
                    <pic:cNvPicPr>
                      <a:picLocks noChangeAspect="1"/>
                    </pic:cNvPicPr>
                  </pic:nvPicPr>
                  <pic:blipFill>
                    <a:blip r:embed="rId43"/>
                    <a:stretch>
                      <a:fillRect/>
                    </a:stretch>
                  </pic:blipFill>
                  <pic:spPr>
                    <a:xfrm>
                      <a:off x="0" y="0"/>
                      <a:ext cx="7524115" cy="9800590"/>
                    </a:xfrm>
                    <a:prstGeom prst="rect">
                      <a:avLst/>
                    </a:prstGeom>
                    <a:noFill/>
                    <a:ln>
                      <a:noFill/>
                    </a:ln>
                  </pic:spPr>
                </pic:pic>
              </a:graphicData>
            </a:graphic>
          </wp:anchor>
        </w:drawing>
      </w:r>
      <w:r>
        <w:rPr>
          <w:rFonts w:hint="eastAsia" w:ascii="黑体" w:hAnsi="黑体" w:eastAsia="黑体" w:cs="黑体"/>
          <w:b/>
          <w:bCs/>
          <w:sz w:val="28"/>
          <w:szCs w:val="28"/>
          <w:lang w:val="en-US" w:eastAsia="zh-CN"/>
        </w:rPr>
        <w:t>附件十五：公开说明</w:t>
      </w:r>
      <w:bookmarkEnd w:id="242"/>
      <w:bookmarkEnd w:id="243"/>
    </w:p>
    <w:p w14:paraId="208B48DE">
      <w:pPr>
        <w:pageBreakBefore w:val="0"/>
        <w:widowControl w:val="0"/>
        <w:kinsoku/>
        <w:topLinePunct w:val="0"/>
        <w:autoSpaceDE/>
        <w:autoSpaceDN/>
        <w:bidi w:val="0"/>
        <w:jc w:val="center"/>
        <w:textAlignment w:val="auto"/>
        <w:outlineLvl w:val="9"/>
        <w:rPr>
          <w:rFonts w:hint="default" w:ascii="Times New Roman" w:hAnsi="Times New Roman" w:cs="Times New Roman"/>
          <w:b/>
          <w:sz w:val="36"/>
        </w:rPr>
      </w:pPr>
      <w:r>
        <w:rPr>
          <w:rFonts w:hint="default" w:ascii="Times New Roman" w:hAnsi="Times New Roman" w:cs="Times New Roman"/>
          <w:b/>
          <w:sz w:val="36"/>
        </w:rPr>
        <w:t>关于公开建设项目环评文件等信息情况的说明</w:t>
      </w:r>
    </w:p>
    <w:p w14:paraId="33BC70A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outlineLvl w:val="9"/>
        <w:rPr>
          <w:rFonts w:hint="default" w:ascii="Times New Roman" w:hAnsi="Times New Roman" w:cs="Times New Roman"/>
          <w:sz w:val="28"/>
        </w:rPr>
      </w:pPr>
      <w:r>
        <w:rPr>
          <w:rFonts w:hint="eastAsia" w:cs="Times New Roman"/>
          <w:sz w:val="28"/>
          <w:lang w:val="en-US" w:eastAsia="zh-CN"/>
        </w:rPr>
        <w:t>福州市福清</w:t>
      </w:r>
      <w:r>
        <w:rPr>
          <w:rFonts w:hint="default" w:ascii="Times New Roman" w:hAnsi="Times New Roman" w:cs="Times New Roman"/>
          <w:sz w:val="28"/>
          <w:lang w:val="en-US" w:eastAsia="zh-CN"/>
        </w:rPr>
        <w:t>生态环境</w:t>
      </w:r>
      <w:r>
        <w:rPr>
          <w:rFonts w:hint="default" w:ascii="Times New Roman" w:hAnsi="Times New Roman" w:cs="Times New Roman"/>
          <w:sz w:val="28"/>
        </w:rPr>
        <w:t>局：</w:t>
      </w:r>
    </w:p>
    <w:p w14:paraId="32FC2FA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sz w:val="28"/>
        </w:rPr>
      </w:pPr>
      <w:r>
        <w:rPr>
          <w:rFonts w:hint="default" w:ascii="Times New Roman" w:hAnsi="Times New Roman" w:cs="Times New Roman"/>
          <w:sz w:val="28"/>
        </w:rPr>
        <w:t>我单位已按照《</w:t>
      </w:r>
      <w:r>
        <w:rPr>
          <w:rFonts w:hint="eastAsia" w:ascii="Times New Roman" w:hAnsi="Times New Roman" w:cs="Times New Roman"/>
          <w:sz w:val="28"/>
          <w:lang w:eastAsia="zh-CN"/>
        </w:rPr>
        <w:t>中华人民共和国环境保护法》《</w:t>
      </w:r>
      <w:r>
        <w:rPr>
          <w:rFonts w:hint="default" w:ascii="Times New Roman" w:hAnsi="Times New Roman" w:cs="Times New Roman"/>
          <w:sz w:val="28"/>
        </w:rPr>
        <w:t>建设项目环境影响评价信息公开机制方案》（环发</w:t>
      </w:r>
      <w:r>
        <w:rPr>
          <w:rFonts w:hint="eastAsia" w:ascii="Times New Roman" w:hAnsi="Times New Roman" w:cs="Times New Roman"/>
          <w:sz w:val="28"/>
          <w:lang w:eastAsia="zh-CN"/>
        </w:rPr>
        <w:t>〔2015〕162号</w:t>
      </w:r>
      <w:r>
        <w:rPr>
          <w:rFonts w:hint="default" w:ascii="Times New Roman" w:hAnsi="Times New Roman" w:cs="Times New Roman"/>
          <w:sz w:val="28"/>
        </w:rPr>
        <w:t>）等相关规定，通过福建环保网（链</w:t>
      </w:r>
      <w:r>
        <w:rPr>
          <w:rFonts w:hint="default" w:ascii="Times New Roman" w:hAnsi="Times New Roman" w:cs="Times New Roman"/>
          <w:sz w:val="28"/>
          <w:highlight w:val="none"/>
        </w:rPr>
        <w:t>接：https://www.fjhb.org/huanping/quanben/45170.html</w:t>
      </w:r>
      <w:r>
        <w:rPr>
          <w:rFonts w:hint="default" w:ascii="Times New Roman" w:hAnsi="Times New Roman" w:cs="Times New Roman"/>
          <w:color w:val="auto"/>
          <w:sz w:val="28"/>
          <w:highlight w:val="none"/>
        </w:rPr>
        <w:t>）</w:t>
      </w:r>
      <w:r>
        <w:rPr>
          <w:rFonts w:hint="default" w:ascii="Times New Roman" w:hAnsi="Times New Roman" w:cs="Times New Roman"/>
          <w:sz w:val="28"/>
        </w:rPr>
        <w:t>公开建设项目环评文件等信息（具体见下图）</w:t>
      </w:r>
    </w:p>
    <w:p w14:paraId="6E3CB39A">
      <w:pPr>
        <w:pStyle w:val="75"/>
        <w:keepNext w:val="0"/>
        <w:keepLines w:val="0"/>
        <w:pageBreakBefore w:val="0"/>
        <w:widowControl w:val="0"/>
        <w:kinsoku/>
        <w:wordWrap/>
        <w:overflowPunct/>
        <w:topLinePunct w:val="0"/>
        <w:autoSpaceDE/>
        <w:autoSpaceDN/>
        <w:bidi w:val="0"/>
        <w:adjustRightInd w:val="0"/>
        <w:snapToGrid w:val="0"/>
        <w:spacing w:line="240" w:lineRule="auto"/>
        <w:ind w:left="-525" w:leftChars="-250" w:firstLine="0" w:firstLineChars="0"/>
        <w:jc w:val="center"/>
        <w:textAlignment w:val="auto"/>
        <w:outlineLvl w:val="9"/>
        <w:rPr>
          <w:rFonts w:hint="eastAsia" w:cs="Times New Roman"/>
          <w:sz w:val="28"/>
          <w:szCs w:val="22"/>
          <w:lang w:val="en-US" w:eastAsia="zh-CN"/>
        </w:rPr>
      </w:pPr>
      <w:r>
        <w:drawing>
          <wp:inline distT="0" distB="0" distL="114300" distR="114300">
            <wp:extent cx="5758815" cy="4257040"/>
            <wp:effectExtent l="0" t="0" r="13335" b="1016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r:embed="rId44"/>
                    <a:stretch>
                      <a:fillRect/>
                    </a:stretch>
                  </pic:blipFill>
                  <pic:spPr>
                    <a:xfrm>
                      <a:off x="0" y="0"/>
                      <a:ext cx="5758815" cy="4257040"/>
                    </a:xfrm>
                    <a:prstGeom prst="rect">
                      <a:avLst/>
                    </a:prstGeom>
                    <a:noFill/>
                    <a:ln>
                      <a:noFill/>
                    </a:ln>
                  </pic:spPr>
                </pic:pic>
              </a:graphicData>
            </a:graphic>
          </wp:inline>
        </w:drawing>
      </w:r>
    </w:p>
    <w:p w14:paraId="42E9FB76">
      <w:pPr>
        <w:pStyle w:val="7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cs="Times New Roman"/>
          <w:sz w:val="28"/>
          <w:szCs w:val="22"/>
          <w:lang w:val="en-US" w:eastAsia="zh-CN"/>
        </w:rPr>
      </w:pPr>
    </w:p>
    <w:p w14:paraId="42911754">
      <w:pPr>
        <w:pStyle w:val="7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cs="Times New Roman"/>
          <w:sz w:val="28"/>
          <w:szCs w:val="22"/>
          <w:lang w:val="en-US" w:eastAsia="zh-CN"/>
        </w:rPr>
      </w:pPr>
    </w:p>
    <w:p w14:paraId="096EB044">
      <w:pPr>
        <w:pStyle w:val="75"/>
        <w:pageBreakBefore w:val="0"/>
        <w:widowControl w:val="0"/>
        <w:kinsoku/>
        <w:topLinePunct w:val="0"/>
        <w:autoSpaceDE/>
        <w:autoSpaceDN/>
        <w:bidi w:val="0"/>
        <w:jc w:val="right"/>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cs="Times New Roman"/>
          <w:color w:val="auto"/>
          <w:sz w:val="28"/>
          <w:szCs w:val="28"/>
          <w:lang w:val="en-US" w:eastAsia="zh-CN"/>
        </w:rPr>
        <w:t>福建恒润包装有限公司</w:t>
      </w:r>
    </w:p>
    <w:p w14:paraId="01AB67FA">
      <w:pPr>
        <w:ind w:firstLine="6720" w:firstLineChars="2400"/>
        <w:rPr>
          <w:rFonts w:hint="eastAsia" w:ascii="黑体" w:hAnsi="黑体" w:eastAsia="黑体" w:cs="黑体"/>
          <w:b/>
          <w:bCs/>
          <w:color w:val="auto"/>
          <w:sz w:val="28"/>
          <w:szCs w:val="28"/>
          <w:lang w:val="en-US" w:eastAsia="zh-CN"/>
        </w:rPr>
      </w:pPr>
      <w:r>
        <w:rPr>
          <w:rFonts w:hint="default" w:ascii="Times New Roman" w:hAnsi="Times New Roman" w:cs="Times New Roman"/>
          <w:color w:val="auto"/>
          <w:sz w:val="28"/>
          <w:szCs w:val="22"/>
          <w:highlight w:val="none"/>
          <w:lang w:eastAsia="zh-CN"/>
        </w:rPr>
        <w:t>20</w:t>
      </w:r>
      <w:r>
        <w:rPr>
          <w:rFonts w:hint="eastAsia" w:cs="Times New Roman"/>
          <w:color w:val="auto"/>
          <w:sz w:val="28"/>
          <w:szCs w:val="22"/>
          <w:highlight w:val="none"/>
          <w:lang w:val="en-US" w:eastAsia="zh-CN"/>
        </w:rPr>
        <w:t>26</w:t>
      </w:r>
      <w:r>
        <w:rPr>
          <w:rFonts w:hint="default" w:ascii="Times New Roman" w:hAnsi="Times New Roman" w:cs="Times New Roman"/>
          <w:color w:val="auto"/>
          <w:sz w:val="28"/>
          <w:szCs w:val="22"/>
          <w:highlight w:val="none"/>
          <w:lang w:eastAsia="zh-CN"/>
        </w:rPr>
        <w:t>年</w:t>
      </w:r>
      <w:r>
        <w:rPr>
          <w:rFonts w:hint="eastAsia" w:cs="Times New Roman"/>
          <w:color w:val="auto"/>
          <w:sz w:val="28"/>
          <w:szCs w:val="22"/>
          <w:highlight w:val="none"/>
          <w:lang w:val="en-US" w:eastAsia="zh-CN"/>
        </w:rPr>
        <w:t>2</w:t>
      </w:r>
      <w:r>
        <w:rPr>
          <w:rFonts w:hint="default" w:ascii="Times New Roman" w:hAnsi="Times New Roman" w:cs="Times New Roman"/>
          <w:color w:val="auto"/>
          <w:sz w:val="28"/>
          <w:szCs w:val="22"/>
          <w:highlight w:val="none"/>
          <w:lang w:eastAsia="zh-CN"/>
        </w:rPr>
        <w:t>月</w:t>
      </w:r>
      <w:r>
        <w:rPr>
          <w:rFonts w:hint="eastAsia" w:cs="Times New Roman"/>
          <w:color w:val="auto"/>
          <w:sz w:val="28"/>
          <w:szCs w:val="22"/>
          <w:highlight w:val="none"/>
          <w:lang w:val="en-US" w:eastAsia="zh-CN"/>
        </w:rPr>
        <w:t>5</w:t>
      </w:r>
      <w:r>
        <w:rPr>
          <w:rFonts w:hint="default" w:ascii="Times New Roman" w:hAnsi="Times New Roman" w:cs="Times New Roman"/>
          <w:color w:val="auto"/>
          <w:sz w:val="28"/>
          <w:szCs w:val="22"/>
          <w:highlight w:val="none"/>
          <w:lang w:eastAsia="zh-CN"/>
        </w:rPr>
        <w:t>日</w:t>
      </w:r>
      <w:r>
        <w:rPr>
          <w:rFonts w:hint="eastAsia" w:ascii="黑体" w:hAnsi="黑体" w:eastAsia="黑体" w:cs="黑体"/>
          <w:b/>
          <w:bCs/>
          <w:color w:val="auto"/>
          <w:sz w:val="28"/>
          <w:szCs w:val="28"/>
          <w:lang w:val="en-US" w:eastAsia="zh-CN"/>
        </w:rPr>
        <w:br w:type="page"/>
      </w:r>
    </w:p>
    <w:p w14:paraId="0B51E12B">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sz w:val="28"/>
          <w:szCs w:val="28"/>
          <w:lang w:val="en-US" w:eastAsia="zh-CN"/>
        </w:rPr>
      </w:pPr>
      <w:bookmarkStart w:id="244" w:name="_Toc9717"/>
      <w:bookmarkStart w:id="245" w:name="_Toc19048"/>
      <w:r>
        <w:drawing>
          <wp:anchor distT="0" distB="0" distL="114300" distR="114300" simplePos="0" relativeHeight="251665408" behindDoc="0" locked="0" layoutInCell="1" allowOverlap="1">
            <wp:simplePos x="0" y="0"/>
            <wp:positionH relativeFrom="column">
              <wp:posOffset>-869950</wp:posOffset>
            </wp:positionH>
            <wp:positionV relativeFrom="paragraph">
              <wp:posOffset>-982980</wp:posOffset>
            </wp:positionV>
            <wp:extent cx="7502525" cy="9807575"/>
            <wp:effectExtent l="0" t="0" r="3175" b="3175"/>
            <wp:wrapNone/>
            <wp:docPr id="1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
                    <pic:cNvPicPr>
                      <a:picLocks noChangeAspect="1"/>
                    </pic:cNvPicPr>
                  </pic:nvPicPr>
                  <pic:blipFill>
                    <a:blip r:embed="rId45"/>
                    <a:stretch>
                      <a:fillRect/>
                    </a:stretch>
                  </pic:blipFill>
                  <pic:spPr>
                    <a:xfrm>
                      <a:off x="0" y="0"/>
                      <a:ext cx="7502525" cy="9807575"/>
                    </a:xfrm>
                    <a:prstGeom prst="rect">
                      <a:avLst/>
                    </a:prstGeom>
                    <a:noFill/>
                    <a:ln>
                      <a:noFill/>
                    </a:ln>
                  </pic:spPr>
                </pic:pic>
              </a:graphicData>
            </a:graphic>
          </wp:anchor>
        </w:drawing>
      </w:r>
      <w:r>
        <w:rPr>
          <w:rFonts w:hint="eastAsia" w:ascii="黑体" w:hAnsi="黑体" w:eastAsia="黑体" w:cs="黑体"/>
          <w:b/>
          <w:bCs/>
          <w:sz w:val="28"/>
          <w:szCs w:val="28"/>
          <w:lang w:val="en-US" w:eastAsia="zh-CN"/>
        </w:rPr>
        <w:t>附件十六：关于环评文件公开文本删除的涉及国家秘密、商业秘密等内容的删除依据和理由说明</w:t>
      </w:r>
      <w:bookmarkEnd w:id="244"/>
      <w:bookmarkEnd w:id="245"/>
    </w:p>
    <w:p w14:paraId="2BBE2575">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bookmarkStart w:id="246" w:name="_Toc4088"/>
      <w:bookmarkStart w:id="247" w:name="_Toc28204"/>
      <w:r>
        <w:rPr>
          <w:rFonts w:hint="eastAsia" w:ascii="黑体" w:hAnsi="黑体" w:eastAsia="黑体" w:cs="黑体"/>
          <w:b/>
          <w:bCs/>
          <w:color w:val="auto"/>
          <w:sz w:val="36"/>
          <w:szCs w:val="36"/>
          <w:highlight w:val="none"/>
          <w:lang w:eastAsia="zh-CN"/>
        </w:rPr>
        <w:t>关于环评文件未涉及国家秘密、商业秘密等内容的</w:t>
      </w:r>
    </w:p>
    <w:p w14:paraId="26C6AA75">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val="en-US" w:eastAsia="zh-CN"/>
        </w:rPr>
        <w:t>删除依据和理由</w:t>
      </w:r>
      <w:r>
        <w:rPr>
          <w:rFonts w:hint="eastAsia" w:ascii="黑体" w:hAnsi="黑体" w:eastAsia="黑体" w:cs="黑体"/>
          <w:b/>
          <w:bCs/>
          <w:color w:val="auto"/>
          <w:sz w:val="36"/>
          <w:szCs w:val="36"/>
          <w:highlight w:val="none"/>
          <w:lang w:eastAsia="zh-CN"/>
        </w:rPr>
        <w:t>说明</w:t>
      </w:r>
    </w:p>
    <w:p w14:paraId="133974FC">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533E5D97">
      <w:pPr>
        <w:keepNext/>
        <w:keepLines w:val="0"/>
        <w:pageBreakBefore w:val="0"/>
        <w:widowControl w:val="0"/>
        <w:kinsoku/>
        <w:wordWrap/>
        <w:overflowPunct w:val="0"/>
        <w:topLinePunct w:val="0"/>
        <w:autoSpaceDE/>
        <w:autoSpaceDN/>
        <w:bidi w:val="0"/>
        <w:adjustRightInd/>
        <w:snapToGrid w:val="0"/>
        <w:spacing w:line="360" w:lineRule="auto"/>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福州市福清生态环境局：</w:t>
      </w:r>
    </w:p>
    <w:p w14:paraId="2E555CB0">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我司</w:t>
      </w:r>
      <w:r>
        <w:rPr>
          <w:rFonts w:hint="eastAsia" w:cs="Times New Roman"/>
          <w:color w:val="auto"/>
          <w:sz w:val="28"/>
          <w:szCs w:val="28"/>
          <w:lang w:val="en-US" w:eastAsia="zh-CN"/>
        </w:rPr>
        <w:t>福建恒润包装有限公司年产EPS包装泡沫7800吨、EPO包装泡沫900吨、EPP包装泡沫1200吨项目</w:t>
      </w:r>
      <w:r>
        <w:rPr>
          <w:rFonts w:hint="default" w:ascii="Times New Roman" w:hAnsi="Times New Roman" w:eastAsia="宋体" w:cs="Times New Roman"/>
          <w:color w:val="auto"/>
          <w:sz w:val="28"/>
          <w:szCs w:val="28"/>
          <w:highlight w:val="none"/>
          <w:lang w:val="en-US" w:eastAsia="zh-CN"/>
        </w:rPr>
        <w:t>已完成环境影响报告表编制，现报送贵局审批。我司已删除涉及国家机密、商业秘密、个人隐私等内容（具体删除内容、删除依据详见附件）。报送贵局的环境影响评价报告表公开文本已经我司审核，我司同意对《</w:t>
      </w:r>
      <w:r>
        <w:rPr>
          <w:rFonts w:hint="eastAsia" w:cs="Times New Roman"/>
          <w:color w:val="auto"/>
          <w:sz w:val="28"/>
          <w:szCs w:val="28"/>
          <w:highlight w:val="none"/>
          <w:lang w:val="en-US" w:eastAsia="zh-CN"/>
        </w:rPr>
        <w:t>福建恒润包装有限公司年产EPS包装泡沫7800吨、EPO包装泡沫900吨、EPP包装泡沫1200吨项目</w:t>
      </w:r>
      <w:r>
        <w:rPr>
          <w:rFonts w:hint="default" w:ascii="Times New Roman" w:hAnsi="Times New Roman" w:eastAsia="宋体" w:cs="Times New Roman"/>
          <w:color w:val="auto"/>
          <w:sz w:val="28"/>
          <w:szCs w:val="28"/>
          <w:highlight w:val="none"/>
          <w:lang w:val="en-US" w:eastAsia="zh-CN"/>
        </w:rPr>
        <w:t>环境影响报告表》公开文本全文进行公示，特此声明。</w:t>
      </w:r>
    </w:p>
    <w:p w14:paraId="63C134C4">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附件：关于《</w:t>
      </w:r>
      <w:r>
        <w:rPr>
          <w:rFonts w:hint="eastAsia" w:cs="Times New Roman"/>
          <w:color w:val="auto"/>
          <w:sz w:val="28"/>
          <w:szCs w:val="28"/>
          <w:highlight w:val="none"/>
          <w:lang w:val="en-US" w:eastAsia="zh-CN"/>
        </w:rPr>
        <w:t>福建恒润包装有限公司年产EPS包装泡沫7800吨、EPO包装泡沫900吨、EPP包装泡沫1200吨项目</w:t>
      </w:r>
      <w:r>
        <w:rPr>
          <w:rFonts w:hint="default" w:ascii="Times New Roman" w:hAnsi="Times New Roman" w:eastAsia="宋体" w:cs="Times New Roman"/>
          <w:color w:val="auto"/>
          <w:sz w:val="28"/>
          <w:szCs w:val="28"/>
          <w:highlight w:val="none"/>
          <w:lang w:val="en-US" w:eastAsia="zh-CN"/>
        </w:rPr>
        <w:t>环境影响报告表》公开删除内容、删除依据的说明</w:t>
      </w:r>
    </w:p>
    <w:p w14:paraId="0F5AEA4D">
      <w:pPr>
        <w:pageBreakBefore w:val="0"/>
        <w:widowControl w:val="0"/>
        <w:kinsoku/>
        <w:wordWrap/>
        <w:topLinePunct w:val="0"/>
        <w:autoSpaceDE/>
        <w:autoSpaceDN/>
        <w:bidi w:val="0"/>
        <w:adjustRightInd/>
        <w:textAlignment w:val="auto"/>
        <w:outlineLvl w:val="9"/>
        <w:rPr>
          <w:rFonts w:hint="default"/>
          <w:lang w:val="en-US" w:eastAsia="zh-CN"/>
        </w:rPr>
      </w:pPr>
    </w:p>
    <w:p w14:paraId="3C77CD69">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37440190">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26AA917E">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单位盖章</w:t>
      </w:r>
    </w:p>
    <w:p w14:paraId="23E8130C">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jc w:val="center"/>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202</w:t>
      </w:r>
      <w:r>
        <w:rPr>
          <w:rFonts w:hint="eastAsia"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年</w:t>
      </w:r>
      <w:r>
        <w:rPr>
          <w:rFonts w:hint="eastAsia"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月</w:t>
      </w:r>
      <w:r>
        <w:rPr>
          <w:rFonts w:hint="eastAsia"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rPr>
        <w:t>日</w:t>
      </w:r>
    </w:p>
    <w:p w14:paraId="2F2E74A3">
      <w:pPr>
        <w:pageBreakBefore w:val="0"/>
        <w:widowControl w:val="0"/>
        <w:kinsoku/>
        <w:wordWrap/>
        <w:topLinePunct w:val="0"/>
        <w:autoSpaceDE/>
        <w:autoSpaceDN/>
        <w:bidi w:val="0"/>
        <w:adjustRightInd/>
        <w:textAlignment w:val="auto"/>
        <w:outlineLvl w:val="9"/>
        <w:rPr>
          <w:rFonts w:hint="eastAsia" w:ascii="黑体" w:hAnsi="黑体" w:eastAsia="黑体" w:cs="黑体"/>
          <w:b/>
          <w:bCs/>
          <w:color w:val="auto"/>
          <w:sz w:val="28"/>
          <w:szCs w:val="28"/>
          <w:highlight w:val="none"/>
          <w:lang w:val="en-US" w:eastAsia="zh-CN"/>
        </w:rPr>
      </w:pPr>
      <w:r>
        <w:rPr>
          <w:rFonts w:hint="eastAsia" w:ascii="黑体" w:hAnsi="黑体" w:eastAsia="黑体" w:cs="黑体"/>
          <w:b/>
          <w:bCs/>
          <w:color w:val="auto"/>
          <w:sz w:val="28"/>
          <w:szCs w:val="28"/>
          <w:highlight w:val="none"/>
          <w:lang w:val="en-US" w:eastAsia="zh-CN"/>
        </w:rPr>
        <w:br w:type="page"/>
      </w:r>
      <w:r>
        <w:drawing>
          <wp:anchor distT="0" distB="0" distL="114300" distR="114300" simplePos="0" relativeHeight="251666432" behindDoc="0" locked="0" layoutInCell="1" allowOverlap="1">
            <wp:simplePos x="0" y="0"/>
            <wp:positionH relativeFrom="column">
              <wp:posOffset>-887095</wp:posOffset>
            </wp:positionH>
            <wp:positionV relativeFrom="paragraph">
              <wp:posOffset>-959485</wp:posOffset>
            </wp:positionV>
            <wp:extent cx="7564755" cy="9772015"/>
            <wp:effectExtent l="0" t="0" r="17145" b="635"/>
            <wp:wrapNone/>
            <wp:docPr id="1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
                    <pic:cNvPicPr>
                      <a:picLocks noChangeAspect="1"/>
                    </pic:cNvPicPr>
                  </pic:nvPicPr>
                  <pic:blipFill>
                    <a:blip r:embed="rId46"/>
                    <a:stretch>
                      <a:fillRect/>
                    </a:stretch>
                  </pic:blipFill>
                  <pic:spPr>
                    <a:xfrm>
                      <a:off x="0" y="0"/>
                      <a:ext cx="7564755" cy="9772015"/>
                    </a:xfrm>
                    <a:prstGeom prst="rect">
                      <a:avLst/>
                    </a:prstGeom>
                    <a:noFill/>
                    <a:ln>
                      <a:noFill/>
                    </a:ln>
                  </pic:spPr>
                </pic:pic>
              </a:graphicData>
            </a:graphic>
          </wp:anchor>
        </w:drawing>
      </w:r>
      <w:r>
        <w:rPr>
          <w:rFonts w:hint="eastAsia" w:ascii="黑体" w:hAnsi="黑体" w:eastAsia="黑体" w:cs="黑体"/>
          <w:b/>
          <w:bCs/>
          <w:color w:val="auto"/>
          <w:sz w:val="28"/>
          <w:szCs w:val="28"/>
          <w:highlight w:val="none"/>
          <w:lang w:val="en-US" w:eastAsia="zh-CN"/>
        </w:rPr>
        <w:t>附件：</w:t>
      </w:r>
    </w:p>
    <w:p w14:paraId="7B301046">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br w:type="textWrapping"/>
      </w:r>
      <w:r>
        <w:rPr>
          <w:rFonts w:hint="eastAsia" w:ascii="宋体" w:hAnsi="宋体" w:eastAsia="宋体" w:cs="宋体"/>
          <w:b/>
          <w:bCs/>
          <w:color w:val="auto"/>
          <w:sz w:val="30"/>
          <w:szCs w:val="30"/>
          <w:highlight w:val="none"/>
          <w:lang w:val="en-US" w:eastAsia="zh-CN"/>
        </w:rPr>
        <w:t>关于</w:t>
      </w:r>
      <w:r>
        <w:rPr>
          <w:rFonts w:hint="eastAsia" w:ascii="宋体" w:hAnsi="宋体" w:cs="宋体"/>
          <w:b/>
          <w:bCs/>
          <w:color w:val="auto"/>
          <w:sz w:val="30"/>
          <w:szCs w:val="30"/>
          <w:lang w:val="en-US" w:eastAsia="zh-CN"/>
        </w:rPr>
        <w:t>福建恒润包装有限公司年产EPS包装泡沫7800吨、EPO包装泡沫900吨、EPP包装泡沫1200吨项目</w:t>
      </w:r>
      <w:r>
        <w:rPr>
          <w:rFonts w:hint="eastAsia" w:ascii="宋体" w:hAnsi="宋体" w:eastAsia="宋体" w:cs="宋体"/>
          <w:b/>
          <w:bCs/>
          <w:color w:val="auto"/>
          <w:sz w:val="30"/>
          <w:szCs w:val="30"/>
          <w:highlight w:val="none"/>
          <w:lang w:val="en-US" w:eastAsia="zh-CN"/>
        </w:rPr>
        <w:t>环境影响报告表公开文本删除的涉及国家秘密、商业秘密等内容的删除依据和理由说明</w:t>
      </w:r>
    </w:p>
    <w:p w14:paraId="386BEE54">
      <w:pPr>
        <w:pStyle w:val="17"/>
        <w:rPr>
          <w:rFonts w:hint="eastAsia" w:ascii="宋体" w:hAnsi="宋体" w:eastAsia="宋体" w:cs="宋体"/>
          <w:b/>
          <w:bCs/>
          <w:color w:val="auto"/>
          <w:sz w:val="30"/>
          <w:szCs w:val="30"/>
          <w:highlight w:val="none"/>
          <w:lang w:val="en-US" w:eastAsia="zh-CN"/>
        </w:rPr>
      </w:pPr>
    </w:p>
    <w:p w14:paraId="4127060A">
      <w:pPr>
        <w:rPr>
          <w:rFonts w:hint="eastAsia"/>
          <w:lang w:val="en-US" w:eastAsia="zh-CN"/>
        </w:rPr>
      </w:pPr>
    </w:p>
    <w:p w14:paraId="589992C0">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我司《</w:t>
      </w:r>
      <w:r>
        <w:rPr>
          <w:rFonts w:hint="eastAsia" w:cs="Times New Roman"/>
          <w:color w:val="auto"/>
          <w:sz w:val="28"/>
          <w:szCs w:val="28"/>
          <w:highlight w:val="none"/>
          <w:lang w:val="en-US" w:eastAsia="zh-CN"/>
        </w:rPr>
        <w:t>福建恒润包装有限公司年产EPS包装泡沫7800吨、EPO包装泡沫900吨、EPP包装泡沫1200吨项目</w:t>
      </w:r>
      <w:r>
        <w:rPr>
          <w:rFonts w:hint="default" w:ascii="Times New Roman" w:hAnsi="Times New Roman" w:eastAsia="宋体" w:cs="Times New Roman"/>
          <w:color w:val="auto"/>
          <w:sz w:val="28"/>
          <w:szCs w:val="28"/>
          <w:highlight w:val="none"/>
          <w:lang w:val="en-US" w:eastAsia="zh-CN"/>
        </w:rPr>
        <w:t>环境影响报告表</w:t>
      </w:r>
      <w:r>
        <w:rPr>
          <w:rFonts w:hint="eastAsia" w:ascii="宋体" w:hAnsi="宋体" w:eastAsia="宋体" w:cs="宋体"/>
          <w:b w:val="0"/>
          <w:bCs w:val="0"/>
          <w:color w:val="auto"/>
          <w:sz w:val="28"/>
          <w:szCs w:val="28"/>
          <w:highlight w:val="none"/>
          <w:lang w:val="en-US" w:eastAsia="zh-CN"/>
        </w:rPr>
        <w:t>》部分内容因涉及国家秘密、商业秘密、个人隐私。我司删除了环境影响评价报告标准中相应内容。具体删除内容和删除依据如下：</w:t>
      </w:r>
    </w:p>
    <w:p w14:paraId="0B774D84">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1、删除项目附件，删除理由：涉及个人隐私；</w:t>
      </w:r>
    </w:p>
    <w:p w14:paraId="43147858">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2、删除我司联系方式，删除理由：涉及个人隐私：</w:t>
      </w:r>
    </w:p>
    <w:p w14:paraId="65DFCD72">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3、删除项目编制单位统一社会信用代码及编制主持人证书编号、信用编号等，删除理由：涉及商业秘密及个人隐私。</w:t>
      </w:r>
    </w:p>
    <w:p w14:paraId="64DF3559">
      <w:pPr>
        <w:ind w:firstLine="560" w:firstLineChars="200"/>
        <w:rPr>
          <w:rFonts w:hint="eastAsia" w:ascii="宋体" w:hAnsi="宋体" w:eastAsia="宋体" w:cs="宋体"/>
          <w:b w:val="0"/>
          <w:bCs w:val="0"/>
          <w:color w:val="auto"/>
          <w:sz w:val="28"/>
          <w:szCs w:val="28"/>
          <w:highlight w:val="none"/>
          <w:lang w:val="en-US" w:eastAsia="zh-CN"/>
        </w:rPr>
      </w:pPr>
    </w:p>
    <w:p w14:paraId="111D2D19">
      <w:pPr>
        <w:ind w:firstLine="560" w:firstLineChars="200"/>
        <w:rPr>
          <w:rFonts w:hint="eastAsia" w:ascii="宋体" w:hAnsi="宋体" w:eastAsia="宋体" w:cs="宋体"/>
          <w:b w:val="0"/>
          <w:bCs w:val="0"/>
          <w:color w:val="auto"/>
          <w:sz w:val="28"/>
          <w:szCs w:val="28"/>
          <w:highlight w:val="none"/>
          <w:lang w:val="en-US" w:eastAsia="zh-CN"/>
        </w:rPr>
      </w:pPr>
    </w:p>
    <w:p w14:paraId="598FF8D9">
      <w:pPr>
        <w:wordWrap w:val="0"/>
        <w:ind w:firstLine="560" w:firstLineChars="200"/>
        <w:jc w:val="right"/>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单位盖章</w:t>
      </w:r>
    </w:p>
    <w:p w14:paraId="71EAD3FB">
      <w:pPr>
        <w:ind w:firstLine="560" w:firstLineChars="200"/>
        <w:jc w:val="right"/>
        <w:rPr>
          <w:rFonts w:hint="eastAsia" w:ascii="黑体" w:hAnsi="黑体" w:eastAsia="黑体" w:cs="黑体"/>
          <w:b/>
          <w:bCs/>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202</w:t>
      </w:r>
      <w:r>
        <w:rPr>
          <w:rFonts w:hint="eastAsia" w:ascii="宋体" w:hAnsi="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lang w:val="en-US" w:eastAsia="zh-CN"/>
        </w:rPr>
        <w:t>年</w:t>
      </w:r>
      <w:r>
        <w:rPr>
          <w:rFonts w:hint="eastAsia" w:ascii="宋体" w:hAnsi="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lang w:val="en-US" w:eastAsia="zh-CN"/>
        </w:rPr>
        <w:t>月</w:t>
      </w:r>
      <w:r>
        <w:rPr>
          <w:rFonts w:hint="eastAsia" w:ascii="宋体" w:hAnsi="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lang w:val="en-US" w:eastAsia="zh-CN"/>
        </w:rPr>
        <w:t>日</w:t>
      </w:r>
      <w:r>
        <w:rPr>
          <w:rFonts w:hint="eastAsia" w:ascii="黑体" w:hAnsi="黑体" w:eastAsia="黑体" w:cs="黑体"/>
          <w:b/>
          <w:bCs/>
          <w:color w:val="auto"/>
          <w:sz w:val="28"/>
          <w:szCs w:val="28"/>
          <w:highlight w:val="none"/>
          <w:lang w:val="en-US" w:eastAsia="zh-CN"/>
        </w:rPr>
        <w:br w:type="page"/>
      </w:r>
    </w:p>
    <w:bookmarkEnd w:id="246"/>
    <w:bookmarkEnd w:id="247"/>
    <w:p w14:paraId="7F897FB4">
      <w:pPr>
        <w:keepNext/>
        <w:keepLines w:val="0"/>
        <w:pageBreakBefore w:val="0"/>
        <w:widowControl w:val="0"/>
        <w:kinsoku/>
        <w:wordWrap w:val="0"/>
        <w:overflowPunct w:val="0"/>
        <w:topLinePunct w:val="0"/>
        <w:autoSpaceDE/>
        <w:autoSpaceDN/>
        <w:bidi w:val="0"/>
        <w:adjustRightInd/>
        <w:snapToGrid w:val="0"/>
        <w:spacing w:line="480" w:lineRule="auto"/>
        <w:ind w:left="0" w:firstLine="0" w:firstLineChars="0"/>
        <w:jc w:val="right"/>
        <w:textAlignment w:val="auto"/>
        <w:outlineLvl w:val="9"/>
        <w:rPr>
          <w:rFonts w:hint="default" w:ascii="Times New Roman" w:hAnsi="Times New Roman" w:eastAsia="宋体" w:cs="Times New Roman"/>
          <w:color w:val="auto"/>
          <w:sz w:val="30"/>
          <w:szCs w:val="30"/>
          <w:highlight w:val="none"/>
          <w:lang w:val="en-US" w:eastAsia="zh-CN"/>
        </w:rPr>
      </w:pPr>
      <w:bookmarkStart w:id="248" w:name="_Toc26446"/>
      <w:bookmarkStart w:id="249" w:name="_Toc1677"/>
      <w:bookmarkStart w:id="250" w:name="_Toc32621"/>
      <w:bookmarkStart w:id="251" w:name="_Toc27124"/>
      <w:bookmarkStart w:id="252" w:name="_Toc2207"/>
      <w:bookmarkStart w:id="253" w:name="_Toc24726"/>
    </w:p>
    <w:p w14:paraId="436511A2"/>
    <w:bookmarkEnd w:id="248"/>
    <w:bookmarkEnd w:id="249"/>
    <w:bookmarkEnd w:id="250"/>
    <w:bookmarkEnd w:id="251"/>
    <w:bookmarkEnd w:id="252"/>
    <w:bookmarkEnd w:id="253"/>
    <w:p w14:paraId="1741C44F">
      <w:pPr>
        <w:rPr>
          <w:rFonts w:hint="eastAsia" w:ascii="黑体" w:hAnsi="黑体" w:eastAsia="黑体" w:cs="黑体"/>
          <w:b/>
          <w:bCs/>
          <w:sz w:val="28"/>
          <w:szCs w:val="28"/>
          <w:lang w:val="en-US" w:eastAsia="zh-CN"/>
        </w:rPr>
        <w:sectPr>
          <w:footerReference r:id="rId5" w:type="default"/>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2FB07F9C">
      <w:pPr>
        <w:pStyle w:val="11"/>
        <w:rPr>
          <w:rFonts w:hint="eastAsia"/>
          <w:lang w:val="en-US" w:eastAsia="zh-CN"/>
        </w:rPr>
      </w:pPr>
    </w:p>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B1C64">
    <w:pPr>
      <w:pStyle w:val="15"/>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EF260">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FBEF260">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142EE">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5C344">
                          <w:pPr>
                            <w:pStyle w:val="1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B25C344">
                    <w:pPr>
                      <w:pStyle w:val="1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501E3">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F65A4">
                          <w:pPr>
                            <w:pStyle w:val="15"/>
                          </w:pPr>
                          <w:r>
                            <w:fldChar w:fldCharType="begin"/>
                          </w:r>
                          <w:r>
                            <w:instrText xml:space="preserve"> PAGE  \* MERGEFORMAT </w:instrText>
                          </w:r>
                          <w:r>
                            <w:fldChar w:fldCharType="separate"/>
                          </w:r>
                          <w:r>
                            <w:t>XCVIII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3DAF65A4">
                    <w:pPr>
                      <w:pStyle w:val="15"/>
                    </w:pPr>
                    <w:r>
                      <w:fldChar w:fldCharType="begin"/>
                    </w:r>
                    <w:r>
                      <w:instrText xml:space="preserve"> PAGE  \* MERGEFORMAT </w:instrText>
                    </w:r>
                    <w:r>
                      <w:fldChar w:fldCharType="separate"/>
                    </w:r>
                    <w:r>
                      <w:t>XCVIII</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E19335"/>
    <w:multiLevelType w:val="singleLevel"/>
    <w:tmpl w:val="CDE19335"/>
    <w:lvl w:ilvl="0" w:tentative="0">
      <w:start w:val="3"/>
      <w:numFmt w:val="decimal"/>
      <w:suff w:val="nothing"/>
      <w:lvlText w:val="（%1）"/>
      <w:lvlJc w:val="left"/>
    </w:lvl>
  </w:abstractNum>
  <w:abstractNum w:abstractNumId="1">
    <w:nsid w:val="D9DDEDF4"/>
    <w:multiLevelType w:val="singleLevel"/>
    <w:tmpl w:val="D9DDEDF4"/>
    <w:lvl w:ilvl="0" w:tentative="0">
      <w:start w:val="1"/>
      <w:numFmt w:val="decimal"/>
      <w:suff w:val="nothing"/>
      <w:lvlText w:val="（%1）"/>
      <w:lvlJc w:val="left"/>
    </w:lvl>
  </w:abstractNum>
  <w:abstractNum w:abstractNumId="2">
    <w:nsid w:val="E2CAE295"/>
    <w:multiLevelType w:val="singleLevel"/>
    <w:tmpl w:val="E2CAE295"/>
    <w:lvl w:ilvl="0" w:tentative="0">
      <w:start w:val="5"/>
      <w:numFmt w:val="chineseCounting"/>
      <w:suff w:val="nothing"/>
      <w:lvlText w:val="%1、"/>
      <w:lvlJc w:val="left"/>
      <w:rPr>
        <w:rFonts w:hint="eastAsia"/>
      </w:rPr>
    </w:lvl>
  </w:abstractNum>
  <w:abstractNum w:abstractNumId="3">
    <w:nsid w:val="002B350F"/>
    <w:multiLevelType w:val="singleLevel"/>
    <w:tmpl w:val="002B350F"/>
    <w:lvl w:ilvl="0" w:tentative="0">
      <w:start w:val="1"/>
      <w:numFmt w:val="decimal"/>
      <w:suff w:val="nothing"/>
      <w:lvlText w:val="%1、"/>
      <w:lvlJc w:val="left"/>
    </w:lvl>
  </w:abstractNum>
  <w:abstractNum w:abstractNumId="4">
    <w:nsid w:val="31980093"/>
    <w:multiLevelType w:val="singleLevel"/>
    <w:tmpl w:val="31980093"/>
    <w:lvl w:ilvl="0" w:tentative="0">
      <w:start w:val="2"/>
      <w:numFmt w:val="chineseCounting"/>
      <w:suff w:val="nothing"/>
      <w:lvlText w:val="%1、"/>
      <w:lvlJc w:val="left"/>
      <w:rPr>
        <w:rFonts w:hint="eastAsia"/>
      </w:rPr>
    </w:lvl>
  </w:abstractNum>
  <w:abstractNum w:abstractNumId="5">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5"/>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6833FA05"/>
    <w:multiLevelType w:val="singleLevel"/>
    <w:tmpl w:val="6833FA05"/>
    <w:lvl w:ilvl="0" w:tentative="0">
      <w:start w:val="1"/>
      <w:numFmt w:val="decimal"/>
      <w:suff w:val="nothing"/>
      <w:lvlText w:val="%1、"/>
      <w:lvlJc w:val="left"/>
    </w:lvl>
  </w:abstractNum>
  <w:abstractNum w:abstractNumId="7">
    <w:nsid w:val="68ED1BD7"/>
    <w:multiLevelType w:val="singleLevel"/>
    <w:tmpl w:val="68ED1BD7"/>
    <w:lvl w:ilvl="0" w:tentative="0">
      <w:start w:val="1"/>
      <w:numFmt w:val="decimal"/>
      <w:suff w:val="nothing"/>
      <w:lvlText w:val="（%1）"/>
      <w:lvlJc w:val="left"/>
    </w:lvl>
  </w:abstractNum>
  <w:abstractNum w:abstractNumId="8">
    <w:nsid w:val="76E68910"/>
    <w:multiLevelType w:val="singleLevel"/>
    <w:tmpl w:val="76E68910"/>
    <w:lvl w:ilvl="0" w:tentative="0">
      <w:start w:val="1"/>
      <w:numFmt w:val="decimal"/>
      <w:suff w:val="nothing"/>
      <w:lvlText w:val="（%1）"/>
      <w:lvlJc w:val="left"/>
    </w:lvl>
  </w:abstractNum>
  <w:abstractNum w:abstractNumId="9">
    <w:nsid w:val="7E752F05"/>
    <w:multiLevelType w:val="singleLevel"/>
    <w:tmpl w:val="7E752F05"/>
    <w:lvl w:ilvl="0" w:tentative="0">
      <w:start w:val="1"/>
      <w:numFmt w:val="decimal"/>
      <w:suff w:val="nothing"/>
      <w:lvlText w:val="%1、"/>
      <w:lvlJc w:val="left"/>
    </w:lvl>
  </w:abstractNum>
  <w:num w:numId="1">
    <w:abstractNumId w:val="5"/>
  </w:num>
  <w:num w:numId="2">
    <w:abstractNumId w:val="4"/>
  </w:num>
  <w:num w:numId="3">
    <w:abstractNumId w:val="1"/>
  </w:num>
  <w:num w:numId="4">
    <w:abstractNumId w:val="0"/>
  </w:num>
  <w:num w:numId="5">
    <w:abstractNumId w:val="3"/>
  </w:num>
  <w:num w:numId="6">
    <w:abstractNumId w:val="9"/>
  </w:num>
  <w:num w:numId="7">
    <w:abstractNumId w:val="6"/>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E39B3"/>
    <w:rsid w:val="008F270C"/>
    <w:rsid w:val="00B65805"/>
    <w:rsid w:val="012855CE"/>
    <w:rsid w:val="01312D03"/>
    <w:rsid w:val="016C7A79"/>
    <w:rsid w:val="018639EF"/>
    <w:rsid w:val="018C0721"/>
    <w:rsid w:val="03501EED"/>
    <w:rsid w:val="035A6E90"/>
    <w:rsid w:val="037C7496"/>
    <w:rsid w:val="03B373C8"/>
    <w:rsid w:val="03F434D0"/>
    <w:rsid w:val="05467935"/>
    <w:rsid w:val="0599625C"/>
    <w:rsid w:val="05A74E52"/>
    <w:rsid w:val="05B16FE4"/>
    <w:rsid w:val="06D60D20"/>
    <w:rsid w:val="06FE0CEC"/>
    <w:rsid w:val="074F7AC9"/>
    <w:rsid w:val="08506999"/>
    <w:rsid w:val="092D6D74"/>
    <w:rsid w:val="09704E33"/>
    <w:rsid w:val="09BB5BCC"/>
    <w:rsid w:val="0A424D4C"/>
    <w:rsid w:val="0AA6399E"/>
    <w:rsid w:val="0B071A1E"/>
    <w:rsid w:val="0B431F62"/>
    <w:rsid w:val="0B9270CC"/>
    <w:rsid w:val="0C14470F"/>
    <w:rsid w:val="0CD658CB"/>
    <w:rsid w:val="0DC962E6"/>
    <w:rsid w:val="0E94387A"/>
    <w:rsid w:val="0ECC7F03"/>
    <w:rsid w:val="0F005480"/>
    <w:rsid w:val="0F27519E"/>
    <w:rsid w:val="0F947289"/>
    <w:rsid w:val="10686559"/>
    <w:rsid w:val="10D15444"/>
    <w:rsid w:val="10FE0470"/>
    <w:rsid w:val="114762E6"/>
    <w:rsid w:val="119E6CF5"/>
    <w:rsid w:val="121161DF"/>
    <w:rsid w:val="12320CA3"/>
    <w:rsid w:val="12396910"/>
    <w:rsid w:val="123C2076"/>
    <w:rsid w:val="125B4B29"/>
    <w:rsid w:val="12E2773F"/>
    <w:rsid w:val="12F21BA5"/>
    <w:rsid w:val="130A6291"/>
    <w:rsid w:val="13A30873"/>
    <w:rsid w:val="13DB3C17"/>
    <w:rsid w:val="142976A3"/>
    <w:rsid w:val="143B75BD"/>
    <w:rsid w:val="14ED0523"/>
    <w:rsid w:val="15447000"/>
    <w:rsid w:val="15D33694"/>
    <w:rsid w:val="15E440F6"/>
    <w:rsid w:val="175C045F"/>
    <w:rsid w:val="184077D8"/>
    <w:rsid w:val="18535E55"/>
    <w:rsid w:val="18B506EB"/>
    <w:rsid w:val="19392E3F"/>
    <w:rsid w:val="195065E6"/>
    <w:rsid w:val="19AF5431"/>
    <w:rsid w:val="1A9611D4"/>
    <w:rsid w:val="1AEF1640"/>
    <w:rsid w:val="1AFC5857"/>
    <w:rsid w:val="1B0678E6"/>
    <w:rsid w:val="1B110841"/>
    <w:rsid w:val="1B1D7DAD"/>
    <w:rsid w:val="1B20658C"/>
    <w:rsid w:val="1B9519E6"/>
    <w:rsid w:val="1C136A38"/>
    <w:rsid w:val="1C723D3B"/>
    <w:rsid w:val="1C755A82"/>
    <w:rsid w:val="1CC34BB0"/>
    <w:rsid w:val="1D7644E2"/>
    <w:rsid w:val="1E9524B5"/>
    <w:rsid w:val="1ED50A3D"/>
    <w:rsid w:val="1F07118C"/>
    <w:rsid w:val="1F6C1AC3"/>
    <w:rsid w:val="1F867F08"/>
    <w:rsid w:val="212764EA"/>
    <w:rsid w:val="213A08EA"/>
    <w:rsid w:val="21652233"/>
    <w:rsid w:val="21E872AF"/>
    <w:rsid w:val="224A458F"/>
    <w:rsid w:val="22796B9E"/>
    <w:rsid w:val="228C7835"/>
    <w:rsid w:val="22F97F47"/>
    <w:rsid w:val="24000D54"/>
    <w:rsid w:val="24423C0B"/>
    <w:rsid w:val="246E3BEE"/>
    <w:rsid w:val="24B148C0"/>
    <w:rsid w:val="268D24CB"/>
    <w:rsid w:val="26FF1810"/>
    <w:rsid w:val="26FF2560"/>
    <w:rsid w:val="27E762EC"/>
    <w:rsid w:val="27F645D9"/>
    <w:rsid w:val="2806232A"/>
    <w:rsid w:val="283810A3"/>
    <w:rsid w:val="28897B1C"/>
    <w:rsid w:val="28A12B3E"/>
    <w:rsid w:val="29035282"/>
    <w:rsid w:val="29262CB7"/>
    <w:rsid w:val="2A1803B1"/>
    <w:rsid w:val="2A701750"/>
    <w:rsid w:val="2C0F4FCD"/>
    <w:rsid w:val="2C1C5F6C"/>
    <w:rsid w:val="2CC3445D"/>
    <w:rsid w:val="2D81692A"/>
    <w:rsid w:val="2D984ECD"/>
    <w:rsid w:val="2E183793"/>
    <w:rsid w:val="2E250044"/>
    <w:rsid w:val="2E717347"/>
    <w:rsid w:val="2ECE4F81"/>
    <w:rsid w:val="2F511D30"/>
    <w:rsid w:val="2F686C4D"/>
    <w:rsid w:val="305D5210"/>
    <w:rsid w:val="30F96868"/>
    <w:rsid w:val="321F5BEE"/>
    <w:rsid w:val="32405F41"/>
    <w:rsid w:val="32F03FDA"/>
    <w:rsid w:val="32FC156A"/>
    <w:rsid w:val="331D0F0C"/>
    <w:rsid w:val="332E2F85"/>
    <w:rsid w:val="3359014F"/>
    <w:rsid w:val="33A64327"/>
    <w:rsid w:val="34DF5D43"/>
    <w:rsid w:val="350F349A"/>
    <w:rsid w:val="353636EA"/>
    <w:rsid w:val="35CA5CBB"/>
    <w:rsid w:val="35EF54F1"/>
    <w:rsid w:val="362C2FB9"/>
    <w:rsid w:val="36632AEA"/>
    <w:rsid w:val="368B560A"/>
    <w:rsid w:val="36F46607"/>
    <w:rsid w:val="3716170E"/>
    <w:rsid w:val="37BC5AD7"/>
    <w:rsid w:val="37CF2348"/>
    <w:rsid w:val="38CA5FD2"/>
    <w:rsid w:val="38DC3EDC"/>
    <w:rsid w:val="39721E98"/>
    <w:rsid w:val="39F02D11"/>
    <w:rsid w:val="3A0D43C8"/>
    <w:rsid w:val="3A7B3269"/>
    <w:rsid w:val="3B3C25D7"/>
    <w:rsid w:val="3B5F50F7"/>
    <w:rsid w:val="3BDE2BA6"/>
    <w:rsid w:val="3BE56743"/>
    <w:rsid w:val="3C09460C"/>
    <w:rsid w:val="3C8E01DC"/>
    <w:rsid w:val="3CCE564F"/>
    <w:rsid w:val="3CE45C48"/>
    <w:rsid w:val="3CF86493"/>
    <w:rsid w:val="3D962E9A"/>
    <w:rsid w:val="3F0F1503"/>
    <w:rsid w:val="3F127E08"/>
    <w:rsid w:val="3FB633FB"/>
    <w:rsid w:val="3FB9596C"/>
    <w:rsid w:val="3FC54551"/>
    <w:rsid w:val="40FD5B5C"/>
    <w:rsid w:val="4186530E"/>
    <w:rsid w:val="41E756B8"/>
    <w:rsid w:val="426024C3"/>
    <w:rsid w:val="42644CFC"/>
    <w:rsid w:val="42712D90"/>
    <w:rsid w:val="428E37C9"/>
    <w:rsid w:val="43250271"/>
    <w:rsid w:val="43652BBD"/>
    <w:rsid w:val="438A7C97"/>
    <w:rsid w:val="43D43925"/>
    <w:rsid w:val="441F174E"/>
    <w:rsid w:val="44647233"/>
    <w:rsid w:val="449657A6"/>
    <w:rsid w:val="46084AF2"/>
    <w:rsid w:val="484C41BF"/>
    <w:rsid w:val="48A54B0F"/>
    <w:rsid w:val="48B545A9"/>
    <w:rsid w:val="48C14817"/>
    <w:rsid w:val="490A12E5"/>
    <w:rsid w:val="49460182"/>
    <w:rsid w:val="4A300E14"/>
    <w:rsid w:val="4A430135"/>
    <w:rsid w:val="4B302306"/>
    <w:rsid w:val="4B517646"/>
    <w:rsid w:val="4C7E5B9D"/>
    <w:rsid w:val="4CBC43F6"/>
    <w:rsid w:val="4CCB2C98"/>
    <w:rsid w:val="4DA02C0F"/>
    <w:rsid w:val="4DAD76E3"/>
    <w:rsid w:val="4DCB34AF"/>
    <w:rsid w:val="4E453CD9"/>
    <w:rsid w:val="4EA73979"/>
    <w:rsid w:val="4EC739FF"/>
    <w:rsid w:val="4F075432"/>
    <w:rsid w:val="4F457D08"/>
    <w:rsid w:val="4F7C26F1"/>
    <w:rsid w:val="4F7C6D36"/>
    <w:rsid w:val="50113EFC"/>
    <w:rsid w:val="50F41DB2"/>
    <w:rsid w:val="51052079"/>
    <w:rsid w:val="51152D85"/>
    <w:rsid w:val="5288019F"/>
    <w:rsid w:val="52AD5CF4"/>
    <w:rsid w:val="52E03B4B"/>
    <w:rsid w:val="53ED7E15"/>
    <w:rsid w:val="54092EF7"/>
    <w:rsid w:val="545869CF"/>
    <w:rsid w:val="561C01EA"/>
    <w:rsid w:val="562464C8"/>
    <w:rsid w:val="56856B80"/>
    <w:rsid w:val="56D219CC"/>
    <w:rsid w:val="5919648E"/>
    <w:rsid w:val="595E2E89"/>
    <w:rsid w:val="59854F6F"/>
    <w:rsid w:val="598F6523"/>
    <w:rsid w:val="59A12058"/>
    <w:rsid w:val="5A145AD8"/>
    <w:rsid w:val="5A6A34FF"/>
    <w:rsid w:val="5A6D4863"/>
    <w:rsid w:val="5AD2718F"/>
    <w:rsid w:val="5BE049C1"/>
    <w:rsid w:val="5C261B5A"/>
    <w:rsid w:val="5C3B007A"/>
    <w:rsid w:val="5C3B6762"/>
    <w:rsid w:val="5C507600"/>
    <w:rsid w:val="5C574E82"/>
    <w:rsid w:val="5CD252D1"/>
    <w:rsid w:val="5CF76AE6"/>
    <w:rsid w:val="5D1475BA"/>
    <w:rsid w:val="5E352B67"/>
    <w:rsid w:val="5F94195C"/>
    <w:rsid w:val="5FFF2688"/>
    <w:rsid w:val="600D264D"/>
    <w:rsid w:val="603A6284"/>
    <w:rsid w:val="604C4F0B"/>
    <w:rsid w:val="60B06C30"/>
    <w:rsid w:val="60BB31B3"/>
    <w:rsid w:val="612A5DE1"/>
    <w:rsid w:val="6134186F"/>
    <w:rsid w:val="61C342E5"/>
    <w:rsid w:val="61EC6729"/>
    <w:rsid w:val="61ED71E9"/>
    <w:rsid w:val="620E2129"/>
    <w:rsid w:val="628C1E57"/>
    <w:rsid w:val="62F2581B"/>
    <w:rsid w:val="643313A9"/>
    <w:rsid w:val="65764C68"/>
    <w:rsid w:val="65A90B99"/>
    <w:rsid w:val="66801F8E"/>
    <w:rsid w:val="678F3DBF"/>
    <w:rsid w:val="67DF3732"/>
    <w:rsid w:val="6826051E"/>
    <w:rsid w:val="688356D2"/>
    <w:rsid w:val="689E3902"/>
    <w:rsid w:val="68E247C7"/>
    <w:rsid w:val="69537901"/>
    <w:rsid w:val="695A2772"/>
    <w:rsid w:val="69602F7D"/>
    <w:rsid w:val="69BB75A3"/>
    <w:rsid w:val="6A911D64"/>
    <w:rsid w:val="6AE30E7D"/>
    <w:rsid w:val="6B09652B"/>
    <w:rsid w:val="6B8B1382"/>
    <w:rsid w:val="6BF57752"/>
    <w:rsid w:val="6C3F3B3F"/>
    <w:rsid w:val="6CA542AC"/>
    <w:rsid w:val="6D6B0293"/>
    <w:rsid w:val="6DA07A76"/>
    <w:rsid w:val="6E2F5A53"/>
    <w:rsid w:val="6E3D0876"/>
    <w:rsid w:val="6E91728B"/>
    <w:rsid w:val="6EB17135"/>
    <w:rsid w:val="6EE37A6B"/>
    <w:rsid w:val="6F194C54"/>
    <w:rsid w:val="6F5409EC"/>
    <w:rsid w:val="6F711321"/>
    <w:rsid w:val="6FB57106"/>
    <w:rsid w:val="6FB87AD8"/>
    <w:rsid w:val="70335223"/>
    <w:rsid w:val="70935EC8"/>
    <w:rsid w:val="70A7195F"/>
    <w:rsid w:val="70CC32CF"/>
    <w:rsid w:val="71281524"/>
    <w:rsid w:val="720D1817"/>
    <w:rsid w:val="72137A0F"/>
    <w:rsid w:val="72146479"/>
    <w:rsid w:val="722A2C74"/>
    <w:rsid w:val="72A845A9"/>
    <w:rsid w:val="73730B78"/>
    <w:rsid w:val="73F67ACD"/>
    <w:rsid w:val="74161AF0"/>
    <w:rsid w:val="74827F96"/>
    <w:rsid w:val="74A013B9"/>
    <w:rsid w:val="75CB6EB8"/>
    <w:rsid w:val="76640175"/>
    <w:rsid w:val="769447C8"/>
    <w:rsid w:val="77C840CC"/>
    <w:rsid w:val="785E0CFE"/>
    <w:rsid w:val="798B10E1"/>
    <w:rsid w:val="799E34B2"/>
    <w:rsid w:val="79B56793"/>
    <w:rsid w:val="7A4A482E"/>
    <w:rsid w:val="7AC202DC"/>
    <w:rsid w:val="7B1D47C7"/>
    <w:rsid w:val="7BED0F85"/>
    <w:rsid w:val="7BF22B95"/>
    <w:rsid w:val="7BFD1F22"/>
    <w:rsid w:val="7C414D87"/>
    <w:rsid w:val="7D466F15"/>
    <w:rsid w:val="7DC861E9"/>
    <w:rsid w:val="7DD13EF3"/>
    <w:rsid w:val="7DE22616"/>
    <w:rsid w:val="7E8E5ED6"/>
    <w:rsid w:val="7E9E1D43"/>
    <w:rsid w:val="7ED37F08"/>
    <w:rsid w:val="7F353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style>
  <w:style w:type="paragraph" w:styleId="7">
    <w:name w:val="Note Heading"/>
    <w:basedOn w:val="1"/>
    <w:next w:val="1"/>
    <w:qFormat/>
    <w:uiPriority w:val="0"/>
    <w:pPr>
      <w:jc w:val="left"/>
    </w:pPr>
  </w:style>
  <w:style w:type="paragraph" w:styleId="8">
    <w:name w:val="Normal Indent"/>
    <w:basedOn w:val="1"/>
    <w:next w:val="1"/>
    <w:qFormat/>
    <w:uiPriority w:val="0"/>
    <w:pPr>
      <w:ind w:firstLine="420"/>
    </w:pPr>
  </w:style>
  <w:style w:type="paragraph" w:styleId="9">
    <w:name w:val="annotation text"/>
    <w:basedOn w:val="1"/>
    <w:qFormat/>
    <w:uiPriority w:val="0"/>
    <w:pPr>
      <w:jc w:val="left"/>
    </w:pPr>
  </w:style>
  <w:style w:type="paragraph" w:styleId="10">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next w:val="7"/>
    <w:qFormat/>
    <w:uiPriority w:val="0"/>
    <w:pPr>
      <w:widowControl/>
      <w:snapToGrid w:val="0"/>
      <w:spacing w:before="60" w:after="160" w:line="259" w:lineRule="auto"/>
      <w:ind w:right="113"/>
    </w:pPr>
    <w:rPr>
      <w:kern w:val="0"/>
      <w:sz w:val="18"/>
      <w:szCs w:val="20"/>
    </w:rPr>
  </w:style>
  <w:style w:type="paragraph" w:styleId="12">
    <w:name w:val="Body Text Indent"/>
    <w:basedOn w:val="1"/>
    <w:next w:val="11"/>
    <w:link w:val="67"/>
    <w:qFormat/>
    <w:uiPriority w:val="0"/>
    <w:pPr>
      <w:spacing w:after="120"/>
      <w:ind w:left="420" w:leftChars="200"/>
    </w:pPr>
    <w:rPr>
      <w:kern w:val="0"/>
      <w:sz w:val="24"/>
      <w:szCs w:val="20"/>
    </w:rPr>
  </w:style>
  <w:style w:type="paragraph" w:styleId="13">
    <w:name w:val="toc 3"/>
    <w:basedOn w:val="1"/>
    <w:next w:val="1"/>
    <w:qFormat/>
    <w:uiPriority w:val="0"/>
    <w:pPr>
      <w:ind w:left="840" w:leftChars="400"/>
    </w:pPr>
  </w:style>
  <w:style w:type="paragraph" w:styleId="14">
    <w:name w:val="Plain Text"/>
    <w:basedOn w:val="1"/>
    <w:next w:val="11"/>
    <w:qFormat/>
    <w:uiPriority w:val="0"/>
    <w:rPr>
      <w:rFonts w:ascii="宋体" w:hAnsi="Courier New" w:cs="Courier New"/>
      <w:szCs w:val="21"/>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List"/>
    <w:basedOn w:val="1"/>
    <w:qFormat/>
    <w:uiPriority w:val="0"/>
    <w:pPr>
      <w:ind w:left="200" w:hanging="200" w:hangingChars="200"/>
    </w:pPr>
  </w:style>
  <w:style w:type="paragraph" w:styleId="19">
    <w:name w:val="toc 2"/>
    <w:basedOn w:val="1"/>
    <w:next w:val="1"/>
    <w:qFormat/>
    <w:uiPriority w:val="0"/>
    <w:pPr>
      <w:ind w:left="420" w:leftChars="200"/>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11"/>
    <w:next w:val="1"/>
    <w:qFormat/>
    <w:uiPriority w:val="0"/>
    <w:pPr>
      <w:spacing w:line="480" w:lineRule="auto"/>
      <w:ind w:firstLine="630" w:firstLineChars="225"/>
    </w:pPr>
    <w:rPr>
      <w:rFonts w:ascii="宋体" w:hAnsi="宋体"/>
      <w:sz w:val="28"/>
      <w:szCs w:val="28"/>
      <w:u w:val="single"/>
      <w:lang w:val="en-US" w:eastAsia="zh-CN" w:bidi="ar-SA"/>
    </w:rPr>
  </w:style>
  <w:style w:type="paragraph" w:styleId="22">
    <w:name w:val="Body Text First Indent 2"/>
    <w:basedOn w:val="12"/>
    <w:next w:val="1"/>
    <w:qFormat/>
    <w:uiPriority w:val="0"/>
    <w:pPr>
      <w:spacing w:after="120"/>
      <w:ind w:left="420" w:leftChars="200" w:firstLine="210" w:firstLineChars="200"/>
    </w:pPr>
    <w:rPr>
      <w:sz w:val="21"/>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Hyperlink"/>
    <w:basedOn w:val="25"/>
    <w:qFormat/>
    <w:uiPriority w:val="0"/>
    <w:rPr>
      <w:color w:val="0000FF"/>
      <w:u w:val="single"/>
    </w:rPr>
  </w:style>
  <w:style w:type="paragraph" w:customStyle="1" w:styleId="29">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3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31">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2">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3">
    <w:name w:val="Table Text"/>
    <w:basedOn w:val="1"/>
    <w:semiHidden/>
    <w:qFormat/>
    <w:uiPriority w:val="0"/>
    <w:rPr>
      <w:rFonts w:ascii="宋体" w:hAnsi="宋体" w:eastAsia="宋体" w:cs="宋体"/>
      <w:sz w:val="24"/>
      <w:szCs w:val="24"/>
      <w:lang w:val="en-US" w:eastAsia="en-US" w:bidi="ar-SA"/>
    </w:rPr>
  </w:style>
  <w:style w:type="paragraph" w:customStyle="1" w:styleId="34">
    <w:name w:val="表内容"/>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5">
    <w:name w:val="H图表内容"/>
    <w:basedOn w:val="1"/>
    <w:qFormat/>
    <w:uiPriority w:val="0"/>
    <w:rPr>
      <w:szCs w:val="20"/>
    </w:rPr>
  </w:style>
  <w:style w:type="paragraph" w:customStyle="1" w:styleId="36">
    <w:name w:val="正文（）"/>
    <w:basedOn w:val="1"/>
    <w:qFormat/>
    <w:uiPriority w:val="0"/>
    <w:pPr>
      <w:adjustRightInd w:val="0"/>
      <w:snapToGrid w:val="0"/>
      <w:spacing w:line="360" w:lineRule="auto"/>
      <w:ind w:firstLine="200" w:firstLineChars="200"/>
    </w:pPr>
    <w:rPr>
      <w:color w:val="5B9BD5"/>
      <w:sz w:val="24"/>
      <w:szCs w:val="20"/>
    </w:rPr>
  </w:style>
  <w:style w:type="paragraph" w:customStyle="1" w:styleId="37">
    <w:name w:val="6表格"/>
    <w:basedOn w:val="1"/>
    <w:qFormat/>
    <w:uiPriority w:val="0"/>
    <w:pPr>
      <w:jc w:val="center"/>
    </w:pPr>
  </w:style>
  <w:style w:type="paragraph" w:customStyle="1" w:styleId="38">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39">
    <w:name w:val="表格固定文字"/>
    <w:basedOn w:val="1"/>
    <w:qFormat/>
    <w:uiPriority w:val="0"/>
    <w:pPr>
      <w:ind w:firstLine="0"/>
    </w:pPr>
    <w:rPr>
      <w:rFonts w:eastAsia="宋体"/>
      <w:sz w:val="21"/>
      <w:szCs w:val="24"/>
    </w:rPr>
  </w:style>
  <w:style w:type="paragraph" w:customStyle="1" w:styleId="40">
    <w:name w:val="个人  标题2"/>
    <w:basedOn w:val="1"/>
    <w:qFormat/>
    <w:uiPriority w:val="0"/>
    <w:pPr>
      <w:ind w:firstLine="0" w:firstLineChars="0"/>
      <w:outlineLvl w:val="1"/>
    </w:pPr>
    <w:rPr>
      <w:b/>
      <w:sz w:val="30"/>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表格表头"/>
    <w:basedOn w:val="43"/>
    <w:qFormat/>
    <w:uiPriority w:val="0"/>
    <w:pPr>
      <w:spacing w:before="50" w:beforeLines="50" w:line="240" w:lineRule="auto"/>
      <w:ind w:firstLine="0"/>
      <w:jc w:val="center"/>
    </w:pPr>
    <w:rPr>
      <w:rFonts w:eastAsia="黑体"/>
    </w:rPr>
  </w:style>
  <w:style w:type="paragraph" w:customStyle="1" w:styleId="43">
    <w:name w:val="zhang正文"/>
    <w:basedOn w:val="12"/>
    <w:next w:val="1"/>
    <w:link w:val="66"/>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4">
    <w:name w:val="表正文"/>
    <w:basedOn w:val="1"/>
    <w:qFormat/>
    <w:uiPriority w:val="0"/>
    <w:pPr>
      <w:spacing w:line="360" w:lineRule="auto"/>
      <w:ind w:firstLine="200" w:firstLineChars="200"/>
    </w:pPr>
    <w:rPr>
      <w:sz w:val="24"/>
    </w:rPr>
  </w:style>
  <w:style w:type="paragraph" w:customStyle="1" w:styleId="45">
    <w:name w:val="个人标题3"/>
    <w:basedOn w:val="1"/>
    <w:qFormat/>
    <w:uiPriority w:val="0"/>
    <w:pPr>
      <w:ind w:firstLine="0" w:firstLineChars="0"/>
      <w:outlineLvl w:val="2"/>
    </w:pPr>
    <w:rPr>
      <w:b/>
      <w:sz w:val="28"/>
    </w:rPr>
  </w:style>
  <w:style w:type="paragraph" w:customStyle="1" w:styleId="46">
    <w:name w:val="正文内容"/>
    <w:basedOn w:val="1"/>
    <w:qFormat/>
    <w:uiPriority w:val="0"/>
    <w:pPr>
      <w:adjustRightInd w:val="0"/>
      <w:spacing w:line="360" w:lineRule="auto"/>
      <w:ind w:firstLine="480" w:firstLineChars="200"/>
    </w:pPr>
    <w:rPr>
      <w:rFonts w:ascii="宋体" w:hAnsi="宋体" w:cs="宋体"/>
      <w:sz w:val="24"/>
    </w:rPr>
  </w:style>
  <w:style w:type="paragraph" w:customStyle="1" w:styleId="47">
    <w:name w:val="三级aaa"/>
    <w:basedOn w:val="4"/>
    <w:next w:val="1"/>
    <w:qFormat/>
    <w:uiPriority w:val="0"/>
    <w:pPr>
      <w:keepNext w:val="0"/>
      <w:keepLines w:val="0"/>
      <w:widowControl w:val="0"/>
      <w:adjustRightInd w:val="0"/>
      <w:snapToGrid w:val="0"/>
      <w:spacing w:before="0" w:after="0" w:line="360" w:lineRule="auto"/>
    </w:pPr>
    <w:rPr>
      <w:sz w:val="28"/>
    </w:rPr>
  </w:style>
  <w:style w:type="paragraph" w:customStyle="1" w:styleId="48">
    <w:name w:val="正文hhhhhh"/>
    <w:basedOn w:val="1"/>
    <w:next w:val="5"/>
    <w:qFormat/>
    <w:uiPriority w:val="0"/>
    <w:pPr>
      <w:widowControl w:val="0"/>
      <w:adjustRightInd w:val="0"/>
      <w:snapToGrid w:val="0"/>
      <w:spacing w:line="360" w:lineRule="auto"/>
      <w:ind w:firstLine="200" w:firstLineChars="200"/>
    </w:pPr>
    <w:rPr>
      <w:sz w:val="24"/>
    </w:rPr>
  </w:style>
  <w:style w:type="paragraph" w:customStyle="1" w:styleId="49">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50">
    <w:name w:val="常用"/>
    <w:basedOn w:val="1"/>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51">
    <w:name w:val="闽创报告正文"/>
    <w:basedOn w:val="1"/>
    <w:qFormat/>
    <w:uiPriority w:val="0"/>
    <w:pPr>
      <w:tabs>
        <w:tab w:val="left" w:pos="0"/>
      </w:tabs>
      <w:spacing w:line="360" w:lineRule="auto"/>
      <w:ind w:firstLine="200" w:firstLineChars="200"/>
    </w:pPr>
    <w:rPr>
      <w:color w:val="000000"/>
      <w:sz w:val="24"/>
      <w:szCs w:val="20"/>
    </w:rPr>
  </w:style>
  <w:style w:type="paragraph" w:customStyle="1" w:styleId="52">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3">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4">
    <w:name w:val="22标题2"/>
    <w:basedOn w:val="55"/>
    <w:qFormat/>
    <w:uiPriority w:val="0"/>
    <w:pPr>
      <w:adjustRightInd w:val="0"/>
      <w:snapToGrid w:val="0"/>
    </w:pPr>
    <w:rPr>
      <w:color w:val="0000FF"/>
    </w:rPr>
  </w:style>
  <w:style w:type="paragraph" w:customStyle="1" w:styleId="55">
    <w:name w:val="标题2"/>
    <w:basedOn w:val="6"/>
    <w:qFormat/>
    <w:uiPriority w:val="0"/>
    <w:pPr>
      <w:spacing w:line="360" w:lineRule="auto"/>
      <w:outlineLvl w:val="1"/>
    </w:pPr>
    <w:rPr>
      <w:rFonts w:ascii="Times New Roman" w:hAnsi="Times New Roman" w:eastAsia="黑体" w:cs="Times New Roman"/>
      <w:sz w:val="30"/>
      <w:szCs w:val="30"/>
    </w:rPr>
  </w:style>
  <w:style w:type="paragraph" w:customStyle="1" w:styleId="56">
    <w:name w:val="样式 首行缩进:  2 字符1"/>
    <w:basedOn w:val="1"/>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7">
    <w:name w:val="样式6"/>
    <w:basedOn w:val="23"/>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8">
    <w:name w:val="样式 样式 正文01 + 黑色 首行缩进:  2 字符 段前: 0 磅 行距: 1.5 倍行距 + 首行缩进:  2 字符"/>
    <w:basedOn w:val="59"/>
    <w:qFormat/>
    <w:uiPriority w:val="0"/>
    <w:pPr>
      <w:spacing w:line="440" w:lineRule="exact"/>
      <w:ind w:firstLine="200"/>
    </w:pPr>
    <w:rPr>
      <w:rFonts w:eastAsia="宋体"/>
      <w:bCs/>
    </w:rPr>
  </w:style>
  <w:style w:type="paragraph" w:customStyle="1" w:styleId="59">
    <w:name w:val="样式 正文（首行缩进两字） + (中文) 仿宋_GB2312 小四 行距: 1.5 倍行距"/>
    <w:basedOn w:val="8"/>
    <w:qFormat/>
    <w:uiPriority w:val="0"/>
    <w:pPr>
      <w:adjustRightInd/>
      <w:spacing w:line="360" w:lineRule="auto"/>
      <w:ind w:firstLine="480" w:firstLineChars="200"/>
      <w:textAlignment w:val="auto"/>
    </w:pPr>
    <w:rPr>
      <w:rFonts w:eastAsia="仿宋_GB2312"/>
      <w:kern w:val="2"/>
      <w:sz w:val="24"/>
    </w:rPr>
  </w:style>
  <w:style w:type="paragraph" w:customStyle="1" w:styleId="60">
    <w:name w:val="表格标题（）"/>
    <w:basedOn w:val="1"/>
    <w:qFormat/>
    <w:uiPriority w:val="0"/>
    <w:pPr>
      <w:widowControl w:val="0"/>
      <w:spacing w:line="240" w:lineRule="auto"/>
      <w:ind w:firstLine="0" w:firstLineChars="0"/>
      <w:jc w:val="center"/>
    </w:pPr>
    <w:rPr>
      <w:rFonts w:eastAsia="黑体"/>
      <w:color w:val="000000"/>
      <w:lang w:val="zh-CN" w:bidi="he-IL"/>
    </w:rPr>
  </w:style>
  <w:style w:type="paragraph" w:customStyle="1" w:styleId="61">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2">
    <w:name w:val="表格标题"/>
    <w:basedOn w:val="1"/>
    <w:qFormat/>
    <w:uiPriority w:val="0"/>
    <w:pPr>
      <w:tabs>
        <w:tab w:val="left" w:pos="4507"/>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3">
    <w:name w:val="表格内容"/>
    <w:basedOn w:val="18"/>
    <w:next w:val="1"/>
    <w:qFormat/>
    <w:uiPriority w:val="0"/>
    <w:pPr>
      <w:autoSpaceDE w:val="0"/>
      <w:autoSpaceDN w:val="0"/>
      <w:ind w:firstLine="0"/>
      <w:jc w:val="center"/>
    </w:pPr>
    <w:rPr>
      <w:kern w:val="0"/>
      <w:sz w:val="24"/>
      <w:lang w:bidi="he-IL"/>
    </w:rPr>
  </w:style>
  <w:style w:type="paragraph" w:customStyle="1" w:styleId="64">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5">
    <w:name w:val="样式 zhang正文 + 宋体 小四 Char"/>
    <w:basedOn w:val="66"/>
    <w:link w:val="68"/>
    <w:qFormat/>
    <w:uiPriority w:val="0"/>
    <w:rPr>
      <w:rFonts w:ascii="宋体" w:hAnsi="宋体" w:eastAsia="宋体"/>
      <w:sz w:val="24"/>
    </w:rPr>
  </w:style>
  <w:style w:type="character" w:customStyle="1" w:styleId="66">
    <w:name w:val="zhang正文 Char1"/>
    <w:basedOn w:val="67"/>
    <w:link w:val="43"/>
    <w:qFormat/>
    <w:uiPriority w:val="0"/>
    <w:rPr>
      <w:rFonts w:eastAsia="楷体_GB2312"/>
      <w:sz w:val="28"/>
    </w:rPr>
  </w:style>
  <w:style w:type="character" w:customStyle="1" w:styleId="67">
    <w:name w:val="正文文本缩进 Char1"/>
    <w:basedOn w:val="25"/>
    <w:link w:val="12"/>
    <w:qFormat/>
    <w:uiPriority w:val="0"/>
    <w:rPr>
      <w:kern w:val="0"/>
      <w:sz w:val="24"/>
      <w:szCs w:val="20"/>
    </w:rPr>
  </w:style>
  <w:style w:type="paragraph" w:customStyle="1" w:styleId="68">
    <w:name w:val="样式 zhang正文 + 宋体 小四"/>
    <w:basedOn w:val="43"/>
    <w:link w:val="65"/>
    <w:qFormat/>
    <w:uiPriority w:val="0"/>
    <w:rPr>
      <w:rFonts w:ascii="宋体" w:hAnsi="宋体" w:eastAsia="宋体"/>
      <w:sz w:val="24"/>
    </w:rPr>
  </w:style>
  <w:style w:type="paragraph" w:customStyle="1" w:styleId="69">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70">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71">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2">
    <w:name w:val="表格样式1"/>
    <w:basedOn w:val="23"/>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3">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4">
    <w:name w:val="标题111"/>
    <w:basedOn w:val="20"/>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5">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6">
    <w:name w:val="表格文本"/>
    <w:basedOn w:val="1"/>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77">
    <w:name w:val="表格正文"/>
    <w:basedOn w:val="1"/>
    <w:qFormat/>
    <w:uiPriority w:val="0"/>
    <w:pPr>
      <w:ind w:firstLine="420"/>
    </w:pPr>
  </w:style>
  <w:style w:type="paragraph" w:customStyle="1" w:styleId="78">
    <w:name w:val="正文格式111"/>
    <w:basedOn w:val="1"/>
    <w:qFormat/>
    <w:uiPriority w:val="0"/>
    <w:pPr>
      <w:widowControl/>
      <w:spacing w:line="420" w:lineRule="auto"/>
      <w:ind w:firstLine="480" w:firstLineChars="200"/>
      <w:jc w:val="left"/>
    </w:pPr>
    <w:rPr>
      <w:rFonts w:eastAsia="Times New Roman"/>
      <w:bCs/>
      <w:kern w:val="0"/>
      <w:sz w:val="24"/>
    </w:rPr>
  </w:style>
  <w:style w:type="paragraph" w:customStyle="1" w:styleId="7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0">
    <w:name w:val="11正文"/>
    <w:basedOn w:val="81"/>
    <w:qFormat/>
    <w:uiPriority w:val="0"/>
  </w:style>
  <w:style w:type="paragraph" w:customStyle="1" w:styleId="81">
    <w:name w:val="正文111"/>
    <w:basedOn w:val="82"/>
    <w:qFormat/>
    <w:uiPriority w:val="0"/>
    <w:pPr>
      <w:ind w:firstLine="480"/>
    </w:pPr>
  </w:style>
  <w:style w:type="paragraph" w:customStyle="1" w:styleId="82">
    <w:name w:val="正文的格式52"/>
    <w:basedOn w:val="1"/>
    <w:qFormat/>
    <w:uiPriority w:val="0"/>
    <w:pPr>
      <w:spacing w:line="360" w:lineRule="auto"/>
      <w:ind w:firstLine="200" w:firstLineChars="200"/>
    </w:pPr>
    <w:rPr>
      <w:kern w:val="0"/>
      <w:sz w:val="24"/>
      <w:szCs w:val="20"/>
    </w:rPr>
  </w:style>
  <w:style w:type="paragraph" w:customStyle="1" w:styleId="83">
    <w:name w:val="表哥的格式"/>
    <w:basedOn w:val="1"/>
    <w:qFormat/>
    <w:uiPriority w:val="0"/>
    <w:pPr>
      <w:widowControl/>
      <w:autoSpaceDE w:val="0"/>
      <w:autoSpaceDN w:val="0"/>
      <w:adjustRightInd w:val="0"/>
      <w:snapToGrid w:val="0"/>
      <w:spacing w:line="360" w:lineRule="auto"/>
      <w:ind w:firstLine="200" w:firstLineChars="200"/>
      <w:jc w:val="center"/>
    </w:pPr>
    <w:rPr>
      <w:kern w:val="0"/>
      <w:szCs w:val="21"/>
    </w:rPr>
  </w:style>
  <w:style w:type="paragraph" w:customStyle="1" w:styleId="84">
    <w:name w:val="表表表表"/>
    <w:basedOn w:val="1"/>
    <w:qFormat/>
    <w:uiPriority w:val="0"/>
    <w:pPr>
      <w:widowControl/>
      <w:jc w:val="center"/>
    </w:pPr>
    <w:rPr>
      <w:rFonts w:eastAsia="宋体"/>
      <w:szCs w:val="21"/>
    </w:rPr>
  </w:style>
  <w:style w:type="paragraph" w:customStyle="1" w:styleId="85">
    <w:name w:val="正文1"/>
    <w:basedOn w:val="12"/>
    <w:qFormat/>
    <w:uiPriority w:val="0"/>
    <w:pPr>
      <w:ind w:firstLine="200" w:firstLineChars="200"/>
    </w:pPr>
    <w:rPr>
      <w:rFonts w:cs="宋体"/>
    </w:rPr>
  </w:style>
  <w:style w:type="paragraph" w:customStyle="1" w:styleId="86">
    <w:name w:val="22表格"/>
    <w:basedOn w:val="84"/>
    <w:qFormat/>
    <w:uiPriority w:val="0"/>
    <w:pPr>
      <w:adjustRightInd w:val="0"/>
      <w:snapToGrid w:val="0"/>
      <w:textAlignment w:val="center"/>
    </w:pPr>
    <w:rPr>
      <w:rFonts w:eastAsia="宋体"/>
      <w:color w:val="000000"/>
    </w:rPr>
  </w:style>
  <w:style w:type="paragraph" w:customStyle="1" w:styleId="87">
    <w:name w:val="【表格文字】"/>
    <w:basedOn w:val="1"/>
    <w:next w:val="1"/>
    <w:qFormat/>
    <w:uiPriority w:val="0"/>
    <w:pPr>
      <w:adjustRightInd w:val="0"/>
      <w:snapToGrid w:val="0"/>
      <w:jc w:val="center"/>
    </w:pPr>
  </w:style>
  <w:style w:type="paragraph" w:customStyle="1" w:styleId="88">
    <w:name w:val="环评正文"/>
    <w:basedOn w:val="1"/>
    <w:qFormat/>
    <w:uiPriority w:val="0"/>
    <w:pPr>
      <w:spacing w:line="360" w:lineRule="auto"/>
      <w:ind w:firstLine="560" w:firstLineChars="200"/>
      <w:jc w:val="left"/>
    </w:pPr>
    <w:rPr>
      <w:rFonts w:ascii="Times New Roman" w:hAnsi="Times New Roman" w:eastAsia="宋体" w:cs="Times New Roman"/>
      <w:sz w:val="24"/>
      <w:szCs w:val="28"/>
    </w:rPr>
  </w:style>
  <w:style w:type="paragraph" w:customStyle="1" w:styleId="89">
    <w:name w:val="标题3"/>
    <w:basedOn w:val="6"/>
    <w:qFormat/>
    <w:uiPriority w:val="0"/>
    <w:pPr>
      <w:spacing w:line="360" w:lineRule="auto"/>
      <w:outlineLvl w:val="2"/>
    </w:pPr>
    <w:rPr>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jpeg"/><Relationship Id="rId36" Type="http://schemas.openxmlformats.org/officeDocument/2006/relationships/image" Target="file:///C:\Users\Admin\AppData\Local\Temp\ksohtml12936\wps12.png" TargetMode="External"/><Relationship Id="rId35" Type="http://schemas.openxmlformats.org/officeDocument/2006/relationships/image" Target="media/image19.png"/><Relationship Id="rId34" Type="http://schemas.openxmlformats.org/officeDocument/2006/relationships/image" Target="file:///C:\Users\Admin\AppData\Local\Temp\ksohtml12936\wps11.png" TargetMode="External"/><Relationship Id="rId33" Type="http://schemas.openxmlformats.org/officeDocument/2006/relationships/image" Target="media/image18.png"/><Relationship Id="rId32" Type="http://schemas.openxmlformats.org/officeDocument/2006/relationships/image" Target="file:///C:\Users\Admin\AppData\Local\Temp\ksohtml12936\wps10.png" TargetMode="External"/><Relationship Id="rId31" Type="http://schemas.openxmlformats.org/officeDocument/2006/relationships/image" Target="media/image17.png"/><Relationship Id="rId30" Type="http://schemas.openxmlformats.org/officeDocument/2006/relationships/image" Target="file:///C:\Users\Admin\AppData\Local\Temp\ksohtml12936\wps9.png" TargetMode="External"/><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file:///C:\Users\Admin\AppData\Local\Temp\ksohtml12936\wps8.png" TargetMode="External"/><Relationship Id="rId27" Type="http://schemas.openxmlformats.org/officeDocument/2006/relationships/image" Target="media/image15.png"/><Relationship Id="rId26" Type="http://schemas.openxmlformats.org/officeDocument/2006/relationships/image" Target="file:///C:\Users\Admin\AppData\Local\Temp\ksohtml12936\wps7.png" TargetMode="External"/><Relationship Id="rId25" Type="http://schemas.openxmlformats.org/officeDocument/2006/relationships/image" Target="media/image14.png"/><Relationship Id="rId24" Type="http://schemas.openxmlformats.org/officeDocument/2006/relationships/image" Target="file:///C:\Users\Admin\AppData\Local\Temp\ksohtml12936\wps6.png" TargetMode="External"/><Relationship Id="rId23" Type="http://schemas.openxmlformats.org/officeDocument/2006/relationships/image" Target="media/image13.png"/><Relationship Id="rId22" Type="http://schemas.openxmlformats.org/officeDocument/2006/relationships/image" Target="file:///C:\Users\Admin\AppData\Local\Temp\ksohtml12936\wps5.png" TargetMode="External"/><Relationship Id="rId21" Type="http://schemas.openxmlformats.org/officeDocument/2006/relationships/image" Target="media/image12.png"/><Relationship Id="rId20" Type="http://schemas.openxmlformats.org/officeDocument/2006/relationships/image" Target="file:///C:\Users\Admin\AppData\Local\Temp\ksohtml12936\wps4.png" TargetMode="Externa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file:///C:\Users\Admin\AppData\Local\Temp\ksohtml12936\wps3.png" TargetMode="External"/><Relationship Id="rId17" Type="http://schemas.openxmlformats.org/officeDocument/2006/relationships/image" Target="media/image10.png"/><Relationship Id="rId16" Type="http://schemas.openxmlformats.org/officeDocument/2006/relationships/image" Target="file:///C:\Users\Admin\AppData\Local\Temp\ksohtml12936\wps2.png" TargetMode="Externa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15916</Words>
  <Characters>17091</Characters>
  <Lines>0</Lines>
  <Paragraphs>0</Paragraphs>
  <TotalTime>2</TotalTime>
  <ScaleCrop>false</ScaleCrop>
  <LinksUpToDate>false</LinksUpToDate>
  <CharactersWithSpaces>17403</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2026-02-07T08:36:00Z</cp:lastPrinted>
  <dcterms:modified xsi:type="dcterms:W3CDTF">2026-02-09T06:31:16Z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eyJoZGlkIjoiZGQ5YmI0MTA5YzgzMmVmOGM2MWM4Nzg2MmQ3Yjc2ZjAiLCJ1c2VySWQiOiIxMjAwMTc5OTE0In0=</vt:lpwstr>
  </property>
  <property fmtid="{D5CDD505-2E9C-101B-9397-08002B2CF9AE}" pid="4" name="ICV">
    <vt:lpwstr>E442FF604CCA4A1D84AA2387C67F76E5_13</vt:lpwstr>
  </property>
</Properties>
</file>