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5B10B">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r>
        <w:drawing>
          <wp:anchor distT="0" distB="0" distL="114300" distR="114300" simplePos="0" relativeHeight="251666432" behindDoc="0" locked="0" layoutInCell="1" allowOverlap="1">
            <wp:simplePos x="0" y="0"/>
            <wp:positionH relativeFrom="column">
              <wp:posOffset>-911225</wp:posOffset>
            </wp:positionH>
            <wp:positionV relativeFrom="paragraph">
              <wp:posOffset>-886460</wp:posOffset>
            </wp:positionV>
            <wp:extent cx="7564120" cy="10672445"/>
            <wp:effectExtent l="0" t="0" r="17780" b="14605"/>
            <wp:wrapNone/>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8"/>
                    <a:stretch>
                      <a:fillRect/>
                    </a:stretch>
                  </pic:blipFill>
                  <pic:spPr>
                    <a:xfrm>
                      <a:off x="0" y="0"/>
                      <a:ext cx="7564120" cy="10672445"/>
                    </a:xfrm>
                    <a:prstGeom prst="rect">
                      <a:avLst/>
                    </a:prstGeom>
                    <a:noFill/>
                    <a:ln>
                      <a:noFill/>
                    </a:ln>
                  </pic:spPr>
                </pic:pic>
              </a:graphicData>
            </a:graphic>
          </wp:anchor>
        </w:drawing>
      </w:r>
    </w:p>
    <w:p w14:paraId="2D0E0C5F">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p>
    <w:p w14:paraId="4FF2AC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Cs/>
          <w:color w:val="auto"/>
          <w:sz w:val="72"/>
          <w:szCs w:val="72"/>
          <w:highlight w:val="none"/>
        </w:rPr>
      </w:pPr>
      <w:bookmarkStart w:id="0" w:name="_Toc13859"/>
      <w:bookmarkStart w:id="1" w:name="_Toc2526"/>
      <w:bookmarkStart w:id="2" w:name="_Toc23611"/>
      <w:bookmarkStart w:id="3" w:name="_Toc19841"/>
      <w:bookmarkStart w:id="4" w:name="_Toc9163"/>
      <w:bookmarkStart w:id="5" w:name="_Toc29571"/>
      <w:bookmarkStart w:id="6" w:name="_Toc15153"/>
      <w:bookmarkStart w:id="7" w:name="_Toc14623"/>
      <w:bookmarkStart w:id="8" w:name="_Toc17132"/>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bookmarkEnd w:id="4"/>
      <w:bookmarkEnd w:id="5"/>
      <w:bookmarkEnd w:id="6"/>
      <w:bookmarkEnd w:id="7"/>
      <w:bookmarkEnd w:id="8"/>
    </w:p>
    <w:p w14:paraId="5940FCBB">
      <w:pPr>
        <w:keepNext w:val="0"/>
        <w:keepLines w:val="0"/>
        <w:pageBreakBefore w:val="0"/>
        <w:widowControl w:val="0"/>
        <w:kinsoku/>
        <w:wordWrap/>
        <w:overflowPunct/>
        <w:topLinePunct w:val="0"/>
        <w:autoSpaceDE/>
        <w:autoSpaceDN/>
        <w:bidi w:val="0"/>
        <w:adjustRightInd w:val="0"/>
        <w:snapToGrid w:val="0"/>
        <w:spacing w:before="192" w:beforeLines="80" w:line="360" w:lineRule="auto"/>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09F4B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004335CC">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281825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CCA024B">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71F5BD59">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1AE8C74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41189136">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2AB258A">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u w:val="none"/>
          <w:lang w:eastAsia="zh-CN"/>
        </w:rPr>
        <w:t>项目名称：</w:t>
      </w:r>
      <w:r>
        <w:rPr>
          <w:rFonts w:hint="eastAsia" w:ascii="宋体" w:hAnsi="宋体" w:cs="宋体"/>
          <w:color w:val="auto"/>
          <w:sz w:val="36"/>
          <w:szCs w:val="36"/>
          <w:u w:val="single"/>
          <w:lang w:val="en-US" w:eastAsia="zh-CN"/>
        </w:rPr>
        <w:t xml:space="preserve">福建恒润包装有限公司新增EPS包装泡沫6000吨、EPP包装泡沫1200吨项目              </w:t>
      </w:r>
    </w:p>
    <w:p w14:paraId="29F2C6CF">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建设单位（盖章）：</w:t>
      </w:r>
      <w:r>
        <w:rPr>
          <w:rFonts w:hint="eastAsia" w:cs="Times New Roman"/>
          <w:color w:val="auto"/>
          <w:sz w:val="36"/>
          <w:szCs w:val="36"/>
          <w:highlight w:val="none"/>
          <w:u w:val="single"/>
          <w:lang w:val="en-US" w:eastAsia="zh-CN"/>
        </w:rPr>
        <w:t xml:space="preserve">   </w:t>
      </w:r>
      <w:r>
        <w:rPr>
          <w:rFonts w:hint="eastAsia" w:ascii="宋体" w:hAnsi="宋体" w:cs="宋体"/>
          <w:color w:val="auto"/>
          <w:sz w:val="36"/>
          <w:szCs w:val="36"/>
          <w:u w:val="single"/>
          <w:lang w:val="en-US" w:eastAsia="zh-CN"/>
        </w:rPr>
        <w:t xml:space="preserve">福建恒润包装有限公司         </w:t>
      </w:r>
    </w:p>
    <w:p w14:paraId="08138358">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eastAsia"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202</w:t>
      </w:r>
      <w:r>
        <w:rPr>
          <w:rFonts w:hint="eastAsia" w:cs="Times New Roman"/>
          <w:color w:val="auto"/>
          <w:sz w:val="36"/>
          <w:szCs w:val="36"/>
          <w:highlight w:val="none"/>
          <w:u w:val="single"/>
          <w:lang w:val="en-US" w:eastAsia="zh-CN"/>
        </w:rPr>
        <w:t>6</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lang w:val="en-US" w:eastAsia="zh-CN"/>
        </w:rPr>
        <w:t>月</w:t>
      </w:r>
      <w:r>
        <w:rPr>
          <w:rFonts w:hint="eastAsia" w:cs="Times New Roman"/>
          <w:color w:val="auto"/>
          <w:sz w:val="36"/>
          <w:szCs w:val="36"/>
          <w:highlight w:val="none"/>
          <w:u w:val="single"/>
          <w:lang w:val="en-US" w:eastAsia="zh-CN"/>
        </w:rPr>
        <w:t xml:space="preserve">                </w:t>
      </w:r>
    </w:p>
    <w:p w14:paraId="10F1FF98">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u w:val="single"/>
        </w:rPr>
      </w:pPr>
    </w:p>
    <w:p w14:paraId="22E5E2AB">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33A72B51">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76BC4882">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ECF4C3D">
      <w:pPr>
        <w:pStyle w:val="16"/>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32ED442F">
      <w:pPr>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br w:type="page"/>
      </w:r>
    </w:p>
    <w:p w14:paraId="1DAB6460">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473710</wp:posOffset>
                </wp:positionH>
                <wp:positionV relativeFrom="paragraph">
                  <wp:posOffset>5071745</wp:posOffset>
                </wp:positionV>
                <wp:extent cx="4751705" cy="304800"/>
                <wp:effectExtent l="6350" t="6350" r="23495" b="12700"/>
                <wp:wrapNone/>
                <wp:docPr id="221" name="矩形 221"/>
                <wp:cNvGraphicFramePr/>
                <a:graphic xmlns:a="http://schemas.openxmlformats.org/drawingml/2006/main">
                  <a:graphicData uri="http://schemas.microsoft.com/office/word/2010/wordprocessingShape">
                    <wps:wsp>
                      <wps:cNvSpPr/>
                      <wps:spPr>
                        <a:xfrm>
                          <a:off x="0" y="0"/>
                          <a:ext cx="4751705"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pt;margin-top:399.35pt;height:24pt;width:374.15pt;z-index:251676672;v-text-anchor:middle;mso-width-relative:page;mso-height-relative:page;" fillcolor="#FFFFFF [3212]" filled="t" stroked="t" coordsize="21600,21600" o:gfxdata="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bME1Y2QAAAAoBAAAPAAAAAAAAAAEAIAAAACIAAABkcnMvZG93bnJl&#10;di54bWxQSwECFAAUAAAACACHTuJACNrcwm4CAAD4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2206625</wp:posOffset>
                </wp:positionH>
                <wp:positionV relativeFrom="paragraph">
                  <wp:posOffset>5528945</wp:posOffset>
                </wp:positionV>
                <wp:extent cx="2866390" cy="304800"/>
                <wp:effectExtent l="6350" t="6350" r="22860" b="12700"/>
                <wp:wrapNone/>
                <wp:docPr id="226" name="矩形 226"/>
                <wp:cNvGraphicFramePr/>
                <a:graphic xmlns:a="http://schemas.openxmlformats.org/drawingml/2006/main">
                  <a:graphicData uri="http://schemas.microsoft.com/office/word/2010/wordprocessingShape">
                    <wps:wsp>
                      <wps:cNvSpPr/>
                      <wps:spPr>
                        <a:xfrm>
                          <a:off x="0" y="0"/>
                          <a:ext cx="286639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75pt;margin-top:435.35pt;height:24pt;width:225.7pt;z-index:251681792;v-text-anchor:middle;mso-width-relative:page;mso-height-relative:page;" fillcolor="#FFFFFF [3212]" filled="t" stroked="t" coordsize="21600,21600" o:gfxdata="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FuzHaAAAACwEAAA8AAAAAAAAAAQAgAAAAIgAAAGRycy9kb3du&#10;cmV2LnhtbFBLAQIUABQAAAAIAIdO4kCaTgjibwIAAPg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301625</wp:posOffset>
                </wp:positionH>
                <wp:positionV relativeFrom="paragraph">
                  <wp:posOffset>5909945</wp:posOffset>
                </wp:positionV>
                <wp:extent cx="2428875" cy="304800"/>
                <wp:effectExtent l="6350" t="6350" r="22225" b="12700"/>
                <wp:wrapNone/>
                <wp:docPr id="224" name="矩形 224"/>
                <wp:cNvGraphicFramePr/>
                <a:graphic xmlns:a="http://schemas.openxmlformats.org/drawingml/2006/main">
                  <a:graphicData uri="http://schemas.microsoft.com/office/word/2010/wordprocessingShape">
                    <wps:wsp>
                      <wps:cNvSpPr/>
                      <wps:spPr>
                        <a:xfrm>
                          <a:off x="0" y="0"/>
                          <a:ext cx="2428875"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5pt;margin-top:465.35pt;height:24pt;width:191.25pt;z-index:251679744;v-text-anchor:middle;mso-width-relative:page;mso-height-relative:page;" fillcolor="#FFFFFF [3212]" filled="t" stroked="t" coordsize="21600,21600" o:gfxdata="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ji9/bYAAAACgEAAA8AAAAAAAAAAQAgAAAAIgAAAGRycy9kb3ducmV2&#10;LnhtbFBLAQIUABQAAAAIAIdO4kCSvCDobgIAAPgEAAAOAAAAAAAAAAEAIAAAACc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5159375</wp:posOffset>
                </wp:positionH>
                <wp:positionV relativeFrom="paragraph">
                  <wp:posOffset>5557520</wp:posOffset>
                </wp:positionV>
                <wp:extent cx="1943100" cy="304800"/>
                <wp:effectExtent l="6350" t="6350" r="12700" b="12700"/>
                <wp:wrapNone/>
                <wp:docPr id="225" name="矩形 225"/>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25pt;margin-top:437.6pt;height:24pt;width:153pt;z-index:251680768;v-text-anchor:middle;mso-width-relative:page;mso-height-relative:page;" fillcolor="#FFFFFF [3212]" filled="t" stroked="t" coordsize="21600,21600" o:gfxdata="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UQBUs2QAAAAwBAAAPAAAAAAAAAAEAIAAAACIAAABkcnMvZG93bnJldi54&#10;bWxQSwECFAAUAAAACACHTuJAOsjVpGsCAAD4BAAADgAAAAAAAAABACAAAAAoAQAAZHJzL2Uyb0Rv&#10;Yy54bWxQSwUGAAAAAAYABgBZAQAABQ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-860425</wp:posOffset>
                </wp:positionH>
                <wp:positionV relativeFrom="paragraph">
                  <wp:posOffset>4681220</wp:posOffset>
                </wp:positionV>
                <wp:extent cx="1943100" cy="304800"/>
                <wp:effectExtent l="6350" t="6350" r="12700" b="12700"/>
                <wp:wrapNone/>
                <wp:docPr id="223" name="矩形 223"/>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75pt;margin-top:368.6pt;height:24pt;width:153pt;z-index:251678720;v-text-anchor:middle;mso-width-relative:page;mso-height-relative:page;" fillcolor="#FFFFFF [3212]" filled="t" stroked="t" coordsize="21600,21600" o:gfxdata="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Gd2rq2QAAAAwBAAAPAAAAAAAAAAEAIAAAACIAAABkcnMvZG93bnJldi54&#10;bWxQSwECFAAUAAAACACHTuJAU8pXK2sCAAD4BAAADgAAAAAAAAABACAAAAAoAQAAZHJzL2Uyb0Rv&#10;Yy54bWxQSwUGAAAAAAYABgBZAQAABQ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5283200</wp:posOffset>
                </wp:positionH>
                <wp:positionV relativeFrom="paragraph">
                  <wp:posOffset>4328795</wp:posOffset>
                </wp:positionV>
                <wp:extent cx="1943100" cy="304800"/>
                <wp:effectExtent l="6350" t="6350" r="12700" b="12700"/>
                <wp:wrapNone/>
                <wp:docPr id="222" name="矩形 222"/>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6pt;margin-top:340.85pt;height:24pt;width:153pt;z-index:251677696;v-text-anchor:middle;mso-width-relative:page;mso-height-relative:page;" fillcolor="#FFFFFF [3212]" filled="t" stroked="t" coordsize="21600,21600" o:gfxdata="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wkPpNoAAAAMAQAADwAAAAAAAAABACAAAAAiAAAAZHJzL2Rvd25yZXYu&#10;eG1sUEsBAhQAFAAAAAgAh07iQGC2r/trAgAA+AQAAA4AAAAAAAAAAQAgAAAAKQ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1387475</wp:posOffset>
                </wp:positionH>
                <wp:positionV relativeFrom="paragraph">
                  <wp:posOffset>1414145</wp:posOffset>
                </wp:positionV>
                <wp:extent cx="1943100" cy="304800"/>
                <wp:effectExtent l="6350" t="6350" r="12700" b="12700"/>
                <wp:wrapNone/>
                <wp:docPr id="220" name="矩形 220"/>
                <wp:cNvGraphicFramePr/>
                <a:graphic xmlns:a="http://schemas.openxmlformats.org/drawingml/2006/main">
                  <a:graphicData uri="http://schemas.microsoft.com/office/word/2010/wordprocessingShape">
                    <wps:wsp>
                      <wps:cNvSpPr/>
                      <wps:spPr>
                        <a:xfrm>
                          <a:off x="2287270" y="231394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25pt;margin-top:111.35pt;height:24pt;width:153pt;z-index:251675648;v-text-anchor:middle;mso-width-relative:page;mso-height-relative:page;" fillcolor="#FFFFFF [3212]" filled="t" stroked="t" coordsize="21600,21600" o:gfxdata="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ngmaXYAAAACwEAAA8AAAAAAAAAAQAgAAAAIgAAAGRycy9k&#10;b3ducmV2LnhtbFBLAQIUABQAAAAIAIdO4kDEuTB0dAIAAAQFAAAOAAAAAAAAAAEAIAAAACcBAABk&#10;cnMvZTJvRG9jLnhtbFBLBQYAAAAABgAGAFkBAAANBgAAAAA=&#10;">
                <v:fill on="t" focussize="0,0"/>
                <v:stroke weight="1pt" color="#FFFFFF [3212]" miterlimit="8" joinstyle="miter"/>
                <v:imagedata o:title=""/>
                <o:lock v:ext="edit" aspectratio="f"/>
              </v:rect>
            </w:pict>
          </mc:Fallback>
        </mc:AlternateContent>
      </w:r>
      <w:r>
        <w:drawing>
          <wp:anchor distT="0" distB="0" distL="114300" distR="114300" simplePos="0" relativeHeight="251670528" behindDoc="0" locked="0" layoutInCell="1" allowOverlap="1">
            <wp:simplePos x="0" y="0"/>
            <wp:positionH relativeFrom="column">
              <wp:posOffset>-868680</wp:posOffset>
            </wp:positionH>
            <wp:positionV relativeFrom="paragraph">
              <wp:posOffset>-871855</wp:posOffset>
            </wp:positionV>
            <wp:extent cx="7546340" cy="10674985"/>
            <wp:effectExtent l="0" t="0" r="16510" b="12065"/>
            <wp:wrapNone/>
            <wp:docPr id="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
                    <pic:cNvPicPr>
                      <a:picLocks noChangeAspect="1"/>
                    </pic:cNvPicPr>
                  </pic:nvPicPr>
                  <pic:blipFill>
                    <a:blip r:embed="rId9"/>
                    <a:stretch>
                      <a:fillRect/>
                    </a:stretch>
                  </pic:blipFill>
                  <pic:spPr>
                    <a:xfrm>
                      <a:off x="0" y="0"/>
                      <a:ext cx="7546340" cy="10674985"/>
                    </a:xfrm>
                    <a:prstGeom prst="rect">
                      <a:avLst/>
                    </a:prstGeom>
                    <a:noFill/>
                    <a:ln>
                      <a:noFill/>
                    </a:ln>
                  </pic:spPr>
                </pic:pic>
              </a:graphicData>
            </a:graphic>
          </wp:anchor>
        </w:drawing>
      </w:r>
      <w:r>
        <w:rPr>
          <w:rFonts w:hint="default" w:ascii="Times New Roman" w:hAnsi="Times New Roman" w:eastAsia="黑体" w:cs="Times New Roman"/>
          <w:snapToGrid w:val="0"/>
          <w:color w:val="auto"/>
          <w:sz w:val="30"/>
          <w:szCs w:val="30"/>
          <w:u w:val="none"/>
          <w:lang w:val="en-US" w:eastAsia="zh-CN"/>
        </w:rPr>
        <w:br w:type="page"/>
      </w:r>
    </w:p>
    <w:p w14:paraId="5DE68602">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3368675</wp:posOffset>
                </wp:positionH>
                <wp:positionV relativeFrom="paragraph">
                  <wp:posOffset>7513320</wp:posOffset>
                </wp:positionV>
                <wp:extent cx="2466340" cy="866775"/>
                <wp:effectExtent l="6350" t="6350" r="22860" b="22225"/>
                <wp:wrapNone/>
                <wp:docPr id="230" name="矩形 230"/>
                <wp:cNvGraphicFramePr/>
                <a:graphic xmlns:a="http://schemas.openxmlformats.org/drawingml/2006/main">
                  <a:graphicData uri="http://schemas.microsoft.com/office/word/2010/wordprocessingShape">
                    <wps:wsp>
                      <wps:cNvSpPr/>
                      <wps:spPr>
                        <a:xfrm>
                          <a:off x="0" y="0"/>
                          <a:ext cx="2466340" cy="8667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25pt;margin-top:591.6pt;height:68.25pt;width:194.2pt;z-index:251685888;v-text-anchor:middle;mso-width-relative:page;mso-height-relative:page;" fillcolor="#FFFFFF [3212]" filled="t" stroked="t" coordsize="21600,21600" o:gfxdata="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WTYePaAAAADQEAAA8AAAAAAAAAAQAgAAAAIgAAAGRycy9kb3ducmV2&#10;LnhtbFBLAQIUABQAAAAIAIdO4kBRTX4WbAIAAPgEAAAOAAAAAAAAAAEAIAAAACk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82550</wp:posOffset>
                </wp:positionH>
                <wp:positionV relativeFrom="paragraph">
                  <wp:posOffset>7538720</wp:posOffset>
                </wp:positionV>
                <wp:extent cx="942975" cy="857250"/>
                <wp:effectExtent l="6350" t="6350" r="22225" b="12700"/>
                <wp:wrapNone/>
                <wp:docPr id="229" name="矩形 229"/>
                <wp:cNvGraphicFramePr/>
                <a:graphic xmlns:a="http://schemas.openxmlformats.org/drawingml/2006/main">
                  <a:graphicData uri="http://schemas.microsoft.com/office/word/2010/wordprocessingShape">
                    <wps:wsp>
                      <wps:cNvSpPr/>
                      <wps:spPr>
                        <a:xfrm>
                          <a:off x="0" y="0"/>
                          <a:ext cx="942975" cy="8572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pt;margin-top:593.6pt;height:67.5pt;width:74.25pt;z-index:251684864;v-text-anchor:middle;mso-width-relative:page;mso-height-relative:page;" fillcolor="#FFFFFF [3212]" filled="t" stroked="t" coordsize="21600,21600" o:gfxdata="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HcMW9gAAAAMAQAADwAAAAAAAAABACAAAAAiAAAAZHJzL2Rvd25yZXYu&#10;eG1sUEsBAhQAFAAAAAgAh07iQCtWKIhtAgAA9wQAAA4AAAAAAAAAAQAgAAAAJw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6350</wp:posOffset>
                </wp:positionH>
                <wp:positionV relativeFrom="paragraph">
                  <wp:posOffset>6452870</wp:posOffset>
                </wp:positionV>
                <wp:extent cx="5790565" cy="304800"/>
                <wp:effectExtent l="6350" t="6350" r="13335" b="12700"/>
                <wp:wrapNone/>
                <wp:docPr id="228" name="矩形 228"/>
                <wp:cNvGraphicFramePr/>
                <a:graphic xmlns:a="http://schemas.openxmlformats.org/drawingml/2006/main">
                  <a:graphicData uri="http://schemas.microsoft.com/office/word/2010/wordprocessingShape">
                    <wps:wsp>
                      <wps:cNvSpPr/>
                      <wps:spPr>
                        <a:xfrm>
                          <a:off x="0" y="0"/>
                          <a:ext cx="5790565"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pt;margin-top:508.1pt;height:24pt;width:455.95pt;z-index:251683840;v-text-anchor:middle;mso-width-relative:page;mso-height-relative:page;" fillcolor="#FFFFFF [3212]" filled="t" stroked="t" coordsize="21600,21600" o:gfxdata="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25DWz2AAAAAsBAAAPAAAAAAAAAAEAIAAAACIAAABkcnMvZG93bnJl&#10;di54bWxQSwECFAAUAAAACACHTuJA0DIgBW8CAAD4BAAADgAAAAAAAAABACAAAAAn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2149475</wp:posOffset>
                </wp:positionH>
                <wp:positionV relativeFrom="paragraph">
                  <wp:posOffset>2852420</wp:posOffset>
                </wp:positionV>
                <wp:extent cx="1943100" cy="2543175"/>
                <wp:effectExtent l="6350" t="6350" r="12700" b="22225"/>
                <wp:wrapNone/>
                <wp:docPr id="227" name="矩形 227"/>
                <wp:cNvGraphicFramePr/>
                <a:graphic xmlns:a="http://schemas.openxmlformats.org/drawingml/2006/main">
                  <a:graphicData uri="http://schemas.microsoft.com/office/word/2010/wordprocessingShape">
                    <wps:wsp>
                      <wps:cNvSpPr/>
                      <wps:spPr>
                        <a:xfrm>
                          <a:off x="0" y="0"/>
                          <a:ext cx="1943100" cy="25431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9.25pt;margin-top:224.6pt;height:200.25pt;width:153pt;z-index:251682816;v-text-anchor:middle;mso-width-relative:page;mso-height-relative:page;" fillcolor="#FFFFFF [3212]" filled="t" stroked="t" coordsize="21600,21600" o:gfxdata="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gAG3i2gAAAAsBAAAPAAAAAAAAAAEAIAAAACIAAABkcnMvZG93bnJl&#10;di54bWxQSwECFAAUAAAACACHTuJAZ5CP6G0CAAD5BAAADgAAAAAAAAABACAAAAApAQAAZHJzL2Uy&#10;b0RvYy54bWxQSwUGAAAAAAYABgBZAQAACAYAAAAA&#10;">
                <v:fill on="t" focussize="0,0"/>
                <v:stroke weight="1pt" color="#FFFFFF [3212]" miterlimit="8" joinstyle="miter"/>
                <v:imagedata o:title=""/>
                <o:lock v:ext="edit" aspectratio="f"/>
              </v:rect>
            </w:pict>
          </mc:Fallback>
        </mc:AlternateContent>
      </w:r>
      <w:r>
        <w:drawing>
          <wp:anchor distT="0" distB="0" distL="114300" distR="114300" simplePos="0" relativeHeight="251671552" behindDoc="0" locked="0" layoutInCell="1" allowOverlap="1">
            <wp:simplePos x="0" y="0"/>
            <wp:positionH relativeFrom="column">
              <wp:posOffset>-892810</wp:posOffset>
            </wp:positionH>
            <wp:positionV relativeFrom="paragraph">
              <wp:posOffset>-895985</wp:posOffset>
            </wp:positionV>
            <wp:extent cx="7569835" cy="10692765"/>
            <wp:effectExtent l="0" t="0" r="12065" b="13335"/>
            <wp:wrapNone/>
            <wp:docPr id="1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
                    <pic:cNvPicPr>
                      <a:picLocks noChangeAspect="1"/>
                    </pic:cNvPicPr>
                  </pic:nvPicPr>
                  <pic:blipFill>
                    <a:blip r:embed="rId10"/>
                    <a:stretch>
                      <a:fillRect/>
                    </a:stretch>
                  </pic:blipFill>
                  <pic:spPr>
                    <a:xfrm>
                      <a:off x="0" y="0"/>
                      <a:ext cx="7569835" cy="10692765"/>
                    </a:xfrm>
                    <a:prstGeom prst="rect">
                      <a:avLst/>
                    </a:prstGeom>
                    <a:noFill/>
                    <a:ln>
                      <a:noFill/>
                    </a:ln>
                  </pic:spPr>
                </pic:pic>
              </a:graphicData>
            </a:graphic>
          </wp:anchor>
        </w:drawing>
      </w:r>
      <w:r>
        <w:rPr>
          <w:rFonts w:hint="default" w:ascii="Times New Roman" w:hAnsi="Times New Roman" w:eastAsia="黑体" w:cs="Times New Roman"/>
          <w:snapToGrid w:val="0"/>
          <w:color w:val="auto"/>
          <w:sz w:val="30"/>
          <w:szCs w:val="30"/>
          <w:u w:val="none"/>
          <w:lang w:val="en-US" w:eastAsia="zh-CN"/>
        </w:rPr>
        <w:br w:type="page"/>
      </w:r>
    </w:p>
    <w:p w14:paraId="3C30F679">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4159250</wp:posOffset>
                </wp:positionH>
                <wp:positionV relativeFrom="paragraph">
                  <wp:posOffset>966470</wp:posOffset>
                </wp:positionV>
                <wp:extent cx="1943100" cy="2000250"/>
                <wp:effectExtent l="6350" t="6350" r="12700" b="12700"/>
                <wp:wrapNone/>
                <wp:docPr id="233" name="矩形 233"/>
                <wp:cNvGraphicFramePr/>
                <a:graphic xmlns:a="http://schemas.openxmlformats.org/drawingml/2006/main">
                  <a:graphicData uri="http://schemas.microsoft.com/office/word/2010/wordprocessingShape">
                    <wps:wsp>
                      <wps:cNvSpPr/>
                      <wps:spPr>
                        <a:xfrm>
                          <a:off x="0" y="0"/>
                          <a:ext cx="1943100" cy="20002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5pt;margin-top:76.1pt;height:157.5pt;width:153pt;z-index:251688960;v-text-anchor:middle;mso-width-relative:page;mso-height-relative:page;" fillcolor="#FFFFFF [3212]" filled="t" stroked="t" coordsize="21600,21600" o:gfxdata="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jjen42QAAAAsBAAAPAAAAAAAAAAEAIAAAACIAAABkcnMvZG93bnJl&#10;di54bWxQSwECFAAUAAAACACHTuJA5HMXam4CAAD5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1387475</wp:posOffset>
                </wp:positionH>
                <wp:positionV relativeFrom="paragraph">
                  <wp:posOffset>1414145</wp:posOffset>
                </wp:positionV>
                <wp:extent cx="886460" cy="304800"/>
                <wp:effectExtent l="6350" t="6350" r="21590" b="12700"/>
                <wp:wrapNone/>
                <wp:docPr id="232" name="矩形 232"/>
                <wp:cNvGraphicFramePr/>
                <a:graphic xmlns:a="http://schemas.openxmlformats.org/drawingml/2006/main">
                  <a:graphicData uri="http://schemas.microsoft.com/office/word/2010/wordprocessingShape">
                    <wps:wsp>
                      <wps:cNvSpPr/>
                      <wps:spPr>
                        <a:xfrm>
                          <a:off x="0" y="0"/>
                          <a:ext cx="88646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25pt;margin-top:111.35pt;height:24pt;width:69.8pt;z-index:251687936;v-text-anchor:middle;mso-width-relative:page;mso-height-relative:page;" fillcolor="#FFFFFF [3212]" filled="t" stroked="t" coordsize="21600,21600" o:gfxdata="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8GiOydgAAAALAQAADwAAAAAAAAABACAAAAAiAAAAZHJzL2Rvd25yZXYu&#10;eG1sUEsBAhQAFAAAAAgAh07iQLyXRNhtAgAA9wQAAA4AAAAAAAAAAQAgAAAAJw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882650</wp:posOffset>
                </wp:positionH>
                <wp:positionV relativeFrom="paragraph">
                  <wp:posOffset>3519170</wp:posOffset>
                </wp:positionV>
                <wp:extent cx="1943100" cy="304800"/>
                <wp:effectExtent l="6350" t="6350" r="12700" b="12700"/>
                <wp:wrapNone/>
                <wp:docPr id="231" name="矩形 231"/>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5pt;margin-top:277.1pt;height:24pt;width:153pt;z-index:251686912;v-text-anchor:middle;mso-width-relative:page;mso-height-relative:page;" fillcolor="#FFFFFF [3212]" filled="t" stroked="t" coordsize="21600,21600" o:gfxdata="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usxjnZAAAACwEAAA8AAAAAAAAAAQAgAAAAIgAAAGRycy9kb3ducmV2Lnht&#10;bFBLAQIUABQAAAAIAIdO4kAerdbuagIAAPgEAAAOAAAAAAAAAAEAIAAAACgBAABkcnMvZTJvRG9j&#10;LnhtbFBLBQYAAAAABgAGAFkBAAAEBgAAAAA=&#10;">
                <v:fill on="t" focussize="0,0"/>
                <v:stroke weight="1pt" color="#FFFFFF [3212]" miterlimit="8" joinstyle="miter"/>
                <v:imagedata o:title=""/>
                <o:lock v:ext="edit" aspectratio="f"/>
              </v:rect>
            </w:pict>
          </mc:Fallback>
        </mc:AlternateContent>
      </w:r>
      <w:r>
        <w:rPr>
          <w:color w:val="auto"/>
        </w:rPr>
        <w:drawing>
          <wp:anchor distT="0" distB="0" distL="114300" distR="114300" simplePos="0" relativeHeight="251664384" behindDoc="0" locked="0" layoutInCell="1" allowOverlap="1">
            <wp:simplePos x="0" y="0"/>
            <wp:positionH relativeFrom="column">
              <wp:posOffset>-857250</wp:posOffset>
            </wp:positionH>
            <wp:positionV relativeFrom="paragraph">
              <wp:posOffset>-869950</wp:posOffset>
            </wp:positionV>
            <wp:extent cx="7553325" cy="10676890"/>
            <wp:effectExtent l="0" t="0" r="9525" b="10160"/>
            <wp:wrapNone/>
            <wp:docPr id="1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4"/>
                    <pic:cNvPicPr>
                      <a:picLocks noChangeAspect="1"/>
                    </pic:cNvPicPr>
                  </pic:nvPicPr>
                  <pic:blipFill>
                    <a:blip r:embed="rId11"/>
                    <a:stretch>
                      <a:fillRect/>
                    </a:stretch>
                  </pic:blipFill>
                  <pic:spPr>
                    <a:xfrm>
                      <a:off x="0" y="0"/>
                      <a:ext cx="7553325" cy="10676890"/>
                    </a:xfrm>
                    <a:prstGeom prst="rect">
                      <a:avLst/>
                    </a:prstGeom>
                    <a:noFill/>
                    <a:ln>
                      <a:noFill/>
                    </a:ln>
                  </pic:spPr>
                </pic:pic>
              </a:graphicData>
            </a:graphic>
          </wp:anchor>
        </w:drawing>
      </w:r>
      <w:r>
        <w:rPr>
          <w:rFonts w:hint="default" w:ascii="Times New Roman" w:hAnsi="Times New Roman" w:eastAsia="黑体" w:cs="Times New Roman"/>
          <w:snapToGrid w:val="0"/>
          <w:color w:val="auto"/>
          <w:sz w:val="30"/>
          <w:szCs w:val="30"/>
          <w:u w:val="none"/>
          <w:lang w:val="en-US" w:eastAsia="zh-CN"/>
        </w:rPr>
        <w:br w:type="page"/>
      </w:r>
    </w:p>
    <w:p w14:paraId="120AA0F9">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1997075</wp:posOffset>
                </wp:positionH>
                <wp:positionV relativeFrom="paragraph">
                  <wp:posOffset>5633720</wp:posOffset>
                </wp:positionV>
                <wp:extent cx="1943100" cy="1666875"/>
                <wp:effectExtent l="6350" t="6350" r="12700" b="22225"/>
                <wp:wrapNone/>
                <wp:docPr id="235" name="矩形 235"/>
                <wp:cNvGraphicFramePr/>
                <a:graphic xmlns:a="http://schemas.openxmlformats.org/drawingml/2006/main">
                  <a:graphicData uri="http://schemas.microsoft.com/office/word/2010/wordprocessingShape">
                    <wps:wsp>
                      <wps:cNvSpPr/>
                      <wps:spPr>
                        <a:xfrm>
                          <a:off x="0" y="0"/>
                          <a:ext cx="1943100" cy="16668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25pt;margin-top:443.6pt;height:131.25pt;width:153pt;z-index:251691008;v-text-anchor:middle;mso-width-relative:page;mso-height-relative:page;" fillcolor="#FFFFFF [3212]" filled="t" stroked="t" coordsize="21600,21600" o:gfxdata="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EhvsPaAAAADAEAAA8AAAAAAAAAAQAgAAAAIgAAAGRycy9kb3du&#10;cmV2LnhtbFBLAQIUABQAAAAIAIdO4kAxlk04bwIAAPk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1501775</wp:posOffset>
                </wp:positionH>
                <wp:positionV relativeFrom="paragraph">
                  <wp:posOffset>6957695</wp:posOffset>
                </wp:positionV>
                <wp:extent cx="266700" cy="1524000"/>
                <wp:effectExtent l="6350" t="6350" r="12700" b="12700"/>
                <wp:wrapNone/>
                <wp:docPr id="234" name="矩形 234"/>
                <wp:cNvGraphicFramePr/>
                <a:graphic xmlns:a="http://schemas.openxmlformats.org/drawingml/2006/main">
                  <a:graphicData uri="http://schemas.microsoft.com/office/word/2010/wordprocessingShape">
                    <wps:wsp>
                      <wps:cNvSpPr/>
                      <wps:spPr>
                        <a:xfrm>
                          <a:off x="0" y="0"/>
                          <a:ext cx="266700" cy="15240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25pt;margin-top:547.85pt;height:120pt;width:21pt;z-index:251689984;v-text-anchor:middle;mso-width-relative:page;mso-height-relative:page;" fillcolor="#FFFFFF [3212]" filled="t" stroked="t" coordsize="21600,21600" o:gfxdata="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3RU9C2QAAAA0BAAAPAAAAAAAAAAEAIAAAACIAAABkcnMvZG93bnJldi54&#10;bWxQSwECFAAUAAAACACHTuJAPcxnQWsCAAD4BAAADgAAAAAAAAABACAAAAAoAQAAZHJzL2Uyb0Rv&#10;Yy54bWxQSwUGAAAAAAYABgBZAQAABQYAAAAA&#10;">
                <v:fill on="t" focussize="0,0"/>
                <v:stroke weight="1pt" color="#FFFFFF [3212]" miterlimit="8" joinstyle="miter"/>
                <v:imagedata o:title=""/>
                <o:lock v:ext="edit" aspectratio="f"/>
              </v:rect>
            </w:pict>
          </mc:Fallback>
        </mc:AlternateContent>
      </w:r>
      <w:r>
        <w:rPr>
          <w:color w:val="auto"/>
        </w:rPr>
        <w:drawing>
          <wp:anchor distT="0" distB="0" distL="114300" distR="114300" simplePos="0" relativeHeight="251665408" behindDoc="0" locked="0" layoutInCell="1" allowOverlap="1">
            <wp:simplePos x="0" y="0"/>
            <wp:positionH relativeFrom="column">
              <wp:posOffset>-857250</wp:posOffset>
            </wp:positionH>
            <wp:positionV relativeFrom="paragraph">
              <wp:posOffset>-860425</wp:posOffset>
            </wp:positionV>
            <wp:extent cx="7513955" cy="10648315"/>
            <wp:effectExtent l="0" t="0" r="10795" b="635"/>
            <wp:wrapNone/>
            <wp:docPr id="1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5"/>
                    <pic:cNvPicPr>
                      <a:picLocks noChangeAspect="1"/>
                    </pic:cNvPicPr>
                  </pic:nvPicPr>
                  <pic:blipFill>
                    <a:blip r:embed="rId12"/>
                    <a:stretch>
                      <a:fillRect/>
                    </a:stretch>
                  </pic:blipFill>
                  <pic:spPr>
                    <a:xfrm>
                      <a:off x="0" y="0"/>
                      <a:ext cx="7513955" cy="10648315"/>
                    </a:xfrm>
                    <a:prstGeom prst="rect">
                      <a:avLst/>
                    </a:prstGeom>
                    <a:noFill/>
                    <a:ln>
                      <a:noFill/>
                    </a:ln>
                  </pic:spPr>
                </pic:pic>
              </a:graphicData>
            </a:graphic>
          </wp:anchor>
        </w:drawing>
      </w:r>
      <w:r>
        <w:rPr>
          <w:rFonts w:hint="default" w:ascii="Times New Roman" w:hAnsi="Times New Roman" w:eastAsia="黑体" w:cs="Times New Roman"/>
          <w:snapToGrid w:val="0"/>
          <w:color w:val="auto"/>
          <w:sz w:val="30"/>
          <w:szCs w:val="30"/>
          <w:u w:val="none"/>
          <w:lang w:val="en-US" w:eastAsia="zh-CN"/>
        </w:rPr>
        <w:br w:type="page"/>
      </w:r>
    </w:p>
    <w:p w14:paraId="3D40B6FD">
      <w:pPr>
        <w:rPr>
          <w:rFonts w:hint="default" w:ascii="Times New Roman" w:hAnsi="Times New Roman" w:eastAsia="黑体" w:cs="Times New Roman"/>
          <w:snapToGrid w:val="0"/>
          <w:color w:val="auto"/>
          <w:sz w:val="30"/>
          <w:szCs w:val="30"/>
          <w:u w:val="none"/>
          <w:lang w:val="en-US" w:eastAsia="zh-CN"/>
        </w:rPr>
      </w:pPr>
      <w:r>
        <w:drawing>
          <wp:anchor distT="0" distB="0" distL="114300" distR="114300" simplePos="0" relativeHeight="251672576" behindDoc="0" locked="0" layoutInCell="1" allowOverlap="1">
            <wp:simplePos x="0" y="0"/>
            <wp:positionH relativeFrom="column">
              <wp:posOffset>-916940</wp:posOffset>
            </wp:positionH>
            <wp:positionV relativeFrom="paragraph">
              <wp:posOffset>-903605</wp:posOffset>
            </wp:positionV>
            <wp:extent cx="7581265" cy="10679430"/>
            <wp:effectExtent l="0" t="0" r="635" b="7620"/>
            <wp:wrapNone/>
            <wp:docPr id="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
                    <pic:cNvPicPr>
                      <a:picLocks noChangeAspect="1"/>
                    </pic:cNvPicPr>
                  </pic:nvPicPr>
                  <pic:blipFill>
                    <a:blip r:embed="rId13"/>
                    <a:stretch>
                      <a:fillRect/>
                    </a:stretch>
                  </pic:blipFill>
                  <pic:spPr>
                    <a:xfrm>
                      <a:off x="0" y="0"/>
                      <a:ext cx="7581265" cy="10679430"/>
                    </a:xfrm>
                    <a:prstGeom prst="rect">
                      <a:avLst/>
                    </a:prstGeom>
                    <a:noFill/>
                    <a:ln>
                      <a:noFill/>
                    </a:ln>
                  </pic:spPr>
                </pic:pic>
              </a:graphicData>
            </a:graphic>
          </wp:anchor>
        </w:drawing>
      </w:r>
      <w:r>
        <w:rPr>
          <w:rFonts w:hint="default" w:ascii="Times New Roman" w:hAnsi="Times New Roman" w:eastAsia="黑体" w:cs="Times New Roman"/>
          <w:snapToGrid w:val="0"/>
          <w:color w:val="auto"/>
          <w:sz w:val="30"/>
          <w:szCs w:val="30"/>
          <w:u w:val="none"/>
          <w:lang w:val="en-US" w:eastAsia="zh-CN"/>
        </w:rPr>
        <w:br w:type="page"/>
      </w:r>
    </w:p>
    <w:p w14:paraId="05CC306A">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94080" behindDoc="0" locked="0" layoutInCell="1" allowOverlap="1">
                <wp:simplePos x="0" y="0"/>
                <wp:positionH relativeFrom="column">
                  <wp:posOffset>3787775</wp:posOffset>
                </wp:positionH>
                <wp:positionV relativeFrom="paragraph">
                  <wp:posOffset>6729095</wp:posOffset>
                </wp:positionV>
                <wp:extent cx="1943100" cy="819150"/>
                <wp:effectExtent l="6350" t="6350" r="12700" b="12700"/>
                <wp:wrapNone/>
                <wp:docPr id="238" name="矩形 238"/>
                <wp:cNvGraphicFramePr/>
                <a:graphic xmlns:a="http://schemas.openxmlformats.org/drawingml/2006/main">
                  <a:graphicData uri="http://schemas.microsoft.com/office/word/2010/wordprocessingShape">
                    <wps:wsp>
                      <wps:cNvSpPr/>
                      <wps:spPr>
                        <a:xfrm>
                          <a:off x="0" y="0"/>
                          <a:ext cx="1943100" cy="8191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25pt;margin-top:529.85pt;height:64.5pt;width:153pt;z-index:251694080;v-text-anchor:middle;mso-width-relative:page;mso-height-relative:page;" fillcolor="#FFFFFF [3212]" filled="t" stroked="t" coordsize="21600,21600" o:gfxdata="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b/UOm2QAAAA0BAAAPAAAAAAAAAAEAIAAAACIAAABkcnMvZG93bnJl&#10;di54bWxQSwECFAAUAAAACACHTuJAXjj1+G4CAAD4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2416175</wp:posOffset>
                </wp:positionH>
                <wp:positionV relativeFrom="paragraph">
                  <wp:posOffset>1614170</wp:posOffset>
                </wp:positionV>
                <wp:extent cx="1943100" cy="304800"/>
                <wp:effectExtent l="6350" t="6350" r="12700" b="12700"/>
                <wp:wrapNone/>
                <wp:docPr id="237" name="矩形 237"/>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25pt;margin-top:127.1pt;height:24pt;width:153pt;z-index:251693056;v-text-anchor:middle;mso-width-relative:page;mso-height-relative:page;" fillcolor="#FFFFFF [3212]" filled="t" stroked="t" coordsize="21600,21600" o:gfxdata="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krAoTYAAAACwEAAA8AAAAAAAAAAQAgAAAAIgAAAGRycy9kb3ducmV2Lnht&#10;bFBLAQIUABQAAAAIAIdO4kB3r1RhawIAAPgEAAAOAAAAAAAAAAEAIAAAACcBAABkcnMvZTJvRG9j&#10;LnhtbFBLBQYAAAAABgAGAFkBAAAE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1101725</wp:posOffset>
                </wp:positionH>
                <wp:positionV relativeFrom="paragraph">
                  <wp:posOffset>871220</wp:posOffset>
                </wp:positionV>
                <wp:extent cx="4285615" cy="304800"/>
                <wp:effectExtent l="6350" t="6350" r="13335" b="12700"/>
                <wp:wrapNone/>
                <wp:docPr id="236" name="矩形 236"/>
                <wp:cNvGraphicFramePr/>
                <a:graphic xmlns:a="http://schemas.openxmlformats.org/drawingml/2006/main">
                  <a:graphicData uri="http://schemas.microsoft.com/office/word/2010/wordprocessingShape">
                    <wps:wsp>
                      <wps:cNvSpPr/>
                      <wps:spPr>
                        <a:xfrm>
                          <a:off x="0" y="0"/>
                          <a:ext cx="4285615"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75pt;margin-top:68.6pt;height:24pt;width:337.45pt;z-index:251692032;v-text-anchor:middle;mso-width-relative:page;mso-height-relative:page;" fillcolor="#FFFFFF [3212]" filled="t" stroked="t" coordsize="21600,21600" o:gfxdata="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wL8Qr2QAAAAsBAAAPAAAAAAAAAAEAIAAAACIAAABkcnMvZG93bnJl&#10;di54bWxQSwECFAAUAAAACACHTuJAIJ00p24CAAD4BAAADgAAAAAAAAABACAAAAAoAQAAZHJzL2Uy&#10;b0RvYy54bWxQSwUGAAAAAAYABgBZAQAACAYAAAAA&#10;">
                <v:fill on="t" focussize="0,0"/>
                <v:stroke weight="1pt" color="#FFFFFF [3212]" miterlimit="8" joinstyle="miter"/>
                <v:imagedata o:title=""/>
                <o:lock v:ext="edit" aspectratio="f"/>
              </v:rect>
            </w:pict>
          </mc:Fallback>
        </mc:AlternateContent>
      </w:r>
      <w:r>
        <w:drawing>
          <wp:anchor distT="0" distB="0" distL="114300" distR="114300" simplePos="0" relativeHeight="251673600" behindDoc="0" locked="0" layoutInCell="1" allowOverlap="1">
            <wp:simplePos x="0" y="0"/>
            <wp:positionH relativeFrom="column">
              <wp:posOffset>-904875</wp:posOffset>
            </wp:positionH>
            <wp:positionV relativeFrom="paragraph">
              <wp:posOffset>-903605</wp:posOffset>
            </wp:positionV>
            <wp:extent cx="7596505" cy="10706735"/>
            <wp:effectExtent l="0" t="0" r="4445" b="18415"/>
            <wp:wrapNone/>
            <wp:docPr id="1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
                    <pic:cNvPicPr>
                      <a:picLocks noChangeAspect="1"/>
                    </pic:cNvPicPr>
                  </pic:nvPicPr>
                  <pic:blipFill>
                    <a:blip r:embed="rId14"/>
                    <a:stretch>
                      <a:fillRect/>
                    </a:stretch>
                  </pic:blipFill>
                  <pic:spPr>
                    <a:xfrm>
                      <a:off x="0" y="0"/>
                      <a:ext cx="7596505" cy="10706735"/>
                    </a:xfrm>
                    <a:prstGeom prst="rect">
                      <a:avLst/>
                    </a:prstGeom>
                    <a:noFill/>
                    <a:ln>
                      <a:noFill/>
                    </a:ln>
                  </pic:spPr>
                </pic:pic>
              </a:graphicData>
            </a:graphic>
          </wp:anchor>
        </w:drawing>
      </w:r>
      <w:r>
        <w:rPr>
          <w:rFonts w:hint="default" w:ascii="Times New Roman" w:hAnsi="Times New Roman" w:eastAsia="黑体" w:cs="Times New Roman"/>
          <w:snapToGrid w:val="0"/>
          <w:color w:val="auto"/>
          <w:sz w:val="30"/>
          <w:szCs w:val="30"/>
          <w:u w:val="none"/>
          <w:lang w:val="en-US" w:eastAsia="zh-CN"/>
        </w:rPr>
        <w:br w:type="page"/>
      </w:r>
    </w:p>
    <w:p w14:paraId="154F7915">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97152" behindDoc="0" locked="0" layoutInCell="1" allowOverlap="1">
                <wp:simplePos x="0" y="0"/>
                <wp:positionH relativeFrom="column">
                  <wp:posOffset>3387725</wp:posOffset>
                </wp:positionH>
                <wp:positionV relativeFrom="paragraph">
                  <wp:posOffset>6446520</wp:posOffset>
                </wp:positionV>
                <wp:extent cx="2238375" cy="1095375"/>
                <wp:effectExtent l="6350" t="6350" r="22225" b="22225"/>
                <wp:wrapNone/>
                <wp:docPr id="241" name="矩形 241"/>
                <wp:cNvGraphicFramePr/>
                <a:graphic xmlns:a="http://schemas.openxmlformats.org/drawingml/2006/main">
                  <a:graphicData uri="http://schemas.microsoft.com/office/word/2010/wordprocessingShape">
                    <wps:wsp>
                      <wps:cNvSpPr/>
                      <wps:spPr>
                        <a:xfrm>
                          <a:off x="0" y="0"/>
                          <a:ext cx="2238375" cy="10953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75pt;margin-top:507.6pt;height:86.25pt;width:176.25pt;z-index:251697152;v-text-anchor:middle;mso-width-relative:page;mso-height-relative:page;" fillcolor="#FFFFFF [3212]" filled="t" stroked="t" coordsize="21600,21600" o:gfxdata="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ks/KR2gAAAA0BAAAPAAAAAAAAAAEAIAAAACIAAABkcnMvZG93bnJl&#10;di54bWxQSwECFAAUAAAACACHTuJAGJEN120CAAD5BAAADgAAAAAAAAABACAAAAAp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2625725</wp:posOffset>
                </wp:positionH>
                <wp:positionV relativeFrom="paragraph">
                  <wp:posOffset>1614170</wp:posOffset>
                </wp:positionV>
                <wp:extent cx="1943100" cy="304800"/>
                <wp:effectExtent l="6350" t="6350" r="12700" b="12700"/>
                <wp:wrapNone/>
                <wp:docPr id="240" name="矩形 240"/>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75pt;margin-top:127.1pt;height:24pt;width:153pt;z-index:251696128;v-text-anchor:middle;mso-width-relative:page;mso-height-relative:page;" fillcolor="#FFFFFF [3212]" filled="t" stroked="t" coordsize="21600,21600" o:gfxdata="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ei53jZAAAACwEAAA8AAAAAAAAAAQAgAAAAIgAAAGRycy9kb3ducmV2Lnht&#10;bFBLAQIUABQAAAAIAIdO4kC5E8+1agIAAPgEAAAOAAAAAAAAAAEAIAAAACgBAABkcnMvZTJvRG9j&#10;LnhtbFBLBQYAAAAABgAGAFkBAAAE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1254125</wp:posOffset>
                </wp:positionH>
                <wp:positionV relativeFrom="paragraph">
                  <wp:posOffset>1004570</wp:posOffset>
                </wp:positionV>
                <wp:extent cx="4085590" cy="304800"/>
                <wp:effectExtent l="6350" t="6350" r="22860" b="12700"/>
                <wp:wrapNone/>
                <wp:docPr id="239" name="矩形 239"/>
                <wp:cNvGraphicFramePr/>
                <a:graphic xmlns:a="http://schemas.openxmlformats.org/drawingml/2006/main">
                  <a:graphicData uri="http://schemas.microsoft.com/office/word/2010/wordprocessingShape">
                    <wps:wsp>
                      <wps:cNvSpPr/>
                      <wps:spPr>
                        <a:xfrm>
                          <a:off x="0" y="0"/>
                          <a:ext cx="408559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75pt;margin-top:79.1pt;height:24pt;width:321.7pt;z-index:251695104;v-text-anchor:middle;mso-width-relative:page;mso-height-relative:page;" fillcolor="#FFFFFF [3212]" filled="t" stroked="t" coordsize="21600,21600" o:gfxdata="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vtHJNkAAAALAQAADwAAAAAAAAABACAAAAAiAAAAZHJzL2Rvd25y&#10;ZXYueG1sUEsBAhQAFAAAAAgAh07iQIBVuZFvAgAA+AQAAA4AAAAAAAAAAQAgAAAAKAEAAGRycy9l&#10;Mm9Eb2MueG1sUEsFBgAAAAAGAAYAWQEAAAkGAAAAAA==&#10;">
                <v:fill on="t" focussize="0,0"/>
                <v:stroke weight="1pt" color="#FFFFFF [3212]" miterlimit="8" joinstyle="miter"/>
                <v:imagedata o:title=""/>
                <o:lock v:ext="edit" aspectratio="f"/>
              </v:rect>
            </w:pict>
          </mc:Fallback>
        </mc:AlternateContent>
      </w:r>
      <w:r>
        <w:drawing>
          <wp:anchor distT="0" distB="0" distL="114300" distR="114300" simplePos="0" relativeHeight="251674624" behindDoc="0" locked="0" layoutInCell="1" allowOverlap="1">
            <wp:simplePos x="0" y="0"/>
            <wp:positionH relativeFrom="column">
              <wp:posOffset>-823595</wp:posOffset>
            </wp:positionH>
            <wp:positionV relativeFrom="paragraph">
              <wp:posOffset>-875030</wp:posOffset>
            </wp:positionV>
            <wp:extent cx="7552690" cy="10656570"/>
            <wp:effectExtent l="0" t="0" r="10160" b="11430"/>
            <wp:wrapNone/>
            <wp:docPr id="1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5"/>
                    <pic:cNvPicPr>
                      <a:picLocks noChangeAspect="1"/>
                    </pic:cNvPicPr>
                  </pic:nvPicPr>
                  <pic:blipFill>
                    <a:blip r:embed="rId15"/>
                    <a:stretch>
                      <a:fillRect/>
                    </a:stretch>
                  </pic:blipFill>
                  <pic:spPr>
                    <a:xfrm>
                      <a:off x="0" y="0"/>
                      <a:ext cx="7552690" cy="10656570"/>
                    </a:xfrm>
                    <a:prstGeom prst="rect">
                      <a:avLst/>
                    </a:prstGeom>
                    <a:noFill/>
                    <a:ln>
                      <a:noFill/>
                    </a:ln>
                  </pic:spPr>
                </pic:pic>
              </a:graphicData>
            </a:graphic>
          </wp:anchor>
        </w:drawing>
      </w:r>
      <w:r>
        <w:rPr>
          <w:rFonts w:hint="default" w:ascii="Times New Roman" w:hAnsi="Times New Roman" w:eastAsia="黑体" w:cs="Times New Roman"/>
          <w:snapToGrid w:val="0"/>
          <w:color w:val="auto"/>
          <w:sz w:val="30"/>
          <w:szCs w:val="30"/>
          <w:u w:val="none"/>
          <w:lang w:val="en-US" w:eastAsia="zh-CN"/>
        </w:rPr>
        <w:br w:type="page"/>
      </w:r>
    </w:p>
    <w:sdt>
      <w:sdtPr>
        <w:rPr>
          <w:rFonts w:ascii="宋体" w:hAnsi="宋体" w:eastAsia="宋体" w:cs="Times New Roman"/>
          <w:color w:val="auto"/>
          <w:kern w:val="2"/>
          <w:sz w:val="21"/>
          <w:szCs w:val="24"/>
          <w:lang w:val="en-US" w:eastAsia="zh-CN" w:bidi="ar-SA"/>
        </w:rPr>
        <w:id w:val="147462207"/>
        <w15:color w:val="DBDBDB"/>
        <w:docPartObj>
          <w:docPartGallery w:val="Table of Contents"/>
          <w:docPartUnique/>
        </w:docPartObj>
      </w:sdtPr>
      <w:sdtEndPr>
        <w:rPr>
          <w:rFonts w:ascii="宋体" w:hAnsi="宋体" w:eastAsia="宋体" w:cs="Times New Roman"/>
          <w:color w:val="auto"/>
          <w:kern w:val="2"/>
          <w:sz w:val="21"/>
          <w:szCs w:val="24"/>
          <w:lang w:val="en-US" w:eastAsia="zh-CN" w:bidi="ar-SA"/>
        </w:rPr>
      </w:sdtEndPr>
      <w:sdtContent>
        <w:p w14:paraId="2BD7DDB9">
          <w:pPr>
            <w:spacing w:before="0" w:beforeLines="0" w:after="0" w:afterLines="0" w:line="240" w:lineRule="auto"/>
            <w:ind w:left="0" w:leftChars="0" w:right="0" w:rightChars="0" w:firstLine="0" w:firstLineChars="0"/>
            <w:jc w:val="center"/>
            <w:rPr>
              <w:rFonts w:hint="eastAsia" w:ascii="黑体" w:hAnsi="黑体" w:eastAsia="黑体" w:cs="黑体"/>
              <w:b/>
              <w:bCs/>
              <w:color w:val="auto"/>
              <w:sz w:val="36"/>
              <w:szCs w:val="36"/>
            </w:rPr>
          </w:pPr>
          <w:r>
            <w:rPr>
              <w:rFonts w:hint="eastAsia" w:ascii="黑体" w:hAnsi="黑体" w:eastAsia="黑体" w:cs="黑体"/>
              <w:b/>
              <w:bCs/>
              <w:color w:val="auto"/>
              <w:sz w:val="36"/>
              <w:szCs w:val="36"/>
            </w:rPr>
            <w:t>目录</w:t>
          </w:r>
        </w:p>
        <w:p w14:paraId="6B8EBFD8">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color w:val="auto"/>
            </w:rPr>
            <w:fldChar w:fldCharType="begin"/>
          </w:r>
          <w:r>
            <w:rPr>
              <w:color w:val="auto"/>
            </w:rPr>
            <w:instrText xml:space="preserve">TOC \o "1-3" \h \u </w:instrText>
          </w:r>
          <w:r>
            <w:rPr>
              <w:color w:val="auto"/>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58D254E">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_Toc13040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highlight w:val="none"/>
              <w:lang w:val="en-US" w:eastAsia="zh-CN"/>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_Toc13040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8EB54BD">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_Toc25587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2.1项目由来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869F63B">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rPr>
            <w:t>表2</w:t>
          </w:r>
          <w:r>
            <w:rPr>
              <w:rFonts w:hint="default" w:ascii="Times New Roman" w:hAnsi="Times New Roman" w:eastAsia="宋体" w:cs="Times New Roman"/>
              <w:bCs/>
              <w:sz w:val="24"/>
              <w:szCs w:val="24"/>
              <w:highlight w:val="none"/>
              <w:lang w:val="en-US" w:eastAsia="zh-CN"/>
            </w:rPr>
            <w:t>.1</w:t>
          </w:r>
          <w:r>
            <w:rPr>
              <w:rFonts w:hint="default" w:ascii="Times New Roman" w:hAnsi="Times New Roman" w:eastAsia="宋体" w:cs="Times New Roman"/>
              <w:bCs/>
              <w:sz w:val="24"/>
              <w:szCs w:val="24"/>
              <w:highlight w:val="none"/>
            </w:rPr>
            <w:t>-1建设项目环境影响评价分类管理名录</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摘录</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4AC2372">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_Toc19519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2.2扩建项目概况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2CBA7E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_Toc23839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2.2.1企业基本情况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_Toc23839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35F8DAB">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2.2.2项目基本情况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9AF753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_Toc23142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2.2.3项目工程组成及建设内容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_Toc23142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CA9B4F5">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_Toc6490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2.2.4项目产品方案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_Toc6490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1C38AB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_Toc27715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2.2.5项目主要原辅材料及能源消耗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_Toc27715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FD556D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_Toc8874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2.2.6主要生产设备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_Toc8874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A63BE35">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_Toc5824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2.2.7项目水平衡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_Toc5824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F5E17E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_Toc18061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2.2.8项目平面布置合理性分析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_Toc18061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BC619D6">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_Toc23854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2.3扩建项目生产工艺流程及产污环节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_Toc23854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88D64D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2.3.1项目工艺流程及工艺介绍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9DDDB9E">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_Toc21512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2.3.2产污环节分析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896A76F">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_Toc30100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2.4现有项目概况和污染源分析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_Toc30100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A3DA319">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_Toc32440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2.4.1现有项目环保手续基本情况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_Toc32440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F04A8A5">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_Toc28254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2.4.2现有项目基本概况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_Toc28254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93716FC">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_Toc16619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2.4.3现有项目组成及建设内容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A088636">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_Toc23740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2.4.4现有产品方案和主要原辅材料、能源消耗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A3A18EC">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_Toc9999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2.4.5现有项目工艺流程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_Toc9999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238EEC2">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_Toc9775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2.4.6现有项目污染物产排情况和验收情况说明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_Toc9775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CC4093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_Toc10287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2.4.7原有工程的环保投诉情况、事故和处罚情况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_Toc10287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0AD3589">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_Toc5888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2.4.8现有项目和环评批复落实情况存在的问题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_Toc5888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49703F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_Toc21327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2.4.9现有项目存在问题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9C0B710">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_Toc3729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2.5项目“三本账”分析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_Toc3729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9905B3C">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_Toc11499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_Toc11499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5107EE7">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_Toc16241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3.1大气环境质量现状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4E5BA60">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_Toc25939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3.1.1环境空气质量功能区划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_Toc25939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0A5F01C">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_Toc10431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3.1.2环境空气质量现状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_Toc10431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939E3E4">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_Toc5875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3.2水环境质量现状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_Toc5875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C57179B">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_Toc23515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3.2.1地表水功能区划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_Toc23515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BA1620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_Toc29642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3.2.2地表水环境质量现状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_Toc29642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24DE578">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_Toc30844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3.3声环境质量现状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_Toc30844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266B543">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_Toc17303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3.3.1声环境质量标准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_Toc17303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E8614E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_Toc23205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3.3.2声环境质量现状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_Toc23205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1AB2566">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_Toc24717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3.4生态环境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_Toc24717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30A2E2E">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_Toc4366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3.5土壤、地下水环境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_Toc4366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B375116">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_Toc3725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主要环境保护目标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_Toc3725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FF2BB4E">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_Toc10233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3.7污染物排放标准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_Toc10233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1FE451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_Toc10544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3.7.1废水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_Toc10544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5291BA0">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_Toc29579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3.7.2废气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_Toc29579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B8DBFFC">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_Toc18219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3.7.3噪声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_Toc18219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94539CB">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_Toc7717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3.7.4固废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_Toc7717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7D0F37B">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_Toc9686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3.8总量控制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_Toc9686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F33076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_Toc8787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3.8.1废水总量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88BD70E">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_Toc1497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3.8.2废气总量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9E0C6B2">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_Toc21825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napToGrid w:val="0"/>
              <w:sz w:val="24"/>
              <w:szCs w:val="24"/>
              <w:lang w:val="en-US" w:eastAsia="zh-CN"/>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_Toc21825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2DDBADE">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_Toc10826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.1大气环境影响分析和污染防治措施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_Toc10826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4D668C7">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_Toc3550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rPr>
            <w:t>4.1.1运营期废气源强核算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9D46CB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_Toc5650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4.1.2废气产排情况一览表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_Toc5650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43454BD">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_Toc15692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4.1.3运营期大气污染防治措施合理性分析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_Toc15692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6C4707D">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_Toc26331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4.1.4非正常工况排放量核算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_Toc26331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69BD7AC">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_Toc29743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4.2水环境影响分析和污染防治措施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_Toc29743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0C1A97F">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_Toc23081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4.2.1运营期废水源强分析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_Toc23081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8DDEAEF">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_Toc24777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4.2.2运营期水环境影响及污染防治措施可行性分析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_Toc24777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7EFCE5D">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_Toc15342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4.3噪声环境影响分析和污染防治措施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C21D67E">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_Toc21346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4.3.1噪声源强分析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_Toc21346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6C523DC">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_Toc28815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4.3.2声环境影响分析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A04CBBE">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_Toc5082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4.3.3</w:t>
          </w:r>
          <w:r>
            <w:rPr>
              <w:rFonts w:hint="default" w:ascii="Times New Roman" w:hAnsi="Times New Roman" w:eastAsia="宋体" w:cs="Times New Roman"/>
              <w:kern w:val="0"/>
              <w:sz w:val="24"/>
              <w:szCs w:val="24"/>
              <w:lang w:val="zh-CN" w:eastAsia="zh-CN"/>
            </w:rPr>
            <w:t>噪声污染控制措施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8AD7C6F">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4.4固体废物环境影响分析和污染防治措施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702B712">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_Toc23633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4.4.1固体废物</w:t>
          </w:r>
          <w:r>
            <w:rPr>
              <w:rFonts w:hint="default" w:ascii="Times New Roman" w:hAnsi="Times New Roman" w:eastAsia="宋体" w:cs="Times New Roman"/>
              <w:kern w:val="0"/>
              <w:sz w:val="24"/>
              <w:szCs w:val="24"/>
              <w:lang w:val="en-US" w:eastAsia="zh-CN"/>
            </w:rPr>
            <w:t>污染源</w:t>
          </w:r>
          <w:r>
            <w:rPr>
              <w:rFonts w:hint="default" w:ascii="Times New Roman" w:hAnsi="Times New Roman" w:eastAsia="宋体" w:cs="Times New Roman"/>
              <w:kern w:val="0"/>
              <w:sz w:val="24"/>
              <w:szCs w:val="24"/>
              <w:lang w:val="zh-CN" w:eastAsia="zh-CN"/>
            </w:rPr>
            <w:t>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4C045F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_Toc5790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highlight w:val="none"/>
              <w:lang w:val="zh-CN" w:eastAsia="zh-CN"/>
            </w:rPr>
            <w:t>4.4.2固废管理要求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_Toc5790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CEF3CD5">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_Toc9557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4.4.3危险废物管理要求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_Toc9557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5DA38C1">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_Toc30471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4.5地下水、土壤环境影响和保护措施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_Toc30471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66EDE0C">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_Toc9310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4.5.1地下水、土壤环境影响分析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_Toc9310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2085850">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_Toc8514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4.5.2地下水、土壤环境防控措施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B4106DC">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_Toc5964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kern w:val="0"/>
              <w:sz w:val="24"/>
              <w:szCs w:val="24"/>
            </w:rPr>
            <w:t>4.6环境风险分析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FE9CD4C">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_Toc15543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4.6.1项目危险物质调查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_Toc15543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75E1965">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4.6.2环境风险识别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D93004F">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_Toc5825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4.6.3环境风险防范措施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_Toc5825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C20A684">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_Toc6333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4.7自行监测计划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FA3ED2C">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_Toc18399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4.8环保投资估算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_Toc18399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5A80B50">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_Toc7458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GB" w:eastAsia="zh-CN"/>
            </w:rPr>
            <w:t xml:space="preserve">五、 </w:t>
          </w:r>
          <w:r>
            <w:rPr>
              <w:rFonts w:hint="default" w:ascii="Times New Roman" w:hAnsi="Times New Roman" w:eastAsia="宋体" w:cs="Times New Roman"/>
              <w:sz w:val="24"/>
              <w:szCs w:val="24"/>
              <w:highlight w:val="none"/>
            </w:rPr>
            <w:t>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_Toc7458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0D57A18">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_Toc12176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_Toc12176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9078B44">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_Toc21269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_Toc21269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B62F75D">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_Toc25545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22F3E56">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_Toc23764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附图一：项目地理位置图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8A0FF68">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_Toc22891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附图二：城乡产业空间布局规划图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_Toc22891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C4BD162">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_Toc12530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附图三：城乡土地使用规划图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_Toc12530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60B596F">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_Toc29990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附图四：《福清市国土空间总体规划（2021—2035年）》“三条控制线”划定图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_Toc29990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3C17E41">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_Toc28704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附图五：《福建省近岸海域环境功能区划（修编）（2011—2020年）》近海域环境功能区划图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_Toc28704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8B4BF58">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_Toc28836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附图六：项目周边环境现状示意图及环境保护目标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66C3D6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附图七：项目周边环境现状照片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99B3559">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_Toc7679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附图八：项目平面布置图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_Toc7679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02AF9F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_Toc31798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附图九：福建省生态环境分区管控数据应用平台查询结果截图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_Toc31798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C2DC4E1">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_Toc9148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附件一：项目委托书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1DF2C93">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_Toc8472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附件二：营业执照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_Toc8472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812EF40">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_Toc24046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附件三：法人身份信息</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_Toc24046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C690364">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_Toc5789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附件四：授权委托书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_Toc5789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9E1662D">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_Toc13616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附件五：受委托人身份证复印件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_Toc13616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79E7D2D">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_Toc32004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附件六：项目发改备案表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_Toc32004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2B83E0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_Toc17362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附件七：不动产权证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25151D4">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_Toc3989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附件八：厂房租赁合同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_Toc3989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81D8037">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_Toc11783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附件九：现有项目环评批复（融环评表〔2017）26号）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_Toc11783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938D438">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_Toc31791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附件十：现有项目验收监测报告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_Toc31791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5D53E08">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_Toc18738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附件十一：现有建设项目竣工环境保护验收申请（融环评验〔2017〕38号）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41BE545">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_Toc24551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附件十二：固定污染源排污登记回执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_Toc24551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53EC3CF">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_Toc30204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附件十三：供气合同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_Toc30204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8275480">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_Toc27342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附件十四：原材料SMDS</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F5C4627">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_Toc22041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附件十五：现有项目2025年企业自行检测报告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_Toc22041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A3C1774">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_Toc10783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附件十六：公开说明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_Toc10783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B7E7470">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_Toc21194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附件十七：关于环评文件公开文本删除的涉及国家秘密、商业秘密等内容的删除依据和理由说明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_Toc21194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55082A1">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_Toc30533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附件十八：环评审批申请报告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74DE407">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_Toc18508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附件十九：申请环评批复报告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_Toc18508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43D92B2">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附件二十：总量承诺函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0B64E3A">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附件二十一：福建省生态环境分区管控综合查询报告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9078ADD">
          <w:pPr>
            <w:pStyle w:val="21"/>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color w:val="auto"/>
            </w:rPr>
          </w:pPr>
          <w:r>
            <w:rPr>
              <w:color w:val="auto"/>
            </w:rPr>
            <w:fldChar w:fldCharType="end"/>
          </w:r>
        </w:p>
      </w:sdtContent>
    </w:sdt>
    <w:p w14:paraId="4115A900">
      <w:pPr>
        <w:rPr>
          <w:color w:val="auto"/>
        </w:rPr>
      </w:pPr>
    </w:p>
    <w:p w14:paraId="6AE99E32">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sectPr>
          <w:footerReference r:id="rId3" w:type="default"/>
          <w:pgSz w:w="11906" w:h="16838"/>
          <w:pgMar w:top="1417" w:right="1134" w:bottom="1134"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25" w:charSpace="0"/>
        </w:sectPr>
      </w:pPr>
    </w:p>
    <w:p w14:paraId="1D124986">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9" w:name="_Toc2342"/>
      <w:r>
        <w:rPr>
          <w:rFonts w:hint="default" w:ascii="Times New Roman" w:hAnsi="Times New Roman" w:eastAsia="黑体" w:cs="Times New Roman"/>
          <w:snapToGrid w:val="0"/>
          <w:color w:val="auto"/>
          <w:sz w:val="30"/>
          <w:szCs w:val="30"/>
          <w:u w:val="none"/>
          <w:lang w:val="en-US" w:eastAsia="zh-CN"/>
        </w:rPr>
        <w:t>一、建设项目基本情况</w:t>
      </w:r>
      <w:bookmarkEnd w:id="9"/>
    </w:p>
    <w:tbl>
      <w:tblPr>
        <w:tblStyle w:val="23"/>
        <w:tblW w:w="492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42"/>
        <w:gridCol w:w="892"/>
        <w:gridCol w:w="2336"/>
        <w:gridCol w:w="1621"/>
        <w:gridCol w:w="336"/>
        <w:gridCol w:w="3210"/>
      </w:tblGrid>
      <w:tr w14:paraId="1F148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939" w:type="pct"/>
            <w:gridSpan w:val="2"/>
            <w:noWrap w:val="0"/>
            <w:tcMar>
              <w:top w:w="16" w:type="dxa"/>
              <w:left w:w="16" w:type="dxa"/>
              <w:right w:w="16" w:type="dxa"/>
            </w:tcMar>
            <w:vAlign w:val="center"/>
          </w:tcPr>
          <w:p w14:paraId="3C9BC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建设项目名称</w:t>
            </w:r>
          </w:p>
        </w:tc>
        <w:tc>
          <w:tcPr>
            <w:tcW w:w="4060" w:type="pct"/>
            <w:gridSpan w:val="4"/>
            <w:noWrap w:val="0"/>
            <w:vAlign w:val="center"/>
          </w:tcPr>
          <w:p w14:paraId="61FBCC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福建恒润包装有限公司新增EPS包装泡沫6000吨、EPP包装泡沫1200吨项目</w:t>
            </w:r>
          </w:p>
        </w:tc>
      </w:tr>
      <w:tr w14:paraId="0870D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939" w:type="pct"/>
            <w:gridSpan w:val="2"/>
            <w:noWrap w:val="0"/>
            <w:tcMar>
              <w:top w:w="16" w:type="dxa"/>
              <w:left w:w="16" w:type="dxa"/>
              <w:right w:w="16" w:type="dxa"/>
            </w:tcMar>
            <w:vAlign w:val="center"/>
          </w:tcPr>
          <w:p w14:paraId="3D21222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项目代码</w:t>
            </w:r>
          </w:p>
        </w:tc>
        <w:tc>
          <w:tcPr>
            <w:tcW w:w="4060" w:type="pct"/>
            <w:gridSpan w:val="4"/>
            <w:noWrap w:val="0"/>
            <w:vAlign w:val="center"/>
          </w:tcPr>
          <w:p w14:paraId="33ED6F2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2602-350181-04-01-846561</w:t>
            </w:r>
          </w:p>
        </w:tc>
      </w:tr>
      <w:tr w14:paraId="1A6BD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939" w:type="pct"/>
            <w:gridSpan w:val="2"/>
            <w:noWrap w:val="0"/>
            <w:tcMar>
              <w:top w:w="16" w:type="dxa"/>
              <w:left w:w="16" w:type="dxa"/>
              <w:right w:w="16" w:type="dxa"/>
            </w:tcMar>
            <w:vAlign w:val="center"/>
          </w:tcPr>
          <w:p w14:paraId="6F1F38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建设单位联系人</w:t>
            </w:r>
          </w:p>
        </w:tc>
        <w:tc>
          <w:tcPr>
            <w:tcW w:w="1264" w:type="pct"/>
            <w:noWrap w:val="0"/>
            <w:vAlign w:val="center"/>
          </w:tcPr>
          <w:p w14:paraId="1265F9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w:t>
            </w:r>
          </w:p>
        </w:tc>
        <w:tc>
          <w:tcPr>
            <w:tcW w:w="1059" w:type="pct"/>
            <w:gridSpan w:val="2"/>
            <w:noWrap w:val="0"/>
            <w:vAlign w:val="center"/>
          </w:tcPr>
          <w:p w14:paraId="261D581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联系方式</w:t>
            </w:r>
          </w:p>
        </w:tc>
        <w:tc>
          <w:tcPr>
            <w:tcW w:w="1736" w:type="pct"/>
            <w:noWrap w:val="0"/>
            <w:vAlign w:val="center"/>
          </w:tcPr>
          <w:p w14:paraId="1CFE886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15</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8</w:t>
            </w:r>
          </w:p>
        </w:tc>
      </w:tr>
      <w:tr w14:paraId="36CCB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939" w:type="pct"/>
            <w:gridSpan w:val="2"/>
            <w:noWrap w:val="0"/>
            <w:tcMar>
              <w:top w:w="16" w:type="dxa"/>
              <w:left w:w="16" w:type="dxa"/>
              <w:right w:w="16" w:type="dxa"/>
            </w:tcMar>
            <w:vAlign w:val="center"/>
          </w:tcPr>
          <w:p w14:paraId="7CF2E4F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建设地点</w:t>
            </w:r>
          </w:p>
        </w:tc>
        <w:tc>
          <w:tcPr>
            <w:tcW w:w="4060" w:type="pct"/>
            <w:gridSpan w:val="4"/>
            <w:noWrap w:val="0"/>
            <w:vAlign w:val="center"/>
          </w:tcPr>
          <w:p w14:paraId="51479F0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p>
        </w:tc>
      </w:tr>
      <w:tr w14:paraId="6E808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939" w:type="pct"/>
            <w:gridSpan w:val="2"/>
            <w:noWrap w:val="0"/>
            <w:tcMar>
              <w:top w:w="16" w:type="dxa"/>
              <w:left w:w="16" w:type="dxa"/>
              <w:right w:w="16" w:type="dxa"/>
            </w:tcMar>
            <w:vAlign w:val="center"/>
          </w:tcPr>
          <w:p w14:paraId="5E7A2C6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地理坐标</w:t>
            </w:r>
          </w:p>
        </w:tc>
        <w:tc>
          <w:tcPr>
            <w:tcW w:w="4060" w:type="pct"/>
            <w:gridSpan w:val="4"/>
            <w:noWrap w:val="0"/>
            <w:vAlign w:val="center"/>
          </w:tcPr>
          <w:p w14:paraId="1E8622DB">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eastAsia="zh-CN"/>
              </w:rPr>
            </w:pPr>
            <w:r>
              <w:rPr>
                <w:color w:val="auto"/>
                <w:sz w:val="24"/>
                <w:highlight w:val="none"/>
              </w:rPr>
              <w:t>（</w:t>
            </w:r>
            <w:r>
              <w:rPr>
                <w:rFonts w:hint="eastAsia"/>
                <w:color w:val="auto"/>
                <w:sz w:val="24"/>
                <w:highlight w:val="none"/>
                <w:u w:val="single"/>
                <w:lang w:val="en-US" w:eastAsia="zh-CN"/>
              </w:rPr>
              <w:t>119</w:t>
            </w:r>
            <w:r>
              <w:rPr>
                <w:color w:val="auto"/>
                <w:sz w:val="24"/>
                <w:highlight w:val="none"/>
              </w:rPr>
              <w:t>度</w:t>
            </w:r>
            <w:r>
              <w:rPr>
                <w:rFonts w:hint="eastAsia"/>
                <w:color w:val="auto"/>
                <w:sz w:val="24"/>
                <w:highlight w:val="none"/>
                <w:u w:val="single"/>
                <w:lang w:val="en-US" w:eastAsia="zh-CN"/>
              </w:rPr>
              <w:t>16</w:t>
            </w:r>
            <w:r>
              <w:rPr>
                <w:color w:val="auto"/>
                <w:sz w:val="24"/>
                <w:highlight w:val="none"/>
              </w:rPr>
              <w:t>分</w:t>
            </w:r>
            <w:r>
              <w:rPr>
                <w:rFonts w:hint="eastAsia"/>
                <w:color w:val="auto"/>
                <w:sz w:val="24"/>
                <w:highlight w:val="none"/>
                <w:u w:val="single"/>
                <w:lang w:val="en-US" w:eastAsia="zh-CN"/>
              </w:rPr>
              <w:t>19.6169</w:t>
            </w:r>
            <w:r>
              <w:rPr>
                <w:color w:val="auto"/>
                <w:sz w:val="24"/>
                <w:highlight w:val="none"/>
              </w:rPr>
              <w:t>秒，</w:t>
            </w:r>
            <w:r>
              <w:rPr>
                <w:color w:val="auto"/>
                <w:sz w:val="24"/>
                <w:highlight w:val="none"/>
                <w:u w:val="single"/>
              </w:rPr>
              <w:t>2</w:t>
            </w:r>
            <w:r>
              <w:rPr>
                <w:rFonts w:hint="eastAsia"/>
                <w:color w:val="auto"/>
                <w:sz w:val="24"/>
                <w:highlight w:val="none"/>
                <w:u w:val="single"/>
              </w:rPr>
              <w:t>5</w:t>
            </w:r>
            <w:r>
              <w:rPr>
                <w:color w:val="auto"/>
                <w:sz w:val="24"/>
                <w:highlight w:val="none"/>
              </w:rPr>
              <w:t>度</w:t>
            </w:r>
            <w:r>
              <w:rPr>
                <w:rFonts w:hint="eastAsia"/>
                <w:color w:val="auto"/>
                <w:sz w:val="24"/>
                <w:highlight w:val="none"/>
                <w:u w:val="single"/>
                <w:lang w:val="en-US" w:eastAsia="zh-CN"/>
              </w:rPr>
              <w:t>29</w:t>
            </w:r>
            <w:r>
              <w:rPr>
                <w:color w:val="auto"/>
                <w:sz w:val="24"/>
                <w:highlight w:val="none"/>
              </w:rPr>
              <w:t>分</w:t>
            </w:r>
            <w:r>
              <w:rPr>
                <w:rFonts w:hint="eastAsia"/>
                <w:color w:val="auto"/>
                <w:sz w:val="24"/>
                <w:highlight w:val="none"/>
                <w:u w:val="single"/>
                <w:lang w:val="en-US" w:eastAsia="zh-CN"/>
              </w:rPr>
              <w:t>37.4946</w:t>
            </w:r>
            <w:r>
              <w:rPr>
                <w:color w:val="auto"/>
                <w:sz w:val="24"/>
                <w:highlight w:val="none"/>
              </w:rPr>
              <w:t>秒）</w:t>
            </w:r>
          </w:p>
          <w:p w14:paraId="10CE87D1">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地理位置图详见</w:t>
            </w:r>
            <w:r>
              <w:rPr>
                <w:rFonts w:hint="default" w:ascii="Times New Roman" w:hAnsi="Times New Roman" w:eastAsia="宋体" w:cs="Times New Roman"/>
                <w:b/>
                <w:bCs/>
                <w:color w:val="auto"/>
                <w:sz w:val="24"/>
                <w:szCs w:val="24"/>
                <w:highlight w:val="none"/>
                <w:u w:val="none"/>
                <w:lang w:eastAsia="zh-CN"/>
              </w:rPr>
              <w:t>附图</w:t>
            </w:r>
            <w:r>
              <w:rPr>
                <w:rFonts w:hint="eastAsia" w:cs="Times New Roman"/>
                <w:b/>
                <w:bCs/>
                <w:color w:val="auto"/>
                <w:sz w:val="24"/>
                <w:szCs w:val="24"/>
                <w:highlight w:val="none"/>
                <w:u w:val="none"/>
                <w:lang w:val="en-US" w:eastAsia="zh-CN"/>
              </w:rPr>
              <w:t>一</w:t>
            </w:r>
          </w:p>
        </w:tc>
      </w:tr>
      <w:tr w14:paraId="1F9B1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39" w:type="pct"/>
            <w:gridSpan w:val="2"/>
            <w:noWrap w:val="0"/>
            <w:tcMar>
              <w:top w:w="16" w:type="dxa"/>
              <w:left w:w="16" w:type="dxa"/>
              <w:right w:w="16" w:type="dxa"/>
            </w:tcMar>
            <w:vAlign w:val="center"/>
          </w:tcPr>
          <w:p w14:paraId="7442398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国民经济</w:t>
            </w:r>
          </w:p>
          <w:p w14:paraId="501073D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264" w:type="pct"/>
            <w:noWrap w:val="0"/>
            <w:vAlign w:val="center"/>
          </w:tcPr>
          <w:p w14:paraId="5BFD1D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C2924泡沫塑料制造</w:t>
            </w:r>
          </w:p>
        </w:tc>
        <w:tc>
          <w:tcPr>
            <w:tcW w:w="877" w:type="pct"/>
            <w:noWrap w:val="0"/>
            <w:vAlign w:val="center"/>
          </w:tcPr>
          <w:p w14:paraId="5AC88FA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建设项目</w:t>
            </w:r>
          </w:p>
          <w:p w14:paraId="02030D2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行业类别</w:t>
            </w:r>
          </w:p>
        </w:tc>
        <w:tc>
          <w:tcPr>
            <w:tcW w:w="1918" w:type="pct"/>
            <w:gridSpan w:val="2"/>
            <w:noWrap w:val="0"/>
            <w:vAlign w:val="center"/>
          </w:tcPr>
          <w:p w14:paraId="23C5EFA0">
            <w:pPr>
              <w:keepNext w:val="0"/>
              <w:keepLines w:val="0"/>
              <w:widowControl/>
              <w:suppressLineNumbers w:val="0"/>
              <w:jc w:val="left"/>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二十六、橡胶和塑料制品业29-53塑料制品业292</w:t>
            </w:r>
          </w:p>
        </w:tc>
      </w:tr>
      <w:tr w14:paraId="7316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939" w:type="pct"/>
            <w:gridSpan w:val="2"/>
            <w:noWrap w:val="0"/>
            <w:tcMar>
              <w:top w:w="16" w:type="dxa"/>
              <w:left w:w="16" w:type="dxa"/>
              <w:right w:w="16" w:type="dxa"/>
            </w:tcMar>
            <w:vAlign w:val="center"/>
          </w:tcPr>
          <w:p w14:paraId="41C878E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建设性质</w:t>
            </w:r>
          </w:p>
        </w:tc>
        <w:tc>
          <w:tcPr>
            <w:tcW w:w="1264" w:type="pct"/>
            <w:noWrap w:val="0"/>
            <w:vAlign w:val="center"/>
          </w:tcPr>
          <w:p w14:paraId="4278FA5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新建（迁建）</w:t>
            </w:r>
          </w:p>
          <w:p w14:paraId="338D697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改建</w:t>
            </w:r>
          </w:p>
          <w:p w14:paraId="141C4600">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扩建</w:t>
            </w:r>
          </w:p>
          <w:p w14:paraId="6C3EA831">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技术改造</w:t>
            </w:r>
          </w:p>
        </w:tc>
        <w:tc>
          <w:tcPr>
            <w:tcW w:w="877" w:type="pct"/>
            <w:noWrap w:val="0"/>
            <w:vAlign w:val="center"/>
          </w:tcPr>
          <w:p w14:paraId="07AE88F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w:t>
            </w:r>
          </w:p>
          <w:p w14:paraId="293636A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申报情形</w:t>
            </w:r>
          </w:p>
        </w:tc>
        <w:tc>
          <w:tcPr>
            <w:tcW w:w="1918" w:type="pct"/>
            <w:gridSpan w:val="2"/>
            <w:noWrap w:val="0"/>
            <w:vAlign w:val="center"/>
          </w:tcPr>
          <w:p w14:paraId="60A67602">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首次申报项目</w:t>
            </w:r>
          </w:p>
          <w:p w14:paraId="370D3266">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不予批准后再次申报项目</w:t>
            </w:r>
          </w:p>
          <w:p w14:paraId="5572487B">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超五年重新审核项目</w:t>
            </w:r>
          </w:p>
          <w:p w14:paraId="420A8C54">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重大变动重新报批项目</w:t>
            </w:r>
          </w:p>
        </w:tc>
      </w:tr>
      <w:tr w14:paraId="5E0C0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2" w:hRule="atLeast"/>
          <w:jc w:val="center"/>
        </w:trPr>
        <w:tc>
          <w:tcPr>
            <w:tcW w:w="939" w:type="pct"/>
            <w:gridSpan w:val="2"/>
            <w:noWrap w:val="0"/>
            <w:tcMar>
              <w:top w:w="16" w:type="dxa"/>
              <w:left w:w="16" w:type="dxa"/>
              <w:right w:w="16" w:type="dxa"/>
            </w:tcMar>
            <w:vAlign w:val="center"/>
          </w:tcPr>
          <w:p w14:paraId="0931B06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64E82B5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备案）部门（选填）</w:t>
            </w:r>
          </w:p>
        </w:tc>
        <w:tc>
          <w:tcPr>
            <w:tcW w:w="1264" w:type="pct"/>
            <w:noWrap w:val="0"/>
            <w:vAlign w:val="center"/>
          </w:tcPr>
          <w:p w14:paraId="489BB6B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eastAsia="zh-CN"/>
              </w:rPr>
            </w:pPr>
            <w:r>
              <w:rPr>
                <w:rFonts w:hint="eastAsia" w:cs="Times New Roman"/>
                <w:color w:val="auto"/>
                <w:sz w:val="24"/>
                <w:szCs w:val="24"/>
                <w:highlight w:val="none"/>
                <w:u w:val="none"/>
                <w:lang w:val="en-US" w:eastAsia="zh-CN"/>
              </w:rPr>
              <w:t>福清</w:t>
            </w:r>
            <w:r>
              <w:rPr>
                <w:rFonts w:hint="default" w:ascii="Times New Roman" w:hAnsi="Times New Roman" w:eastAsia="宋体" w:cs="Times New Roman"/>
                <w:color w:val="auto"/>
                <w:sz w:val="24"/>
                <w:szCs w:val="24"/>
                <w:highlight w:val="none"/>
                <w:u w:val="none"/>
                <w:lang w:eastAsia="zh-CN"/>
              </w:rPr>
              <w:t>市</w:t>
            </w:r>
            <w:r>
              <w:rPr>
                <w:rFonts w:hint="eastAsia" w:cs="Times New Roman"/>
                <w:color w:val="auto"/>
                <w:sz w:val="24"/>
                <w:szCs w:val="24"/>
                <w:highlight w:val="none"/>
                <w:u w:val="none"/>
                <w:lang w:val="en-US" w:eastAsia="zh-CN"/>
              </w:rPr>
              <w:t>工业和信息化</w:t>
            </w:r>
            <w:r>
              <w:rPr>
                <w:rFonts w:hint="default" w:ascii="Times New Roman" w:hAnsi="Times New Roman" w:eastAsia="宋体" w:cs="Times New Roman"/>
                <w:color w:val="auto"/>
                <w:sz w:val="24"/>
                <w:szCs w:val="24"/>
                <w:highlight w:val="none"/>
                <w:u w:val="none"/>
                <w:lang w:eastAsia="zh-CN"/>
              </w:rPr>
              <w:t>局</w:t>
            </w:r>
          </w:p>
        </w:tc>
        <w:tc>
          <w:tcPr>
            <w:tcW w:w="1059" w:type="pct"/>
            <w:gridSpan w:val="2"/>
            <w:noWrap w:val="0"/>
            <w:vAlign w:val="center"/>
          </w:tcPr>
          <w:p w14:paraId="244C5D4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项目审批（核准/</w:t>
            </w:r>
          </w:p>
          <w:p w14:paraId="1FDC1F6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备案）文号（选填）</w:t>
            </w:r>
          </w:p>
        </w:tc>
        <w:tc>
          <w:tcPr>
            <w:tcW w:w="1736" w:type="pct"/>
            <w:noWrap w:val="0"/>
            <w:vAlign w:val="center"/>
          </w:tcPr>
          <w:p w14:paraId="4EF277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闽</w:t>
            </w:r>
            <w:r>
              <w:rPr>
                <w:rFonts w:hint="eastAsia" w:cs="Times New Roman"/>
                <w:color w:val="auto"/>
                <w:sz w:val="24"/>
                <w:szCs w:val="24"/>
                <w:highlight w:val="none"/>
                <w:u w:val="none"/>
                <w:lang w:val="en-US" w:eastAsia="zh-CN"/>
              </w:rPr>
              <w:t>工信</w:t>
            </w:r>
            <w:r>
              <w:rPr>
                <w:rFonts w:hint="default" w:ascii="Times New Roman" w:hAnsi="Times New Roman" w:eastAsia="宋体" w:cs="Times New Roman"/>
                <w:color w:val="auto"/>
                <w:sz w:val="24"/>
                <w:szCs w:val="24"/>
                <w:highlight w:val="none"/>
                <w:u w:val="none"/>
                <w:lang w:eastAsia="zh-CN"/>
              </w:rPr>
              <w:t>备</w:t>
            </w:r>
            <w:r>
              <w:rPr>
                <w:rFonts w:hint="eastAsia" w:cs="Times New Roman"/>
                <w:color w:val="auto"/>
                <w:sz w:val="24"/>
                <w:szCs w:val="24"/>
                <w:highlight w:val="none"/>
                <w:u w:val="none"/>
                <w:lang w:eastAsia="zh-CN"/>
              </w:rPr>
              <w:t>〔202</w:t>
            </w:r>
            <w:r>
              <w:rPr>
                <w:rFonts w:hint="eastAsia" w:cs="Times New Roman"/>
                <w:color w:val="auto"/>
                <w:sz w:val="24"/>
                <w:szCs w:val="24"/>
                <w:highlight w:val="none"/>
                <w:u w:val="none"/>
                <w:lang w:val="en-US" w:eastAsia="zh-CN"/>
              </w:rPr>
              <w:t>6</w:t>
            </w:r>
            <w:r>
              <w:rPr>
                <w:rFonts w:hint="eastAsia"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A0</w:t>
            </w:r>
            <w:r>
              <w:rPr>
                <w:rFonts w:hint="eastAsia" w:cs="Times New Roman"/>
                <w:color w:val="auto"/>
                <w:sz w:val="24"/>
                <w:szCs w:val="24"/>
                <w:highlight w:val="none"/>
                <w:u w:val="none"/>
                <w:lang w:val="en-US" w:eastAsia="zh-CN"/>
              </w:rPr>
              <w:t>60011</w:t>
            </w:r>
            <w:r>
              <w:rPr>
                <w:rFonts w:hint="default" w:ascii="Times New Roman" w:hAnsi="Times New Roman" w:eastAsia="宋体" w:cs="Times New Roman"/>
                <w:color w:val="auto"/>
                <w:sz w:val="24"/>
                <w:szCs w:val="24"/>
                <w:highlight w:val="none"/>
                <w:u w:val="none"/>
                <w:lang w:eastAsia="zh-CN"/>
              </w:rPr>
              <w:t>号</w:t>
            </w:r>
          </w:p>
        </w:tc>
      </w:tr>
      <w:tr w14:paraId="4D736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939" w:type="pct"/>
            <w:gridSpan w:val="2"/>
            <w:noWrap w:val="0"/>
            <w:tcMar>
              <w:top w:w="16" w:type="dxa"/>
              <w:left w:w="16" w:type="dxa"/>
              <w:right w:w="16" w:type="dxa"/>
            </w:tcMar>
            <w:vAlign w:val="center"/>
          </w:tcPr>
          <w:p w14:paraId="6AF3EC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总投资（万元）</w:t>
            </w:r>
          </w:p>
        </w:tc>
        <w:tc>
          <w:tcPr>
            <w:tcW w:w="1264" w:type="pct"/>
            <w:noWrap w:val="0"/>
            <w:vAlign w:val="center"/>
          </w:tcPr>
          <w:p w14:paraId="0B05A39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1146.31</w:t>
            </w:r>
          </w:p>
        </w:tc>
        <w:tc>
          <w:tcPr>
            <w:tcW w:w="1059" w:type="pct"/>
            <w:gridSpan w:val="2"/>
            <w:noWrap w:val="0"/>
            <w:tcMar>
              <w:top w:w="16" w:type="dxa"/>
              <w:left w:w="16" w:type="dxa"/>
              <w:right w:w="16" w:type="dxa"/>
            </w:tcMar>
            <w:vAlign w:val="center"/>
          </w:tcPr>
          <w:p w14:paraId="6323C6F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环保投资（万元）</w:t>
            </w:r>
          </w:p>
        </w:tc>
        <w:tc>
          <w:tcPr>
            <w:tcW w:w="1736" w:type="pct"/>
            <w:noWrap w:val="0"/>
            <w:vAlign w:val="center"/>
          </w:tcPr>
          <w:p w14:paraId="147D9DB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30</w:t>
            </w:r>
          </w:p>
        </w:tc>
      </w:tr>
      <w:tr w14:paraId="4B64D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939" w:type="pct"/>
            <w:gridSpan w:val="2"/>
            <w:noWrap w:val="0"/>
            <w:tcMar>
              <w:top w:w="16" w:type="dxa"/>
              <w:left w:w="16" w:type="dxa"/>
              <w:right w:w="16" w:type="dxa"/>
            </w:tcMar>
            <w:vAlign w:val="center"/>
          </w:tcPr>
          <w:p w14:paraId="66BB277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环保投资占比（%）</w:t>
            </w:r>
          </w:p>
        </w:tc>
        <w:tc>
          <w:tcPr>
            <w:tcW w:w="1264" w:type="pct"/>
            <w:noWrap w:val="0"/>
            <w:vAlign w:val="center"/>
          </w:tcPr>
          <w:p w14:paraId="199D8CF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2.617%</w:t>
            </w:r>
          </w:p>
        </w:tc>
        <w:tc>
          <w:tcPr>
            <w:tcW w:w="1059" w:type="pct"/>
            <w:gridSpan w:val="2"/>
            <w:noWrap w:val="0"/>
            <w:tcMar>
              <w:top w:w="16" w:type="dxa"/>
              <w:left w:w="16" w:type="dxa"/>
              <w:right w:w="16" w:type="dxa"/>
            </w:tcMar>
            <w:vAlign w:val="center"/>
          </w:tcPr>
          <w:p w14:paraId="7DBCE58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施工工期</w:t>
            </w:r>
          </w:p>
        </w:tc>
        <w:tc>
          <w:tcPr>
            <w:tcW w:w="1736" w:type="pct"/>
            <w:noWrap w:val="0"/>
            <w:vAlign w:val="center"/>
          </w:tcPr>
          <w:p w14:paraId="1EF963A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202</w:t>
            </w:r>
            <w:r>
              <w:rPr>
                <w:rFonts w:hint="eastAsia" w:cs="Times New Roman"/>
                <w:color w:val="auto"/>
                <w:sz w:val="24"/>
                <w:szCs w:val="24"/>
                <w:highlight w:val="none"/>
                <w:u w:val="none"/>
                <w:lang w:val="en-US" w:eastAsia="zh-CN"/>
              </w:rPr>
              <w:t>6</w:t>
            </w:r>
            <w:r>
              <w:rPr>
                <w:rFonts w:hint="default" w:ascii="Times New Roman" w:hAnsi="Times New Roman" w:eastAsia="宋体" w:cs="Times New Roman"/>
                <w:color w:val="auto"/>
                <w:sz w:val="24"/>
                <w:szCs w:val="24"/>
                <w:highlight w:val="none"/>
                <w:u w:val="none"/>
                <w:lang w:val="en-US" w:eastAsia="zh-CN"/>
              </w:rPr>
              <w:t>年</w:t>
            </w:r>
            <w:r>
              <w:rPr>
                <w:rFonts w:hint="eastAsia"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lang w:val="en-US" w:eastAsia="zh-CN"/>
              </w:rPr>
              <w:t>月</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202</w:t>
            </w:r>
            <w:r>
              <w:rPr>
                <w:rFonts w:hint="eastAsia" w:cs="Times New Roman"/>
                <w:color w:val="auto"/>
                <w:sz w:val="24"/>
                <w:szCs w:val="24"/>
                <w:highlight w:val="none"/>
                <w:u w:val="none"/>
                <w:lang w:val="en-US" w:eastAsia="zh-CN"/>
              </w:rPr>
              <w:t>7</w:t>
            </w:r>
            <w:r>
              <w:rPr>
                <w:rFonts w:hint="default" w:ascii="Times New Roman" w:hAnsi="Times New Roman" w:eastAsia="宋体" w:cs="Times New Roman"/>
                <w:color w:val="auto"/>
                <w:sz w:val="24"/>
                <w:szCs w:val="24"/>
                <w:highlight w:val="none"/>
                <w:u w:val="none"/>
                <w:lang w:val="en-US" w:eastAsia="zh-CN"/>
              </w:rPr>
              <w:t>年</w:t>
            </w:r>
            <w:r>
              <w:rPr>
                <w:rFonts w:hint="eastAsia"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月</w:t>
            </w:r>
          </w:p>
        </w:tc>
      </w:tr>
      <w:tr w14:paraId="06481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8" w:hRule="atLeast"/>
          <w:jc w:val="center"/>
        </w:trPr>
        <w:tc>
          <w:tcPr>
            <w:tcW w:w="939" w:type="pct"/>
            <w:gridSpan w:val="2"/>
            <w:noWrap w:val="0"/>
            <w:tcMar>
              <w:top w:w="16" w:type="dxa"/>
              <w:left w:w="16" w:type="dxa"/>
              <w:right w:w="16" w:type="dxa"/>
            </w:tcMar>
            <w:vAlign w:val="center"/>
          </w:tcPr>
          <w:p w14:paraId="33E1D85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1264" w:type="pct"/>
            <w:noWrap w:val="0"/>
            <w:vAlign w:val="center"/>
          </w:tcPr>
          <w:p w14:paraId="7E24834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231C131E">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w:t>
            </w:r>
          </w:p>
        </w:tc>
        <w:tc>
          <w:tcPr>
            <w:tcW w:w="1059" w:type="pct"/>
            <w:gridSpan w:val="2"/>
            <w:noWrap w:val="0"/>
            <w:tcMar>
              <w:top w:w="16" w:type="dxa"/>
              <w:left w:w="16" w:type="dxa"/>
              <w:right w:w="16" w:type="dxa"/>
            </w:tcMar>
            <w:vAlign w:val="center"/>
          </w:tcPr>
          <w:p w14:paraId="1B3B2D3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用地（用海）</w:t>
            </w:r>
          </w:p>
          <w:p w14:paraId="45DDF8E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6"/>
                <w:sz w:val="24"/>
                <w:szCs w:val="24"/>
                <w:u w:val="none"/>
              </w:rPr>
              <w:t>面积（m</w:t>
            </w:r>
            <w:r>
              <w:rPr>
                <w:rFonts w:hint="default" w:ascii="Times New Roman" w:hAnsi="Times New Roman" w:eastAsia="宋体" w:cs="Times New Roman"/>
                <w:color w:val="auto"/>
                <w:spacing w:val="-6"/>
                <w:sz w:val="24"/>
                <w:szCs w:val="24"/>
                <w:u w:val="none"/>
                <w:vertAlign w:val="superscript"/>
              </w:rPr>
              <w:t>2</w:t>
            </w:r>
            <w:r>
              <w:rPr>
                <w:rFonts w:hint="default" w:ascii="Times New Roman" w:hAnsi="Times New Roman" w:eastAsia="宋体" w:cs="Times New Roman"/>
                <w:color w:val="auto"/>
                <w:spacing w:val="-6"/>
                <w:sz w:val="24"/>
                <w:szCs w:val="24"/>
                <w:u w:val="none"/>
              </w:rPr>
              <w:t>）</w:t>
            </w:r>
          </w:p>
        </w:tc>
        <w:tc>
          <w:tcPr>
            <w:tcW w:w="1736" w:type="pct"/>
            <w:noWrap w:val="0"/>
            <w:vAlign w:val="center"/>
          </w:tcPr>
          <w:p w14:paraId="35DC938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eastAsia" w:cs="Times New Roman"/>
                <w:color w:val="auto"/>
                <w:sz w:val="24"/>
                <w:szCs w:val="24"/>
                <w:highlight w:val="none"/>
                <w:u w:val="none"/>
                <w:lang w:val="en-US" w:eastAsia="zh-CN"/>
              </w:rPr>
              <w:t>新增</w:t>
            </w:r>
            <w:r>
              <w:rPr>
                <w:rFonts w:hint="default" w:ascii="Times New Roman" w:hAnsi="Times New Roman" w:eastAsia="宋体" w:cs="Times New Roman"/>
                <w:color w:val="auto"/>
                <w:sz w:val="24"/>
                <w:szCs w:val="24"/>
                <w:highlight w:val="none"/>
                <w:u w:val="none"/>
                <w:lang w:eastAsia="zh-CN"/>
              </w:rPr>
              <w:t>面积</w:t>
            </w:r>
            <w:r>
              <w:rPr>
                <w:rFonts w:hint="eastAsia" w:cs="Times New Roman"/>
                <w:color w:val="auto"/>
                <w:sz w:val="24"/>
                <w:szCs w:val="24"/>
                <w:highlight w:val="none"/>
                <w:u w:val="none"/>
                <w:lang w:val="en-US" w:eastAsia="zh-CN"/>
              </w:rPr>
              <w:t>6045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p>
        </w:tc>
      </w:tr>
      <w:tr w14:paraId="7C156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pct"/>
            <w:noWrap w:val="0"/>
            <w:vAlign w:val="center"/>
          </w:tcPr>
          <w:p w14:paraId="48C83AA9">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4543" w:type="pct"/>
            <w:gridSpan w:val="5"/>
            <w:noWrap w:val="0"/>
            <w:vAlign w:val="center"/>
          </w:tcPr>
          <w:p w14:paraId="4C0E67C6">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left"/>
              <w:textAlignment w:val="auto"/>
              <w:rPr>
                <w:rFonts w:hint="default" w:ascii="Times New Roman" w:hAnsi="Times New Roman" w:eastAsia="宋体" w:cs="Times New Roman"/>
                <w:color w:val="auto"/>
                <w:kern w:val="0"/>
                <w:sz w:val="24"/>
                <w:szCs w:val="24"/>
                <w:u w:val="none"/>
                <w:lang w:bidi="ar"/>
              </w:rPr>
            </w:pPr>
            <w:r>
              <w:rPr>
                <w:rFonts w:hint="default" w:ascii="Times New Roman" w:hAnsi="Times New Roman" w:eastAsia="宋体" w:cs="Times New Roman"/>
                <w:color w:val="auto"/>
                <w:kern w:val="0"/>
                <w:sz w:val="24"/>
                <w:szCs w:val="24"/>
                <w:u w:val="none"/>
                <w:lang w:eastAsia="zh-CN" w:bidi="ar"/>
              </w:rPr>
              <w:t>根据《</w:t>
            </w:r>
            <w:r>
              <w:rPr>
                <w:rFonts w:hint="default" w:ascii="Times New Roman" w:hAnsi="Times New Roman" w:eastAsia="宋体" w:cs="Times New Roman"/>
                <w:color w:val="auto"/>
                <w:kern w:val="0"/>
                <w:sz w:val="24"/>
                <w:szCs w:val="24"/>
                <w:u w:val="none"/>
                <w:lang w:val="en-US" w:eastAsia="zh-CN" w:bidi="ar"/>
              </w:rPr>
              <w:t>建设项目环境影响报告表编制技术指南（污染影响类）（试行）</w:t>
            </w:r>
            <w:r>
              <w:rPr>
                <w:rFonts w:hint="default" w:ascii="Times New Roman" w:hAnsi="Times New Roman" w:eastAsia="宋体" w:cs="Times New Roman"/>
                <w:color w:val="auto"/>
                <w:kern w:val="0"/>
                <w:sz w:val="24"/>
                <w:szCs w:val="24"/>
                <w:u w:val="none"/>
                <w:lang w:eastAsia="zh-CN" w:bidi="ar"/>
              </w:rPr>
              <w:t>》</w:t>
            </w:r>
            <w:r>
              <w:rPr>
                <w:rFonts w:hint="default" w:ascii="Times New Roman" w:hAnsi="Times New Roman" w:eastAsia="宋体" w:cs="Times New Roman"/>
                <w:color w:val="auto"/>
                <w:kern w:val="0"/>
                <w:sz w:val="24"/>
                <w:szCs w:val="24"/>
                <w:u w:val="none"/>
                <w:lang w:val="en-US" w:eastAsia="zh-CN" w:bidi="ar"/>
              </w:rPr>
              <w:t>项目工程专项设置情况参照表1专项评价设置原则表，具体详见下表：</w:t>
            </w:r>
          </w:p>
          <w:p w14:paraId="5BE81C94">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lang w:eastAsia="zh-CN" w:bidi="ar"/>
              </w:rPr>
            </w:pPr>
            <w:r>
              <w:rPr>
                <w:rFonts w:hint="default" w:ascii="Times New Roman" w:hAnsi="Times New Roman" w:eastAsia="宋体" w:cs="Times New Roman"/>
                <w:b/>
                <w:bCs/>
                <w:color w:val="auto"/>
                <w:kern w:val="0"/>
                <w:sz w:val="24"/>
                <w:szCs w:val="24"/>
                <w:u w:val="none"/>
                <w:lang w:eastAsia="zh-CN" w:bidi="ar"/>
              </w:rPr>
              <w:t>表1.1项目专项评价设置表</w:t>
            </w:r>
          </w:p>
          <w:tbl>
            <w:tblPr>
              <w:tblStyle w:val="24"/>
              <w:tblW w:w="83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907"/>
              <w:gridCol w:w="3218"/>
              <w:gridCol w:w="1026"/>
            </w:tblGrid>
            <w:tr w14:paraId="5998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20" w:type="pct"/>
                  <w:tcBorders>
                    <w:top w:val="single" w:color="auto" w:sz="12" w:space="0"/>
                    <w:left w:val="nil"/>
                  </w:tcBorders>
                  <w:noWrap w:val="0"/>
                  <w:vAlign w:val="center"/>
                </w:tcPr>
                <w:p w14:paraId="24C28D83">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kern w:val="0"/>
                      <w:sz w:val="24"/>
                      <w:szCs w:val="24"/>
                      <w:u w:val="none"/>
                      <w:lang w:val="en-US" w:eastAsia="zh-CN" w:bidi="ar"/>
                    </w:rPr>
                    <w:t>专项评价的类别</w:t>
                  </w:r>
                </w:p>
              </w:tc>
              <w:tc>
                <w:tcPr>
                  <w:tcW w:w="1740" w:type="pct"/>
                  <w:tcBorders>
                    <w:top w:val="single" w:color="auto" w:sz="12" w:space="0"/>
                  </w:tcBorders>
                  <w:noWrap w:val="0"/>
                  <w:vAlign w:val="center"/>
                </w:tcPr>
                <w:p w14:paraId="7F021FDE">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kern w:val="0"/>
                      <w:sz w:val="24"/>
                      <w:szCs w:val="24"/>
                      <w:u w:val="none"/>
                      <w:lang w:val="en-US" w:eastAsia="zh-CN" w:bidi="ar"/>
                    </w:rPr>
                    <w:t>设置原则</w:t>
                  </w:r>
                </w:p>
              </w:tc>
              <w:tc>
                <w:tcPr>
                  <w:tcW w:w="1926" w:type="pct"/>
                  <w:tcBorders>
                    <w:top w:val="single" w:color="auto" w:sz="12" w:space="0"/>
                  </w:tcBorders>
                  <w:noWrap w:val="0"/>
                  <w:vAlign w:val="center"/>
                </w:tcPr>
                <w:p w14:paraId="1A32010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sz w:val="24"/>
                      <w:szCs w:val="24"/>
                      <w:u w:val="none"/>
                      <w:vertAlign w:val="baseline"/>
                      <w:lang w:eastAsia="zh-CN"/>
                    </w:rPr>
                    <w:t>本项目情况</w:t>
                  </w:r>
                </w:p>
              </w:tc>
              <w:tc>
                <w:tcPr>
                  <w:tcW w:w="613" w:type="pct"/>
                  <w:tcBorders>
                    <w:top w:val="single" w:color="auto" w:sz="12" w:space="0"/>
                    <w:right w:val="nil"/>
                  </w:tcBorders>
                  <w:noWrap w:val="0"/>
                  <w:vAlign w:val="center"/>
                </w:tcPr>
                <w:p w14:paraId="618A1CF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sz w:val="24"/>
                      <w:szCs w:val="24"/>
                      <w:u w:val="none"/>
                      <w:vertAlign w:val="baseline"/>
                      <w:lang w:eastAsia="zh-CN"/>
                    </w:rPr>
                    <w:t>是否设置专项</w:t>
                  </w:r>
                </w:p>
              </w:tc>
            </w:tr>
            <w:tr w14:paraId="2DCA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pct"/>
                  <w:tcBorders>
                    <w:left w:val="nil"/>
                  </w:tcBorders>
                  <w:noWrap w:val="0"/>
                  <w:vAlign w:val="center"/>
                </w:tcPr>
                <w:p w14:paraId="4EFCD1A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大气</w:t>
                  </w:r>
                </w:p>
              </w:tc>
              <w:tc>
                <w:tcPr>
                  <w:tcW w:w="1740" w:type="pct"/>
                  <w:noWrap w:val="0"/>
                  <w:vAlign w:val="center"/>
                </w:tcPr>
                <w:p w14:paraId="2774AC2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lang w:val="en-US" w:eastAsia="zh-CN"/>
                    </w:rPr>
                    <w:t>排放废气含有毒有害污染物、二噁英、苯并[a]芘、氰化物、氯气且厂界外500米范围内有环境空气保护目标的建设项目。</w:t>
                  </w:r>
                </w:p>
              </w:tc>
              <w:tc>
                <w:tcPr>
                  <w:tcW w:w="1926" w:type="pct"/>
                  <w:noWrap w:val="0"/>
                  <w:vAlign w:val="center"/>
                </w:tcPr>
                <w:p w14:paraId="30C22DB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color w:val="auto"/>
                      <w:sz w:val="24"/>
                      <w:szCs w:val="24"/>
                      <w:u w:val="none"/>
                      <w:vertAlign w:val="baseline"/>
                      <w:lang w:val="en-US" w:eastAsia="zh-CN"/>
                    </w:rPr>
                  </w:pPr>
                  <w:r>
                    <w:rPr>
                      <w:rFonts w:hint="eastAsia" w:ascii="宋体" w:hAnsi="宋体" w:eastAsia="宋体" w:cs="宋体"/>
                      <w:color w:val="auto"/>
                      <w:sz w:val="24"/>
                      <w:szCs w:val="24"/>
                      <w:lang w:val="en-US" w:eastAsia="zh-CN"/>
                    </w:rPr>
                    <w:t>本项目排放废气不含有毒有害污染物、二噁英、苯并[a]芘、氰化物、氯气</w:t>
                  </w:r>
                  <w:r>
                    <w:rPr>
                      <w:rFonts w:hint="eastAsia" w:ascii="宋体" w:hAnsi="宋体" w:cs="宋体"/>
                      <w:color w:val="auto"/>
                      <w:sz w:val="24"/>
                      <w:szCs w:val="24"/>
                      <w:lang w:val="en-US" w:eastAsia="zh-CN"/>
                    </w:rPr>
                    <w:t>且</w:t>
                  </w:r>
                  <w:r>
                    <w:rPr>
                      <w:rFonts w:hint="eastAsia" w:ascii="宋体" w:hAnsi="宋体" w:eastAsia="宋体" w:cs="宋体"/>
                      <w:color w:val="auto"/>
                      <w:sz w:val="24"/>
                      <w:szCs w:val="24"/>
                      <w:lang w:val="en-US" w:eastAsia="zh-CN"/>
                    </w:rPr>
                    <w:t>厂界外500米范围内</w:t>
                  </w:r>
                  <w:r>
                    <w:rPr>
                      <w:rFonts w:hint="eastAsia" w:ascii="宋体" w:hAnsi="宋体" w:cs="宋体"/>
                      <w:color w:val="auto"/>
                      <w:sz w:val="24"/>
                      <w:szCs w:val="24"/>
                      <w:lang w:val="en-US" w:eastAsia="zh-CN"/>
                    </w:rPr>
                    <w:t>无</w:t>
                  </w:r>
                  <w:r>
                    <w:rPr>
                      <w:rFonts w:hint="eastAsia" w:ascii="宋体" w:hAnsi="宋体" w:eastAsia="宋体" w:cs="宋体"/>
                      <w:color w:val="auto"/>
                      <w:sz w:val="24"/>
                      <w:szCs w:val="24"/>
                      <w:lang w:val="en-US" w:eastAsia="zh-CN"/>
                    </w:rPr>
                    <w:t>环境空气保护目标的建设项目</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因此无需设置大气专项评价。</w:t>
                  </w:r>
                </w:p>
              </w:tc>
              <w:tc>
                <w:tcPr>
                  <w:tcW w:w="613" w:type="pct"/>
                  <w:tcBorders>
                    <w:right w:val="nil"/>
                  </w:tcBorders>
                  <w:noWrap w:val="0"/>
                  <w:vAlign w:val="center"/>
                </w:tcPr>
                <w:p w14:paraId="3EF0585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sz w:val="24"/>
                      <w:szCs w:val="24"/>
                      <w:u w:val="none"/>
                      <w:vertAlign w:val="baseline"/>
                      <w:lang w:eastAsia="zh-CN"/>
                    </w:rPr>
                    <w:t>否</w:t>
                  </w:r>
                </w:p>
              </w:tc>
            </w:tr>
            <w:tr w14:paraId="1BCC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trPr>
              <w:tc>
                <w:tcPr>
                  <w:tcW w:w="720" w:type="pct"/>
                  <w:tcBorders>
                    <w:left w:val="nil"/>
                  </w:tcBorders>
                  <w:noWrap w:val="0"/>
                  <w:vAlign w:val="center"/>
                </w:tcPr>
                <w:p w14:paraId="15E76BD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地表水</w:t>
                  </w:r>
                </w:p>
              </w:tc>
              <w:tc>
                <w:tcPr>
                  <w:tcW w:w="1740" w:type="pct"/>
                  <w:noWrap w:val="0"/>
                  <w:vAlign w:val="center"/>
                </w:tcPr>
                <w:p w14:paraId="763C5D8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新增工业废水直排建设项目（槽罐车外送</w:t>
                  </w:r>
                  <w:r>
                    <w:rPr>
                      <w:rFonts w:hint="eastAsia" w:ascii="宋体" w:hAnsi="宋体" w:cs="宋体"/>
                      <w:color w:val="auto"/>
                      <w:kern w:val="0"/>
                      <w:sz w:val="24"/>
                      <w:szCs w:val="24"/>
                      <w:u w:val="none"/>
                      <w:lang w:val="en-US" w:eastAsia="zh-CN" w:bidi="ar"/>
                    </w:rPr>
                    <w:t>污水厂</w:t>
                  </w:r>
                  <w:r>
                    <w:rPr>
                      <w:rFonts w:hint="eastAsia" w:ascii="宋体" w:hAnsi="宋体" w:eastAsia="宋体" w:cs="宋体"/>
                      <w:color w:val="auto"/>
                      <w:kern w:val="0"/>
                      <w:sz w:val="24"/>
                      <w:szCs w:val="24"/>
                      <w:u w:val="none"/>
                      <w:lang w:val="en-US" w:eastAsia="zh-CN" w:bidi="ar"/>
                    </w:rPr>
                    <w:t>的除外）；新增废水直排的污水集中处理厂</w:t>
                  </w:r>
                </w:p>
              </w:tc>
              <w:tc>
                <w:tcPr>
                  <w:tcW w:w="1926" w:type="pct"/>
                  <w:noWrap w:val="0"/>
                  <w:vAlign w:val="center"/>
                </w:tcPr>
                <w:p w14:paraId="5FA19B8F">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val="en-US" w:eastAsia="zh-CN"/>
                    </w:rPr>
                  </w:pPr>
                  <w:r>
                    <w:rPr>
                      <w:rFonts w:hint="eastAsia" w:ascii="宋体" w:hAnsi="宋体" w:eastAsia="宋体" w:cs="宋体"/>
                      <w:color w:val="auto"/>
                      <w:sz w:val="24"/>
                      <w:szCs w:val="24"/>
                      <w:u w:val="none"/>
                      <w:vertAlign w:val="baseline"/>
                      <w:lang w:eastAsia="zh-CN"/>
                    </w:rPr>
                    <w:t>运营期</w:t>
                  </w:r>
                  <w:r>
                    <w:rPr>
                      <w:rFonts w:hint="eastAsia" w:ascii="宋体" w:hAnsi="宋体" w:eastAsia="宋体" w:cs="宋体"/>
                      <w:color w:val="auto"/>
                      <w:sz w:val="24"/>
                      <w:szCs w:val="24"/>
                      <w:u w:val="none"/>
                      <w:vertAlign w:val="baseline"/>
                      <w:lang w:val="en-US" w:eastAsia="zh-CN"/>
                    </w:rPr>
                    <w:t>生产废水主要是蒸汽冷凝水及模具冷却水，经</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宋体" w:hAnsi="宋体" w:eastAsia="宋体" w:cs="宋体"/>
                      <w:color w:val="auto"/>
                      <w:sz w:val="24"/>
                      <w:szCs w:val="24"/>
                      <w:u w:val="none"/>
                      <w:vertAlign w:val="baseline"/>
                      <w:lang w:val="en-US" w:eastAsia="zh-CN"/>
                    </w:rPr>
                    <w:t>处理后循环使用，不外排。因此，本项目无生产废水排放。</w:t>
                  </w:r>
                  <w:r>
                    <w:rPr>
                      <w:rFonts w:hint="eastAsia" w:ascii="宋体" w:hAnsi="宋体" w:eastAsia="宋体" w:cs="宋体"/>
                      <w:color w:val="auto"/>
                      <w:sz w:val="24"/>
                      <w:szCs w:val="24"/>
                      <w:u w:val="none"/>
                      <w:vertAlign w:val="baseline"/>
                      <w:lang w:eastAsia="zh-CN"/>
                    </w:rPr>
                    <w:t>生活污水经化粪池预处理后</w:t>
                  </w:r>
                  <w:r>
                    <w:rPr>
                      <w:rFonts w:hint="eastAsia" w:ascii="宋体" w:hAnsi="宋体" w:eastAsia="宋体" w:cs="宋体"/>
                      <w:color w:val="auto"/>
                      <w:sz w:val="24"/>
                      <w:szCs w:val="24"/>
                      <w:u w:val="none"/>
                      <w:vertAlign w:val="baseline"/>
                      <w:lang w:val="en-US" w:eastAsia="zh-CN"/>
                    </w:rPr>
                    <w:t>通过园区污水管网纳入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宋体" w:hAnsi="宋体" w:eastAsia="宋体" w:cs="宋体"/>
                      <w:color w:val="auto"/>
                      <w:sz w:val="24"/>
                      <w:szCs w:val="24"/>
                      <w:u w:val="none"/>
                      <w:vertAlign w:val="baseline"/>
                      <w:lang w:val="en-US" w:eastAsia="zh-CN"/>
                    </w:rPr>
                    <w:t>处理后达标排放</w:t>
                  </w:r>
                </w:p>
              </w:tc>
              <w:tc>
                <w:tcPr>
                  <w:tcW w:w="613" w:type="pct"/>
                  <w:tcBorders>
                    <w:right w:val="nil"/>
                  </w:tcBorders>
                  <w:noWrap w:val="0"/>
                  <w:vAlign w:val="center"/>
                </w:tcPr>
                <w:p w14:paraId="3A491EC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6D75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720" w:type="pct"/>
                  <w:tcBorders>
                    <w:left w:val="nil"/>
                  </w:tcBorders>
                  <w:noWrap w:val="0"/>
                  <w:vAlign w:val="center"/>
                </w:tcPr>
                <w:p w14:paraId="6E7BD2B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环境风险</w:t>
                  </w:r>
                </w:p>
              </w:tc>
              <w:tc>
                <w:tcPr>
                  <w:tcW w:w="1740" w:type="pct"/>
                  <w:noWrap w:val="0"/>
                  <w:vAlign w:val="center"/>
                </w:tcPr>
                <w:p w14:paraId="79E2036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有毒有害和易燃易爆危险物质存储量超过临界量的建设项目</w:t>
                  </w:r>
                </w:p>
              </w:tc>
              <w:tc>
                <w:tcPr>
                  <w:tcW w:w="1926" w:type="pct"/>
                  <w:noWrap w:val="0"/>
                  <w:vAlign w:val="center"/>
                </w:tcPr>
                <w:p w14:paraId="378C31C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sz w:val="24"/>
                      <w:szCs w:val="24"/>
                      <w:u w:val="none"/>
                      <w:vertAlign w:val="baseline"/>
                      <w:lang w:eastAsia="zh-CN"/>
                    </w:rPr>
                    <w:t>本项目涉及危险物质为</w:t>
                  </w:r>
                  <w:r>
                    <w:rPr>
                      <w:rFonts w:hint="eastAsia" w:ascii="宋体" w:hAnsi="宋体" w:eastAsia="宋体" w:cs="宋体"/>
                      <w:color w:val="auto"/>
                      <w:sz w:val="24"/>
                      <w:szCs w:val="24"/>
                      <w:u w:val="none"/>
                      <w:vertAlign w:val="baseline"/>
                      <w:lang w:val="en-US" w:eastAsia="zh-CN"/>
                    </w:rPr>
                    <w:t>液压油</w:t>
                  </w:r>
                  <w:r>
                    <w:rPr>
                      <w:rFonts w:hint="eastAsia" w:ascii="宋体" w:hAnsi="宋体" w:eastAsia="宋体" w:cs="宋体"/>
                      <w:color w:val="auto"/>
                      <w:sz w:val="24"/>
                      <w:szCs w:val="24"/>
                      <w:u w:val="none"/>
                      <w:vertAlign w:val="baseline"/>
                      <w:lang w:eastAsia="zh-CN"/>
                    </w:rPr>
                    <w:t>，</w:t>
                  </w:r>
                  <w:r>
                    <w:rPr>
                      <w:rFonts w:hint="eastAsia" w:ascii="宋体" w:hAnsi="宋体" w:eastAsia="宋体" w:cs="宋体"/>
                      <w:color w:val="auto"/>
                      <w:sz w:val="24"/>
                      <w:szCs w:val="24"/>
                      <w:u w:val="none"/>
                      <w:vertAlign w:val="baseline"/>
                      <w:lang w:val="en-US" w:eastAsia="zh-CN"/>
                    </w:rPr>
                    <w:t>但</w:t>
                  </w:r>
                  <w:r>
                    <w:rPr>
                      <w:rFonts w:hint="eastAsia" w:ascii="宋体" w:hAnsi="宋体" w:eastAsia="宋体" w:cs="宋体"/>
                      <w:color w:val="auto"/>
                      <w:sz w:val="24"/>
                      <w:szCs w:val="24"/>
                      <w:u w:val="none"/>
                      <w:vertAlign w:val="baseline"/>
                      <w:lang w:eastAsia="zh-CN"/>
                    </w:rPr>
                    <w:t>储量未超过临界量</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Q＜1。</w:t>
                  </w:r>
                </w:p>
              </w:tc>
              <w:tc>
                <w:tcPr>
                  <w:tcW w:w="613" w:type="pct"/>
                  <w:tcBorders>
                    <w:right w:val="nil"/>
                  </w:tcBorders>
                  <w:noWrap w:val="0"/>
                  <w:vAlign w:val="center"/>
                </w:tcPr>
                <w:p w14:paraId="4563453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20AD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0" w:type="pct"/>
                  <w:tcBorders>
                    <w:left w:val="nil"/>
                  </w:tcBorders>
                  <w:noWrap w:val="0"/>
                  <w:vAlign w:val="center"/>
                </w:tcPr>
                <w:p w14:paraId="2263208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生态</w:t>
                  </w:r>
                </w:p>
              </w:tc>
              <w:tc>
                <w:tcPr>
                  <w:tcW w:w="1740" w:type="pct"/>
                  <w:noWrap w:val="0"/>
                  <w:vAlign w:val="center"/>
                </w:tcPr>
                <w:p w14:paraId="41FA77A0">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取水口下游500米范围内有重要水生生物的自然产卵场、索饵场、越冬场和洄游通道的新增河道取水的污染类建设项目</w:t>
                  </w:r>
                </w:p>
              </w:tc>
              <w:tc>
                <w:tcPr>
                  <w:tcW w:w="1926" w:type="pct"/>
                  <w:noWrap w:val="0"/>
                  <w:vAlign w:val="center"/>
                </w:tcPr>
                <w:p w14:paraId="146EEB2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val="en-US" w:eastAsia="zh-CN"/>
                    </w:rPr>
                  </w:pPr>
                  <w:r>
                    <w:rPr>
                      <w:rFonts w:hint="eastAsia" w:ascii="宋体" w:hAnsi="宋体" w:eastAsia="宋体" w:cs="宋体"/>
                      <w:color w:val="auto"/>
                      <w:sz w:val="24"/>
                      <w:szCs w:val="24"/>
                      <w:u w:val="none"/>
                      <w:vertAlign w:val="baseline"/>
                      <w:lang w:eastAsia="zh-CN"/>
                    </w:rPr>
                    <w:t>本项目不涉及</w:t>
                  </w:r>
                  <w:r>
                    <w:rPr>
                      <w:rFonts w:hint="eastAsia" w:ascii="宋体" w:hAnsi="宋体" w:eastAsia="宋体" w:cs="宋体"/>
                      <w:color w:val="auto"/>
                      <w:sz w:val="24"/>
                      <w:szCs w:val="24"/>
                      <w:u w:val="none"/>
                      <w:vertAlign w:val="baseline"/>
                      <w:lang w:val="en-US" w:eastAsia="zh-CN"/>
                    </w:rPr>
                    <w:t>取水口</w:t>
                  </w:r>
                </w:p>
              </w:tc>
              <w:tc>
                <w:tcPr>
                  <w:tcW w:w="613" w:type="pct"/>
                  <w:tcBorders>
                    <w:right w:val="nil"/>
                  </w:tcBorders>
                  <w:noWrap w:val="0"/>
                  <w:vAlign w:val="center"/>
                </w:tcPr>
                <w:p w14:paraId="16A6114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5E6C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20" w:type="pct"/>
                  <w:tcBorders>
                    <w:left w:val="nil"/>
                  </w:tcBorders>
                  <w:noWrap w:val="0"/>
                  <w:vAlign w:val="center"/>
                </w:tcPr>
                <w:p w14:paraId="7DE1E70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海洋</w:t>
                  </w:r>
                </w:p>
              </w:tc>
              <w:tc>
                <w:tcPr>
                  <w:tcW w:w="1740" w:type="pct"/>
                  <w:noWrap w:val="0"/>
                  <w:vAlign w:val="center"/>
                </w:tcPr>
                <w:p w14:paraId="409958A2">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直接向海排放污染物的海洋工程建设项目</w:t>
                  </w:r>
                </w:p>
              </w:tc>
              <w:tc>
                <w:tcPr>
                  <w:tcW w:w="1926" w:type="pct"/>
                  <w:noWrap w:val="0"/>
                  <w:vAlign w:val="center"/>
                </w:tcPr>
                <w:p w14:paraId="66AEBB7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kern w:val="0"/>
                      <w:sz w:val="24"/>
                      <w:szCs w:val="24"/>
                    </w:rPr>
                    <w:t>本项目不属于海洋工程建设项目</w:t>
                  </w:r>
                </w:p>
              </w:tc>
              <w:tc>
                <w:tcPr>
                  <w:tcW w:w="613" w:type="pct"/>
                  <w:tcBorders>
                    <w:right w:val="nil"/>
                  </w:tcBorders>
                  <w:noWrap w:val="0"/>
                  <w:vAlign w:val="center"/>
                </w:tcPr>
                <w:p w14:paraId="0C31697B">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26F2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720" w:type="pct"/>
                  <w:tcBorders>
                    <w:left w:val="nil"/>
                  </w:tcBorders>
                  <w:shd w:val="clear" w:color="auto" w:fill="auto"/>
                  <w:noWrap w:val="0"/>
                  <w:vAlign w:val="center"/>
                </w:tcPr>
                <w:p w14:paraId="036074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地下水</w:t>
                  </w:r>
                </w:p>
              </w:tc>
              <w:tc>
                <w:tcPr>
                  <w:tcW w:w="1740" w:type="pct"/>
                  <w:shd w:val="clear" w:color="auto" w:fill="auto"/>
                  <w:noWrap w:val="0"/>
                  <w:vAlign w:val="center"/>
                </w:tcPr>
                <w:p w14:paraId="61C54C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地下水原则上不开展专项评价，涉及集中式饮用水水源和热水、矿泉水、温泉等特殊地下水资源保护区的开展地下水专项评价工作。</w:t>
                  </w:r>
                </w:p>
              </w:tc>
              <w:tc>
                <w:tcPr>
                  <w:tcW w:w="1926" w:type="pct"/>
                  <w:shd w:val="clear" w:color="auto" w:fill="auto"/>
                  <w:noWrap w:val="0"/>
                  <w:vAlign w:val="center"/>
                </w:tcPr>
                <w:p w14:paraId="521A03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本项目区域地下水不涉及集中式饮用水水源和热水、矿泉水、温泉等特殊地下水资源保护区。</w:t>
                  </w:r>
                </w:p>
              </w:tc>
              <w:tc>
                <w:tcPr>
                  <w:tcW w:w="613" w:type="pct"/>
                  <w:tcBorders>
                    <w:right w:val="nil"/>
                  </w:tcBorders>
                  <w:shd w:val="clear" w:color="auto" w:fill="auto"/>
                  <w:noWrap w:val="0"/>
                  <w:vAlign w:val="center"/>
                </w:tcPr>
                <w:p w14:paraId="09A045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2E97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5000" w:type="pct"/>
                  <w:gridSpan w:val="4"/>
                  <w:tcBorders>
                    <w:left w:val="nil"/>
                    <w:bottom w:val="single" w:color="auto" w:sz="12" w:space="0"/>
                    <w:right w:val="nil"/>
                  </w:tcBorders>
                  <w:noWrap w:val="0"/>
                  <w:vAlign w:val="center"/>
                </w:tcPr>
                <w:p w14:paraId="32699089">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注：</w:t>
                  </w:r>
                </w:p>
                <w:p w14:paraId="7EEA9634">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1.废气中有毒有害污染物指纳入《有毒有害大气污染物名录》的污染物（不包括无排放标准的污染物）。</w:t>
                  </w:r>
                </w:p>
                <w:p w14:paraId="6F120EFA">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2.环境空气保护目标指自然保护区、风景名胜区、居住区、文化区和农村地区中人群较集中的区域。</w:t>
                  </w:r>
                </w:p>
                <w:p w14:paraId="72BE8E10">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kern w:val="0"/>
                      <w:sz w:val="24"/>
                      <w:szCs w:val="24"/>
                      <w:u w:val="none"/>
                      <w:lang w:val="en-US" w:eastAsia="zh-CN" w:bidi="ar"/>
                    </w:rPr>
                    <w:t>3.临界量及其计算方法参考《建设项目环境风险评价技术导则》（HJ169）附录B、附录C。</w:t>
                  </w:r>
                </w:p>
              </w:tc>
            </w:tr>
          </w:tbl>
          <w:p w14:paraId="70628EC3">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left="0" w:right="0" w:firstLine="480" w:firstLineChars="200"/>
              <w:jc w:val="left"/>
              <w:textAlignment w:val="auto"/>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sz w:val="24"/>
                <w:szCs w:val="24"/>
              </w:rPr>
              <w:t>经判定，本项目</w:t>
            </w:r>
            <w:r>
              <w:rPr>
                <w:rFonts w:hint="eastAsia" w:cs="Times New Roman"/>
                <w:color w:val="auto"/>
                <w:sz w:val="24"/>
                <w:szCs w:val="24"/>
                <w:lang w:eastAsia="zh-CN"/>
              </w:rPr>
              <w:t>无须设置</w:t>
            </w:r>
            <w:r>
              <w:rPr>
                <w:rFonts w:hint="default" w:ascii="Times New Roman" w:hAnsi="Times New Roman" w:eastAsia="宋体" w:cs="Times New Roman"/>
                <w:color w:val="auto"/>
                <w:sz w:val="24"/>
                <w:szCs w:val="24"/>
              </w:rPr>
              <w:t>专项评价。</w:t>
            </w:r>
          </w:p>
        </w:tc>
      </w:tr>
      <w:tr w14:paraId="37341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pct"/>
            <w:noWrap w:val="0"/>
            <w:vAlign w:val="center"/>
          </w:tcPr>
          <w:p w14:paraId="5D08C3D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规划情况</w:t>
            </w:r>
          </w:p>
        </w:tc>
        <w:tc>
          <w:tcPr>
            <w:tcW w:w="4543" w:type="pct"/>
            <w:gridSpan w:val="5"/>
            <w:noWrap w:val="0"/>
            <w:vAlign w:val="center"/>
          </w:tcPr>
          <w:p w14:paraId="5E440393">
            <w:pPr>
              <w:keepLines w:val="0"/>
              <w:pageBreakBefore w:val="0"/>
              <w:widowControl/>
              <w:numPr>
                <w:ilvl w:val="0"/>
                <w:numId w:val="0"/>
              </w:numPr>
              <w:wordWrap/>
              <w:topLinePunct w:val="0"/>
              <w:autoSpaceDE/>
              <w:autoSpaceDN/>
              <w:bidi w:val="0"/>
              <w:adjustRightInd/>
              <w:snapToGrid/>
              <w:spacing w:line="360" w:lineRule="auto"/>
              <w:ind w:leftChars="0" w:right="0" w:rightChars="0"/>
              <w:jc w:val="left"/>
              <w:rPr>
                <w:rFonts w:hint="eastAsia" w:ascii="Times New Roman" w:hAnsi="Times New Roman" w:eastAsia="宋体" w:cs="Times New Roman"/>
                <w:b/>
                <w:bCs/>
                <w:color w:val="auto"/>
                <w:kern w:val="0"/>
                <w:sz w:val="24"/>
                <w:szCs w:val="24"/>
                <w:u w:val="none"/>
                <w:lang w:val="en-US" w:eastAsia="zh-CN" w:bidi="ar"/>
              </w:rPr>
            </w:pPr>
            <w:r>
              <w:rPr>
                <w:rFonts w:hint="eastAsia" w:cs="Times New Roman"/>
                <w:b/>
                <w:bCs/>
                <w:color w:val="auto"/>
                <w:kern w:val="0"/>
                <w:sz w:val="24"/>
                <w:szCs w:val="24"/>
                <w:u w:val="none"/>
                <w:lang w:val="en-US" w:eastAsia="zh-CN" w:bidi="ar"/>
              </w:rPr>
              <w:t>一、</w:t>
            </w:r>
            <w:r>
              <w:rPr>
                <w:rFonts w:hint="eastAsia" w:ascii="Times New Roman" w:hAnsi="Times New Roman" w:eastAsia="宋体" w:cs="Times New Roman"/>
                <w:b/>
                <w:bCs/>
                <w:color w:val="auto"/>
                <w:kern w:val="0"/>
                <w:sz w:val="24"/>
                <w:szCs w:val="24"/>
                <w:u w:val="none"/>
                <w:lang w:val="en-US" w:eastAsia="zh-CN" w:bidi="ar"/>
              </w:rPr>
              <w:t>《福州江阴港城经济区产业发展规划》</w:t>
            </w:r>
            <w:r>
              <w:rPr>
                <w:rFonts w:hint="eastAsia" w:cs="Times New Roman"/>
                <w:b/>
                <w:bCs/>
                <w:color w:val="auto"/>
                <w:kern w:val="0"/>
                <w:sz w:val="24"/>
                <w:szCs w:val="24"/>
                <w:u w:val="none"/>
                <w:lang w:val="en-US" w:eastAsia="zh-CN" w:bidi="ar"/>
              </w:rPr>
              <w:t>（修编）</w:t>
            </w:r>
          </w:p>
          <w:p w14:paraId="528509A0">
            <w:pPr>
              <w:keepLines w:val="0"/>
              <w:pageBreakBefore w:val="0"/>
              <w:widowControl/>
              <w:numPr>
                <w:ilvl w:val="0"/>
                <w:numId w:val="0"/>
              </w:numPr>
              <w:wordWrap/>
              <w:topLinePunct w:val="0"/>
              <w:autoSpaceDE/>
              <w:autoSpaceDN/>
              <w:bidi w:val="0"/>
              <w:adjustRightInd/>
              <w:snapToGrid/>
              <w:spacing w:line="360" w:lineRule="auto"/>
              <w:ind w:leftChars="0" w:right="0" w:right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w:t>
            </w:r>
            <w:r>
              <w:rPr>
                <w:rFonts w:hint="eastAsia" w:ascii="Times New Roman" w:hAnsi="Times New Roman" w:eastAsia="宋体" w:cs="Times New Roman"/>
                <w:b w:val="0"/>
                <w:color w:val="auto"/>
                <w:kern w:val="0"/>
                <w:sz w:val="24"/>
                <w:szCs w:val="24"/>
                <w:u w:val="none"/>
                <w:lang w:val="en-US" w:eastAsia="zh-CN" w:bidi="ar"/>
              </w:rPr>
              <w:t>《福州江阴港城经济区产业发展规划》</w:t>
            </w:r>
            <w:r>
              <w:rPr>
                <w:rFonts w:hint="eastAsia" w:cs="Times New Roman"/>
                <w:b w:val="0"/>
                <w:color w:val="auto"/>
                <w:kern w:val="0"/>
                <w:sz w:val="24"/>
                <w:szCs w:val="24"/>
                <w:u w:val="none"/>
                <w:lang w:val="en-US" w:eastAsia="zh-CN" w:bidi="ar"/>
              </w:rPr>
              <w:t>（修编）</w:t>
            </w:r>
          </w:p>
          <w:p w14:paraId="4137D36D">
            <w:pPr>
              <w:keepLines w:val="0"/>
              <w:pageBreakBefore w:val="0"/>
              <w:widowControl/>
              <w:wordWrap/>
              <w:topLinePunct w:val="0"/>
              <w:autoSpaceDE/>
              <w:autoSpaceDN/>
              <w:bidi w:val="0"/>
              <w:adjustRightInd/>
              <w:snapToGrid/>
              <w:spacing w:line="360" w:lineRule="auto"/>
              <w:ind w:right="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w:t>
            </w:r>
            <w:r>
              <w:rPr>
                <w:rFonts w:ascii="宋体" w:hAnsi="宋体" w:eastAsia="宋体" w:cs="宋体"/>
                <w:color w:val="auto"/>
                <w:sz w:val="24"/>
                <w:szCs w:val="24"/>
              </w:rPr>
              <w:t>福清市工业和信息化局</w:t>
            </w:r>
          </w:p>
          <w:p w14:paraId="3F287E15">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w:t>
            </w:r>
            <w:r>
              <w:rPr>
                <w:rFonts w:ascii="宋体" w:hAnsi="宋体" w:eastAsia="宋体" w:cs="宋体"/>
                <w:color w:val="auto"/>
                <w:sz w:val="24"/>
                <w:szCs w:val="24"/>
              </w:rPr>
              <w:t>关于《福州江阴港城经济区化工产业发展规划》（修编）和《福州江阴港城经济区产业发展规划》的批复（融工信工〔2025〕6号）</w:t>
            </w:r>
          </w:p>
          <w:p w14:paraId="1DF796F5">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bCs/>
                <w:color w:val="auto"/>
                <w:kern w:val="0"/>
                <w:sz w:val="24"/>
                <w:szCs w:val="24"/>
                <w:u w:val="none"/>
                <w:lang w:val="en-US" w:eastAsia="zh-CN" w:bidi="ar"/>
              </w:rPr>
            </w:pPr>
            <w:r>
              <w:rPr>
                <w:rFonts w:hint="eastAsia" w:cs="Times New Roman"/>
                <w:b/>
                <w:bCs/>
                <w:color w:val="auto"/>
                <w:kern w:val="0"/>
                <w:sz w:val="24"/>
                <w:szCs w:val="24"/>
                <w:u w:val="none"/>
                <w:lang w:val="en-US" w:eastAsia="zh-CN" w:bidi="ar"/>
              </w:rPr>
              <w:t>二</w:t>
            </w:r>
            <w:r>
              <w:rPr>
                <w:rFonts w:hint="eastAsia" w:ascii="Times New Roman" w:hAnsi="Times New Roman" w:eastAsia="宋体"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《福清市国土空间总体规划（2021—2035年）》</w:t>
            </w:r>
          </w:p>
          <w:p w14:paraId="5F65746C">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①规划名称：</w:t>
            </w:r>
            <w:r>
              <w:rPr>
                <w:rFonts w:hint="default" w:ascii="Times New Roman" w:hAnsi="Times New Roman" w:eastAsia="宋体" w:cs="Times New Roman"/>
                <w:b w:val="0"/>
                <w:color w:val="auto"/>
                <w:kern w:val="0"/>
                <w:sz w:val="24"/>
                <w:szCs w:val="24"/>
                <w:u w:val="none"/>
                <w:lang w:val="en-US" w:eastAsia="zh-CN" w:bidi="ar"/>
              </w:rPr>
              <w:t>《福清市国土空间总体规划（2021—2035年）》</w:t>
            </w:r>
            <w:r>
              <w:rPr>
                <w:rFonts w:hint="eastAsia" w:ascii="Times New Roman" w:hAnsi="Times New Roman" w:eastAsia="宋体" w:cs="Times New Roman"/>
                <w:b w:val="0"/>
                <w:color w:val="auto"/>
                <w:kern w:val="0"/>
                <w:sz w:val="24"/>
                <w:szCs w:val="24"/>
                <w:u w:val="none"/>
                <w:lang w:val="en-US" w:eastAsia="zh-CN" w:bidi="ar"/>
              </w:rPr>
              <w:t>；</w:t>
            </w:r>
          </w:p>
          <w:p w14:paraId="6FDE4DC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②</w:t>
            </w:r>
            <w:r>
              <w:rPr>
                <w:rFonts w:hint="default" w:ascii="Times New Roman" w:hAnsi="Times New Roman" w:eastAsia="宋体" w:cs="Times New Roman"/>
                <w:b w:val="0"/>
                <w:color w:val="auto"/>
                <w:kern w:val="0"/>
                <w:sz w:val="24"/>
                <w:szCs w:val="24"/>
                <w:u w:val="none"/>
                <w:lang w:val="en-US" w:eastAsia="zh-CN" w:bidi="ar"/>
              </w:rPr>
              <w:t>审批机关：福建省人民政府</w:t>
            </w:r>
            <w:r>
              <w:rPr>
                <w:rFonts w:hint="eastAsia" w:ascii="Times New Roman" w:hAnsi="Times New Roman" w:eastAsia="宋体" w:cs="Times New Roman"/>
                <w:b w:val="0"/>
                <w:color w:val="auto"/>
                <w:kern w:val="0"/>
                <w:sz w:val="24"/>
                <w:szCs w:val="24"/>
                <w:u w:val="none"/>
                <w:lang w:val="en-US" w:eastAsia="zh-CN" w:bidi="ar"/>
              </w:rPr>
              <w:t>；</w:t>
            </w:r>
          </w:p>
          <w:p w14:paraId="01431FF7">
            <w:pPr>
              <w:keepLines w:val="0"/>
              <w:pageBreakBefore w:val="0"/>
              <w:widowControl/>
              <w:wordWrap/>
              <w:topLinePunct w:val="0"/>
              <w:autoSpaceDE/>
              <w:autoSpaceDN/>
              <w:bidi w:val="0"/>
              <w:adjustRightInd/>
              <w:snapToGrid/>
              <w:spacing w:line="360" w:lineRule="auto"/>
              <w:ind w:left="0" w:right="0" w:firstLine="0" w:firstLineChars="0"/>
              <w:jc w:val="left"/>
              <w:rPr>
                <w:rFonts w:hint="default"/>
                <w:color w:val="auto"/>
              </w:rPr>
            </w:pPr>
            <w:r>
              <w:rPr>
                <w:rFonts w:hint="eastAsia"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b w:val="0"/>
                <w:color w:val="auto"/>
                <w:kern w:val="0"/>
                <w:sz w:val="24"/>
                <w:szCs w:val="24"/>
                <w:u w:val="none"/>
                <w:lang w:val="en-US" w:eastAsia="zh-CN" w:bidi="ar"/>
              </w:rPr>
              <w:t>审批文件名称及文号：福建省人民政府关于福州市所辖6个县（市）国土空间总体规划（2021—2035年）的批复</w:t>
            </w:r>
            <w:r>
              <w:rPr>
                <w:rFonts w:hint="eastAsia" w:ascii="Times New Roman" w:hAnsi="Times New Roman" w:eastAsia="宋体"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闽政文〔2024〕420号</w:t>
            </w:r>
            <w:r>
              <w:rPr>
                <w:rFonts w:hint="eastAsia" w:ascii="Times New Roman" w:hAnsi="Times New Roman" w:eastAsia="宋体" w:cs="Times New Roman"/>
                <w:b w:val="0"/>
                <w:color w:val="auto"/>
                <w:kern w:val="0"/>
                <w:sz w:val="24"/>
                <w:szCs w:val="24"/>
                <w:u w:val="none"/>
                <w:lang w:val="en-US" w:eastAsia="zh-CN" w:bidi="ar"/>
              </w:rPr>
              <w:t>）</w:t>
            </w:r>
          </w:p>
        </w:tc>
      </w:tr>
      <w:tr w14:paraId="29E31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3" w:hRule="atLeast"/>
          <w:jc w:val="center"/>
        </w:trPr>
        <w:tc>
          <w:tcPr>
            <w:tcW w:w="456" w:type="pct"/>
            <w:noWrap w:val="0"/>
            <w:vAlign w:val="center"/>
          </w:tcPr>
          <w:p w14:paraId="262C458F">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规划环境影响</w:t>
            </w:r>
          </w:p>
          <w:p w14:paraId="3A1D439D">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评价情况</w:t>
            </w:r>
          </w:p>
        </w:tc>
        <w:tc>
          <w:tcPr>
            <w:tcW w:w="4543" w:type="pct"/>
            <w:gridSpan w:val="5"/>
            <w:noWrap w:val="0"/>
            <w:vAlign w:val="center"/>
          </w:tcPr>
          <w:p w14:paraId="42F4D277">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宋体" w:hAnsi="宋体" w:eastAsia="宋体" w:cs="宋体"/>
                <w:color w:val="auto"/>
                <w:sz w:val="24"/>
                <w:szCs w:val="24"/>
                <w:lang w:eastAsia="zh-CN"/>
              </w:rPr>
            </w:pPr>
            <w:r>
              <w:rPr>
                <w:rFonts w:hint="eastAsia" w:ascii="Times New Roman" w:hAnsi="Times New Roman" w:eastAsia="宋体" w:cs="Times New Roman"/>
                <w:b/>
                <w:bCs/>
                <w:color w:val="auto"/>
                <w:kern w:val="0"/>
                <w:sz w:val="24"/>
                <w:szCs w:val="24"/>
                <w:u w:val="none"/>
                <w:lang w:val="en-US" w:eastAsia="zh-CN" w:bidi="ar"/>
              </w:rPr>
              <w:t>《</w:t>
            </w:r>
            <w:r>
              <w:rPr>
                <w:rFonts w:hint="eastAsia" w:cs="Times New Roman"/>
                <w:b/>
                <w:bCs/>
                <w:color w:val="auto"/>
                <w:kern w:val="0"/>
                <w:sz w:val="24"/>
                <w:szCs w:val="24"/>
                <w:u w:val="none"/>
                <w:lang w:val="en-US" w:eastAsia="zh-CN" w:bidi="ar"/>
              </w:rPr>
              <w:t>福州</w:t>
            </w:r>
            <w:r>
              <w:rPr>
                <w:rFonts w:hint="eastAsia" w:ascii="Times New Roman" w:hAnsi="Times New Roman" w:eastAsia="宋体" w:cs="Times New Roman"/>
                <w:b/>
                <w:bCs/>
                <w:color w:val="auto"/>
                <w:kern w:val="0"/>
                <w:sz w:val="24"/>
                <w:szCs w:val="24"/>
                <w:u w:val="none"/>
                <w:lang w:val="en-US" w:eastAsia="zh-CN" w:bidi="ar"/>
              </w:rPr>
              <w:t>江阴港城经济区产业发展规划环境影响报告书》</w:t>
            </w:r>
          </w:p>
          <w:p w14:paraId="623B8110">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①规划名称：</w:t>
            </w:r>
            <w:r>
              <w:rPr>
                <w:rFonts w:hint="eastAsia" w:ascii="Times New Roman" w:hAnsi="Times New Roman" w:eastAsia="宋体" w:cs="Times New Roman"/>
                <w:b w:val="0"/>
                <w:color w:val="auto"/>
                <w:kern w:val="0"/>
                <w:sz w:val="24"/>
                <w:szCs w:val="24"/>
                <w:u w:val="none"/>
                <w:lang w:val="en-US" w:eastAsia="zh-CN" w:bidi="ar"/>
              </w:rPr>
              <w:t>《</w:t>
            </w:r>
            <w:r>
              <w:rPr>
                <w:rFonts w:hint="eastAsia" w:cs="Times New Roman"/>
                <w:b w:val="0"/>
                <w:color w:val="auto"/>
                <w:kern w:val="0"/>
                <w:sz w:val="24"/>
                <w:szCs w:val="24"/>
                <w:u w:val="none"/>
                <w:lang w:val="en-US" w:eastAsia="zh-CN" w:bidi="ar"/>
              </w:rPr>
              <w:t>福州</w:t>
            </w:r>
            <w:r>
              <w:rPr>
                <w:rFonts w:hint="eastAsia" w:ascii="Times New Roman" w:hAnsi="Times New Roman" w:eastAsia="宋体" w:cs="Times New Roman"/>
                <w:b w:val="0"/>
                <w:color w:val="auto"/>
                <w:kern w:val="0"/>
                <w:sz w:val="24"/>
                <w:szCs w:val="24"/>
                <w:u w:val="none"/>
                <w:lang w:val="en-US" w:eastAsia="zh-CN" w:bidi="ar"/>
              </w:rPr>
              <w:t>江阴港城经济区产业发展规划环境影响报告书》</w:t>
            </w:r>
          </w:p>
          <w:p w14:paraId="2802E11E">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w:t>
            </w:r>
            <w:r>
              <w:rPr>
                <w:rFonts w:hint="eastAsia" w:ascii="Times New Roman" w:hAnsi="Times New Roman" w:eastAsia="宋体" w:cs="Times New Roman"/>
                <w:b w:val="0"/>
                <w:color w:val="auto"/>
                <w:kern w:val="0"/>
                <w:sz w:val="24"/>
                <w:szCs w:val="24"/>
                <w:u w:val="none"/>
                <w:lang w:val="en-US" w:eastAsia="zh-CN" w:bidi="ar"/>
              </w:rPr>
              <w:t>福州市生态环境局</w:t>
            </w:r>
          </w:p>
          <w:p w14:paraId="560F145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宋体" w:hAnsi="宋体" w:eastAsia="宋体" w:cs="宋体"/>
                <w:color w:val="auto"/>
                <w:sz w:val="24"/>
                <w:szCs w:val="24"/>
                <w:lang w:eastAsia="zh-CN"/>
              </w:rPr>
            </w:pPr>
            <w:r>
              <w:rPr>
                <w:rFonts w:hint="default" w:ascii="Times New Roman" w:hAnsi="Times New Roman" w:eastAsia="宋体" w:cs="Times New Roman"/>
                <w:b w:val="0"/>
                <w:color w:val="auto"/>
                <w:kern w:val="0"/>
                <w:sz w:val="24"/>
                <w:szCs w:val="24"/>
                <w:u w:val="none"/>
                <w:lang w:val="en-US" w:eastAsia="zh-CN" w:bidi="ar"/>
              </w:rPr>
              <w:t>③审批文件名称及文号：</w:t>
            </w:r>
            <w:r>
              <w:rPr>
                <w:rFonts w:hint="eastAsia" w:ascii="Times New Roman" w:hAnsi="Times New Roman" w:eastAsia="宋体" w:cs="Times New Roman"/>
                <w:b w:val="0"/>
                <w:color w:val="auto"/>
                <w:kern w:val="0"/>
                <w:sz w:val="24"/>
                <w:szCs w:val="24"/>
                <w:u w:val="none"/>
                <w:lang w:val="en-US" w:eastAsia="zh-CN" w:bidi="ar"/>
              </w:rPr>
              <w:t>《福州市生态环境局关于印发《</w:t>
            </w:r>
            <w:r>
              <w:rPr>
                <w:rFonts w:hint="eastAsia" w:cs="Times New Roman"/>
                <w:b w:val="0"/>
                <w:color w:val="auto"/>
                <w:kern w:val="0"/>
                <w:sz w:val="24"/>
                <w:szCs w:val="24"/>
                <w:u w:val="none"/>
                <w:lang w:val="en-US" w:eastAsia="zh-CN" w:bidi="ar"/>
              </w:rPr>
              <w:t>福州</w:t>
            </w:r>
            <w:r>
              <w:rPr>
                <w:rFonts w:hint="eastAsia" w:ascii="Times New Roman" w:hAnsi="Times New Roman" w:eastAsia="宋体" w:cs="Times New Roman"/>
                <w:b w:val="0"/>
                <w:color w:val="auto"/>
                <w:kern w:val="0"/>
                <w:sz w:val="24"/>
                <w:szCs w:val="24"/>
                <w:u w:val="none"/>
                <w:lang w:val="en-US" w:eastAsia="zh-CN" w:bidi="ar"/>
              </w:rPr>
              <w:t>江阴港城经济区产业发展规划环境影响报告书》审查小组意见的通知》，榕环评〔2024〕33号。</w:t>
            </w:r>
          </w:p>
        </w:tc>
      </w:tr>
      <w:tr w14:paraId="67918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56" w:type="pct"/>
            <w:noWrap w:val="0"/>
            <w:vAlign w:val="center"/>
          </w:tcPr>
          <w:p w14:paraId="537EFE0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规划及规划环境影响评价符合性分析</w:t>
            </w:r>
          </w:p>
        </w:tc>
        <w:tc>
          <w:tcPr>
            <w:tcW w:w="4543" w:type="pct"/>
            <w:gridSpan w:val="5"/>
            <w:noWrap w:val="0"/>
            <w:vAlign w:val="center"/>
          </w:tcPr>
          <w:p w14:paraId="24D5A31D">
            <w:pPr>
              <w:pStyle w:val="3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一</w:t>
            </w:r>
            <w:r>
              <w:rPr>
                <w:rFonts w:hint="default" w:ascii="Times New Roman" w:hAnsi="Times New Roman" w:eastAsia="宋体" w:cs="Times New Roman"/>
                <w:b/>
                <w:bCs/>
                <w:color w:val="auto"/>
                <w:sz w:val="24"/>
                <w:szCs w:val="24"/>
                <w:u w:val="none"/>
                <w:lang w:val="en-US" w:eastAsia="zh-CN"/>
              </w:rPr>
              <w:t>、</w:t>
            </w:r>
            <w:r>
              <w:rPr>
                <w:rFonts w:hint="eastAsia" w:ascii="Times New Roman" w:hAnsi="Times New Roman" w:eastAsia="宋体" w:cs="Times New Roman"/>
                <w:b/>
                <w:bCs/>
                <w:color w:val="auto"/>
                <w:sz w:val="24"/>
                <w:szCs w:val="24"/>
                <w:u w:val="none"/>
                <w:lang w:val="en-US" w:eastAsia="zh-CN"/>
              </w:rPr>
              <w:t>与规划符合性分析</w:t>
            </w:r>
          </w:p>
          <w:p w14:paraId="27AEC59D">
            <w:pPr>
              <w:pStyle w:val="31"/>
              <w:keepNext w:val="0"/>
              <w:keepLines w:val="0"/>
              <w:pageBreakBefore w:val="0"/>
              <w:numPr>
                <w:ilvl w:val="0"/>
                <w:numId w:val="0"/>
              </w:numPr>
              <w:kinsoku/>
              <w:wordWrap/>
              <w:overflowPunct/>
              <w:topLinePunct w:val="0"/>
              <w:autoSpaceDE/>
              <w:autoSpaceDN/>
              <w:bidi w:val="0"/>
              <w:spacing w:line="360" w:lineRule="auto"/>
              <w:ind w:right="0" w:rightChars="0" w:firstLine="482" w:firstLineChars="200"/>
              <w:jc w:val="left"/>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1</w:t>
            </w:r>
            <w:r>
              <w:rPr>
                <w:rFonts w:hint="eastAsia" w:ascii="Times New Roman" w:hAnsi="Times New Roman" w:eastAsia="宋体" w:cs="Times New Roman"/>
                <w:b/>
                <w:bCs/>
                <w:color w:val="auto"/>
                <w:sz w:val="24"/>
                <w:szCs w:val="24"/>
                <w:highlight w:val="none"/>
                <w:u w:val="none"/>
                <w:lang w:val="en-US" w:eastAsia="zh-CN"/>
              </w:rPr>
              <w:t>、与《福州江阴港城经济区产业发展规划》</w:t>
            </w:r>
            <w:r>
              <w:rPr>
                <w:rFonts w:hint="eastAsia" w:cs="Times New Roman"/>
                <w:b/>
                <w:bCs/>
                <w:color w:val="auto"/>
                <w:sz w:val="24"/>
                <w:szCs w:val="24"/>
                <w:highlight w:val="none"/>
                <w:u w:val="none"/>
                <w:lang w:val="en-US" w:eastAsia="zh-CN"/>
              </w:rPr>
              <w:t>符合性分析</w:t>
            </w:r>
          </w:p>
          <w:p w14:paraId="476CA2DF">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依据《福州江阴港城经济区产业发展规划》，福州江阴港城经济区重点打造三大主导产业，即新材料、生物医药和装备制造。其中新材料产业包括化工新材料及其延伸发展的高端制品材料，化工新材料重点发展高端聚氨酯、尼龙新材料、氯循环发展、轻烃深加工、锂电新材料五大化工板块，高端制品材料则是化工新材料产业延伸发展的重要部分。生物医药产业利用现有产业基础发展医药制剂和生物制剂等方向。装备制造则重点聚焦化工、新能源等领域的专用装备、成套装备、工业机器人等领域。此外，构建与园区主导产业进行衔接和支撑的配套产业，发展与区域经济相结合的产业，实现与区域产业发展的协同包括发展节能环保产业、生产性服务业、现代港口物流等产业，构建全方位一体化发展的现代产业体系。</w:t>
            </w:r>
          </w:p>
          <w:p w14:paraId="6A4039C3">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本项目以</w:t>
            </w:r>
            <w:r>
              <w:rPr>
                <w:rFonts w:hint="eastAsia" w:ascii="宋体" w:hAnsi="宋体" w:cs="宋体"/>
                <w:color w:val="auto"/>
                <w:sz w:val="24"/>
                <w:szCs w:val="24"/>
                <w:lang w:val="en-US" w:eastAsia="zh-CN"/>
              </w:rPr>
              <w:t>EPS、EPP</w:t>
            </w:r>
            <w:r>
              <w:rPr>
                <w:rFonts w:hint="default" w:ascii="宋体" w:hAnsi="宋体" w:eastAsia="宋体" w:cs="宋体"/>
                <w:color w:val="auto"/>
                <w:sz w:val="24"/>
                <w:szCs w:val="24"/>
                <w:lang w:val="en-US" w:eastAsia="zh-CN"/>
              </w:rPr>
              <w:t>颗粒为原料，通过</w:t>
            </w:r>
            <w:r>
              <w:rPr>
                <w:rFonts w:hint="eastAsia" w:ascii="宋体" w:hAnsi="宋体" w:cs="宋体"/>
                <w:color w:val="auto"/>
                <w:sz w:val="24"/>
                <w:szCs w:val="24"/>
                <w:lang w:val="en-US" w:eastAsia="zh-CN"/>
              </w:rPr>
              <w:t>预发、熟化</w:t>
            </w:r>
            <w:r>
              <w:rPr>
                <w:rFonts w:hint="default" w:ascii="宋体" w:hAnsi="宋体" w:eastAsia="宋体" w:cs="宋体"/>
                <w:color w:val="auto"/>
                <w:sz w:val="24"/>
                <w:szCs w:val="24"/>
                <w:lang w:val="en-US" w:eastAsia="zh-CN"/>
              </w:rPr>
              <w:t>、成型、</w:t>
            </w:r>
            <w:r>
              <w:rPr>
                <w:rFonts w:hint="eastAsia" w:ascii="宋体" w:hAnsi="宋体" w:cs="宋体"/>
                <w:color w:val="auto"/>
                <w:sz w:val="24"/>
                <w:szCs w:val="24"/>
                <w:lang w:val="en-US" w:eastAsia="zh-CN"/>
              </w:rPr>
              <w:t>冷却、</w:t>
            </w:r>
            <w:r>
              <w:rPr>
                <w:rFonts w:hint="default" w:ascii="宋体" w:hAnsi="宋体" w:eastAsia="宋体" w:cs="宋体"/>
                <w:color w:val="auto"/>
                <w:sz w:val="24"/>
                <w:szCs w:val="24"/>
                <w:lang w:val="en-US" w:eastAsia="zh-CN"/>
              </w:rPr>
              <w:t>烘干等工艺生产泡沫包装制品，属于化工新材料（</w:t>
            </w:r>
            <w:r>
              <w:rPr>
                <w:rFonts w:hint="default" w:ascii="Times New Roman" w:hAnsi="Times New Roman" w:eastAsia="宋体" w:cs="Times New Roman"/>
                <w:color w:val="auto"/>
                <w:sz w:val="24"/>
                <w:szCs w:val="24"/>
                <w:highlight w:val="none"/>
                <w:vertAlign w:val="baseline"/>
                <w:lang w:val="en-US" w:eastAsia="zh-CN"/>
              </w:rPr>
              <w:t>聚苯乙烯</w:t>
            </w:r>
            <w:r>
              <w:rPr>
                <w:rFonts w:hint="eastAsia" w:ascii="宋体" w:hAnsi="宋体" w:cs="宋体"/>
                <w:color w:val="auto"/>
                <w:sz w:val="24"/>
                <w:szCs w:val="24"/>
                <w:lang w:val="en-US" w:eastAsia="zh-CN"/>
              </w:rPr>
              <w:t>、</w:t>
            </w:r>
            <w:r>
              <w:rPr>
                <w:rFonts w:hint="default" w:ascii="宋体" w:hAnsi="宋体" w:eastAsia="宋体" w:cs="宋体"/>
                <w:color w:val="auto"/>
                <w:sz w:val="24"/>
                <w:szCs w:val="24"/>
                <w:lang w:val="en-US" w:eastAsia="zh-CN"/>
              </w:rPr>
              <w:t>聚丙烯）的深加工和高端应用，与园区“轻烃深加工”板块形成上下游产业衔接，可为园区生物医药、装备制造等主导产业提供配套支撑，项目建设符合园区产业发展规划和生态环境准入要求。</w:t>
            </w:r>
          </w:p>
          <w:p w14:paraId="024A98AE">
            <w:pPr>
              <w:pStyle w:val="31"/>
              <w:keepNext w:val="0"/>
              <w:keepLines w:val="0"/>
              <w:pageBreakBefore w:val="0"/>
              <w:numPr>
                <w:ilvl w:val="0"/>
                <w:numId w:val="0"/>
              </w:numPr>
              <w:kinsoku/>
              <w:wordWrap/>
              <w:overflowPunct/>
              <w:topLinePunct w:val="0"/>
              <w:autoSpaceDE/>
              <w:autoSpaceDN/>
              <w:bidi w:val="0"/>
              <w:spacing w:line="360" w:lineRule="auto"/>
              <w:ind w:right="0" w:rightChars="0" w:firstLine="482" w:firstLineChars="200"/>
              <w:jc w:val="left"/>
              <w:textAlignment w:val="auto"/>
              <w:rPr>
                <w:rFonts w:hint="eastAsia" w:ascii="Times New Roman" w:hAnsi="Times New Roman" w:eastAsia="宋体" w:cs="Times New Roman"/>
                <w:color w:val="auto"/>
                <w:sz w:val="24"/>
                <w:szCs w:val="24"/>
                <w:highlight w:val="none"/>
                <w:u w:val="none"/>
                <w:lang w:val="en-US" w:eastAsia="zh-CN"/>
              </w:rPr>
            </w:pPr>
            <w:r>
              <w:rPr>
                <w:rFonts w:hint="eastAsia" w:cs="Times New Roman"/>
                <w:b/>
                <w:bCs/>
                <w:color w:val="auto"/>
                <w:sz w:val="24"/>
                <w:szCs w:val="24"/>
                <w:highlight w:val="none"/>
                <w:u w:val="none"/>
                <w:lang w:val="en-US" w:eastAsia="zh-CN"/>
              </w:rPr>
              <w:t>2、</w:t>
            </w:r>
            <w:r>
              <w:rPr>
                <w:rFonts w:hint="eastAsia" w:ascii="Times New Roman" w:hAnsi="Times New Roman" w:eastAsia="宋体" w:cs="Times New Roman"/>
                <w:b/>
                <w:bCs/>
                <w:color w:val="auto"/>
                <w:sz w:val="24"/>
                <w:szCs w:val="24"/>
                <w:highlight w:val="none"/>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《福清市国土空间总体规划（2021—2035年）》</w:t>
            </w:r>
            <w:r>
              <w:rPr>
                <w:rFonts w:hint="eastAsia" w:ascii="Times New Roman" w:hAnsi="Times New Roman" w:eastAsia="宋体" w:cs="Times New Roman"/>
                <w:b/>
                <w:bCs/>
                <w:color w:val="auto"/>
                <w:sz w:val="24"/>
                <w:szCs w:val="24"/>
                <w:highlight w:val="none"/>
                <w:u w:val="none"/>
                <w:lang w:val="en-US" w:eastAsia="zh-CN"/>
              </w:rPr>
              <w:t>符合性分析</w:t>
            </w:r>
          </w:p>
          <w:p w14:paraId="76A290CA">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w:t>
            </w:r>
            <w:r>
              <w:rPr>
                <w:rFonts w:hint="eastAsia" w:cs="Times New Roman"/>
                <w:b/>
                <w:bCs/>
                <w:color w:val="auto"/>
                <w:sz w:val="24"/>
                <w:szCs w:val="24"/>
                <w:highlight w:val="none"/>
                <w:u w:val="none"/>
                <w:lang w:val="en-US" w:eastAsia="zh-CN"/>
              </w:rPr>
              <w:t>江阴港城组团</w:t>
            </w:r>
            <w:r>
              <w:rPr>
                <w:rFonts w:hint="eastAsia" w:cs="Times New Roman"/>
                <w:color w:val="auto"/>
                <w:sz w:val="24"/>
                <w:szCs w:val="24"/>
                <w:highlight w:val="none"/>
                <w:u w:val="none"/>
                <w:lang w:val="en-US" w:eastAsia="zh-CN"/>
              </w:rPr>
              <w:t>、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和完善城镇功能、提升空间品质的区域边界”。构建现代产业体系“一带两湾四区”的产业发展格局，形成“四个重点园区、多个工业集中区”的产业园区空间布局，加快推进重点产业园区标准化建设，统筹划定工业用地控制线。“一带”：福厦产业发展带；“两湾”：临港产业湾和生态休闲湾；“四区”：融城现代产业综合区、</w:t>
            </w:r>
            <w:r>
              <w:rPr>
                <w:rFonts w:hint="eastAsia" w:cs="Times New Roman"/>
                <w:b/>
                <w:bCs/>
                <w:color w:val="auto"/>
                <w:sz w:val="24"/>
                <w:szCs w:val="24"/>
                <w:highlight w:val="none"/>
                <w:u w:val="none"/>
                <w:lang w:val="en-US" w:eastAsia="zh-CN"/>
              </w:rPr>
              <w:t>江阴临港产业区</w:t>
            </w:r>
            <w:r>
              <w:rPr>
                <w:rFonts w:hint="eastAsia" w:cs="Times New Roman"/>
                <w:b w:val="0"/>
                <w:bCs w:val="0"/>
                <w:color w:val="auto"/>
                <w:sz w:val="24"/>
                <w:szCs w:val="24"/>
                <w:highlight w:val="none"/>
                <w:u w:val="none"/>
                <w:lang w:val="en-US" w:eastAsia="zh-CN"/>
              </w:rPr>
              <w:t>、</w:t>
            </w:r>
            <w:r>
              <w:rPr>
                <w:rFonts w:hint="eastAsia" w:cs="Times New Roman"/>
                <w:color w:val="auto"/>
                <w:sz w:val="24"/>
                <w:szCs w:val="24"/>
                <w:highlight w:val="none"/>
                <w:u w:val="none"/>
                <w:lang w:val="en-US" w:eastAsia="zh-CN"/>
              </w:rPr>
              <w:t>龙高特色产业区、西部生态产业区。江阴</w:t>
            </w:r>
            <w:r>
              <w:rPr>
                <w:rFonts w:hint="eastAsia" w:ascii="Times New Roman" w:hAnsi="Times New Roman" w:eastAsia="宋体" w:cs="Times New Roman"/>
                <w:color w:val="auto"/>
                <w:sz w:val="24"/>
                <w:szCs w:val="24"/>
                <w:highlight w:val="none"/>
                <w:u w:val="none"/>
                <w:lang w:val="en-US" w:eastAsia="zh-CN"/>
              </w:rPr>
              <w:t>临港产业区主要发展化工新材料、现代物流、智能制造、海洋经济。</w:t>
            </w:r>
          </w:p>
          <w:p w14:paraId="1DB7921D">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根据对《福清市国土空气总体规划（2021</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2035年）》的分析，项目用地在城镇开发边界内，项目不涉及占用生态保护红线，永久基本农田，无违法用地，不属于地质灾害易发区。</w:t>
            </w:r>
          </w:p>
          <w:p w14:paraId="67F3F841">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本项目位于江阴港城经济区福建力峰机械实业有限公司（租赁福建力峰机械实业有限公司2号金属配件车间、1号组装车间）</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位于江阴港城组团。所属用地为工业用地，主要生产</w:t>
            </w:r>
            <w:r>
              <w:rPr>
                <w:rFonts w:hint="eastAsia" w:cs="Times New Roman"/>
                <w:color w:val="auto"/>
                <w:sz w:val="24"/>
                <w:szCs w:val="24"/>
                <w:highlight w:val="none"/>
                <w:u w:val="none"/>
                <w:lang w:eastAsia="zh-CN"/>
              </w:rPr>
              <w:t>EPS包装泡沫、</w:t>
            </w:r>
            <w:r>
              <w:rPr>
                <w:rFonts w:hint="eastAsia" w:cs="Times New Roman"/>
                <w:color w:val="auto"/>
                <w:sz w:val="24"/>
                <w:szCs w:val="24"/>
                <w:highlight w:val="none"/>
                <w:u w:val="none"/>
                <w:lang w:val="en-US" w:eastAsia="zh-CN"/>
              </w:rPr>
              <w:t>EPP包装泡沫，属于泡沫塑料制造业，符合规划中壮大四大优势产业规划。因此本项目符合</w:t>
            </w:r>
            <w:r>
              <w:rPr>
                <w:rFonts w:hint="default" w:cs="Times New Roman"/>
                <w:color w:val="auto"/>
                <w:sz w:val="24"/>
                <w:szCs w:val="24"/>
                <w:highlight w:val="none"/>
                <w:u w:val="none"/>
                <w:lang w:val="en-US" w:eastAsia="zh-CN"/>
              </w:rPr>
              <w:t>《福清市国土空间总体规划（2021—2035年）》</w:t>
            </w:r>
            <w:r>
              <w:rPr>
                <w:rFonts w:hint="eastAsia" w:cs="Times New Roman"/>
                <w:color w:val="auto"/>
                <w:sz w:val="24"/>
                <w:szCs w:val="24"/>
                <w:highlight w:val="none"/>
                <w:u w:val="none"/>
                <w:lang w:val="en-US" w:eastAsia="zh-CN"/>
              </w:rPr>
              <w:t>有关要求。（详见</w:t>
            </w:r>
            <w:r>
              <w:rPr>
                <w:rFonts w:hint="eastAsia" w:cs="Times New Roman"/>
                <w:b/>
                <w:bCs/>
                <w:color w:val="auto"/>
                <w:sz w:val="24"/>
                <w:szCs w:val="24"/>
                <w:highlight w:val="none"/>
                <w:u w:val="none"/>
                <w:lang w:val="en-US" w:eastAsia="zh-CN"/>
              </w:rPr>
              <w:t>附图四</w:t>
            </w:r>
            <w:r>
              <w:rPr>
                <w:rFonts w:hint="eastAsia" w:cs="Times New Roman"/>
                <w:color w:val="auto"/>
                <w:sz w:val="24"/>
                <w:szCs w:val="24"/>
                <w:highlight w:val="none"/>
                <w:u w:val="none"/>
                <w:lang w:val="en-US" w:eastAsia="zh-CN"/>
              </w:rPr>
              <w:t>）</w:t>
            </w:r>
          </w:p>
          <w:p w14:paraId="2ECAE8DD">
            <w:pPr>
              <w:pStyle w:val="31"/>
              <w:keepNext w:val="0"/>
              <w:keepLines w:val="0"/>
              <w:pageBreakBefore w:val="0"/>
              <w:numPr>
                <w:ilvl w:val="0"/>
                <w:numId w:val="0"/>
              </w:numPr>
              <w:kinsoku/>
              <w:wordWrap/>
              <w:overflowPunct/>
              <w:topLinePunct w:val="0"/>
              <w:autoSpaceDE/>
              <w:autoSpaceDN/>
              <w:bidi w:val="0"/>
              <w:spacing w:line="360" w:lineRule="auto"/>
              <w:ind w:leftChars="0" w:right="0" w:rightChars="0"/>
              <w:jc w:val="left"/>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二、</w:t>
            </w:r>
            <w:r>
              <w:rPr>
                <w:rFonts w:hint="eastAsia" w:ascii="Times New Roman" w:hAnsi="Times New Roman" w:eastAsia="宋体" w:cs="Times New Roman"/>
                <w:b/>
                <w:bCs/>
                <w:color w:val="auto"/>
                <w:sz w:val="24"/>
                <w:szCs w:val="24"/>
                <w:highlight w:val="none"/>
                <w:u w:val="none"/>
                <w:lang w:val="en-US" w:eastAsia="zh-CN"/>
              </w:rPr>
              <w:t>与《福州江阴港城经济区产业发展规划环境影响报告书》及其审查意见符合性分析</w:t>
            </w:r>
          </w:p>
          <w:p w14:paraId="72F95E53">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一、与规划环评的符合性分析</w:t>
            </w:r>
          </w:p>
          <w:p w14:paraId="19FFEAE0">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福州江阴港城经济区产业发展规划环境影响报告书》，规划范围包括江阴产业区与新厝拓展区两个部分。其中江阴产业区，南至港区大道、东西两侧至海岸线、北部界线为（自西向东）经西港大道-林芝路北段-新江公路-南港大道-江阴大道-兴林路；新厝拓展区，东、南、北侧至海岸线，西侧界线为（自北向南）纵五路转G324。规划区总面积40.32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（江阴产业区34.7km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、新厝拓展区5.62km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p>
          <w:p w14:paraId="6A71D3F0">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1、规划期限</w:t>
            </w:r>
          </w:p>
          <w:p w14:paraId="23EF4BD7">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本次规划的时限自2024年至2035年，分两期实施，其中规划近期为2024年至2030年，规划远期为2031年至2035年。</w:t>
            </w:r>
          </w:p>
          <w:p w14:paraId="4837413F">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2、产业规划方案</w:t>
            </w:r>
          </w:p>
          <w:p w14:paraId="23C9D0B8">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主导产业</w:t>
            </w:r>
          </w:p>
          <w:p w14:paraId="2CA29BD5">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①新材料</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福州江阴港城经济区化工产业发展规划将结合现有产业基础，充分依托现有主力生产企业，顺利推进在建、拟建项目，延伸发展产业链，拓展发展产业板块，同时完善基础原料供应体系的配套能力。结合园区现有产业基础、原料条件、市场环境等因素，重点发展五大产业板块。</w:t>
            </w:r>
          </w:p>
          <w:p w14:paraId="02A0D573">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通过发展五大产业板块，注重产业板块间的融合发展，同时结合发展与五大板块存在关联关系的高水平化工项目，使福州江阴港城经济区化工产业形成高端发展格局，最终，将福州江阴港城经济区建设成国内顶级、世界知名的化工生产基地，并有效支撑福州江阴港城经济区全产业发展。</w:t>
            </w:r>
          </w:p>
          <w:p w14:paraId="191C463D">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②生物医药</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结合园区现有生物医药产业发展情况及国内外生物医药发展现状和趋势，规划福州江阴港城经济区发展生物医药产业，构建生物医药生产体系，并配套生物医药包装材料产业，通过发展生物医药产业体系，完善高端新材料产业链。</w:t>
            </w:r>
          </w:p>
          <w:p w14:paraId="5307A587">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③装备制造</w:t>
            </w:r>
          </w:p>
          <w:p w14:paraId="67849B6F">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A、智能制造</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提升产业智能化水平，增强产业核心竞争力，力争形成能成熟服务于主导产业的智能制造板块。该板块重点规划发展高端专用装备、智能成套系统、智能工业机器人三个发展方向。</w:t>
            </w:r>
          </w:p>
          <w:p w14:paraId="5C51C85A">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B、新能源及相关装备制造</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福州江阴港城经济区发展新能源产业已经初见成效，三峡产业园的风电产业发展已经初具规模，此外新福兴玻璃具备发展光伏玻璃的产业基础，园区目前已经具备风电和光电的发展基础。未来在此基础上，进一步发展风电和光电产业，同时结合新规划发展的锂电新材料板块以及规划项目副产的氢资源，推进发展新能源电池产业和氢能产业。</w:t>
            </w:r>
          </w:p>
          <w:p w14:paraId="4BB3F663">
            <w:pPr>
              <w:pStyle w:val="92"/>
              <w:adjustRightInd/>
              <w:snapToGrid/>
              <w:spacing w:line="360" w:lineRule="auto"/>
              <w:ind w:firstLine="480" w:firstLineChars="200"/>
              <w:jc w:val="both"/>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（2）</w:t>
            </w:r>
            <w:r>
              <w:rPr>
                <w:rFonts w:hint="eastAsia" w:ascii="Times New Roman" w:hAnsi="Times New Roman" w:eastAsia="宋体" w:cs="Times New Roman"/>
                <w:b w:val="0"/>
                <w:bCs w:val="0"/>
                <w:color w:val="auto"/>
                <w:kern w:val="2"/>
                <w:sz w:val="24"/>
                <w:szCs w:val="24"/>
                <w:highlight w:val="none"/>
                <w:lang w:val="en-US" w:eastAsia="zh-CN" w:bidi="ar-SA"/>
              </w:rPr>
              <w:t>配套产业及其他产业</w:t>
            </w:r>
          </w:p>
          <w:p w14:paraId="1B7557AD">
            <w:pPr>
              <w:pStyle w:val="92"/>
              <w:adjustRightInd/>
              <w:snapToGrid/>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福州江阴港城经济区的配套产业发展重点围绕主导产业展开，构建与主导产业协同发展的产业格局，同时在配套及其他产业成熟发展的基础上，主导产业才能具备高水平发展的条件。主要的产业发展方案如下所述。</w:t>
            </w:r>
          </w:p>
          <w:p w14:paraId="2F3C4105">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①节能环保</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鼓励高效节能产业、资源循环利用产业等领域的发展，从而提高资源环境的利用效率，提升绿色发展和循环发展水平。</w:t>
            </w:r>
          </w:p>
          <w:p w14:paraId="510E842C">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②生产性服务业</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重点规划发展研发服务、知识产权服务、检验检测服务、标准化服务四大领域，构建具有专业性、全面性、多元化的生产性服务板块。</w:t>
            </w:r>
          </w:p>
          <w:p w14:paraId="5D8116E7">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③港口物流</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福州江阴港综合保税区2020年经国务院批复由福州保税港区升级而成，是目前全国唯一一个先行开展内外贸智能监管试点的综合保税区。在进一步发挥现有发展优势的同时，福州江阴港将打造标准化、高端化、专业化、多元化的港口物流产业发展体系。</w:t>
            </w:r>
          </w:p>
          <w:p w14:paraId="008EB7B6">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3、禁止准入</w:t>
            </w:r>
          </w:p>
          <w:p w14:paraId="1750A533">
            <w:pPr>
              <w:pStyle w:val="92"/>
              <w:adjustRightInd/>
              <w:snapToGrid/>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新厝拓展区主要引入轻污染或无污染产业，规划实施后严格环境准入，</w:t>
            </w:r>
            <w:r>
              <w:rPr>
                <w:rFonts w:hint="default" w:ascii="Times New Roman" w:hAnsi="Times New Roman" w:eastAsia="宋体" w:cs="Times New Roman"/>
                <w:b/>
                <w:bCs/>
                <w:color w:val="auto"/>
                <w:kern w:val="2"/>
                <w:sz w:val="24"/>
                <w:szCs w:val="24"/>
                <w:highlight w:val="none"/>
                <w:lang w:val="en-US" w:eastAsia="zh-CN" w:bidi="ar-SA"/>
              </w:rPr>
              <w:t>新厝拓展区原保税港A区不得引进燃煤锅炉、生产工艺产生恶臭的企业</w:t>
            </w:r>
            <w:r>
              <w:rPr>
                <w:rFonts w:hint="default" w:ascii="Times New Roman" w:hAnsi="Times New Roman" w:eastAsia="宋体" w:cs="Times New Roman"/>
                <w:color w:val="auto"/>
                <w:kern w:val="2"/>
                <w:sz w:val="24"/>
                <w:szCs w:val="24"/>
                <w:highlight w:val="none"/>
                <w:lang w:val="en-US" w:eastAsia="zh-CN" w:bidi="ar-SA"/>
              </w:rPr>
              <w:t>。</w:t>
            </w:r>
          </w:p>
          <w:p w14:paraId="36404E13">
            <w:pPr>
              <w:pStyle w:val="92"/>
              <w:adjustRightInd/>
              <w:snapToGrid/>
              <w:spacing w:line="360" w:lineRule="auto"/>
              <w:ind w:firstLine="482" w:firstLineChars="20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符合性分析：</w:t>
            </w:r>
            <w:r>
              <w:rPr>
                <w:rFonts w:hint="eastAsia"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sz w:val="24"/>
                <w:highlight w:val="none"/>
                <w:lang w:val="en-US" w:eastAsia="zh-CN"/>
              </w:rPr>
              <w:t>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eastAsia="宋体" w:cs="Times New Roman"/>
                <w:color w:val="auto"/>
                <w:sz w:val="24"/>
                <w:highlight w:val="none"/>
                <w:lang w:val="en-US" w:eastAsia="zh-CN"/>
              </w:rPr>
              <w:t>，</w:t>
            </w:r>
            <w:r>
              <w:rPr>
                <w:rFonts w:hint="eastAsia" w:cs="Times New Roman"/>
                <w:b/>
                <w:bCs/>
                <w:color w:val="auto"/>
                <w:sz w:val="24"/>
                <w:highlight w:val="none"/>
                <w:lang w:val="en-US" w:eastAsia="zh-CN"/>
              </w:rPr>
              <w:t>建设项目不在</w:t>
            </w:r>
            <w:r>
              <w:rPr>
                <w:rFonts w:hint="default" w:ascii="Times New Roman" w:hAnsi="Times New Roman" w:eastAsia="宋体" w:cs="Times New Roman"/>
                <w:b/>
                <w:bCs/>
                <w:color w:val="auto"/>
                <w:kern w:val="2"/>
                <w:sz w:val="24"/>
                <w:szCs w:val="24"/>
                <w:highlight w:val="none"/>
                <w:lang w:val="en-US" w:eastAsia="zh-CN" w:bidi="ar-SA"/>
              </w:rPr>
              <w:t>新厝拓展区原保税港A区</w:t>
            </w:r>
            <w:r>
              <w:rPr>
                <w:rFonts w:hint="eastAsia" w:cs="Times New Roman"/>
                <w:b/>
                <w:bCs/>
                <w:color w:val="auto"/>
                <w:kern w:val="2"/>
                <w:sz w:val="24"/>
                <w:szCs w:val="24"/>
                <w:highlight w:val="none"/>
                <w:lang w:val="en-US" w:eastAsia="zh-CN" w:bidi="ar-SA"/>
              </w:rPr>
              <w:t>内。</w:t>
            </w:r>
            <w:r>
              <w:rPr>
                <w:rFonts w:hint="eastAsia" w:ascii="Times New Roman" w:hAnsi="Times New Roman" w:eastAsia="宋体" w:cs="Times New Roman"/>
                <w:color w:val="auto"/>
                <w:sz w:val="24"/>
                <w:highlight w:val="none"/>
                <w:lang w:val="en-US" w:eastAsia="zh-CN"/>
              </w:rPr>
              <w:t>主要从事</w:t>
            </w:r>
            <w:r>
              <w:rPr>
                <w:rFonts w:hint="eastAsia" w:cs="Times New Roman"/>
                <w:color w:val="auto"/>
                <w:sz w:val="24"/>
                <w:highlight w:val="none"/>
                <w:lang w:val="en-US" w:eastAsia="zh-CN"/>
              </w:rPr>
              <w:t>包装泡沫生产</w:t>
            </w:r>
            <w:r>
              <w:rPr>
                <w:rFonts w:hint="eastAsia" w:ascii="Times New Roman" w:hAnsi="Times New Roman" w:eastAsia="宋体" w:cs="Times New Roman"/>
                <w:color w:val="auto"/>
                <w:sz w:val="24"/>
                <w:highlight w:val="none"/>
                <w:lang w:val="en-US" w:eastAsia="zh-CN"/>
              </w:rPr>
              <w:t>，与</w:t>
            </w:r>
            <w:r>
              <w:rPr>
                <w:rFonts w:hint="eastAsia" w:ascii="Times New Roman" w:hAnsi="Times New Roman" w:eastAsia="宋体" w:cs="Times New Roman"/>
                <w:color w:val="auto"/>
                <w:kern w:val="2"/>
                <w:sz w:val="24"/>
                <w:szCs w:val="24"/>
                <w:highlight w:val="none"/>
                <w:lang w:val="en-US" w:eastAsia="zh-CN" w:bidi="ar-SA"/>
              </w:rPr>
              <w:t>福州江阴港城经济区</w:t>
            </w:r>
            <w:r>
              <w:rPr>
                <w:rFonts w:hint="eastAsia" w:ascii="Times New Roman" w:hAnsi="Times New Roman" w:eastAsia="宋体" w:cs="Times New Roman"/>
                <w:color w:val="auto"/>
                <w:sz w:val="24"/>
                <w:highlight w:val="none"/>
                <w:lang w:val="en-US" w:eastAsia="zh-CN"/>
              </w:rPr>
              <w:t>产业不冲突，</w:t>
            </w:r>
            <w:r>
              <w:rPr>
                <w:rFonts w:hint="eastAsia" w:ascii="Times New Roman" w:hAnsi="Times New Roman" w:eastAsia="宋体" w:cs="Times New Roman"/>
                <w:color w:val="auto"/>
                <w:kern w:val="2"/>
                <w:sz w:val="24"/>
                <w:szCs w:val="24"/>
                <w:highlight w:val="none"/>
                <w:lang w:val="en-US" w:eastAsia="zh-CN" w:bidi="ar-SA"/>
              </w:rPr>
              <w:t>对照江阴港城区域生态保护红线空间管制一览表，项目不涉及生态保护红线空间，项目属于轻污染产业，不涉及燃煤锅炉，不会产生恶臭，符合江阴港城引进产业的环保准入条件要求</w:t>
            </w:r>
            <w:r>
              <w:rPr>
                <w:rFonts w:hint="eastAsia" w:ascii="Times New Roman" w:hAnsi="Times New Roman" w:eastAsia="宋体"/>
                <w:color w:val="auto"/>
                <w:sz w:val="24"/>
                <w:szCs w:val="24"/>
                <w:highlight w:val="none"/>
                <w:lang w:val="en-US" w:eastAsia="zh-CN"/>
              </w:rPr>
              <w:t>。</w:t>
            </w:r>
          </w:p>
          <w:p w14:paraId="6F60A630">
            <w:pPr>
              <w:pStyle w:val="92"/>
              <w:adjustRightInd/>
              <w:snapToGrid/>
              <w:spacing w:line="360" w:lineRule="auto"/>
              <w:ind w:firstLine="480" w:firstLineChars="20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二、与规划环评审查意见的符合性分析</w:t>
            </w:r>
          </w:p>
          <w:p w14:paraId="64AEB0E9">
            <w:pPr>
              <w:pStyle w:val="92"/>
              <w:adjustRightInd/>
              <w:snapToGrid/>
              <w:spacing w:line="360" w:lineRule="auto"/>
              <w:ind w:firstLine="480" w:firstLineChars="200"/>
              <w:jc w:val="both"/>
              <w:rPr>
                <w:rFonts w:hint="default" w:ascii="Times New Roman" w:hAnsi="Times New Roman" w:eastAsia="宋体"/>
                <w:color w:val="auto"/>
                <w:sz w:val="24"/>
                <w:szCs w:val="24"/>
                <w:highlight w:val="none"/>
                <w:lang w:val="en-US"/>
              </w:rPr>
            </w:pPr>
            <w:r>
              <w:rPr>
                <w:rFonts w:hint="eastAsia" w:ascii="Times New Roman" w:hAnsi="Times New Roman" w:eastAsia="宋体"/>
                <w:color w:val="auto"/>
                <w:sz w:val="24"/>
                <w:szCs w:val="24"/>
                <w:highlight w:val="none"/>
              </w:rPr>
              <w:t>项目与《福州江阴港城经济区产业发展规划环境影响报告书》审查意见（榕环保评〔2024〕33号）中相关要求符合性分析见下表</w:t>
            </w:r>
            <w:r>
              <w:rPr>
                <w:rFonts w:hint="eastAsia" w:ascii="Times New Roman" w:hAnsi="Times New Roman" w:eastAsia="宋体"/>
                <w:color w:val="auto"/>
                <w:spacing w:val="-7"/>
                <w:sz w:val="24"/>
                <w:szCs w:val="24"/>
                <w:highlight w:val="none"/>
                <w:lang w:val="en-US" w:eastAsia="zh-CN"/>
              </w:rPr>
              <w:t>1.2-1。</w:t>
            </w:r>
          </w:p>
          <w:p w14:paraId="7F3365E5">
            <w:pPr>
              <w:adjustRightInd w:val="0"/>
              <w:snapToGrid w:val="0"/>
              <w:spacing w:line="240" w:lineRule="auto"/>
              <w:jc w:val="both"/>
              <w:rPr>
                <w:rFonts w:hint="eastAsia" w:ascii="Times New Roman" w:hAnsi="Times New Roman" w:eastAsia="宋体" w:cs="Times New Roman"/>
                <w:b/>
                <w:bCs/>
                <w:color w:val="auto"/>
                <w:kern w:val="2"/>
                <w:sz w:val="24"/>
                <w:szCs w:val="24"/>
                <w:highlight w:val="none"/>
                <w:lang w:val="en-US" w:eastAsia="zh-CN" w:bidi="ar-SA"/>
              </w:rPr>
            </w:pPr>
          </w:p>
          <w:p w14:paraId="0E4FF1A8">
            <w:pPr>
              <w:pStyle w:val="63"/>
              <w:keepNext/>
              <w:keepLines/>
              <w:pageBreakBefore w:val="0"/>
              <w:widowControl w:val="0"/>
              <w:tabs>
                <w:tab w:val="left" w:pos="0"/>
                <w:tab w:val="left" w:pos="420"/>
                <w:tab w:val="clear" w:pos="4507"/>
              </w:tabs>
              <w:kinsoku/>
              <w:wordWrap/>
              <w:overflowPunct/>
              <w:topLinePunct w:val="0"/>
              <w:autoSpaceDE/>
              <w:autoSpaceDN/>
              <w:bidi w:val="0"/>
              <w:adjustRightInd/>
              <w:snapToGrid/>
              <w:spacing w:before="157" w:beforeLines="50" w:after="0" w:line="240" w:lineRule="auto"/>
              <w:ind w:left="420" w:leftChars="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表1.1-2 本项目与规划环评审查意见相关要求符合性分析一览表</w:t>
            </w:r>
          </w:p>
          <w:tbl>
            <w:tblPr>
              <w:tblStyle w:val="23"/>
              <w:tblW w:w="824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3742"/>
              <w:gridCol w:w="2723"/>
              <w:gridCol w:w="900"/>
            </w:tblGrid>
            <w:tr w14:paraId="7B3AD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2" w:type="pct"/>
                  <w:gridSpan w:val="2"/>
                  <w:noWrap w:val="0"/>
                  <w:vAlign w:val="center"/>
                </w:tcPr>
                <w:p w14:paraId="20C72F35">
                  <w:pPr>
                    <w:pStyle w:val="94"/>
                    <w:tabs>
                      <w:tab w:val="right" w:pos="8502"/>
                      <w:tab w:val="right" w:pos="8802"/>
                    </w:tabs>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审查意见（榕环保评</w:t>
                  </w:r>
                  <w:r>
                    <w:rPr>
                      <w:rFonts w:hint="default" w:ascii="Times New Roman" w:hAnsi="Times New Roman" w:eastAsia="宋体" w:cs="Times New Roman"/>
                      <w:b w:val="0"/>
                      <w:bCs w:val="0"/>
                      <w:color w:val="auto"/>
                      <w:highlight w:val="none"/>
                      <w:lang w:val="en-US" w:eastAsia="zh-CN"/>
                    </w:rPr>
                    <w:t>〔2024〕33号</w:t>
                  </w:r>
                  <w:r>
                    <w:rPr>
                      <w:rFonts w:hint="default" w:ascii="Times New Roman" w:hAnsi="Times New Roman" w:eastAsia="宋体" w:cs="Times New Roman"/>
                      <w:b w:val="0"/>
                      <w:bCs w:val="0"/>
                      <w:color w:val="auto"/>
                      <w:highlight w:val="none"/>
                      <w:lang w:eastAsia="zh-CN"/>
                    </w:rPr>
                    <w:t>）相关要求</w:t>
                  </w:r>
                </w:p>
                <w:p w14:paraId="2E8A8D44">
                  <w:pPr>
                    <w:adjustRightInd w:val="0"/>
                    <w:snapToGrid w:val="0"/>
                    <w:spacing w:line="340" w:lineRule="exact"/>
                    <w:jc w:val="center"/>
                    <w:rPr>
                      <w:b/>
                      <w:bCs/>
                      <w:color w:val="auto"/>
                      <w:szCs w:val="21"/>
                    </w:rPr>
                  </w:pPr>
                  <w:r>
                    <w:rPr>
                      <w:rFonts w:hint="default" w:ascii="Times New Roman" w:hAnsi="Times New Roman" w:eastAsia="宋体" w:cs="Times New Roman"/>
                      <w:b w:val="0"/>
                      <w:bCs w:val="0"/>
                      <w:color w:val="auto"/>
                      <w:highlight w:val="none"/>
                      <w:lang w:eastAsia="zh-CN"/>
                    </w:rPr>
                    <w:t>（摘录）</w:t>
                  </w:r>
                </w:p>
              </w:tc>
              <w:tc>
                <w:tcPr>
                  <w:tcW w:w="1651" w:type="pct"/>
                  <w:noWrap w:val="0"/>
                  <w:vAlign w:val="center"/>
                </w:tcPr>
                <w:p w14:paraId="7C2CDB84">
                  <w:pPr>
                    <w:adjustRightInd w:val="0"/>
                    <w:snapToGrid w:val="0"/>
                    <w:spacing w:line="340" w:lineRule="exact"/>
                    <w:jc w:val="center"/>
                    <w:rPr>
                      <w:b/>
                      <w:bCs/>
                      <w:color w:val="auto"/>
                      <w:szCs w:val="21"/>
                    </w:rPr>
                  </w:pPr>
                  <w:r>
                    <w:rPr>
                      <w:b/>
                      <w:bCs/>
                      <w:color w:val="auto"/>
                      <w:szCs w:val="21"/>
                    </w:rPr>
                    <w:t>本项目情况</w:t>
                  </w:r>
                </w:p>
              </w:tc>
              <w:tc>
                <w:tcPr>
                  <w:tcW w:w="545" w:type="pct"/>
                  <w:noWrap w:val="0"/>
                  <w:vAlign w:val="center"/>
                </w:tcPr>
                <w:p w14:paraId="6969C385">
                  <w:pPr>
                    <w:adjustRightInd w:val="0"/>
                    <w:snapToGrid w:val="0"/>
                    <w:spacing w:line="340" w:lineRule="exact"/>
                    <w:jc w:val="center"/>
                    <w:rPr>
                      <w:b/>
                      <w:bCs/>
                      <w:color w:val="auto"/>
                      <w:szCs w:val="21"/>
                    </w:rPr>
                  </w:pPr>
                  <w:r>
                    <w:rPr>
                      <w:b/>
                      <w:bCs/>
                      <w:color w:val="auto"/>
                      <w:szCs w:val="21"/>
                    </w:rPr>
                    <w:t>符合性</w:t>
                  </w:r>
                </w:p>
              </w:tc>
            </w:tr>
            <w:tr w14:paraId="6654D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shd w:val="clear" w:color="auto" w:fill="auto"/>
                  <w:noWrap w:val="0"/>
                  <w:vAlign w:val="center"/>
                </w:tcPr>
                <w:p w14:paraId="43F755B6">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优化产业定位</w:t>
                  </w:r>
                </w:p>
              </w:tc>
              <w:tc>
                <w:tcPr>
                  <w:tcW w:w="2269" w:type="pct"/>
                  <w:shd w:val="clear" w:color="auto" w:fill="auto"/>
                  <w:noWrap w:val="0"/>
                  <w:vAlign w:val="center"/>
                </w:tcPr>
                <w:p w14:paraId="16F1B036">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结合区域资源环境承载力和生态环境分区管控要求，合理确定化工产业规划规模、布局和产业链，进一步细化近期发展目标、布局及重点项目建设计划等内容，优化整合非化工产业定位。要以绿色现代化工产业为发展方向，实现产业链绿色化、高端化、集约化发展。</w:t>
                  </w:r>
                </w:p>
              </w:tc>
              <w:tc>
                <w:tcPr>
                  <w:tcW w:w="1651" w:type="pct"/>
                  <w:noWrap w:val="0"/>
                  <w:vAlign w:val="center"/>
                </w:tcPr>
                <w:p w14:paraId="4CF9B8EE">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highlight w:val="none"/>
                      <w:lang w:eastAsia="zh-CN"/>
                    </w:rPr>
                    <w:t>本项目从事</w:t>
                  </w:r>
                  <w:r>
                    <w:rPr>
                      <w:rFonts w:hint="eastAsia" w:ascii="Times New Roman" w:hAnsi="Times New Roman" w:cs="Times New Roman"/>
                      <w:color w:val="auto"/>
                      <w:highlight w:val="none"/>
                      <w:lang w:val="en-US" w:eastAsia="zh-CN"/>
                    </w:rPr>
                    <w:t>塑料泡沫生产加工</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对</w:t>
                  </w:r>
                  <w:r>
                    <w:rPr>
                      <w:rFonts w:hint="default" w:ascii="Times New Roman" w:hAnsi="Times New Roman" w:eastAsia="宋体" w:cs="Times New Roman"/>
                      <w:color w:val="auto"/>
                      <w:highlight w:val="none"/>
                      <w:lang w:eastAsia="zh-CN"/>
                    </w:rPr>
                    <w:t>环境影响较小，与福州江阴港城经济区功能定位和产业布局不冲突。</w:t>
                  </w:r>
                </w:p>
              </w:tc>
              <w:tc>
                <w:tcPr>
                  <w:tcW w:w="545" w:type="pct"/>
                  <w:noWrap w:val="0"/>
                  <w:vAlign w:val="center"/>
                </w:tcPr>
                <w:p w14:paraId="79687D87">
                  <w:pPr>
                    <w:adjustRightInd w:val="0"/>
                    <w:snapToGrid w:val="0"/>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2C306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shd w:val="clear" w:color="auto" w:fill="auto"/>
                  <w:noWrap w:val="0"/>
                  <w:vAlign w:val="center"/>
                </w:tcPr>
                <w:p w14:paraId="7C963130">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优化空间布局</w:t>
                  </w:r>
                </w:p>
              </w:tc>
              <w:tc>
                <w:tcPr>
                  <w:tcW w:w="2269" w:type="pct"/>
                  <w:shd w:val="clear" w:color="auto" w:fill="auto"/>
                  <w:noWrap w:val="0"/>
                  <w:vAlign w:val="center"/>
                </w:tcPr>
                <w:p w14:paraId="0B19A6BE">
                  <w:pPr>
                    <w:pStyle w:val="94"/>
                    <w:tabs>
                      <w:tab w:val="right" w:pos="8502"/>
                      <w:tab w:val="right" w:pos="8802"/>
                    </w:tabs>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1.统筹解决产业园区发展与周边城镇发展的布局性矛盾，落实《报告书》提出的用地调整要求，位于城镇开发边界外的规划范围暂缓开发</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未纳入化工园区认定范</w:t>
                  </w:r>
                  <w:r>
                    <w:rPr>
                      <w:rFonts w:hint="eastAsia" w:cs="Times New Roman"/>
                      <w:color w:val="auto"/>
                      <w:highlight w:val="none"/>
                      <w:lang w:eastAsia="zh-CN"/>
                    </w:rPr>
                    <w:t>围的</w:t>
                  </w:r>
                  <w:r>
                    <w:rPr>
                      <w:rFonts w:hint="default" w:ascii="Times New Roman" w:hAnsi="Times New Roman" w:eastAsia="宋体" w:cs="Times New Roman"/>
                      <w:color w:val="auto"/>
                      <w:highlight w:val="none"/>
                      <w:lang w:eastAsia="zh-CN"/>
                    </w:rPr>
                    <w:t>工业用地，不得新建改扩建化工项目。在园区与临近的居民区之间设置合理的环保控制带和环境风险防范区，并在国土空间规划成果中落实。环保隔离带内不得规划居住、教育和医疗卫生等环境敏感设施用地。环境风险防范区内应严格控制人口规模，不得新建居民住宅、学校和医院等敏感建筑。</w:t>
                  </w:r>
                </w:p>
                <w:p w14:paraId="512B8A06">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2.为减轻化工项目对周边居民环境影响和环境风险，应进一步优化化工产业布局。将涉及恶臭及“三致”物质等大气污染较严重、环境风险较大的装置、储罐或单元，尽可能布置在远离居民区等环境敏感目标的区域。</w:t>
                  </w:r>
                </w:p>
              </w:tc>
              <w:tc>
                <w:tcPr>
                  <w:tcW w:w="1651" w:type="pct"/>
                  <w:noWrap w:val="0"/>
                  <w:vAlign w:val="center"/>
                </w:tcPr>
                <w:p w14:paraId="41861854">
                  <w:pPr>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本项目位于江阴港城经济区福建力峰机械实业有限公司（租赁福建力峰机械实业有限公司2号金属配件车间、1号组装车间），主要从事塑料泡沫生产加工，不属于化工产业。根据附图三城乡土地使用规划图</w:t>
                  </w:r>
                </w:p>
                <w:p w14:paraId="64FD67AD">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，本项目属于二类工业用地，周边不涉及园区已设立的环保隔离带、环境风险防范区</w:t>
                  </w:r>
                  <w:r>
                    <w:rPr>
                      <w:rFonts w:hint="default" w:ascii="Times New Roman" w:hAnsi="Times New Roman" w:eastAsia="宋体" w:cs="Times New Roman"/>
                      <w:color w:val="auto"/>
                      <w:sz w:val="21"/>
                      <w:szCs w:val="21"/>
                      <w:lang w:eastAsia="zh-CN"/>
                    </w:rPr>
                    <w:t>。</w:t>
                  </w:r>
                </w:p>
              </w:tc>
              <w:tc>
                <w:tcPr>
                  <w:tcW w:w="545" w:type="pct"/>
                  <w:noWrap w:val="0"/>
                  <w:vAlign w:val="center"/>
                </w:tcPr>
                <w:p w14:paraId="3F6DEAA2">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349D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shd w:val="clear" w:color="auto" w:fill="auto"/>
                  <w:noWrap w:val="0"/>
                  <w:vAlign w:val="center"/>
                </w:tcPr>
                <w:p w14:paraId="5392F26A">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严格生态环境准入</w:t>
                  </w:r>
                </w:p>
              </w:tc>
              <w:tc>
                <w:tcPr>
                  <w:tcW w:w="2269" w:type="pct"/>
                  <w:shd w:val="clear" w:color="auto" w:fill="auto"/>
                  <w:noWrap w:val="0"/>
                  <w:vAlign w:val="center"/>
                </w:tcPr>
                <w:p w14:paraId="0730A9BE">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积极推行清洁生产，减少污染物排放。按照《报告书》提出的生态环境准入清单严格项目准入。MDI、TDI、轻烃裂解等重大项目清洁生产需达到同行业先进水平，</w:t>
                  </w:r>
                  <w:r>
                    <w:rPr>
                      <w:rFonts w:hint="eastAsia" w:cs="Times New Roman"/>
                      <w:color w:val="auto"/>
                      <w:highlight w:val="none"/>
                      <w:lang w:eastAsia="zh-CN"/>
                    </w:rPr>
                    <w:t>其他</w:t>
                  </w:r>
                  <w:r>
                    <w:rPr>
                      <w:rFonts w:hint="default" w:ascii="Times New Roman" w:hAnsi="Times New Roman" w:eastAsia="宋体" w:cs="Times New Roman"/>
                      <w:color w:val="auto"/>
                      <w:highlight w:val="none"/>
                    </w:rPr>
                    <w:t>引进项目应达到国内先进水平。</w:t>
                  </w:r>
                </w:p>
              </w:tc>
              <w:tc>
                <w:tcPr>
                  <w:tcW w:w="1651" w:type="pct"/>
                  <w:noWrap w:val="0"/>
                  <w:vAlign w:val="center"/>
                </w:tcPr>
                <w:p w14:paraId="0CADD3DA">
                  <w:pPr>
                    <w:adjustRightInd w:val="0"/>
                    <w:snapToGrid w:val="0"/>
                    <w:spacing w:line="340" w:lineRule="exact"/>
                    <w:jc w:val="center"/>
                    <w:rPr>
                      <w:rFonts w:hint="default" w:ascii="Times New Roman" w:hAnsi="Times New Roman" w:eastAsia="宋体" w:cs="Times New Roman"/>
                      <w:b/>
                      <w:bCs/>
                      <w:color w:val="auto"/>
                      <w:sz w:val="21"/>
                      <w:szCs w:val="21"/>
                    </w:rPr>
                  </w:pPr>
                  <w:r>
                    <w:rPr>
                      <w:rFonts w:hint="eastAsia" w:ascii="Times New Roman" w:hAnsi="Times New Roman" w:cs="Times New Roman"/>
                      <w:color w:val="auto"/>
                      <w:sz w:val="21"/>
                      <w:szCs w:val="21"/>
                      <w:lang w:val="en-US" w:eastAsia="zh-CN"/>
                    </w:rPr>
                    <w:t>本项目从事塑料泡沫加工，不涉及左列列出的MDI、TDI、轻烃裂解等重大项目</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属于其他项目，主要能耗水、电，属于清洁能源，工艺设备可以达到国内先进水平，项目</w:t>
                  </w:r>
                  <w:r>
                    <w:rPr>
                      <w:rFonts w:hint="default" w:ascii="Times New Roman" w:hAnsi="Times New Roman" w:cs="Times New Roman"/>
                      <w:color w:val="auto"/>
                      <w:sz w:val="21"/>
                      <w:szCs w:val="21"/>
                      <w:lang w:val="en-US" w:eastAsia="zh-CN"/>
                    </w:rPr>
                    <w:t>符合福州江阴港城经济区的环境准入条件</w:t>
                  </w:r>
                </w:p>
              </w:tc>
              <w:tc>
                <w:tcPr>
                  <w:tcW w:w="545" w:type="pct"/>
                  <w:noWrap w:val="0"/>
                  <w:vAlign w:val="center"/>
                </w:tcPr>
                <w:p w14:paraId="0A1B30E6">
                  <w:pPr>
                    <w:adjustRightInd w:val="0"/>
                    <w:snapToGrid w:val="0"/>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79ABB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shd w:val="clear" w:color="auto" w:fill="auto"/>
                  <w:noWrap w:val="0"/>
                  <w:vAlign w:val="center"/>
                </w:tcPr>
                <w:p w14:paraId="2008452D">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优化资源能源结构</w:t>
                  </w:r>
                </w:p>
              </w:tc>
              <w:tc>
                <w:tcPr>
                  <w:tcW w:w="2269" w:type="pct"/>
                  <w:shd w:val="clear" w:color="auto" w:fill="auto"/>
                  <w:noWrap w:val="0"/>
                  <w:vAlign w:val="center"/>
                </w:tcPr>
                <w:p w14:paraId="0AD6E40C">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加强水资源利用管理，实行分级分类、梯级循环利用，推行节水和清洁利用技术，持续提高水资源利用率。实施热电联产集中供热。鼓励使用清洁能源，加热炉及导热油炉等禁止使用燃煤重油及渣油等高污染燃料。</w:t>
                  </w:r>
                </w:p>
              </w:tc>
              <w:tc>
                <w:tcPr>
                  <w:tcW w:w="1651" w:type="pct"/>
                  <w:shd w:val="clear" w:color="auto" w:fill="auto"/>
                  <w:noWrap w:val="0"/>
                  <w:vAlign w:val="center"/>
                </w:tcPr>
                <w:p w14:paraId="7A1EF418">
                  <w:pPr>
                    <w:pStyle w:val="38"/>
                    <w:widowControl w:val="0"/>
                    <w:spacing w:line="340" w:lineRule="exact"/>
                    <w:ind w:firstLine="0" w:firstLineChars="0"/>
                    <w:rPr>
                      <w:rFonts w:hint="eastAsia" w:ascii="Times New Roman" w:hAnsi="Times New Roman" w:eastAsia="宋体" w:cs="Times New Roman"/>
                      <w:color w:val="auto"/>
                      <w:kern w:val="2"/>
                      <w:sz w:val="21"/>
                      <w:szCs w:val="21"/>
                      <w:lang w:val="en-US" w:eastAsia="zh-CN" w:bidi="ar-SA"/>
                    </w:rPr>
                  </w:pPr>
                  <w:r>
                    <w:rPr>
                      <w:rFonts w:ascii="宋体" w:hAnsi="宋体" w:cs="宋体"/>
                      <w:color w:val="auto"/>
                      <w:sz w:val="21"/>
                      <w:szCs w:val="21"/>
                    </w:rPr>
                    <w:t>项目为</w:t>
                  </w:r>
                  <w:r>
                    <w:rPr>
                      <w:rFonts w:hint="default" w:ascii="Times New Roman" w:hAnsi="Times New Roman" w:eastAsia="宋体" w:cs="Times New Roman"/>
                      <w:color w:val="auto"/>
                      <w:sz w:val="21"/>
                      <w:szCs w:val="21"/>
                      <w:highlight w:val="none"/>
                      <w:u w:val="none"/>
                      <w:lang w:eastAsia="zh-CN"/>
                    </w:rPr>
                    <w:t>EPS包装泡沫</w:t>
                  </w:r>
                  <w:r>
                    <w:rPr>
                      <w:rFonts w:hint="default" w:ascii="Times New Roman" w:hAnsi="Times New Roman" w:eastAsia="宋体" w:cs="Times New Roman"/>
                      <w:color w:val="auto"/>
                      <w:sz w:val="21"/>
                      <w:szCs w:val="21"/>
                      <w:highlight w:val="none"/>
                      <w:u w:val="none"/>
                      <w:lang w:val="en-US" w:eastAsia="zh-CN"/>
                    </w:rPr>
                    <w:t>、EPP包装泡沫的</w:t>
                  </w:r>
                  <w:r>
                    <w:rPr>
                      <w:rFonts w:hint="default" w:ascii="Times New Roman" w:hAnsi="Times New Roman" w:eastAsia="宋体" w:cs="Times New Roman"/>
                      <w:color w:val="auto"/>
                      <w:sz w:val="21"/>
                      <w:szCs w:val="21"/>
                      <w:highlight w:val="none"/>
                      <w:lang w:val="en-US" w:eastAsia="zh-CN"/>
                    </w:rPr>
                    <w:t>生产，属于泡沫塑料制造业</w:t>
                  </w:r>
                  <w:r>
                    <w:rPr>
                      <w:rFonts w:hint="eastAsia" w:cs="Times New Roman"/>
                      <w:color w:val="auto"/>
                      <w:sz w:val="21"/>
                      <w:szCs w:val="21"/>
                      <w:highlight w:val="none"/>
                      <w:lang w:val="en-US" w:eastAsia="zh-CN"/>
                    </w:rPr>
                    <w:t>。所使用蒸汽</w:t>
                  </w:r>
                  <w:r>
                    <w:rPr>
                      <w:rFonts w:hint="default" w:ascii="Times New Roman" w:hAnsi="Times New Roman" w:eastAsia="宋体" w:cs="Times New Roman"/>
                      <w:color w:val="auto"/>
                      <w:sz w:val="21"/>
                      <w:szCs w:val="21"/>
                      <w:highlight w:val="none"/>
                      <w:u w:val="none"/>
                      <w:vertAlign w:val="baseline"/>
                      <w:lang w:val="en-US" w:eastAsia="zh-CN"/>
                    </w:rPr>
                    <w:t>由国电福州发电有限公司供应，</w:t>
                  </w:r>
                  <w:r>
                    <w:rPr>
                      <w:color w:val="auto"/>
                      <w:sz w:val="21"/>
                      <w:szCs w:val="21"/>
                    </w:rPr>
                    <w:t>不涉及高污染物燃料等使用，不属于高能耗企业，不涉及加热炉及导热油炉等生产设备。</w:t>
                  </w:r>
                </w:p>
              </w:tc>
              <w:tc>
                <w:tcPr>
                  <w:tcW w:w="545" w:type="pct"/>
                  <w:shd w:val="clear" w:color="auto" w:fill="auto"/>
                  <w:noWrap w:val="0"/>
                  <w:vAlign w:val="center"/>
                </w:tcPr>
                <w:p w14:paraId="532B05DB">
                  <w:pPr>
                    <w:pStyle w:val="38"/>
                    <w:widowControl w:val="0"/>
                    <w:spacing w:line="340" w:lineRule="exact"/>
                    <w:ind w:firstLine="0" w:firstLineChars="0"/>
                    <w:rPr>
                      <w:rFonts w:hint="default" w:ascii="Times New Roman" w:hAnsi="Times New Roman" w:eastAsia="宋体" w:cs="Times New Roman"/>
                      <w:color w:val="auto"/>
                      <w:kern w:val="2"/>
                      <w:sz w:val="21"/>
                      <w:szCs w:val="21"/>
                      <w:lang w:val="en-US" w:eastAsia="zh-CN" w:bidi="ar-SA"/>
                    </w:rPr>
                  </w:pPr>
                  <w:r>
                    <w:rPr>
                      <w:color w:val="auto"/>
                      <w:sz w:val="21"/>
                      <w:szCs w:val="21"/>
                    </w:rPr>
                    <w:t>符合</w:t>
                  </w:r>
                </w:p>
              </w:tc>
            </w:tr>
            <w:tr w14:paraId="44F3F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shd w:val="clear" w:color="auto" w:fill="auto"/>
                  <w:noWrap w:val="0"/>
                  <w:vAlign w:val="center"/>
                </w:tcPr>
                <w:p w14:paraId="61CE0464">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落实污染物总量控制要求</w:t>
                  </w:r>
                </w:p>
              </w:tc>
              <w:tc>
                <w:tcPr>
                  <w:tcW w:w="2269" w:type="pct"/>
                  <w:shd w:val="clear" w:color="auto" w:fill="auto"/>
                  <w:noWrap w:val="0"/>
                  <w:vAlign w:val="center"/>
                </w:tcPr>
                <w:p w14:paraId="6685BB96">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规划产业项目全面执行大气污染物排放特别排放限值，采取有效措施减少二氧化硫、氮氧化物、颗粒物和挥发性有机物的排放量</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推行园区再生水回用，严格控制氨氮、总氮、总磷和石油类等污染物排放量。结合园区存在环境问题，制定并落实区域总量削减、环境质量改善方案，园区污染物排放总量应纳入当地政府污染物排放总量控制计划。新增污染物应优先依托园区企业自身削减实现替代。</w:t>
                  </w:r>
                </w:p>
              </w:tc>
              <w:tc>
                <w:tcPr>
                  <w:tcW w:w="1651" w:type="pct"/>
                  <w:shd w:val="clear" w:color="auto" w:fill="auto"/>
                  <w:noWrap w:val="0"/>
                  <w:vAlign w:val="center"/>
                </w:tcPr>
                <w:p w14:paraId="415FB6AF">
                  <w:pPr>
                    <w:pStyle w:val="38"/>
                    <w:widowControl w:val="0"/>
                    <w:spacing w:line="340" w:lineRule="exact"/>
                    <w:ind w:firstLine="0" w:firstLineChars="0"/>
                    <w:rPr>
                      <w:rFonts w:hint="eastAsia" w:ascii="Times New Roman" w:hAnsi="Times New Roman" w:eastAsia="宋体" w:cs="Times New Roman"/>
                      <w:color w:val="auto"/>
                      <w:kern w:val="2"/>
                      <w:sz w:val="21"/>
                      <w:szCs w:val="21"/>
                      <w:lang w:val="en-US" w:eastAsia="zh-CN" w:bidi="ar-SA"/>
                    </w:rPr>
                  </w:pPr>
                  <w:r>
                    <w:rPr>
                      <w:rFonts w:ascii="宋体" w:hAnsi="宋体" w:cs="宋体"/>
                      <w:color w:val="auto"/>
                      <w:sz w:val="21"/>
                      <w:szCs w:val="21"/>
                    </w:rPr>
                    <w:t>项目为</w:t>
                  </w:r>
                  <w:r>
                    <w:rPr>
                      <w:rFonts w:hint="default" w:ascii="Times New Roman" w:hAnsi="Times New Roman" w:eastAsia="宋体" w:cs="Times New Roman"/>
                      <w:color w:val="auto"/>
                      <w:sz w:val="21"/>
                      <w:szCs w:val="21"/>
                      <w:highlight w:val="none"/>
                      <w:u w:val="none"/>
                      <w:lang w:eastAsia="zh-CN"/>
                    </w:rPr>
                    <w:t>EPS包装泡沫、</w:t>
                  </w:r>
                  <w:r>
                    <w:rPr>
                      <w:rFonts w:hint="default" w:ascii="Times New Roman" w:hAnsi="Times New Roman" w:eastAsia="宋体" w:cs="Times New Roman"/>
                      <w:color w:val="auto"/>
                      <w:sz w:val="21"/>
                      <w:szCs w:val="21"/>
                      <w:highlight w:val="none"/>
                      <w:u w:val="none"/>
                      <w:lang w:val="en-US" w:eastAsia="zh-CN"/>
                    </w:rPr>
                    <w:t>EPP包装泡沫的</w:t>
                  </w:r>
                  <w:r>
                    <w:rPr>
                      <w:rFonts w:hint="default" w:ascii="Times New Roman" w:hAnsi="Times New Roman" w:eastAsia="宋体" w:cs="Times New Roman"/>
                      <w:color w:val="auto"/>
                      <w:sz w:val="21"/>
                      <w:szCs w:val="21"/>
                      <w:highlight w:val="none"/>
                      <w:lang w:val="en-US" w:eastAsia="zh-CN"/>
                    </w:rPr>
                    <w:t>生产，属于泡沫塑料制造业</w:t>
                  </w:r>
                  <w:r>
                    <w:rPr>
                      <w:rFonts w:hint="eastAsia" w:cs="Times New Roman"/>
                      <w:color w:val="auto"/>
                      <w:sz w:val="21"/>
                      <w:szCs w:val="21"/>
                      <w:highlight w:val="none"/>
                      <w:lang w:val="en-US" w:eastAsia="zh-CN"/>
                    </w:rPr>
                    <w:t>。本次扩建将把现有项目产生废气与拟扩建项目产生废气一并收集处理。</w:t>
                  </w:r>
                  <w:r>
                    <w:rPr>
                      <w:rFonts w:hint="eastAsia" w:ascii="Times New Roman" w:hAnsi="Times New Roman" w:eastAsia="宋体" w:cs="Times New Roman"/>
                      <w:b w:val="0"/>
                      <w:bCs w:val="0"/>
                      <w:color w:val="auto"/>
                      <w:sz w:val="21"/>
                      <w:szCs w:val="21"/>
                      <w:highlight w:val="none"/>
                      <w:vertAlign w:val="baseline"/>
                      <w:lang w:val="en-US" w:eastAsia="zh-CN"/>
                    </w:rPr>
                    <w:t>本次扩建项目预发、成型、废</w:t>
                  </w:r>
                  <w:r>
                    <w:rPr>
                      <w:rFonts w:hint="eastAsia"/>
                      <w:color w:val="auto"/>
                      <w:szCs w:val="22"/>
                      <w:highlight w:val="none"/>
                      <w:lang w:val="en-US" w:eastAsia="zh-CN"/>
                    </w:rPr>
                    <w:t>气</w:t>
                  </w:r>
                  <w:r>
                    <w:rPr>
                      <w:rFonts w:hint="eastAsia" w:ascii="Times New Roman" w:hAnsi="Times New Roman" w:eastAsia="宋体" w:cs="Times New Roman"/>
                      <w:b w:val="0"/>
                      <w:bCs w:val="0"/>
                      <w:color w:val="auto"/>
                      <w:sz w:val="21"/>
                      <w:szCs w:val="21"/>
                      <w:highlight w:val="none"/>
                      <w:vertAlign w:val="baseline"/>
                      <w:lang w:val="en-US" w:eastAsia="zh-CN"/>
                    </w:rPr>
                    <w:t>中所产生的VOCs经集气罩收集后通过一套“二级活性炭吸附装置+15m排气筒”排放</w:t>
                  </w:r>
                  <w:r>
                    <w:rPr>
                      <w:rFonts w:hint="eastAsia" w:cs="Times New Roman"/>
                      <w:b w:val="0"/>
                      <w:bCs w:val="0"/>
                      <w:color w:val="auto"/>
                      <w:sz w:val="21"/>
                      <w:szCs w:val="21"/>
                      <w:highlight w:val="none"/>
                      <w:vertAlign w:val="baseline"/>
                      <w:lang w:val="en-US" w:eastAsia="zh-CN"/>
                    </w:rPr>
                    <w:t>。</w:t>
                  </w:r>
                  <w:r>
                    <w:rPr>
                      <w:color w:val="auto"/>
                      <w:sz w:val="21"/>
                      <w:szCs w:val="21"/>
                    </w:rPr>
                    <w:t>由建设单位向生态环境主管部门申请区域削减替代（总量申请承诺函见</w:t>
                  </w:r>
                  <w:r>
                    <w:rPr>
                      <w:b/>
                      <w:bCs/>
                      <w:color w:val="auto"/>
                      <w:sz w:val="21"/>
                      <w:szCs w:val="21"/>
                    </w:rPr>
                    <w:t>附件十</w:t>
                  </w:r>
                  <w:r>
                    <w:rPr>
                      <w:rFonts w:hint="eastAsia"/>
                      <w:b/>
                      <w:bCs/>
                      <w:color w:val="auto"/>
                      <w:sz w:val="21"/>
                      <w:szCs w:val="21"/>
                      <w:lang w:val="en-US" w:eastAsia="zh-CN"/>
                    </w:rPr>
                    <w:t>九</w:t>
                  </w:r>
                  <w:r>
                    <w:rPr>
                      <w:color w:val="auto"/>
                      <w:sz w:val="21"/>
                      <w:szCs w:val="21"/>
                    </w:rPr>
                    <w:t>），项目不涉及生产废水排放。</w:t>
                  </w:r>
                </w:p>
              </w:tc>
              <w:tc>
                <w:tcPr>
                  <w:tcW w:w="545" w:type="pct"/>
                  <w:shd w:val="clear" w:color="auto" w:fill="auto"/>
                  <w:noWrap w:val="0"/>
                  <w:vAlign w:val="center"/>
                </w:tcPr>
                <w:p w14:paraId="1C55A5DA">
                  <w:pPr>
                    <w:pStyle w:val="38"/>
                    <w:widowControl w:val="0"/>
                    <w:spacing w:line="340" w:lineRule="exact"/>
                    <w:ind w:firstLine="0" w:firstLineChars="0"/>
                    <w:rPr>
                      <w:rFonts w:hint="default" w:ascii="Times New Roman" w:hAnsi="Times New Roman" w:eastAsia="宋体" w:cs="Times New Roman"/>
                      <w:color w:val="auto"/>
                      <w:kern w:val="2"/>
                      <w:sz w:val="21"/>
                      <w:szCs w:val="21"/>
                      <w:lang w:val="en-US" w:eastAsia="zh-CN" w:bidi="ar-SA"/>
                    </w:rPr>
                  </w:pPr>
                  <w:r>
                    <w:rPr>
                      <w:color w:val="auto"/>
                      <w:sz w:val="21"/>
                      <w:szCs w:val="21"/>
                    </w:rPr>
                    <w:t>符合</w:t>
                  </w:r>
                </w:p>
              </w:tc>
            </w:tr>
            <w:tr w14:paraId="22F7E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shd w:val="clear" w:color="auto" w:fill="auto"/>
                  <w:noWrap w:val="0"/>
                  <w:vAlign w:val="center"/>
                </w:tcPr>
                <w:p w14:paraId="7EB303A7">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推动园区绿色低碳发展</w:t>
                  </w:r>
                </w:p>
              </w:tc>
              <w:tc>
                <w:tcPr>
                  <w:tcW w:w="2269" w:type="pct"/>
                  <w:shd w:val="clear" w:color="auto" w:fill="auto"/>
                  <w:noWrap w:val="0"/>
                  <w:vAlign w:val="center"/>
                </w:tcPr>
                <w:p w14:paraId="27285C48">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highlight w:val="none"/>
                    </w:rPr>
                    <w:t>探索建立企业温室气体排放管理体系，加大清洁高效可循环生产工艺、节能降碳及二氧化碳循环利用技术、化石能源清洁开发转化与利用技术等低碳技术创新应用和低碳产业开发力度，进一步挖掘项目减排潜力，提高资源能源利用效率，强化大气污染物和二氧化碳协同减排，推动园区的绿色低碳发展</w:t>
                  </w:r>
                </w:p>
              </w:tc>
              <w:tc>
                <w:tcPr>
                  <w:tcW w:w="1651" w:type="pct"/>
                  <w:shd w:val="clear" w:color="auto" w:fill="auto"/>
                  <w:noWrap w:val="0"/>
                  <w:vAlign w:val="center"/>
                </w:tcPr>
                <w:p w14:paraId="13E254EC">
                  <w:pPr>
                    <w:pStyle w:val="94"/>
                    <w:tabs>
                      <w:tab w:val="right" w:pos="8502"/>
                      <w:tab w:val="right" w:pos="8802"/>
                    </w:tabs>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lang w:eastAsia="zh-CN"/>
                    </w:rPr>
                    <w:t>项目使用市政供应的水、电等清洁能源</w:t>
                  </w:r>
                  <w:r>
                    <w:rPr>
                      <w:rFonts w:hint="eastAsia" w:ascii="Times New Roman" w:hAnsi="Times New Roman" w:eastAsia="宋体" w:cs="Times New Roman"/>
                      <w:color w:val="auto"/>
                      <w:highlight w:val="none"/>
                      <w:lang w:eastAsia="zh-CN"/>
                    </w:rPr>
                    <w:t>，</w:t>
                  </w:r>
                  <w:r>
                    <w:rPr>
                      <w:rFonts w:hint="eastAsia" w:cs="Times New Roman"/>
                      <w:color w:val="auto"/>
                      <w:sz w:val="21"/>
                      <w:szCs w:val="21"/>
                      <w:highlight w:val="none"/>
                      <w:lang w:val="en-US" w:eastAsia="zh-CN"/>
                    </w:rPr>
                    <w:t>所使用蒸汽</w:t>
                  </w:r>
                  <w:r>
                    <w:rPr>
                      <w:rFonts w:hint="default" w:ascii="Times New Roman" w:hAnsi="Times New Roman" w:eastAsia="宋体" w:cs="Times New Roman"/>
                      <w:color w:val="auto"/>
                      <w:sz w:val="21"/>
                      <w:szCs w:val="21"/>
                      <w:highlight w:val="none"/>
                      <w:u w:val="none"/>
                      <w:vertAlign w:val="baseline"/>
                      <w:lang w:val="en-US" w:eastAsia="zh-CN"/>
                    </w:rPr>
                    <w:t>由国电福州发电有限公司供应</w:t>
                  </w:r>
                  <w:r>
                    <w:rPr>
                      <w:rFonts w:hint="eastAsia" w:ascii="Times New Roman" w:hAnsi="Times New Roman" w:cs="Times New Roman"/>
                      <w:color w:val="auto"/>
                      <w:sz w:val="21"/>
                      <w:szCs w:val="21"/>
                      <w:highlight w:val="none"/>
                      <w:u w:val="none"/>
                      <w:vertAlign w:val="baseline"/>
                      <w:lang w:val="en-US" w:eastAsia="zh-CN"/>
                    </w:rPr>
                    <w:t>，</w:t>
                  </w:r>
                  <w:r>
                    <w:rPr>
                      <w:rFonts w:hint="eastAsia" w:ascii="Times New Roman" w:hAnsi="Times New Roman" w:eastAsia="宋体" w:cs="Times New Roman"/>
                      <w:color w:val="auto"/>
                      <w:highlight w:val="none"/>
                      <w:lang w:val="en-US" w:eastAsia="zh-CN"/>
                    </w:rPr>
                    <w:t>不涉及使用化石能源</w:t>
                  </w:r>
                  <w:r>
                    <w:rPr>
                      <w:rFonts w:hint="eastAsia" w:ascii="Times New Roman" w:hAnsi="Times New Roman" w:eastAsia="宋体" w:cs="Times New Roman"/>
                      <w:color w:val="auto"/>
                      <w:highlight w:val="none"/>
                      <w:lang w:eastAsia="zh-CN"/>
                    </w:rPr>
                    <w:t>。</w:t>
                  </w:r>
                </w:p>
              </w:tc>
              <w:tc>
                <w:tcPr>
                  <w:tcW w:w="545" w:type="pct"/>
                  <w:noWrap w:val="0"/>
                  <w:vAlign w:val="center"/>
                </w:tcPr>
                <w:p w14:paraId="277C6A9E">
                  <w:pPr>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7FD22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shd w:val="clear" w:color="auto" w:fill="auto"/>
                  <w:vAlign w:val="center"/>
                </w:tcPr>
                <w:p w14:paraId="0A961F10">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做好环境风险防控和应急保障体系建设</w:t>
                  </w:r>
                </w:p>
              </w:tc>
              <w:tc>
                <w:tcPr>
                  <w:tcW w:w="2269" w:type="pct"/>
                  <w:shd w:val="clear" w:color="auto" w:fill="auto"/>
                  <w:vAlign w:val="center"/>
                </w:tcPr>
                <w:p w14:paraId="271BA31E">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园区应建立环境监控中心、应急指挥中心，完善化工片区有毒有害气体环境风险预警体系建设、环境风险防控工程和环境应急保障体系。分片区设置足够容积的公共环境事故应急池及导流系统，确保事故废水的安全、有效输送和收储。及时修订园区突发环境事件应急预案并与当地政府和相关部门的应急预案相衔接，配备充足的应急处置设施和器材，加强区域应急物资调配管理，构建区域环境风险联控机制，有效应对突发环境事件。</w:t>
                  </w:r>
                </w:p>
              </w:tc>
              <w:tc>
                <w:tcPr>
                  <w:tcW w:w="1651" w:type="pct"/>
                  <w:shd w:val="clear" w:color="auto" w:fill="auto"/>
                  <w:vAlign w:val="center"/>
                </w:tcPr>
                <w:p w14:paraId="157E0796">
                  <w:pPr>
                    <w:pStyle w:val="94"/>
                    <w:tabs>
                      <w:tab w:val="right" w:pos="8502"/>
                      <w:tab w:val="right" w:pos="8802"/>
                    </w:tabs>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主要从事</w:t>
                  </w:r>
                  <w:r>
                    <w:rPr>
                      <w:rFonts w:hint="eastAsia" w:ascii="Times New Roman" w:hAnsi="Times New Roman" w:cs="Times New Roman"/>
                      <w:color w:val="auto"/>
                      <w:highlight w:val="none"/>
                      <w:lang w:val="en-US" w:eastAsia="zh-CN"/>
                    </w:rPr>
                    <w:t>包装泡沫生产</w:t>
                  </w:r>
                  <w:r>
                    <w:rPr>
                      <w:rFonts w:hint="eastAsia" w:ascii="Times New Roman" w:hAnsi="Times New Roman" w:eastAsia="宋体" w:cs="Times New Roman"/>
                      <w:color w:val="auto"/>
                      <w:highlight w:val="none"/>
                      <w:lang w:val="en-US" w:eastAsia="zh-CN"/>
                    </w:rPr>
                    <w:t>加工，不属于化工片区化工产业，</w:t>
                  </w:r>
                </w:p>
                <w:p w14:paraId="262BD82A">
                  <w:pPr>
                    <w:pStyle w:val="94"/>
                    <w:tabs>
                      <w:tab w:val="right" w:pos="8502"/>
                      <w:tab w:val="right" w:pos="8802"/>
                    </w:tabs>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项目应</w:t>
                  </w:r>
                  <w:r>
                    <w:rPr>
                      <w:rFonts w:hint="default" w:ascii="Times New Roman" w:hAnsi="Times New Roman" w:eastAsia="宋体" w:cs="Times New Roman"/>
                      <w:color w:val="auto"/>
                      <w:highlight w:val="none"/>
                      <w:lang w:eastAsia="zh-CN"/>
                    </w:rPr>
                    <w:t>做好自身分区防渗等风险防控措施</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配备</w:t>
                  </w:r>
                  <w:r>
                    <w:rPr>
                      <w:rFonts w:hint="default" w:ascii="Times New Roman" w:hAnsi="Times New Roman" w:eastAsia="宋体" w:cs="Times New Roman"/>
                      <w:color w:val="auto"/>
                      <w:highlight w:val="none"/>
                    </w:rPr>
                    <w:t>充足的应急处置设施和器材</w:t>
                  </w:r>
                  <w:r>
                    <w:rPr>
                      <w:rFonts w:hint="default" w:ascii="Times New Roman" w:hAnsi="Times New Roman" w:eastAsia="宋体" w:cs="Times New Roman"/>
                      <w:color w:val="auto"/>
                      <w:highlight w:val="none"/>
                      <w:lang w:eastAsia="zh-CN"/>
                    </w:rPr>
                    <w:t>。</w:t>
                  </w:r>
                </w:p>
              </w:tc>
              <w:tc>
                <w:tcPr>
                  <w:tcW w:w="545" w:type="pct"/>
                </w:tcPr>
                <w:p w14:paraId="39B9A0BC">
                  <w:pPr>
                    <w:adjustRightInd w:val="0"/>
                    <w:snapToGrid w:val="0"/>
                    <w:spacing w:line="340" w:lineRule="exact"/>
                    <w:jc w:val="center"/>
                    <w:rPr>
                      <w:rFonts w:hint="default" w:ascii="Times New Roman" w:hAnsi="Times New Roman" w:eastAsia="宋体" w:cs="Times New Roman"/>
                      <w:color w:val="auto"/>
                      <w:sz w:val="21"/>
                      <w:szCs w:val="21"/>
                    </w:rPr>
                  </w:pPr>
                </w:p>
              </w:tc>
            </w:tr>
          </w:tbl>
          <w:p w14:paraId="08739C5C">
            <w:pPr>
              <w:keepNext w:val="0"/>
              <w:keepLines w:val="0"/>
              <w:pageBreakBefore w:val="0"/>
              <w:widowControl w:val="0"/>
              <w:kinsoku/>
              <w:wordWrap/>
              <w:overflowPunct/>
              <w:topLinePunct w:val="0"/>
              <w:bidi w:val="0"/>
              <w:adjustRightInd w:val="0"/>
              <w:snapToGrid w:val="0"/>
              <w:spacing w:line="360" w:lineRule="auto"/>
              <w:ind w:left="0" w:right="0" w:firstLine="512" w:firstLineChars="200"/>
              <w:jc w:val="both"/>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color w:val="auto"/>
                <w:spacing w:val="8"/>
                <w:sz w:val="24"/>
                <w:szCs w:val="24"/>
                <w:highlight w:val="none"/>
                <w:lang w:val="en-US" w:eastAsia="zh-CN"/>
              </w:rPr>
              <w:t>根据上表分析可知，本项目的建设符合《福州江阴港城经济区产业发展规划环境影响报告书》审查意见（榕环保评〔2024〕33号）中相关要求。</w:t>
            </w:r>
          </w:p>
        </w:tc>
      </w:tr>
      <w:tr w14:paraId="27BBC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456" w:type="pct"/>
            <w:noWrap w:val="0"/>
            <w:vAlign w:val="center"/>
          </w:tcPr>
          <w:p w14:paraId="5BB9792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其他符合性分析</w:t>
            </w:r>
          </w:p>
        </w:tc>
        <w:tc>
          <w:tcPr>
            <w:tcW w:w="4543" w:type="pct"/>
            <w:gridSpan w:val="5"/>
            <w:noWrap w:val="0"/>
            <w:vAlign w:val="center"/>
          </w:tcPr>
          <w:p w14:paraId="07BD2452">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rPr>
            </w:pPr>
            <w:bookmarkStart w:id="10" w:name="_Toc27398"/>
            <w:r>
              <w:rPr>
                <w:rFonts w:hint="eastAsia" w:ascii="Times New Roman" w:cs="Times New Roman"/>
                <w:b/>
                <w:color w:val="auto"/>
                <w:sz w:val="24"/>
                <w:szCs w:val="24"/>
                <w:highlight w:val="none"/>
                <w:u w:val="none"/>
                <w:lang w:val="en-US" w:eastAsia="zh-CN"/>
              </w:rPr>
              <w:t>1.</w:t>
            </w:r>
            <w:r>
              <w:rPr>
                <w:rFonts w:hint="default" w:ascii="Times New Roman" w:hAnsi="Times New Roman" w:eastAsia="宋体" w:cs="Times New Roman"/>
                <w:b/>
                <w:color w:val="auto"/>
                <w:sz w:val="24"/>
                <w:szCs w:val="24"/>
                <w:highlight w:val="none"/>
                <w:u w:val="none"/>
              </w:rPr>
              <w:t>产业政策适宜性分析</w:t>
            </w:r>
            <w:bookmarkEnd w:id="10"/>
          </w:p>
          <w:p w14:paraId="2BCFBC3A">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sz w:val="24"/>
                <w:szCs w:val="24"/>
                <w:highlight w:val="none"/>
                <w:u w:val="none"/>
              </w:rPr>
            </w:pPr>
            <w:r>
              <w:rPr>
                <w:rFonts w:hint="default" w:ascii="Times New Roman" w:hAnsi="Times New Roman" w:eastAsia="宋体" w:cs="Times New Roman"/>
                <w:color w:val="auto"/>
                <w:spacing w:val="0"/>
                <w:sz w:val="24"/>
                <w:szCs w:val="24"/>
                <w:highlight w:val="none"/>
                <w:u w:val="none"/>
              </w:rPr>
              <w:t>项目主要</w:t>
            </w:r>
            <w:r>
              <w:rPr>
                <w:rFonts w:hint="default" w:ascii="Times New Roman" w:hAnsi="Times New Roman" w:eastAsia="宋体" w:cs="Times New Roman"/>
                <w:color w:val="auto"/>
                <w:spacing w:val="0"/>
                <w:sz w:val="24"/>
                <w:szCs w:val="24"/>
                <w:highlight w:val="none"/>
                <w:u w:val="none"/>
                <w:lang w:eastAsia="zh-CN"/>
              </w:rPr>
              <w:t>从事</w:t>
            </w:r>
            <w:r>
              <w:rPr>
                <w:rFonts w:hint="eastAsia" w:cs="Times New Roman"/>
                <w:color w:val="auto"/>
                <w:sz w:val="24"/>
                <w:szCs w:val="24"/>
                <w:highlight w:val="none"/>
                <w:u w:val="none"/>
                <w:lang w:eastAsia="zh-CN"/>
              </w:rPr>
              <w:t>EPS包装泡沫</w:t>
            </w:r>
            <w:r>
              <w:rPr>
                <w:rFonts w:hint="eastAsia" w:cs="Times New Roman"/>
                <w:color w:val="auto"/>
                <w:sz w:val="24"/>
                <w:szCs w:val="24"/>
                <w:highlight w:val="none"/>
                <w:u w:val="none"/>
                <w:lang w:val="en-US" w:eastAsia="zh-CN"/>
              </w:rPr>
              <w:t>、EPP包装泡沫的</w:t>
            </w:r>
            <w:r>
              <w:rPr>
                <w:rFonts w:hint="default" w:ascii="Times New Roman" w:hAnsi="Times New Roman" w:eastAsia="宋体" w:cs="Times New Roman"/>
                <w:color w:val="auto"/>
                <w:spacing w:val="0"/>
                <w:sz w:val="24"/>
                <w:szCs w:val="24"/>
                <w:highlight w:val="none"/>
                <w:u w:val="none"/>
                <w:lang w:val="en-US" w:eastAsia="zh-CN"/>
              </w:rPr>
              <w:t>生产，</w:t>
            </w:r>
            <w:r>
              <w:rPr>
                <w:rFonts w:hint="eastAsia" w:ascii="Times New Roman" w:hAnsi="Times New Roman" w:eastAsia="宋体" w:cs="Times New Roman"/>
                <w:color w:val="auto"/>
                <w:spacing w:val="0"/>
                <w:sz w:val="24"/>
                <w:szCs w:val="24"/>
                <w:highlight w:val="none"/>
                <w:u w:val="none"/>
                <w:lang w:val="en-US" w:eastAsia="zh-CN"/>
              </w:rPr>
              <w:t>项目所采用的生产工艺、所</w:t>
            </w:r>
            <w:r>
              <w:rPr>
                <w:rFonts w:hint="eastAsia" w:cs="Times New Roman"/>
                <w:color w:val="auto"/>
                <w:spacing w:val="0"/>
                <w:sz w:val="24"/>
                <w:szCs w:val="24"/>
                <w:highlight w:val="none"/>
                <w:u w:val="none"/>
                <w:lang w:val="en-US" w:eastAsia="zh-CN"/>
              </w:rPr>
              <w:t>使用的生产加工设备均</w:t>
            </w:r>
            <w:r>
              <w:rPr>
                <w:rFonts w:hint="default" w:ascii="Times New Roman" w:hAnsi="Times New Roman" w:eastAsia="宋体" w:cs="Times New Roman"/>
                <w:color w:val="auto"/>
                <w:spacing w:val="0"/>
                <w:sz w:val="24"/>
                <w:szCs w:val="24"/>
                <w:highlight w:val="none"/>
                <w:u w:val="none"/>
              </w:rPr>
              <w:t>不属于</w:t>
            </w:r>
            <w:r>
              <w:rPr>
                <w:rFonts w:hint="eastAsia" w:cs="Times New Roman"/>
                <w:color w:val="auto"/>
                <w:spacing w:val="0"/>
                <w:sz w:val="24"/>
                <w:szCs w:val="24"/>
                <w:highlight w:val="none"/>
                <w:u w:val="none"/>
                <w:lang w:eastAsia="zh-CN"/>
              </w:rPr>
              <w:t>国家发展改革委</w:t>
            </w:r>
            <w:r>
              <w:rPr>
                <w:rFonts w:hint="default" w:ascii="Times New Roman" w:hAnsi="Times New Roman" w:eastAsia="宋体" w:cs="Times New Roman"/>
                <w:color w:val="auto"/>
                <w:spacing w:val="0"/>
                <w:sz w:val="24"/>
                <w:szCs w:val="24"/>
                <w:highlight w:val="none"/>
                <w:u w:val="none"/>
              </w:rPr>
              <w:t>《产业结构调整指导目录（2024年本）》中限制</w:t>
            </w:r>
            <w:r>
              <w:rPr>
                <w:rFonts w:hint="eastAsia" w:cs="Times New Roman"/>
                <w:color w:val="auto"/>
                <w:spacing w:val="0"/>
                <w:sz w:val="24"/>
                <w:szCs w:val="24"/>
                <w:highlight w:val="none"/>
                <w:u w:val="none"/>
                <w:lang w:val="en-US" w:eastAsia="zh-CN"/>
              </w:rPr>
              <w:t>类</w:t>
            </w:r>
            <w:r>
              <w:rPr>
                <w:rFonts w:hint="default" w:ascii="Times New Roman" w:hAnsi="Times New Roman" w:eastAsia="宋体" w:cs="Times New Roman"/>
                <w:color w:val="auto"/>
                <w:spacing w:val="0"/>
                <w:sz w:val="24"/>
                <w:szCs w:val="24"/>
                <w:highlight w:val="none"/>
                <w:u w:val="none"/>
              </w:rPr>
              <w:t>和淘汰类的项目，</w:t>
            </w:r>
            <w:r>
              <w:rPr>
                <w:rFonts w:hint="default" w:ascii="Times New Roman" w:hAnsi="Times New Roman" w:eastAsia="宋体" w:cs="Times New Roman"/>
                <w:color w:val="auto"/>
                <w:spacing w:val="0"/>
                <w:sz w:val="24"/>
                <w:szCs w:val="24"/>
                <w:highlight w:val="none"/>
                <w:u w:val="none"/>
                <w:lang w:eastAsia="zh-CN"/>
              </w:rPr>
              <w:t>属于允许类</w:t>
            </w:r>
            <w:r>
              <w:rPr>
                <w:rFonts w:hint="eastAsia" w:cs="Times New Roman"/>
                <w:color w:val="auto"/>
                <w:spacing w:val="0"/>
                <w:sz w:val="24"/>
                <w:szCs w:val="24"/>
                <w:highlight w:val="none"/>
                <w:u w:val="none"/>
                <w:lang w:eastAsia="zh-CN"/>
              </w:rPr>
              <w:t>且</w:t>
            </w:r>
            <w:r>
              <w:rPr>
                <w:rFonts w:hint="default" w:ascii="Times New Roman" w:hAnsi="Times New Roman" w:eastAsia="宋体" w:cs="Times New Roman"/>
                <w:color w:val="auto"/>
                <w:spacing w:val="0"/>
                <w:sz w:val="24"/>
                <w:szCs w:val="24"/>
                <w:highlight w:val="none"/>
                <w:u w:val="none"/>
              </w:rPr>
              <w:t>该项目于</w:t>
            </w:r>
            <w:r>
              <w:rPr>
                <w:rFonts w:hint="default" w:ascii="Times New Roman" w:hAnsi="Times New Roman" w:eastAsia="宋体" w:cs="Times New Roman"/>
                <w:color w:val="auto"/>
                <w:spacing w:val="0"/>
                <w:sz w:val="24"/>
                <w:szCs w:val="24"/>
                <w:highlight w:val="none"/>
                <w:u w:val="none"/>
                <w:lang w:val="en-US" w:eastAsia="zh-CN"/>
              </w:rPr>
              <w:t>202</w:t>
            </w:r>
            <w:r>
              <w:rPr>
                <w:rFonts w:hint="eastAsia" w:cs="Times New Roman"/>
                <w:color w:val="auto"/>
                <w:spacing w:val="0"/>
                <w:sz w:val="24"/>
                <w:szCs w:val="24"/>
                <w:highlight w:val="none"/>
                <w:u w:val="none"/>
                <w:lang w:val="en-US" w:eastAsia="zh-CN"/>
              </w:rPr>
              <w:t>6</w:t>
            </w:r>
            <w:r>
              <w:rPr>
                <w:rFonts w:hint="default" w:ascii="Times New Roman" w:hAnsi="Times New Roman" w:eastAsia="宋体" w:cs="Times New Roman"/>
                <w:color w:val="auto"/>
                <w:spacing w:val="0"/>
                <w:sz w:val="24"/>
                <w:szCs w:val="24"/>
                <w:highlight w:val="none"/>
                <w:u w:val="none"/>
                <w:lang w:val="en-US" w:eastAsia="zh-CN"/>
              </w:rPr>
              <w:t>年</w:t>
            </w:r>
            <w:r>
              <w:rPr>
                <w:rFonts w:hint="eastAsia" w:cs="Times New Roman"/>
                <w:color w:val="auto"/>
                <w:spacing w:val="0"/>
                <w:sz w:val="24"/>
                <w:szCs w:val="24"/>
                <w:highlight w:val="none"/>
                <w:u w:val="none"/>
                <w:lang w:val="en-US" w:eastAsia="zh-CN"/>
              </w:rPr>
              <w:t>02</w:t>
            </w:r>
            <w:r>
              <w:rPr>
                <w:rFonts w:hint="default" w:ascii="Times New Roman" w:hAnsi="Times New Roman" w:eastAsia="宋体" w:cs="Times New Roman"/>
                <w:color w:val="auto"/>
                <w:spacing w:val="0"/>
                <w:sz w:val="24"/>
                <w:szCs w:val="24"/>
                <w:highlight w:val="none"/>
                <w:u w:val="none"/>
                <w:lang w:val="en-US" w:eastAsia="zh-CN"/>
              </w:rPr>
              <w:t>月</w:t>
            </w:r>
            <w:r>
              <w:rPr>
                <w:rFonts w:hint="eastAsia" w:cs="Times New Roman"/>
                <w:color w:val="auto"/>
                <w:spacing w:val="0"/>
                <w:sz w:val="24"/>
                <w:szCs w:val="24"/>
                <w:highlight w:val="none"/>
                <w:u w:val="none"/>
                <w:lang w:val="en-US" w:eastAsia="zh-CN"/>
              </w:rPr>
              <w:t>04</w:t>
            </w:r>
            <w:r>
              <w:rPr>
                <w:rFonts w:hint="default" w:ascii="Times New Roman" w:hAnsi="Times New Roman" w:eastAsia="宋体" w:cs="Times New Roman"/>
                <w:color w:val="auto"/>
                <w:spacing w:val="0"/>
                <w:sz w:val="24"/>
                <w:szCs w:val="24"/>
                <w:highlight w:val="none"/>
                <w:u w:val="none"/>
                <w:lang w:val="en-US" w:eastAsia="zh-CN"/>
              </w:rPr>
              <w:t>日</w:t>
            </w:r>
            <w:r>
              <w:rPr>
                <w:rFonts w:hint="default" w:ascii="Times New Roman" w:hAnsi="Times New Roman" w:eastAsia="宋体" w:cs="Times New Roman"/>
                <w:color w:val="auto"/>
                <w:spacing w:val="0"/>
                <w:sz w:val="24"/>
                <w:szCs w:val="24"/>
                <w:highlight w:val="none"/>
                <w:u w:val="none"/>
              </w:rPr>
              <w:t>通过了</w:t>
            </w:r>
            <w:r>
              <w:rPr>
                <w:rFonts w:hint="default" w:ascii="Times New Roman" w:hAnsi="Times New Roman" w:eastAsia="宋体" w:cs="Times New Roman"/>
                <w:color w:val="auto"/>
                <w:spacing w:val="0"/>
                <w:sz w:val="24"/>
                <w:szCs w:val="24"/>
                <w:highlight w:val="none"/>
                <w:u w:val="none"/>
                <w:lang w:eastAsia="zh-CN"/>
              </w:rPr>
              <w:t>福清市</w:t>
            </w:r>
            <w:r>
              <w:rPr>
                <w:rFonts w:hint="eastAsia" w:cs="Times New Roman"/>
                <w:color w:val="auto"/>
                <w:spacing w:val="0"/>
                <w:sz w:val="24"/>
                <w:szCs w:val="24"/>
                <w:highlight w:val="none"/>
                <w:u w:val="none"/>
                <w:lang w:val="en-US" w:eastAsia="zh-CN"/>
              </w:rPr>
              <w:t>工业和信息化</w:t>
            </w:r>
            <w:r>
              <w:rPr>
                <w:rFonts w:hint="default" w:ascii="Times New Roman" w:hAnsi="Times New Roman" w:eastAsia="宋体" w:cs="Times New Roman"/>
                <w:color w:val="auto"/>
                <w:spacing w:val="0"/>
                <w:sz w:val="24"/>
                <w:szCs w:val="24"/>
                <w:highlight w:val="none"/>
                <w:u w:val="none"/>
                <w:lang w:eastAsia="zh-CN"/>
              </w:rPr>
              <w:t>局</w:t>
            </w:r>
            <w:r>
              <w:rPr>
                <w:rFonts w:hint="default" w:ascii="Times New Roman" w:hAnsi="Times New Roman" w:eastAsia="宋体" w:cs="Times New Roman"/>
                <w:color w:val="auto"/>
                <w:spacing w:val="0"/>
                <w:sz w:val="24"/>
                <w:szCs w:val="24"/>
                <w:highlight w:val="none"/>
                <w:u w:val="none"/>
              </w:rPr>
              <w:t>的备案(</w:t>
            </w:r>
            <w:r>
              <w:rPr>
                <w:rFonts w:hint="default" w:ascii="Times New Roman" w:hAnsi="Times New Roman" w:eastAsia="宋体" w:cs="Times New Roman"/>
                <w:color w:val="auto"/>
                <w:sz w:val="24"/>
                <w:szCs w:val="24"/>
                <w:highlight w:val="none"/>
                <w:u w:val="none"/>
                <w:lang w:eastAsia="zh-CN"/>
              </w:rPr>
              <w:t>闽</w:t>
            </w:r>
            <w:r>
              <w:rPr>
                <w:rFonts w:hint="eastAsia" w:cs="Times New Roman"/>
                <w:color w:val="auto"/>
                <w:sz w:val="24"/>
                <w:szCs w:val="24"/>
                <w:highlight w:val="none"/>
                <w:u w:val="none"/>
                <w:lang w:val="en-US" w:eastAsia="zh-CN"/>
              </w:rPr>
              <w:t>工信</w:t>
            </w:r>
            <w:r>
              <w:rPr>
                <w:rFonts w:hint="default" w:ascii="Times New Roman" w:hAnsi="Times New Roman" w:eastAsia="宋体" w:cs="Times New Roman"/>
                <w:color w:val="auto"/>
                <w:sz w:val="24"/>
                <w:szCs w:val="24"/>
                <w:highlight w:val="none"/>
                <w:u w:val="none"/>
                <w:lang w:eastAsia="zh-CN"/>
              </w:rPr>
              <w:t>备</w:t>
            </w:r>
            <w:r>
              <w:rPr>
                <w:rFonts w:hint="eastAsia" w:cs="Times New Roman"/>
                <w:color w:val="auto"/>
                <w:sz w:val="24"/>
                <w:szCs w:val="24"/>
                <w:highlight w:val="none"/>
                <w:u w:val="none"/>
                <w:lang w:eastAsia="zh-CN"/>
              </w:rPr>
              <w:t>〔202</w:t>
            </w:r>
            <w:r>
              <w:rPr>
                <w:rFonts w:hint="eastAsia" w:cs="Times New Roman"/>
                <w:color w:val="auto"/>
                <w:sz w:val="24"/>
                <w:szCs w:val="24"/>
                <w:highlight w:val="none"/>
                <w:u w:val="none"/>
                <w:lang w:val="en-US" w:eastAsia="zh-CN"/>
              </w:rPr>
              <w:t>6</w:t>
            </w:r>
            <w:r>
              <w:rPr>
                <w:rFonts w:hint="eastAsia"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A06</w:t>
            </w:r>
            <w:r>
              <w:rPr>
                <w:rFonts w:hint="eastAsia" w:cs="Times New Roman"/>
                <w:color w:val="auto"/>
                <w:sz w:val="24"/>
                <w:szCs w:val="24"/>
                <w:highlight w:val="none"/>
                <w:u w:val="none"/>
                <w:lang w:val="en-US" w:eastAsia="zh-CN"/>
              </w:rPr>
              <w:t>00111</w:t>
            </w:r>
            <w:r>
              <w:rPr>
                <w:rFonts w:hint="default" w:ascii="Times New Roman" w:hAnsi="Times New Roman" w:eastAsia="宋体" w:cs="Times New Roman"/>
                <w:color w:val="auto"/>
                <w:sz w:val="24"/>
                <w:szCs w:val="24"/>
                <w:highlight w:val="none"/>
                <w:u w:val="none"/>
                <w:lang w:eastAsia="zh-CN"/>
              </w:rPr>
              <w:t>号，</w:t>
            </w:r>
            <w:r>
              <w:rPr>
                <w:rFonts w:hint="eastAsia" w:cs="Times New Roman"/>
                <w:color w:val="auto"/>
                <w:sz w:val="24"/>
                <w:szCs w:val="24"/>
                <w:highlight w:val="none"/>
                <w:u w:val="none"/>
                <w:lang w:val="en-US" w:eastAsia="zh-CN"/>
              </w:rPr>
              <w:t>（备案表</w:t>
            </w:r>
            <w:r>
              <w:rPr>
                <w:rFonts w:hint="default" w:ascii="Times New Roman" w:hAnsi="Times New Roman" w:eastAsia="宋体" w:cs="Times New Roman"/>
                <w:color w:val="auto"/>
                <w:spacing w:val="0"/>
                <w:sz w:val="24"/>
                <w:szCs w:val="24"/>
                <w:highlight w:val="none"/>
                <w:u w:val="none"/>
              </w:rPr>
              <w:t>详见</w:t>
            </w:r>
            <w:r>
              <w:rPr>
                <w:rFonts w:hint="default" w:ascii="Times New Roman" w:hAnsi="Times New Roman" w:eastAsia="宋体" w:cs="Times New Roman"/>
                <w:b/>
                <w:bCs/>
                <w:color w:val="auto"/>
                <w:spacing w:val="0"/>
                <w:sz w:val="24"/>
                <w:szCs w:val="24"/>
                <w:highlight w:val="none"/>
                <w:u w:val="none"/>
              </w:rPr>
              <w:t>附件</w:t>
            </w:r>
            <w:r>
              <w:rPr>
                <w:rFonts w:hint="eastAsia" w:cs="Times New Roman"/>
                <w:b/>
                <w:bCs/>
                <w:color w:val="auto"/>
                <w:spacing w:val="0"/>
                <w:sz w:val="24"/>
                <w:szCs w:val="24"/>
                <w:highlight w:val="none"/>
                <w:u w:val="none"/>
                <w:lang w:val="en-US" w:eastAsia="zh-CN"/>
              </w:rPr>
              <w:t>六</w:t>
            </w:r>
            <w:r>
              <w:rPr>
                <w:rFonts w:hint="eastAsia" w:cs="Times New Roman"/>
                <w:b w:val="0"/>
                <w:bCs w:val="0"/>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rPr>
              <w:t>，因此项目的建设内容符合当前国家</w:t>
            </w:r>
            <w:r>
              <w:rPr>
                <w:rFonts w:hint="default" w:ascii="Times New Roman" w:hAnsi="Times New Roman" w:eastAsia="宋体" w:cs="Times New Roman"/>
                <w:color w:val="auto"/>
                <w:spacing w:val="0"/>
                <w:sz w:val="24"/>
                <w:szCs w:val="24"/>
                <w:highlight w:val="none"/>
                <w:u w:val="none"/>
                <w:lang w:eastAsia="zh-CN"/>
              </w:rPr>
              <w:t>和地方</w:t>
            </w:r>
            <w:r>
              <w:rPr>
                <w:rFonts w:hint="default" w:ascii="Times New Roman" w:hAnsi="Times New Roman" w:eastAsia="宋体" w:cs="Times New Roman"/>
                <w:color w:val="auto"/>
                <w:spacing w:val="0"/>
                <w:sz w:val="24"/>
                <w:szCs w:val="24"/>
                <w:highlight w:val="none"/>
                <w:u w:val="none"/>
              </w:rPr>
              <w:t>的产业政策。</w:t>
            </w:r>
          </w:p>
          <w:p w14:paraId="77BC4E4B">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1" w:name="_Toc12021"/>
            <w:r>
              <w:rPr>
                <w:rFonts w:hint="eastAsia" w:ascii="Times New Roman" w:cs="Times New Roman"/>
                <w:b/>
                <w:color w:val="auto"/>
                <w:sz w:val="24"/>
                <w:szCs w:val="24"/>
                <w:highlight w:val="none"/>
                <w:u w:val="none"/>
                <w:lang w:val="en-US" w:eastAsia="zh-CN"/>
              </w:rPr>
              <w:t>2.生态环境分区管控</w:t>
            </w:r>
            <w:r>
              <w:rPr>
                <w:rFonts w:hint="default" w:ascii="Times New Roman" w:hAnsi="Times New Roman" w:eastAsia="宋体" w:cs="Times New Roman"/>
                <w:b/>
                <w:color w:val="auto"/>
                <w:sz w:val="24"/>
                <w:szCs w:val="24"/>
                <w:highlight w:val="none"/>
                <w:u w:val="none"/>
                <w:lang w:val="en-US" w:eastAsia="zh-CN"/>
              </w:rPr>
              <w:t>控制要求的符合性分析</w:t>
            </w:r>
            <w:bookmarkEnd w:id="11"/>
          </w:p>
          <w:p w14:paraId="27B57F83">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根据《关于以改善环境质量为核心加强环境影响评价管理的通知》</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环评〔2016〕150号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即：</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生态保护红线、环境质量底线、资源利用上线和生态环境准入清单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，项目建设应强化</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约束作用。</w:t>
            </w:r>
          </w:p>
          <w:p w14:paraId="60324224">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1</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w:t>
            </w:r>
          </w:p>
          <w:p w14:paraId="3021552D">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对照《福建省生态</w:t>
            </w:r>
            <w:r>
              <w:rPr>
                <w:rFonts w:hint="default" w:ascii="Times New Roman" w:hAnsi="Times New Roman" w:eastAsia="宋体" w:cs="Times New Roman"/>
                <w:color w:val="auto"/>
                <w:spacing w:val="0"/>
                <w:w w:val="100"/>
                <w:position w:val="0"/>
                <w:sz w:val="24"/>
                <w:szCs w:val="24"/>
                <w:highlight w:val="none"/>
                <w:u w:val="none"/>
              </w:rPr>
              <w:t>保护红线划定方案》及其调整方案</w:t>
            </w:r>
            <w:r>
              <w:rPr>
                <w:rFonts w:hint="default" w:ascii="Times New Roman" w:hAnsi="Times New Roman" w:eastAsia="宋体" w:cs="Times New Roman"/>
                <w:color w:val="auto"/>
                <w:spacing w:val="0"/>
                <w:w w:val="100"/>
                <w:position w:val="0"/>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GB"/>
              </w:rPr>
              <w:t>《福清市生态功能区划》</w:t>
            </w:r>
            <w:r>
              <w:rPr>
                <w:rFonts w:hint="eastAsia"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GB"/>
              </w:rPr>
              <w:t>2003年</w:t>
            </w:r>
            <w:r>
              <w:rPr>
                <w:rFonts w:hint="eastAsia"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pacing w:val="0"/>
                <w:w w:val="100"/>
                <w:position w:val="0"/>
                <w:sz w:val="24"/>
                <w:szCs w:val="24"/>
                <w:highlight w:val="none"/>
                <w:u w:val="none"/>
              </w:rPr>
              <w:t>，本项目位于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pacing w:val="0"/>
                <w:w w:val="100"/>
                <w:position w:val="0"/>
                <w:sz w:val="24"/>
                <w:szCs w:val="24"/>
                <w:highlight w:val="none"/>
                <w:u w:val="none"/>
              </w:rPr>
              <w:t>。项目周边无国家公园</w:t>
            </w:r>
            <w:r>
              <w:rPr>
                <w:rFonts w:hint="default" w:ascii="Times New Roman" w:hAnsi="Times New Roman" w:eastAsia="宋体" w:cs="Times New Roman"/>
                <w:color w:val="auto"/>
                <w:spacing w:val="0"/>
                <w:w w:val="100"/>
                <w:position w:val="0"/>
                <w:sz w:val="24"/>
                <w:szCs w:val="24"/>
                <w:u w:val="none"/>
              </w:rPr>
              <w:t>、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47F5CB0E">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2</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环境质量底线</w:t>
            </w:r>
          </w:p>
          <w:p w14:paraId="30081E55">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eastAsia"/>
                <w:color w:val="auto"/>
                <w:lang w:eastAsia="zh-CN"/>
              </w:rPr>
            </w:pPr>
            <w:r>
              <w:rPr>
                <w:rFonts w:hint="default" w:ascii="Times New Roman" w:hAnsi="Times New Roman" w:eastAsia="宋体" w:cs="Times New Roman"/>
                <w:color w:val="auto"/>
                <w:spacing w:val="0"/>
                <w:w w:val="100"/>
                <w:position w:val="0"/>
                <w:sz w:val="24"/>
                <w:szCs w:val="24"/>
                <w:u w:val="none"/>
                <w:lang w:eastAsia="zh-CN"/>
              </w:rPr>
              <w:t>项目所在区域环境质量底线：环境空气质量目标为</w:t>
            </w:r>
            <w:r>
              <w:rPr>
                <w:rFonts w:hint="default" w:ascii="Times New Roman" w:hAnsi="Times New Roman" w:cs="Times New Roman"/>
                <w:color w:val="auto"/>
                <w:lang w:eastAsia="zh-CN"/>
              </w:rPr>
              <w:t>《环境空气质量标准》（GB3095-20</w:t>
            </w:r>
            <w:r>
              <w:rPr>
                <w:rFonts w:hint="eastAsia" w:ascii="Times New Roman" w:hAnsi="Times New Roman" w:cs="Times New Roman"/>
                <w:color w:val="auto"/>
                <w:lang w:val="en-US" w:eastAsia="zh-CN"/>
              </w:rPr>
              <w:t>26</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中过度阶段浓度限值</w:t>
            </w:r>
            <w:r>
              <w:rPr>
                <w:rFonts w:hint="default" w:ascii="Times New Roman" w:hAnsi="Times New Roman" w:cs="Times New Roman"/>
                <w:color w:val="auto"/>
                <w:lang w:eastAsia="zh-CN"/>
              </w:rPr>
              <w:t>二级</w:t>
            </w:r>
            <w:r>
              <w:rPr>
                <w:rFonts w:hint="eastAsia" w:ascii="Times New Roman" w:hAnsi="Times New Roman" w:cs="Times New Roman"/>
                <w:color w:val="auto"/>
                <w:lang w:eastAsia="zh-CN"/>
              </w:rPr>
              <w:t>标准</w:t>
            </w:r>
            <w:r>
              <w:rPr>
                <w:rFonts w:hint="default" w:ascii="Times New Roman" w:hAnsi="Times New Roman" w:eastAsia="宋体" w:cs="Times New Roman"/>
                <w:color w:val="auto"/>
                <w:spacing w:val="0"/>
                <w:w w:val="100"/>
                <w:position w:val="0"/>
                <w:sz w:val="24"/>
                <w:szCs w:val="24"/>
                <w:u w:val="none"/>
                <w:lang w:eastAsia="zh-CN"/>
              </w:rPr>
              <w:t>；</w:t>
            </w:r>
            <w:r>
              <w:rPr>
                <w:rFonts w:hint="eastAsia" w:ascii="Times New Roman" w:hAnsi="Times New Roman" w:eastAsia="宋体" w:cs="Times New Roman"/>
                <w:color w:val="auto"/>
                <w:spacing w:val="0"/>
                <w:w w:val="100"/>
                <w:position w:val="0"/>
                <w:sz w:val="24"/>
                <w:szCs w:val="24"/>
                <w:u w:val="none"/>
                <w:lang w:eastAsia="zh-CN"/>
              </w:rPr>
              <w:t>周边</w:t>
            </w:r>
            <w:r>
              <w:rPr>
                <w:rFonts w:hint="eastAsia" w:ascii="Times New Roman" w:hAnsi="Times New Roman" w:eastAsia="宋体" w:cs="Times New Roman"/>
                <w:color w:val="auto"/>
                <w:spacing w:val="0"/>
                <w:w w:val="100"/>
                <w:position w:val="0"/>
                <w:sz w:val="24"/>
                <w:szCs w:val="24"/>
                <w:u w:val="none"/>
                <w:lang w:val="en-US" w:eastAsia="zh-CN"/>
              </w:rPr>
              <w:t>兴化湾江阴半岛西部海域，根据《</w:t>
            </w:r>
            <w:r>
              <w:rPr>
                <w:rFonts w:hint="default" w:ascii="Times New Roman" w:hAnsi="Times New Roman" w:eastAsia="宋体" w:cs="Times New Roman"/>
                <w:color w:val="auto"/>
                <w:spacing w:val="0"/>
                <w:w w:val="100"/>
                <w:position w:val="0"/>
                <w:sz w:val="24"/>
                <w:szCs w:val="24"/>
                <w:u w:val="none"/>
                <w:lang w:val="en-US" w:eastAsia="zh-CN"/>
              </w:rPr>
              <w:t>福建省近岸海域环境功能区划（修编）》（闽政</w:t>
            </w:r>
            <w:r>
              <w:rPr>
                <w:rFonts w:hint="eastAsia" w:ascii="Times New Roman" w:hAnsi="Times New Roman" w:cs="Times New Roman"/>
                <w:color w:val="auto"/>
                <w:spacing w:val="0"/>
                <w:w w:val="100"/>
                <w:position w:val="0"/>
                <w:sz w:val="24"/>
                <w:szCs w:val="24"/>
                <w:u w:val="none"/>
                <w:lang w:val="en-US" w:eastAsia="zh-CN"/>
              </w:rPr>
              <w:t>〔2011〕45号</w:t>
            </w:r>
            <w:r>
              <w:rPr>
                <w:rFonts w:hint="default" w:ascii="Times New Roman" w:hAnsi="Times New Roman" w:eastAsia="宋体" w:cs="Times New Roman"/>
                <w:color w:val="auto"/>
                <w:spacing w:val="0"/>
                <w:w w:val="100"/>
                <w:position w:val="0"/>
                <w:sz w:val="24"/>
                <w:szCs w:val="24"/>
                <w:u w:val="none"/>
                <w:lang w:val="en-US" w:eastAsia="zh-CN"/>
              </w:rPr>
              <w:t>），兴化湾江阴西部海域为二类环境功能区，海水水质执行《海水水质标准》（GB3097-1997）第二类标准，适用于水产养殖区，海水浴场，人体直接接触海水的海上运动或娱乐区，以及与人类食用直接有关的工业用水区</w:t>
            </w:r>
            <w:r>
              <w:rPr>
                <w:rFonts w:hint="eastAsia" w:ascii="Times New Roman" w:hAnsi="Times New Roman" w:eastAsia="宋体" w:cs="Times New Roman"/>
                <w:color w:val="auto"/>
                <w:spacing w:val="0"/>
                <w:w w:val="100"/>
                <w:position w:val="0"/>
                <w:sz w:val="24"/>
                <w:szCs w:val="24"/>
                <w:highlight w:val="none"/>
                <w:u w:val="none"/>
                <w:lang w:val="en-US" w:eastAsia="zh-CN"/>
              </w:rPr>
              <w:t>（详见</w:t>
            </w:r>
            <w:r>
              <w:rPr>
                <w:rFonts w:hint="eastAsia" w:ascii="Times New Roman" w:hAnsi="Times New Roman" w:eastAsia="宋体" w:cs="Times New Roman"/>
                <w:b/>
                <w:bCs/>
                <w:color w:val="auto"/>
                <w:spacing w:val="0"/>
                <w:w w:val="100"/>
                <w:position w:val="0"/>
                <w:sz w:val="24"/>
                <w:szCs w:val="24"/>
                <w:highlight w:val="none"/>
                <w:u w:val="none"/>
                <w:lang w:val="en-US" w:eastAsia="zh-CN"/>
              </w:rPr>
              <w:t>附图五</w:t>
            </w:r>
            <w:r>
              <w:rPr>
                <w:rFonts w:hint="eastAsia" w:ascii="Times New Roman" w:hAnsi="Times New Roman" w:eastAsia="宋体" w:cs="Times New Roman"/>
                <w:color w:val="auto"/>
                <w:spacing w:val="0"/>
                <w:w w:val="100"/>
                <w:position w:val="0"/>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067DED1F">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w:t>
            </w:r>
            <w:r>
              <w:rPr>
                <w:rFonts w:hint="default" w:ascii="Times New Roman" w:hAnsi="Times New Roman" w:eastAsia="宋体" w:cs="Times New Roman"/>
                <w:color w:val="auto"/>
                <w:sz w:val="24"/>
                <w:szCs w:val="24"/>
                <w:u w:val="none"/>
                <w:vertAlign w:val="baseline"/>
                <w:lang w:eastAsia="zh-CN"/>
              </w:rPr>
              <w:t>运营期</w:t>
            </w:r>
            <w:r>
              <w:rPr>
                <w:rFonts w:hint="eastAsia" w:cs="Times New Roman"/>
                <w:color w:val="auto"/>
                <w:sz w:val="24"/>
                <w:szCs w:val="24"/>
                <w:u w:val="none"/>
                <w:vertAlign w:val="baseline"/>
                <w:lang w:val="en-US" w:eastAsia="zh-CN"/>
              </w:rPr>
              <w:t>生产废水为模具冷却水及蒸汽冷凝水经“</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s="Times New Roman"/>
                <w:color w:val="auto"/>
                <w:sz w:val="24"/>
                <w:szCs w:val="24"/>
                <w:u w:val="none"/>
                <w:vertAlign w:val="baseline"/>
                <w:lang w:val="en-US" w:eastAsia="zh-CN"/>
              </w:rPr>
              <w:t>处理后循环使用不外排。因此本项目无生产废水排放。</w:t>
            </w:r>
            <w:r>
              <w:rPr>
                <w:rFonts w:hint="eastAsia" w:cs="Times New Roman"/>
                <w:color w:val="auto"/>
                <w:spacing w:val="0"/>
                <w:sz w:val="24"/>
                <w:szCs w:val="24"/>
                <w:highlight w:val="none"/>
                <w:u w:val="none"/>
                <w:lang w:val="en-US" w:eastAsia="zh-CN"/>
              </w:rPr>
              <w:t>生活污水依托出租方（福建力峰机械实业有限公司）现有化粪池</w:t>
            </w:r>
            <w:r>
              <w:rPr>
                <w:rFonts w:hint="eastAsia" w:ascii="Times New Roman" w:hAnsi="Times New Roman" w:eastAsia="宋体" w:cs="Times New Roman"/>
                <w:color w:val="auto"/>
                <w:spacing w:val="0"/>
                <w:sz w:val="24"/>
                <w:szCs w:val="24"/>
                <w:highlight w:val="none"/>
                <w:u w:val="none"/>
                <w:lang w:eastAsia="zh-CN"/>
              </w:rPr>
              <w:t>处理达标</w:t>
            </w:r>
            <w:r>
              <w:rPr>
                <w:rFonts w:hint="default" w:ascii="Times New Roman" w:hAnsi="Times New Roman" w:eastAsia="宋体" w:cs="Times New Roman"/>
                <w:color w:val="auto"/>
                <w:spacing w:val="0"/>
                <w:sz w:val="24"/>
                <w:szCs w:val="24"/>
                <w:highlight w:val="none"/>
                <w:u w:val="none"/>
                <w:lang w:eastAsia="zh-CN"/>
              </w:rPr>
              <w:t>后，</w:t>
            </w:r>
            <w:r>
              <w:rPr>
                <w:rFonts w:hint="eastAsia" w:ascii="Times New Roman" w:hAnsi="Times New Roman" w:eastAsia="宋体" w:cs="Times New Roman"/>
                <w:color w:val="auto"/>
                <w:spacing w:val="0"/>
                <w:sz w:val="24"/>
                <w:szCs w:val="24"/>
                <w:highlight w:val="none"/>
                <w:u w:val="none"/>
                <w:lang w:eastAsia="zh-CN"/>
              </w:rPr>
              <w:t>接入市政污水管网，纳入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pacing w:val="0"/>
                <w:sz w:val="24"/>
                <w:szCs w:val="24"/>
                <w:highlight w:val="none"/>
                <w:u w:val="none"/>
                <w:lang w:eastAsia="zh-CN"/>
              </w:rPr>
              <w:t>进行</w:t>
            </w:r>
            <w:r>
              <w:rPr>
                <w:rFonts w:hint="default" w:ascii="Times New Roman" w:hAnsi="Times New Roman" w:eastAsia="宋体" w:cs="Times New Roman"/>
                <w:color w:val="auto"/>
                <w:spacing w:val="0"/>
                <w:sz w:val="24"/>
                <w:szCs w:val="24"/>
                <w:highlight w:val="none"/>
                <w:u w:val="none"/>
                <w:lang w:eastAsia="zh-CN"/>
              </w:rPr>
              <w:t>处理</w:t>
            </w:r>
            <w:r>
              <w:rPr>
                <w:rFonts w:hint="eastAsia" w:cs="Times New Roman"/>
                <w:color w:val="auto"/>
                <w:spacing w:val="0"/>
                <w:sz w:val="24"/>
                <w:szCs w:val="24"/>
                <w:highlight w:val="none"/>
                <w:u w:val="none"/>
                <w:lang w:val="en-US" w:eastAsia="zh-CN"/>
              </w:rPr>
              <w:t>后达标排放</w:t>
            </w:r>
            <w:r>
              <w:rPr>
                <w:rFonts w:hint="eastAsia" w:ascii="Times New Roman" w:hAnsi="Times New Roman" w:eastAsia="宋体" w:cs="Times New Roman"/>
                <w:color w:val="auto"/>
                <w:spacing w:val="0"/>
                <w:sz w:val="24"/>
                <w:szCs w:val="24"/>
                <w:highlight w:val="none"/>
                <w:u w:val="none"/>
                <w:lang w:eastAsia="zh-CN"/>
              </w:rPr>
              <w:t>。</w:t>
            </w:r>
            <w:r>
              <w:rPr>
                <w:rFonts w:hint="eastAsia" w:cs="Times New Roman"/>
                <w:color w:val="auto"/>
                <w:spacing w:val="0"/>
                <w:sz w:val="24"/>
                <w:szCs w:val="24"/>
                <w:highlight w:val="none"/>
                <w:u w:val="none"/>
                <w:lang w:val="en-US" w:eastAsia="zh-CN"/>
              </w:rPr>
              <w:t>所</w:t>
            </w:r>
            <w:r>
              <w:rPr>
                <w:rFonts w:hint="eastAsia" w:ascii="Times New Roman" w:hAnsi="Times New Roman" w:eastAsia="宋体" w:cs="Times New Roman"/>
                <w:color w:val="auto"/>
                <w:spacing w:val="0"/>
                <w:sz w:val="24"/>
                <w:szCs w:val="24"/>
                <w:highlight w:val="none"/>
                <w:u w:val="none"/>
                <w:lang w:eastAsia="zh-CN"/>
              </w:rPr>
              <w:t>产生废水均不直接进入水体，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5B5EA06C">
            <w:pPr>
              <w:pStyle w:val="33"/>
              <w:keepNext w:val="0"/>
              <w:keepLines w:val="0"/>
              <w:pageBreakBefore w:val="0"/>
              <w:numPr>
                <w:ilvl w:val="0"/>
                <w:numId w:val="2"/>
              </w:numPr>
              <w:wordWrap/>
              <w:overflowPunct/>
              <w:topLinePunct w:val="0"/>
              <w:bidi w:val="0"/>
              <w:adjustRightInd/>
              <w:snapToGrid/>
              <w:spacing w:line="360" w:lineRule="auto"/>
              <w:ind w:left="0" w:right="0" w:firstLine="480" w:firstLineChars="200"/>
              <w:jc w:val="left"/>
              <w:rPr>
                <w:rFonts w:hint="eastAsia" w:ascii="Times New Roman" w:hAnsi="Times New Roman" w:cs="Times New Roman"/>
                <w:color w:val="auto"/>
                <w:spacing w:val="0"/>
                <w:w w:val="100"/>
                <w:position w:val="0"/>
                <w:sz w:val="24"/>
                <w:szCs w:val="24"/>
                <w:u w:val="none"/>
                <w:lang w:val="en-US" w:eastAsia="zh-CN"/>
              </w:rPr>
            </w:pPr>
            <w:r>
              <w:rPr>
                <w:rFonts w:hint="default" w:ascii="Times New Roman" w:hAnsi="Times New Roman" w:eastAsia="宋体" w:cs="Times New Roman"/>
                <w:color w:val="auto"/>
                <w:spacing w:val="0"/>
                <w:w w:val="100"/>
                <w:position w:val="0"/>
                <w:sz w:val="24"/>
                <w:szCs w:val="24"/>
                <w:u w:val="none"/>
              </w:rPr>
              <w:t>资源利用上</w:t>
            </w:r>
            <w:r>
              <w:rPr>
                <w:rFonts w:hint="eastAsia" w:ascii="Times New Roman" w:hAnsi="Times New Roman" w:cs="Times New Roman"/>
                <w:color w:val="auto"/>
                <w:spacing w:val="0"/>
                <w:w w:val="100"/>
                <w:position w:val="0"/>
                <w:sz w:val="24"/>
                <w:szCs w:val="24"/>
                <w:u w:val="none"/>
                <w:lang w:val="en-US" w:eastAsia="zh-CN"/>
              </w:rPr>
              <w:t>线</w:t>
            </w:r>
          </w:p>
          <w:p w14:paraId="090D1073">
            <w:pPr>
              <w:pStyle w:val="33"/>
              <w:keepNext w:val="0"/>
              <w:keepLines w:val="0"/>
              <w:pageBreakBefore w:val="0"/>
              <w:numPr>
                <w:ilvl w:val="0"/>
                <w:numId w:val="0"/>
              </w:numPr>
              <w:wordWrap/>
              <w:overflowPunct/>
              <w:topLinePunct w:val="0"/>
              <w:bidi w:val="0"/>
              <w:adjustRightInd/>
              <w:snapToGrid/>
              <w:spacing w:line="360" w:lineRule="auto"/>
              <w:ind w:right="0" w:rightChars="0" w:firstLine="480" w:firstLineChars="200"/>
              <w:jc w:val="left"/>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项目用电为区域集中供应，项目的水、气等资源利用不会突破区域的资源利用</w:t>
            </w:r>
            <w:r>
              <w:rPr>
                <w:rFonts w:hint="eastAsia" w:ascii="Times New Roman" w:hAnsi="Times New Roman" w:cs="Times New Roman"/>
                <w:color w:val="auto"/>
                <w:spacing w:val="0"/>
                <w:w w:val="100"/>
                <w:position w:val="0"/>
                <w:sz w:val="24"/>
                <w:szCs w:val="24"/>
                <w:u w:val="none"/>
                <w:lang w:eastAsia="zh-CN"/>
              </w:rPr>
              <w:t>上限</w:t>
            </w:r>
            <w:r>
              <w:rPr>
                <w:rFonts w:hint="default" w:ascii="Times New Roman" w:hAnsi="Times New Roman" w:eastAsia="宋体" w:cs="Times New Roman"/>
                <w:color w:val="auto"/>
                <w:spacing w:val="0"/>
                <w:w w:val="100"/>
                <w:position w:val="0"/>
                <w:sz w:val="24"/>
                <w:szCs w:val="24"/>
                <w:u w:val="none"/>
              </w:rPr>
              <w:t>。本项目使用电能作为主要消耗能源，电能属于清洁能源。</w:t>
            </w:r>
            <w:r>
              <w:rPr>
                <w:rFonts w:hint="eastAsia"/>
                <w:color w:val="auto"/>
                <w:szCs w:val="21"/>
              </w:rPr>
              <w:t>项目资源的消耗量不大，不属于高耗能资源消耗型企业。项目建成运行后通过内部管理、设备选择、原辅材料的选用和管理、污染治理等多方面采取合理、可行、有效的防治措施，以“节能、降耗、减污”为目标，可有效控制污染及资源利用水平。项目不会突破区域资源利用</w:t>
            </w:r>
            <w:r>
              <w:rPr>
                <w:rFonts w:hint="eastAsia"/>
                <w:color w:val="auto"/>
                <w:szCs w:val="21"/>
                <w:lang w:eastAsia="zh-CN"/>
              </w:rPr>
              <w:t>上限</w:t>
            </w:r>
          </w:p>
          <w:p w14:paraId="5A28027A">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4</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环境准入负面清单</w:t>
            </w:r>
          </w:p>
          <w:p w14:paraId="6371B513">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highlight w:val="none"/>
                <w:u w:val="none"/>
                <w:lang w:eastAsia="zh-CN"/>
              </w:rPr>
            </w:pPr>
            <w:r>
              <w:rPr>
                <w:rFonts w:hint="default" w:ascii="Times New Roman" w:hAnsi="Times New Roman" w:eastAsia="宋体" w:cs="Times New Roman"/>
                <w:color w:val="auto"/>
                <w:spacing w:val="0"/>
                <w:w w:val="100"/>
                <w:position w:val="0"/>
                <w:sz w:val="24"/>
                <w:szCs w:val="24"/>
                <w:u w:val="none"/>
              </w:rPr>
              <w:t>本项目不属于《</w:t>
            </w:r>
            <w:r>
              <w:rPr>
                <w:rFonts w:hint="default" w:ascii="Times New Roman" w:hAnsi="Times New Roman" w:eastAsia="宋体" w:cs="Times New Roman"/>
                <w:color w:val="auto"/>
                <w:spacing w:val="0"/>
                <w:w w:val="100"/>
                <w:position w:val="0"/>
                <w:sz w:val="24"/>
                <w:szCs w:val="24"/>
                <w:u w:val="none"/>
                <w:lang w:eastAsia="zh-CN"/>
              </w:rPr>
              <w:t>产业结构调整指导目录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2024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eastAsia="宋体" w:cs="Times New Roman"/>
                <w:color w:val="auto"/>
                <w:spacing w:val="0"/>
                <w:w w:val="100"/>
                <w:position w:val="0"/>
                <w:sz w:val="24"/>
                <w:szCs w:val="24"/>
                <w:u w:val="none"/>
              </w:rPr>
              <w:t>》中限制</w:t>
            </w:r>
            <w:r>
              <w:rPr>
                <w:rFonts w:hint="eastAsia" w:ascii="Times New Roman" w:hAnsi="Times New Roman" w:cs="Times New Roman"/>
                <w:color w:val="auto"/>
                <w:spacing w:val="0"/>
                <w:w w:val="100"/>
                <w:position w:val="0"/>
                <w:sz w:val="24"/>
                <w:szCs w:val="24"/>
                <w:u w:val="none"/>
                <w:lang w:val="en-US" w:eastAsia="zh-CN"/>
              </w:rPr>
              <w:t>类</w:t>
            </w:r>
            <w:r>
              <w:rPr>
                <w:rFonts w:hint="default" w:ascii="Times New Roman" w:hAnsi="Times New Roman" w:eastAsia="宋体" w:cs="Times New Roman"/>
                <w:color w:val="auto"/>
                <w:spacing w:val="0"/>
                <w:w w:val="100"/>
                <w:position w:val="0"/>
                <w:sz w:val="24"/>
                <w:szCs w:val="24"/>
                <w:u w:val="none"/>
              </w:rPr>
              <w:t>或淘汰类；满足《市场准入负面清单草案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试点版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发改经体〔2016〕442号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；项目无行业准入条件；满足《福建省工业建设项目投资强度控制指标》相关要求；</w:t>
            </w:r>
            <w:r>
              <w:rPr>
                <w:rFonts w:hint="default" w:ascii="Times New Roman" w:hAnsi="Times New Roman" w:eastAsia="宋体" w:cs="Times New Roman"/>
                <w:color w:val="auto"/>
                <w:sz w:val="24"/>
                <w:szCs w:val="24"/>
                <w:u w:val="none"/>
                <w:lang w:eastAsia="zh-CN"/>
              </w:rPr>
              <w:t>项目符合国家产业政策，符合</w:t>
            </w:r>
            <w:r>
              <w:rPr>
                <w:rFonts w:hint="default" w:ascii="Times New Roman" w:hAnsi="Times New Roman" w:eastAsia="宋体" w:cs="Times New Roman"/>
                <w:color w:val="auto"/>
                <w:sz w:val="24"/>
                <w:szCs w:val="24"/>
                <w:highlight w:val="none"/>
              </w:rPr>
              <w:t>《福州市人民政府办公厅关于印发〈福州市生态环境分区管控方案（2023年更新）〉的通知》（榕政办规〔2024〕20号）及《福州市生态环境局关于发布福州市2024年生态环境分区管控动态更新成果的通知》（榕环保综〔2025〕1号）中相关</w:t>
            </w:r>
            <w:r>
              <w:rPr>
                <w:rFonts w:hint="default" w:ascii="Times New Roman" w:hAnsi="Times New Roman" w:eastAsia="宋体" w:cs="Times New Roman"/>
                <w:color w:val="auto"/>
                <w:spacing w:val="0"/>
                <w:w w:val="100"/>
                <w:position w:val="0"/>
                <w:sz w:val="24"/>
                <w:szCs w:val="24"/>
                <w:u w:val="none"/>
                <w:lang w:eastAsia="zh-CN"/>
              </w:rPr>
              <w:t>的要求；不属于《市场准入负面清单》</w:t>
            </w:r>
            <w:r>
              <w:rPr>
                <w:rFonts w:hint="eastAsia" w:ascii="Times New Roman" w:hAnsi="Times New Roman" w:cs="Times New Roman"/>
                <w:color w:val="auto"/>
                <w:spacing w:val="0"/>
                <w:w w:val="100"/>
                <w:position w:val="0"/>
                <w:sz w:val="24"/>
                <w:szCs w:val="24"/>
                <w:highlight w:val="none"/>
                <w:u w:val="none"/>
                <w:lang w:eastAsia="zh-CN"/>
              </w:rPr>
              <w:t>（</w:t>
            </w:r>
            <w:r>
              <w:rPr>
                <w:rFonts w:hint="default" w:ascii="Times New Roman" w:hAnsi="Times New Roman" w:eastAsia="宋体" w:cs="Times New Roman"/>
                <w:color w:val="auto"/>
                <w:spacing w:val="0"/>
                <w:w w:val="100"/>
                <w:position w:val="0"/>
                <w:sz w:val="24"/>
                <w:szCs w:val="24"/>
                <w:highlight w:val="none"/>
                <w:u w:val="none"/>
                <w:lang w:eastAsia="zh-CN"/>
              </w:rPr>
              <w:t>2020年版</w:t>
            </w:r>
            <w:r>
              <w:rPr>
                <w:rFonts w:hint="eastAsia" w:ascii="Times New Roman" w:hAnsi="Times New Roman" w:cs="Times New Roman"/>
                <w:color w:val="auto"/>
                <w:spacing w:val="0"/>
                <w:w w:val="100"/>
                <w:position w:val="0"/>
                <w:sz w:val="24"/>
                <w:szCs w:val="24"/>
                <w:highlight w:val="none"/>
                <w:u w:val="none"/>
                <w:lang w:eastAsia="zh-CN"/>
              </w:rPr>
              <w:t>）</w:t>
            </w:r>
            <w:r>
              <w:rPr>
                <w:rFonts w:hint="default" w:ascii="Times New Roman" w:hAnsi="Times New Roman" w:eastAsia="宋体" w:cs="Times New Roman"/>
                <w:color w:val="auto"/>
                <w:spacing w:val="0"/>
                <w:w w:val="100"/>
                <w:position w:val="0"/>
                <w:sz w:val="24"/>
                <w:szCs w:val="24"/>
                <w:highlight w:val="none"/>
                <w:u w:val="none"/>
                <w:lang w:eastAsia="zh-CN"/>
              </w:rPr>
              <w:t>中禁止准入类的项目。</w:t>
            </w:r>
          </w:p>
          <w:p w14:paraId="096EBBEA">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color w:val="auto"/>
                <w:sz w:val="24"/>
                <w:szCs w:val="24"/>
                <w:highlight w:val="none"/>
              </w:rPr>
            </w:pPr>
            <w:bookmarkStart w:id="12" w:name="_Toc24656"/>
            <w:r>
              <w:rPr>
                <w:rFonts w:hint="eastAsia" w:ascii="Times New Roman" w:cs="Times New Roman"/>
                <w:b/>
                <w:color w:val="auto"/>
                <w:sz w:val="24"/>
                <w:szCs w:val="24"/>
                <w:highlight w:val="none"/>
                <w:u w:val="none"/>
                <w:lang w:val="en-US" w:eastAsia="zh-CN"/>
              </w:rPr>
              <w:t>3.</w:t>
            </w:r>
            <w:r>
              <w:rPr>
                <w:rFonts w:hint="default" w:ascii="Times New Roman" w:hAnsi="Times New Roman" w:eastAsia="宋体" w:cs="Times New Roman"/>
                <w:b/>
                <w:color w:val="auto"/>
                <w:sz w:val="24"/>
                <w:szCs w:val="24"/>
                <w:highlight w:val="none"/>
                <w:u w:val="none"/>
                <w:lang w:val="en-US" w:eastAsia="zh-CN"/>
              </w:rPr>
              <w:t>与</w:t>
            </w:r>
            <w:r>
              <w:rPr>
                <w:rFonts w:hint="eastAsia" w:ascii="Times New Roman" w:cs="Times New Roman"/>
                <w:b/>
                <w:color w:val="auto"/>
                <w:sz w:val="24"/>
                <w:szCs w:val="24"/>
                <w:highlight w:val="none"/>
                <w:u w:val="none"/>
                <w:lang w:val="en-US" w:eastAsia="zh-CN"/>
              </w:rPr>
              <w:t>省、市生态环境分区管控要求的</w:t>
            </w:r>
            <w:r>
              <w:rPr>
                <w:rFonts w:hint="default" w:ascii="Times New Roman" w:hAnsi="Times New Roman" w:eastAsia="宋体" w:cs="Times New Roman"/>
                <w:b/>
                <w:color w:val="auto"/>
                <w:sz w:val="24"/>
                <w:szCs w:val="24"/>
                <w:highlight w:val="none"/>
                <w:u w:val="none"/>
                <w:lang w:val="en-US" w:eastAsia="zh-CN"/>
              </w:rPr>
              <w:t>符合性分析</w:t>
            </w:r>
            <w:bookmarkEnd w:id="12"/>
          </w:p>
          <w:p w14:paraId="3BEE1C82">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rPr>
              <w:t>根据《福州市人民政府办公厅关于印发〈福州市生态环境分区管控方案（2023年更新）〉的通知》（榕政办规〔2024〕20号）及《福州市生态环境局关于发布福州市2024年生态环境分区管控动态更新成果的通知》（榕环保综〔2025〕1号）中相关要求</w:t>
            </w:r>
            <w:r>
              <w:rPr>
                <w:rFonts w:hint="eastAsia" w:ascii="Times New Roman" w:hAnsi="Times New Roman"/>
                <w:color w:val="auto"/>
                <w:sz w:val="24"/>
                <w:szCs w:val="24"/>
                <w:highlight w:val="none"/>
                <w:lang w:val="en-US" w:eastAsia="zh-CN"/>
              </w:rPr>
              <w:t>以及</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《福建省生态环境分区管控综合查询报告》报告编号：</w:t>
            </w:r>
            <w:r>
              <w:rPr>
                <w:rFonts w:hint="eastAsia" w:ascii="Times New Roman" w:hAnsi="Times New Roman" w:cs="Times New Roman"/>
                <w:color w:val="auto"/>
                <w:sz w:val="24"/>
                <w:szCs w:val="24"/>
                <w:highlight w:val="none"/>
                <w:shd w:val="clear" w:color="auto" w:fill="auto"/>
                <w:lang w:val="en-US" w:eastAsia="zh-CN"/>
              </w:rPr>
              <w:t>FQGK1773727949132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 w:val="0"/>
                <w:bCs w:val="0"/>
                <w:color w:val="auto"/>
                <w:kern w:val="2"/>
                <w:sz w:val="24"/>
                <w:szCs w:val="24"/>
                <w:highlight w:val="none"/>
                <w:lang w:val="en-US" w:eastAsia="zh-CN" w:bidi="ar-SA"/>
              </w:rPr>
              <w:t>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z w:val="24"/>
                <w:szCs w:val="24"/>
                <w:highlight w:val="none"/>
                <w:lang w:val="en-US" w:eastAsia="zh-CN"/>
              </w:rPr>
              <w:t>，项目属于</w:t>
            </w:r>
            <w:r>
              <w:rPr>
                <w:rFonts w:hint="eastAsia" w:ascii="Times New Roman" w:hAnsi="Times New Roman" w:cs="Times New Roman"/>
                <w:color w:val="auto"/>
                <w:sz w:val="24"/>
                <w:szCs w:val="24"/>
                <w:highlight w:val="none"/>
                <w:lang w:val="en-US" w:eastAsia="zh-CN"/>
              </w:rPr>
              <w:t>泡沫塑料制造业</w:t>
            </w:r>
            <w:r>
              <w:rPr>
                <w:rFonts w:hint="default" w:ascii="Times New Roman" w:hAnsi="Times New Roman" w:eastAsia="宋体" w:cs="Times New Roman"/>
                <w:color w:val="auto"/>
                <w:sz w:val="24"/>
                <w:szCs w:val="24"/>
                <w:highlight w:val="none"/>
                <w:lang w:val="en-US" w:eastAsia="zh-CN"/>
              </w:rPr>
              <w:t>，不属于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福州市生态环境总体准入要求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相关要求分析见表1.1-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具体见表1</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与</w:t>
            </w:r>
            <w:r>
              <w:rPr>
                <w:rFonts w:hint="eastAsia" w:ascii="Times New Roman" w:hAnsi="Times New Roman" w:cs="Times New Roman"/>
                <w:color w:val="auto"/>
                <w:sz w:val="24"/>
                <w:szCs w:val="24"/>
                <w:lang w:val="en-US" w:eastAsia="zh-CN"/>
              </w:rPr>
              <w:t>福清市</w:t>
            </w:r>
            <w:r>
              <w:rPr>
                <w:rFonts w:hint="default" w:ascii="Times New Roman" w:hAnsi="Times New Roman" w:eastAsia="宋体" w:cs="Times New Roman"/>
                <w:color w:val="auto"/>
                <w:sz w:val="24"/>
                <w:szCs w:val="24"/>
              </w:rPr>
              <w:t>重点管控单元</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（环境管控单元编码</w:t>
            </w:r>
            <w:r>
              <w:rPr>
                <w:rFonts w:hint="eastAsia" w:ascii="Times New Roman" w:hAnsi="Times New Roman" w:cs="Times New Roman"/>
                <w:color w:val="auto"/>
                <w:sz w:val="24"/>
                <w:szCs w:val="24"/>
                <w:lang w:eastAsia="zh-CN"/>
              </w:rPr>
              <w:t>：</w:t>
            </w:r>
            <w:r>
              <w:rPr>
                <w:rFonts w:hint="eastAsia"/>
                <w:color w:val="auto"/>
                <w:vertAlign w:val="baseline"/>
                <w:lang w:val="en-US" w:eastAsia="zh-CN"/>
              </w:rPr>
              <w:t>ZH35018120010</w:t>
            </w:r>
            <w:r>
              <w:rPr>
                <w:rFonts w:hint="default" w:ascii="Times New Roman" w:hAnsi="Times New Roman" w:eastAsia="宋体" w:cs="Times New Roman"/>
                <w:color w:val="auto"/>
                <w:sz w:val="24"/>
                <w:szCs w:val="24"/>
                <w:highlight w:val="none"/>
              </w:rPr>
              <w:t>）准入要求符合性分析见表1</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4。福建省生态环境分区管控数据应用平台查询结果截图详见</w:t>
            </w:r>
            <w:r>
              <w:rPr>
                <w:rFonts w:hint="default" w:ascii="Times New Roman" w:hAnsi="Times New Roman" w:eastAsia="宋体" w:cs="Times New Roman"/>
                <w:b/>
                <w:bCs/>
                <w:color w:val="auto"/>
                <w:sz w:val="24"/>
                <w:szCs w:val="24"/>
                <w:highlight w:val="none"/>
              </w:rPr>
              <w:t>附图</w:t>
            </w:r>
            <w:r>
              <w:rPr>
                <w:rFonts w:hint="eastAsia" w:ascii="Times New Roman" w:hAnsi="Times New Roman" w:cs="Times New Roman"/>
                <w:b/>
                <w:bCs/>
                <w:color w:val="auto"/>
                <w:sz w:val="24"/>
                <w:szCs w:val="24"/>
                <w:highlight w:val="none"/>
                <w:lang w:val="en-US" w:eastAsia="zh-CN"/>
              </w:rPr>
              <w:t>七</w:t>
            </w:r>
            <w:r>
              <w:rPr>
                <w:rFonts w:hint="default" w:ascii="Times New Roman" w:hAnsi="Times New Roman" w:eastAsia="宋体" w:cs="Times New Roman"/>
                <w:color w:val="auto"/>
                <w:sz w:val="24"/>
                <w:szCs w:val="24"/>
                <w:highlight w:val="none"/>
              </w:rPr>
              <w:t>，福建省生态环境分区管控综</w:t>
            </w:r>
            <w:r>
              <w:rPr>
                <w:rFonts w:hint="default" w:ascii="Times New Roman" w:hAnsi="Times New Roman" w:eastAsia="宋体" w:cs="Times New Roman"/>
                <w:b w:val="0"/>
                <w:bCs w:val="0"/>
                <w:color w:val="auto"/>
                <w:sz w:val="24"/>
                <w:szCs w:val="24"/>
                <w:highlight w:val="none"/>
              </w:rPr>
              <w:t>合查询报告详见</w:t>
            </w:r>
            <w:r>
              <w:rPr>
                <w:rFonts w:hint="default" w:ascii="Times New Roman" w:hAnsi="Times New Roman" w:eastAsia="宋体" w:cs="Times New Roman"/>
                <w:b/>
                <w:bCs/>
                <w:color w:val="auto"/>
                <w:sz w:val="24"/>
                <w:szCs w:val="24"/>
                <w:highlight w:val="none"/>
                <w:lang w:val="en-US" w:eastAsia="zh-CN"/>
              </w:rPr>
              <w:t>附件</w:t>
            </w:r>
            <w:r>
              <w:rPr>
                <w:rFonts w:hint="eastAsia" w:ascii="Times New Roman" w:hAnsi="Times New Roman" w:cs="Times New Roman"/>
                <w:b/>
                <w:bCs/>
                <w:color w:val="auto"/>
                <w:sz w:val="24"/>
                <w:szCs w:val="24"/>
                <w:highlight w:val="none"/>
                <w:lang w:val="en-US" w:eastAsia="zh-CN"/>
              </w:rPr>
              <w:t>二十一</w:t>
            </w:r>
            <w:r>
              <w:rPr>
                <w:rFonts w:hint="default" w:ascii="Times New Roman" w:hAnsi="Times New Roman" w:eastAsia="宋体" w:cs="Times New Roman"/>
                <w:color w:val="auto"/>
                <w:spacing w:val="0"/>
                <w:w w:val="100"/>
                <w:position w:val="0"/>
                <w:sz w:val="24"/>
                <w:szCs w:val="24"/>
                <w:highlight w:val="none"/>
                <w:u w:val="none"/>
              </w:rPr>
              <w:t>。</w:t>
            </w:r>
          </w:p>
        </w:tc>
      </w:tr>
    </w:tbl>
    <w:p w14:paraId="5CD6499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br w:type="page"/>
      </w:r>
    </w:p>
    <w:p w14:paraId="10A7793A">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sectPr>
          <w:footerReference r:id="rId4" w:type="default"/>
          <w:pgSz w:w="11906" w:h="16838"/>
          <w:pgMar w:top="1417" w:right="1134" w:bottom="1134" w:left="1417" w:header="851" w:footer="992" w:gutter="0"/>
          <w:pgBorders>
            <w:top w:val="none" w:sz="0" w:space="0"/>
            <w:left w:val="none" w:sz="0" w:space="0"/>
            <w:bottom w:val="none" w:sz="0" w:space="0"/>
            <w:right w:val="none" w:sz="0" w:space="0"/>
          </w:pgBorders>
          <w:pgNumType w:fmt="decimal" w:start="1"/>
          <w:cols w:space="0" w:num="1"/>
          <w:rtlGutter w:val="0"/>
          <w:docGrid w:type="lines" w:linePitch="325" w:charSpace="0"/>
        </w:sectPr>
      </w:pPr>
    </w:p>
    <w:tbl>
      <w:tblPr>
        <w:tblStyle w:val="23"/>
        <w:tblW w:w="48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3415"/>
      </w:tblGrid>
      <w:tr w14:paraId="5E57A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6" w:hRule="atLeast"/>
          <w:jc w:val="center"/>
        </w:trPr>
        <w:tc>
          <w:tcPr>
            <w:tcW w:w="272" w:type="pct"/>
            <w:noWrap w:val="0"/>
            <w:vAlign w:val="center"/>
          </w:tcPr>
          <w:p w14:paraId="231E3E50">
            <w:pPr>
              <w:rPr>
                <w:rFonts w:hint="default"/>
                <w:color w:val="auto"/>
              </w:rPr>
            </w:pPr>
          </w:p>
        </w:tc>
        <w:tc>
          <w:tcPr>
            <w:tcW w:w="4727" w:type="pct"/>
            <w:noWrap w:val="0"/>
            <w:vAlign w:val="center"/>
          </w:tcPr>
          <w:p w14:paraId="3CDA0B9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cs="Times New Roman"/>
                <w:b/>
                <w:bCs/>
                <w:color w:val="auto"/>
                <w:kern w:val="0"/>
                <w:sz w:val="24"/>
                <w:szCs w:val="24"/>
                <w:u w:val="none"/>
                <w:lang w:val="en-US" w:eastAsia="zh-CN"/>
              </w:rPr>
              <w:t>2</w:t>
            </w:r>
            <w:r>
              <w:rPr>
                <w:rFonts w:hint="default" w:ascii="Times New Roman" w:hAnsi="Times New Roman" w:eastAsia="宋体" w:cs="Times New Roman"/>
                <w:b/>
                <w:bCs/>
                <w:color w:val="auto"/>
                <w:kern w:val="0"/>
                <w:sz w:val="24"/>
                <w:szCs w:val="24"/>
                <w:u w:val="none"/>
              </w:rPr>
              <w:t>与</w:t>
            </w:r>
            <w:r>
              <w:rPr>
                <w:rFonts w:hint="eastAsia" w:cs="Times New Roman"/>
                <w:b/>
                <w:bCs/>
                <w:color w:val="auto"/>
                <w:kern w:val="0"/>
                <w:sz w:val="24"/>
                <w:szCs w:val="24"/>
                <w:u w:val="none"/>
                <w:lang w:val="en-US" w:eastAsia="zh-CN"/>
              </w:rPr>
              <w:t>全省生态环境总体准入要求的符合性分析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647"/>
              <w:gridCol w:w="7126"/>
              <w:gridCol w:w="3286"/>
              <w:gridCol w:w="919"/>
            </w:tblGrid>
            <w:tr w14:paraId="283D8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461" w:type="pct"/>
                  <w:tcBorders>
                    <w:tl2br w:val="nil"/>
                    <w:tr2bl w:val="nil"/>
                  </w:tcBorders>
                  <w:noWrap w:val="0"/>
                  <w:vAlign w:val="center"/>
                </w:tcPr>
                <w:p w14:paraId="0D6450C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2945" w:type="pct"/>
                  <w:gridSpan w:val="2"/>
                  <w:tcBorders>
                    <w:tl2br w:val="nil"/>
                    <w:tr2bl w:val="nil"/>
                  </w:tcBorders>
                  <w:noWrap w:val="0"/>
                  <w:vAlign w:val="center"/>
                </w:tcPr>
                <w:p w14:paraId="23DC211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1245" w:type="pct"/>
                  <w:tcBorders>
                    <w:tl2br w:val="nil"/>
                    <w:tr2bl w:val="nil"/>
                  </w:tcBorders>
                  <w:noWrap w:val="0"/>
                  <w:vAlign w:val="center"/>
                </w:tcPr>
                <w:p w14:paraId="40BF28E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348" w:type="pct"/>
                  <w:tcBorders>
                    <w:tl2br w:val="nil"/>
                    <w:tr2bl w:val="nil"/>
                  </w:tcBorders>
                  <w:noWrap w:val="0"/>
                  <w:vAlign w:val="center"/>
                </w:tcPr>
                <w:p w14:paraId="009DD24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3F8B7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restart"/>
                  <w:tcBorders>
                    <w:tl2br w:val="nil"/>
                    <w:tr2bl w:val="nil"/>
                  </w:tcBorders>
                  <w:noWrap w:val="0"/>
                  <w:vAlign w:val="center"/>
                </w:tcPr>
                <w:p w14:paraId="600361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245" w:type="pct"/>
                  <w:vMerge w:val="restart"/>
                  <w:tcBorders>
                    <w:tl2br w:val="nil"/>
                    <w:tr2bl w:val="nil"/>
                  </w:tcBorders>
                  <w:noWrap w:val="0"/>
                  <w:vAlign w:val="center"/>
                </w:tcPr>
                <w:p w14:paraId="6440F3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700" w:type="pct"/>
                  <w:tcBorders>
                    <w:tl2br w:val="nil"/>
                    <w:tr2bl w:val="nil"/>
                  </w:tcBorders>
                  <w:noWrap w:val="0"/>
                  <w:vAlign w:val="center"/>
                </w:tcPr>
                <w:p w14:paraId="16BDB8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1.石化、汽车、船舶、冶金、水泥、制浆造纸、印染等重点产业，要符合全省规划布局要求。</w:t>
                  </w:r>
                </w:p>
              </w:tc>
              <w:tc>
                <w:tcPr>
                  <w:tcW w:w="1245" w:type="pct"/>
                  <w:vMerge w:val="restart"/>
                  <w:tcBorders>
                    <w:tl2br w:val="nil"/>
                    <w:tr2bl w:val="nil"/>
                  </w:tcBorders>
                  <w:noWrap w:val="0"/>
                  <w:vAlign w:val="center"/>
                </w:tcPr>
                <w:p w14:paraId="2DE8EDA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1-2、本项目</w:t>
                  </w:r>
                  <w:r>
                    <w:rPr>
                      <w:rFonts w:hint="default" w:ascii="Times New Roman" w:hAnsi="Times New Roman" w:eastAsia="宋体" w:cs="Times New Roman"/>
                      <w:color w:val="auto"/>
                      <w:spacing w:val="0"/>
                      <w:sz w:val="21"/>
                      <w:szCs w:val="21"/>
                      <w:highlight w:val="none"/>
                      <w:u w:val="none"/>
                    </w:rPr>
                    <w:t>主要</w:t>
                  </w:r>
                  <w:r>
                    <w:rPr>
                      <w:rFonts w:hint="default" w:ascii="Times New Roman" w:hAnsi="Times New Roman" w:eastAsia="宋体" w:cs="Times New Roman"/>
                      <w:color w:val="auto"/>
                      <w:spacing w:val="0"/>
                      <w:sz w:val="21"/>
                      <w:szCs w:val="21"/>
                      <w:highlight w:val="none"/>
                      <w:u w:val="none"/>
                      <w:lang w:eastAsia="zh-CN"/>
                    </w:rPr>
                    <w:t>从事</w:t>
                  </w:r>
                  <w:r>
                    <w:rPr>
                      <w:rFonts w:hint="eastAsia" w:cs="Times New Roman"/>
                      <w:color w:val="auto"/>
                      <w:sz w:val="21"/>
                      <w:szCs w:val="21"/>
                      <w:highlight w:val="none"/>
                      <w:u w:val="none"/>
                      <w:lang w:eastAsia="zh-CN"/>
                    </w:rPr>
                    <w:t>EPS包装泡沫</w:t>
                  </w:r>
                  <w:r>
                    <w:rPr>
                      <w:rFonts w:hint="eastAsia" w:cs="Times New Roman"/>
                      <w:color w:val="auto"/>
                      <w:sz w:val="21"/>
                      <w:szCs w:val="21"/>
                      <w:highlight w:val="none"/>
                      <w:u w:val="none"/>
                      <w:lang w:val="en-US" w:eastAsia="zh-CN"/>
                    </w:rPr>
                    <w:t>、EPP包装泡沫的</w:t>
                  </w:r>
                  <w:r>
                    <w:rPr>
                      <w:rFonts w:hint="default" w:ascii="Times New Roman" w:hAnsi="Times New Roman" w:eastAsia="宋体" w:cs="Times New Roman"/>
                      <w:color w:val="auto"/>
                      <w:spacing w:val="0"/>
                      <w:sz w:val="21"/>
                      <w:szCs w:val="21"/>
                      <w:highlight w:val="none"/>
                      <w:u w:val="none"/>
                      <w:lang w:val="en-US" w:eastAsia="zh-CN"/>
                    </w:rPr>
                    <w:t>生产</w:t>
                  </w:r>
                  <w:r>
                    <w:rPr>
                      <w:rFonts w:hint="eastAsia" w:cs="Times New Roman"/>
                      <w:color w:val="auto"/>
                      <w:sz w:val="21"/>
                      <w:szCs w:val="21"/>
                      <w:highlight w:val="none"/>
                      <w:u w:val="none"/>
                      <w:lang w:val="en-US" w:eastAsia="zh-CN"/>
                    </w:rPr>
                    <w:t>属于</w:t>
                  </w:r>
                  <w:r>
                    <w:rPr>
                      <w:rFonts w:hint="eastAsia" w:ascii="Times New Roman" w:hAnsi="Times New Roman" w:eastAsia="宋体" w:cs="Times New Roman"/>
                      <w:color w:val="auto"/>
                      <w:sz w:val="21"/>
                      <w:szCs w:val="21"/>
                      <w:highlight w:val="none"/>
                      <w:u w:val="none"/>
                      <w:lang w:val="en-US" w:eastAsia="zh-CN"/>
                    </w:rPr>
                    <w:t>泡沫塑料制造业，不</w:t>
                  </w:r>
                  <w:r>
                    <w:rPr>
                      <w:rFonts w:hint="eastAsia" w:cs="Times New Roman"/>
                      <w:color w:val="auto"/>
                      <w:sz w:val="21"/>
                      <w:szCs w:val="21"/>
                      <w:highlight w:val="none"/>
                      <w:u w:val="none"/>
                      <w:lang w:val="en-US" w:eastAsia="zh-CN"/>
                    </w:rPr>
                    <w:t>涉及石化</w:t>
                  </w:r>
                  <w:r>
                    <w:rPr>
                      <w:rFonts w:hint="eastAsia" w:cs="Times New Roman"/>
                      <w:color w:val="auto"/>
                      <w:sz w:val="21"/>
                      <w:szCs w:val="21"/>
                      <w:u w:val="none"/>
                      <w:lang w:val="en-US" w:eastAsia="zh-CN"/>
                    </w:rPr>
                    <w:t>、汽车、冶金、钢铁、水泥等重点行业。</w:t>
                  </w:r>
                </w:p>
                <w:p w14:paraId="467ED59E">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3-4本项目不属于煤电、氟化工项目。</w:t>
                  </w:r>
                </w:p>
                <w:p w14:paraId="21A02825">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5-6、</w:t>
                  </w:r>
                  <w:r>
                    <w:rPr>
                      <w:rFonts w:hint="default" w:ascii="Times New Roman" w:hAnsi="Times New Roman" w:eastAsia="宋体" w:cs="Times New Roman"/>
                      <w:color w:val="auto"/>
                      <w:sz w:val="21"/>
                      <w:szCs w:val="21"/>
                      <w:u w:val="none"/>
                    </w:rPr>
                    <w:t>项目周边水环境质量达标。生活污水经化粪池处理后接入市政管网汇入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cs="Times New Roman"/>
                      <w:color w:val="auto"/>
                      <w:sz w:val="21"/>
                      <w:szCs w:val="21"/>
                      <w:u w:val="none"/>
                      <w:lang w:val="en-US" w:eastAsia="zh-CN"/>
                    </w:rPr>
                    <w:t>与空间布局约束不冲突。</w:t>
                  </w:r>
                </w:p>
                <w:p w14:paraId="66B629F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7、本项目不属于</w:t>
                  </w:r>
                  <w:r>
                    <w:rPr>
                      <w:rFonts w:hint="eastAsia"/>
                      <w:color w:val="auto"/>
                      <w:sz w:val="21"/>
                      <w:szCs w:val="21"/>
                      <w:vertAlign w:val="baseline"/>
                      <w:lang w:val="en-US" w:eastAsia="zh-CN"/>
                    </w:rPr>
                    <w:t>新建用汞的电石法（聚）氯乙烯生产工艺</w:t>
                  </w:r>
                </w:p>
              </w:tc>
              <w:tc>
                <w:tcPr>
                  <w:tcW w:w="348" w:type="pct"/>
                  <w:vMerge w:val="restart"/>
                  <w:tcBorders>
                    <w:tl2br w:val="nil"/>
                    <w:tr2bl w:val="nil"/>
                  </w:tcBorders>
                  <w:noWrap w:val="0"/>
                  <w:vAlign w:val="center"/>
                </w:tcPr>
                <w:p w14:paraId="1DC689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5B89C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461" w:type="pct"/>
                  <w:vMerge w:val="continue"/>
                  <w:tcBorders>
                    <w:tl2br w:val="nil"/>
                    <w:tr2bl w:val="nil"/>
                  </w:tcBorders>
                  <w:noWrap w:val="0"/>
                  <w:vAlign w:val="center"/>
                </w:tcPr>
                <w:p w14:paraId="1F98017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3FA09E5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28D6FBE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2.严控钢铁、水泥、平板玻璃等产能过剩行业新增产能，新增产能应实施产能等量或减量置换。</w:t>
                  </w:r>
                </w:p>
              </w:tc>
              <w:tc>
                <w:tcPr>
                  <w:tcW w:w="1245" w:type="pct"/>
                  <w:vMerge w:val="continue"/>
                  <w:tcBorders>
                    <w:tl2br w:val="nil"/>
                    <w:tr2bl w:val="nil"/>
                  </w:tcBorders>
                  <w:noWrap w:val="0"/>
                  <w:vAlign w:val="center"/>
                </w:tcPr>
                <w:p w14:paraId="349D2C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8" w:type="pct"/>
                  <w:vMerge w:val="continue"/>
                  <w:tcBorders>
                    <w:tl2br w:val="nil"/>
                    <w:tr2bl w:val="nil"/>
                  </w:tcBorders>
                  <w:noWrap w:val="0"/>
                  <w:vAlign w:val="center"/>
                </w:tcPr>
                <w:p w14:paraId="06B101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567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1C4C72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517AE9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0D9A1DE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3.除列入国家规划的大型煤电和符合相关要求的等容量替代项目，以及以供热为主的热电联产项目外，原则上不再建设新的煤电项目。</w:t>
                  </w:r>
                </w:p>
              </w:tc>
              <w:tc>
                <w:tcPr>
                  <w:tcW w:w="1245" w:type="pct"/>
                  <w:vMerge w:val="continue"/>
                  <w:tcBorders>
                    <w:tl2br w:val="nil"/>
                    <w:tr2bl w:val="nil"/>
                  </w:tcBorders>
                  <w:noWrap w:val="0"/>
                  <w:vAlign w:val="center"/>
                </w:tcPr>
                <w:p w14:paraId="7E909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8" w:type="pct"/>
                  <w:vMerge w:val="continue"/>
                  <w:tcBorders>
                    <w:tl2br w:val="nil"/>
                    <w:tr2bl w:val="nil"/>
                  </w:tcBorders>
                  <w:noWrap w:val="0"/>
                  <w:vAlign w:val="center"/>
                </w:tcPr>
                <w:p w14:paraId="31B2B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21696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2A603B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3611190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1840EE1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245" w:type="pct"/>
                  <w:vMerge w:val="continue"/>
                  <w:tcBorders>
                    <w:tl2br w:val="nil"/>
                    <w:tr2bl w:val="nil"/>
                  </w:tcBorders>
                  <w:noWrap w:val="0"/>
                  <w:vAlign w:val="center"/>
                </w:tcPr>
                <w:p w14:paraId="17D4C5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8" w:type="pct"/>
                  <w:vMerge w:val="continue"/>
                  <w:tcBorders>
                    <w:tl2br w:val="nil"/>
                    <w:tr2bl w:val="nil"/>
                  </w:tcBorders>
                  <w:noWrap w:val="0"/>
                  <w:vAlign w:val="center"/>
                </w:tcPr>
                <w:p w14:paraId="35D538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CA17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61" w:type="pct"/>
                  <w:vMerge w:val="continue"/>
                  <w:tcBorders>
                    <w:tl2br w:val="nil"/>
                    <w:tr2bl w:val="nil"/>
                  </w:tcBorders>
                  <w:noWrap w:val="0"/>
                  <w:vAlign w:val="center"/>
                </w:tcPr>
                <w:p w14:paraId="28A5A6F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0D02C77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6FB6792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5.禁止在水环境质量不能稳定达标的区域内，建设新增相应不达标污染物指标排放量的工业项目。</w:t>
                  </w:r>
                </w:p>
              </w:tc>
              <w:tc>
                <w:tcPr>
                  <w:tcW w:w="1245" w:type="pct"/>
                  <w:vMerge w:val="continue"/>
                  <w:tcBorders>
                    <w:tl2br w:val="nil"/>
                    <w:tr2bl w:val="nil"/>
                  </w:tcBorders>
                  <w:noWrap w:val="0"/>
                  <w:vAlign w:val="center"/>
                </w:tcPr>
                <w:p w14:paraId="00E16F2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8" w:type="pct"/>
                  <w:vMerge w:val="continue"/>
                  <w:tcBorders>
                    <w:tl2br w:val="nil"/>
                    <w:tr2bl w:val="nil"/>
                  </w:tcBorders>
                  <w:noWrap w:val="0"/>
                  <w:vAlign w:val="center"/>
                </w:tcPr>
                <w:p w14:paraId="417ABF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2119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5F1C24C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322078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1B1EAC8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6.禁止在通风廊道和主导风向的上风向布局大气重污染企业，推进建成区大气重污染企业搬迁或升级改造、环境风险企业搬迁或关闭退出。</w:t>
                  </w:r>
                </w:p>
              </w:tc>
              <w:tc>
                <w:tcPr>
                  <w:tcW w:w="1245" w:type="pct"/>
                  <w:vMerge w:val="continue"/>
                  <w:tcBorders>
                    <w:tl2br w:val="nil"/>
                    <w:tr2bl w:val="nil"/>
                  </w:tcBorders>
                  <w:noWrap w:val="0"/>
                  <w:vAlign w:val="center"/>
                </w:tcPr>
                <w:p w14:paraId="20BC1FA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48" w:type="pct"/>
                  <w:vMerge w:val="continue"/>
                  <w:tcBorders>
                    <w:tl2br w:val="nil"/>
                    <w:tr2bl w:val="nil"/>
                  </w:tcBorders>
                  <w:noWrap w:val="0"/>
                  <w:vAlign w:val="center"/>
                </w:tcPr>
                <w:p w14:paraId="128C58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BDBC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3B58DA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58C6D8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6F521F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245" w:type="pct"/>
                  <w:vMerge w:val="continue"/>
                  <w:tcBorders>
                    <w:tl2br w:val="nil"/>
                    <w:tr2bl w:val="nil"/>
                  </w:tcBorders>
                  <w:noWrap w:val="0"/>
                  <w:vAlign w:val="center"/>
                </w:tcPr>
                <w:p w14:paraId="7BDC0EA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48" w:type="pct"/>
                  <w:vMerge w:val="continue"/>
                  <w:tcBorders>
                    <w:tl2br w:val="nil"/>
                    <w:tr2bl w:val="nil"/>
                  </w:tcBorders>
                  <w:noWrap w:val="0"/>
                  <w:vAlign w:val="center"/>
                </w:tcPr>
                <w:p w14:paraId="16958E5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A5A9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548F85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restart"/>
                  <w:tcBorders>
                    <w:tl2br w:val="nil"/>
                    <w:tr2bl w:val="nil"/>
                  </w:tcBorders>
                  <w:noWrap w:val="0"/>
                  <w:vAlign w:val="center"/>
                </w:tcPr>
                <w:p w14:paraId="70B23E0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700" w:type="pct"/>
                  <w:tcBorders>
                    <w:tl2br w:val="nil"/>
                    <w:tr2bl w:val="nil"/>
                  </w:tcBorders>
                  <w:noWrap w:val="0"/>
                  <w:vAlign w:val="center"/>
                </w:tcPr>
                <w:p w14:paraId="7DBFF7A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vertAlign w:val="baseline"/>
                      <w:lang w:val="en-US" w:eastAsia="zh-CN"/>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2］建设项目要符合“闽环保固体〔2022〕17号”文件要求</w:t>
                  </w:r>
                </w:p>
              </w:tc>
              <w:tc>
                <w:tcPr>
                  <w:tcW w:w="1245" w:type="pct"/>
                  <w:tcBorders>
                    <w:tl2br w:val="nil"/>
                    <w:tr2bl w:val="nil"/>
                  </w:tcBorders>
                  <w:noWrap w:val="0"/>
                  <w:vAlign w:val="center"/>
                </w:tcPr>
                <w:p w14:paraId="2B0A24B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项目投产前，按生态环境主管部门相关规定落实挥发性有机物的倍量替代</w:t>
                  </w:r>
                </w:p>
              </w:tc>
              <w:tc>
                <w:tcPr>
                  <w:tcW w:w="348" w:type="pct"/>
                  <w:vMerge w:val="restart"/>
                  <w:tcBorders>
                    <w:tl2br w:val="nil"/>
                    <w:tr2bl w:val="nil"/>
                  </w:tcBorders>
                  <w:noWrap w:val="0"/>
                  <w:vAlign w:val="center"/>
                </w:tcPr>
                <w:p w14:paraId="10F24B7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08914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461" w:type="pct"/>
                  <w:vMerge w:val="continue"/>
                  <w:tcBorders>
                    <w:tl2br w:val="nil"/>
                    <w:tr2bl w:val="nil"/>
                  </w:tcBorders>
                  <w:noWrap w:val="0"/>
                  <w:vAlign w:val="center"/>
                </w:tcPr>
                <w:p w14:paraId="1DD662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0C7487B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19FACE6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tc>
              <w:tc>
                <w:tcPr>
                  <w:tcW w:w="1245" w:type="pct"/>
                  <w:tcBorders>
                    <w:tl2br w:val="nil"/>
                    <w:tr2bl w:val="nil"/>
                  </w:tcBorders>
                  <w:noWrap w:val="0"/>
                  <w:vAlign w:val="center"/>
                </w:tcPr>
                <w:p w14:paraId="0CBC9C3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348" w:type="pct"/>
                  <w:vMerge w:val="continue"/>
                  <w:tcBorders>
                    <w:tl2br w:val="nil"/>
                    <w:tr2bl w:val="nil"/>
                  </w:tcBorders>
                  <w:noWrap w:val="0"/>
                  <w:vAlign w:val="center"/>
                </w:tcPr>
                <w:p w14:paraId="3ACA28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BE62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461" w:type="pct"/>
                  <w:vMerge w:val="continue"/>
                  <w:tcBorders>
                    <w:tl2br w:val="nil"/>
                    <w:tr2bl w:val="nil"/>
                  </w:tcBorders>
                  <w:noWrap w:val="0"/>
                  <w:vAlign w:val="center"/>
                </w:tcPr>
                <w:p w14:paraId="04B048F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1A77274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7EA3766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近岸海域汇水区域、“六江两溪”流域以及排入湖泊、水库等封闭、半封闭水域的城镇污水处理设施执行不低于一级A排放标准。到2025年，省级及以上各类开发区、工业园区完成“污水零直排区”建设，混合处理工业污水和生活污水的</w:t>
                  </w:r>
                  <w:r>
                    <w:rPr>
                      <w:rFonts w:hint="eastAsia" w:cs="Times New Roman"/>
                      <w:color w:val="auto"/>
                      <w:sz w:val="21"/>
                      <w:szCs w:val="21"/>
                      <w:vertAlign w:val="baseline"/>
                      <w:lang w:val="en-US" w:eastAsia="zh-CN"/>
                    </w:rPr>
                    <w:t>污水厂</w:t>
                  </w:r>
                  <w:r>
                    <w:rPr>
                      <w:rFonts w:hint="default" w:ascii="Times New Roman" w:hAnsi="Times New Roman" w:eastAsia="宋体" w:cs="Times New Roman"/>
                      <w:color w:val="auto"/>
                      <w:sz w:val="21"/>
                      <w:szCs w:val="21"/>
                      <w:vertAlign w:val="baseline"/>
                      <w:lang w:val="en-US" w:eastAsia="zh-CN"/>
                    </w:rPr>
                    <w:t>达到一级A排放标准。</w:t>
                  </w:r>
                </w:p>
              </w:tc>
              <w:tc>
                <w:tcPr>
                  <w:tcW w:w="1245" w:type="pct"/>
                  <w:tcBorders>
                    <w:tl2br w:val="nil"/>
                    <w:tr2bl w:val="nil"/>
                  </w:tcBorders>
                  <w:noWrap w:val="0"/>
                  <w:vAlign w:val="center"/>
                </w:tcPr>
                <w:p w14:paraId="2054E6B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pacing w:val="-5"/>
                      <w:sz w:val="21"/>
                      <w:szCs w:val="21"/>
                      <w:u w:val="none"/>
                      <w:lang w:val="en-US" w:eastAsia="zh-CN"/>
                    </w:rPr>
                    <w:t>本项目</w:t>
                  </w:r>
                  <w:r>
                    <w:rPr>
                      <w:rFonts w:hint="default" w:ascii="Times New Roman" w:hAnsi="Times New Roman" w:eastAsia="宋体" w:cs="Times New Roman"/>
                      <w:color w:val="auto"/>
                      <w:spacing w:val="-5"/>
                      <w:sz w:val="21"/>
                      <w:szCs w:val="21"/>
                      <w:u w:val="none"/>
                      <w:lang w:eastAsia="zh-CN"/>
                    </w:rPr>
                    <w:t>运营期</w:t>
                  </w:r>
                  <w:r>
                    <w:rPr>
                      <w:rFonts w:hint="eastAsia" w:ascii="Times New Roman" w:hAnsi="Times New Roman" w:eastAsia="宋体" w:cs="Times New Roman"/>
                      <w:color w:val="auto"/>
                      <w:spacing w:val="-5"/>
                      <w:sz w:val="21"/>
                      <w:szCs w:val="21"/>
                      <w:u w:val="none"/>
                      <w:lang w:val="en-US" w:eastAsia="zh-CN"/>
                    </w:rPr>
                    <w:t>生产废水为模具冷却水及蒸汽冷凝水</w:t>
                  </w:r>
                  <w:r>
                    <w:rPr>
                      <w:rFonts w:hint="eastAsia" w:cs="Times New Roman"/>
                      <w:color w:val="auto"/>
                      <w:sz w:val="21"/>
                      <w:szCs w:val="21"/>
                      <w:u w:val="none"/>
                      <w:vertAlign w:val="baseline"/>
                      <w:lang w:val="en-US" w:eastAsia="zh-CN"/>
                    </w:rPr>
                    <w:t>“</w:t>
                  </w:r>
                  <w:r>
                    <w:rPr>
                      <w:rFonts w:hint="eastAsia" w:ascii="宋体" w:hAnsi="宋体" w:cs="宋体"/>
                      <w:color w:val="auto"/>
                      <w:sz w:val="21"/>
                      <w:szCs w:val="21"/>
                      <w:u w:val="none"/>
                      <w:vertAlign w:val="baseline"/>
                      <w:lang w:val="en-US" w:eastAsia="zh-CN"/>
                    </w:rPr>
                    <w:t>冷却水</w:t>
                  </w:r>
                  <w:r>
                    <w:rPr>
                      <w:rFonts w:hint="eastAsia" w:ascii="宋体" w:hAnsi="宋体" w:eastAsia="宋体" w:cs="宋体"/>
                      <w:color w:val="auto"/>
                      <w:sz w:val="21"/>
                      <w:szCs w:val="21"/>
                      <w:u w:val="none"/>
                      <w:vertAlign w:val="baseline"/>
                      <w:lang w:val="en-US" w:eastAsia="zh-CN"/>
                    </w:rPr>
                    <w:t>循环沉淀池</w:t>
                  </w:r>
                  <w:r>
                    <w:rPr>
                      <w:rFonts w:hint="eastAsia" w:ascii="宋体" w:hAnsi="宋体" w:cs="宋体"/>
                      <w:color w:val="auto"/>
                      <w:sz w:val="21"/>
                      <w:szCs w:val="21"/>
                      <w:u w:val="none"/>
                      <w:vertAlign w:val="baseline"/>
                      <w:lang w:val="en-US" w:eastAsia="zh-CN"/>
                    </w:rPr>
                    <w:t>+冷却塔”</w:t>
                  </w:r>
                  <w:r>
                    <w:rPr>
                      <w:rFonts w:hint="eastAsia" w:ascii="Times New Roman" w:hAnsi="Times New Roman" w:eastAsia="宋体" w:cs="Times New Roman"/>
                      <w:color w:val="auto"/>
                      <w:spacing w:val="-5"/>
                      <w:sz w:val="21"/>
                      <w:szCs w:val="21"/>
                      <w:u w:val="none"/>
                      <w:lang w:val="en-US" w:eastAsia="zh-CN"/>
                    </w:rPr>
                    <w:t>处理后循环使用不外排。因此本项目无生产废水排放。生活污水依托出租方（福建力峰机械实业有限公司）现有化粪池</w:t>
                  </w:r>
                  <w:r>
                    <w:rPr>
                      <w:rFonts w:hint="eastAsia" w:ascii="Times New Roman" w:hAnsi="Times New Roman" w:eastAsia="宋体" w:cs="Times New Roman"/>
                      <w:color w:val="auto"/>
                      <w:spacing w:val="-5"/>
                      <w:sz w:val="21"/>
                      <w:szCs w:val="21"/>
                      <w:u w:val="none"/>
                      <w:lang w:eastAsia="zh-CN"/>
                    </w:rPr>
                    <w:t>处理达标</w:t>
                  </w:r>
                  <w:r>
                    <w:rPr>
                      <w:rFonts w:hint="default" w:ascii="Times New Roman" w:hAnsi="Times New Roman" w:eastAsia="宋体" w:cs="Times New Roman"/>
                      <w:color w:val="auto"/>
                      <w:spacing w:val="-5"/>
                      <w:sz w:val="21"/>
                      <w:szCs w:val="21"/>
                      <w:u w:val="none"/>
                      <w:lang w:eastAsia="zh-CN"/>
                    </w:rPr>
                    <w:t>后，</w:t>
                  </w:r>
                  <w:r>
                    <w:rPr>
                      <w:rFonts w:hint="eastAsia" w:ascii="Times New Roman" w:hAnsi="Times New Roman" w:eastAsia="宋体" w:cs="Times New Roman"/>
                      <w:color w:val="auto"/>
                      <w:spacing w:val="-5"/>
                      <w:sz w:val="21"/>
                      <w:szCs w:val="21"/>
                      <w:u w:val="none"/>
                      <w:lang w:eastAsia="zh-CN"/>
                    </w:rPr>
                    <w:t>接入市政污水管网，纳入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ascii="Times New Roman" w:hAnsi="Times New Roman" w:eastAsia="宋体" w:cs="Times New Roman"/>
                      <w:color w:val="auto"/>
                      <w:spacing w:val="-5"/>
                      <w:sz w:val="21"/>
                      <w:szCs w:val="21"/>
                      <w:u w:val="none"/>
                      <w:lang w:eastAsia="zh-CN"/>
                    </w:rPr>
                    <w:t>进行</w:t>
                  </w:r>
                  <w:r>
                    <w:rPr>
                      <w:rFonts w:hint="default" w:ascii="Times New Roman" w:hAnsi="Times New Roman" w:eastAsia="宋体" w:cs="Times New Roman"/>
                      <w:color w:val="auto"/>
                      <w:spacing w:val="-5"/>
                      <w:sz w:val="21"/>
                      <w:szCs w:val="21"/>
                      <w:u w:val="none"/>
                      <w:lang w:eastAsia="zh-CN"/>
                    </w:rPr>
                    <w:t>处理</w:t>
                  </w:r>
                  <w:r>
                    <w:rPr>
                      <w:rFonts w:hint="eastAsia" w:ascii="Times New Roman" w:hAnsi="Times New Roman" w:eastAsia="宋体" w:cs="Times New Roman"/>
                      <w:color w:val="auto"/>
                      <w:spacing w:val="-5"/>
                      <w:sz w:val="21"/>
                      <w:szCs w:val="21"/>
                      <w:u w:val="none"/>
                      <w:lang w:val="en-US" w:eastAsia="zh-CN"/>
                    </w:rPr>
                    <w:t>后达标排放</w:t>
                  </w:r>
                  <w:r>
                    <w:rPr>
                      <w:rFonts w:hint="eastAsia" w:ascii="Times New Roman" w:hAnsi="Times New Roman" w:eastAsia="宋体" w:cs="Times New Roman"/>
                      <w:color w:val="auto"/>
                      <w:spacing w:val="-5"/>
                      <w:sz w:val="21"/>
                      <w:szCs w:val="21"/>
                      <w:u w:val="none"/>
                      <w:lang w:eastAsia="zh-CN"/>
                    </w:rPr>
                    <w:t>。</w:t>
                  </w:r>
                </w:p>
              </w:tc>
              <w:tc>
                <w:tcPr>
                  <w:tcW w:w="348" w:type="pct"/>
                  <w:vMerge w:val="continue"/>
                  <w:tcBorders>
                    <w:tl2br w:val="nil"/>
                    <w:tr2bl w:val="nil"/>
                  </w:tcBorders>
                  <w:noWrap w:val="0"/>
                  <w:vAlign w:val="center"/>
                </w:tcPr>
                <w:p w14:paraId="21496A3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F982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61" w:type="pct"/>
                  <w:vMerge w:val="continue"/>
                  <w:tcBorders>
                    <w:tl2br w:val="nil"/>
                    <w:tr2bl w:val="nil"/>
                  </w:tcBorders>
                  <w:noWrap w:val="0"/>
                  <w:vAlign w:val="center"/>
                </w:tcPr>
                <w:p w14:paraId="72DCFE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5F4EF35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17353F6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4.优化调整货物运输方式，提升铁路货运比例，推进钢铁、电力、电解铝、焦化等重点工业企业和工业园区货物由公路运输转向铁路运输。</w:t>
                  </w:r>
                </w:p>
              </w:tc>
              <w:tc>
                <w:tcPr>
                  <w:tcW w:w="1245" w:type="pct"/>
                  <w:vMerge w:val="restart"/>
                  <w:tcBorders>
                    <w:tl2br w:val="nil"/>
                    <w:tr2bl w:val="nil"/>
                  </w:tcBorders>
                  <w:noWrap w:val="0"/>
                  <w:vAlign w:val="center"/>
                </w:tcPr>
                <w:p w14:paraId="5782FBA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color w:val="auto"/>
                      <w:sz w:val="21"/>
                      <w:szCs w:val="21"/>
                      <w:vertAlign w:val="baseline"/>
                      <w:lang w:val="en-US" w:eastAsia="zh-CN"/>
                    </w:rPr>
                    <w:t>钢铁、电力、电解铝、焦化、石化、涂料、纺织印染、橡胶、医药等重点工业企业</w:t>
                  </w:r>
                </w:p>
              </w:tc>
              <w:tc>
                <w:tcPr>
                  <w:tcW w:w="348" w:type="pct"/>
                  <w:vMerge w:val="continue"/>
                  <w:tcBorders>
                    <w:tl2br w:val="nil"/>
                    <w:tr2bl w:val="nil"/>
                  </w:tcBorders>
                  <w:noWrap w:val="0"/>
                  <w:vAlign w:val="center"/>
                </w:tcPr>
                <w:p w14:paraId="70A6153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0AB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266108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53A00C2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5F7E16D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5.加强石化、涂料、纺织印染、橡胶、医药等行业新污染物环境风险管控。</w:t>
                  </w:r>
                </w:p>
              </w:tc>
              <w:tc>
                <w:tcPr>
                  <w:tcW w:w="1245" w:type="pct"/>
                  <w:vMerge w:val="continue"/>
                  <w:tcBorders>
                    <w:tl2br w:val="nil"/>
                    <w:tr2bl w:val="nil"/>
                  </w:tcBorders>
                  <w:noWrap w:val="0"/>
                  <w:vAlign w:val="center"/>
                </w:tcPr>
                <w:p w14:paraId="278156D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66BB95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CAAF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60E778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restart"/>
                  <w:tcBorders>
                    <w:tl2br w:val="nil"/>
                    <w:tr2bl w:val="nil"/>
                  </w:tcBorders>
                  <w:noWrap w:val="0"/>
                  <w:vAlign w:val="center"/>
                </w:tcPr>
                <w:p w14:paraId="78218D1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1404069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29E10AC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1.实施能源消耗总量和强度双控。</w:t>
                  </w:r>
                </w:p>
              </w:tc>
              <w:tc>
                <w:tcPr>
                  <w:tcW w:w="1245" w:type="pct"/>
                  <w:vMerge w:val="restart"/>
                  <w:tcBorders>
                    <w:tl2br w:val="nil"/>
                    <w:tr2bl w:val="nil"/>
                  </w:tcBorders>
                  <w:noWrap w:val="0"/>
                  <w:vAlign w:val="center"/>
                </w:tcPr>
                <w:p w14:paraId="50072C3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eastAsia" w:cs="Times New Roman"/>
                      <w:color w:val="auto"/>
                      <w:kern w:val="0"/>
                      <w:sz w:val="21"/>
                      <w:szCs w:val="21"/>
                      <w:highlight w:val="none"/>
                      <w:vertAlign w:val="baseline"/>
                      <w:lang w:val="en-US" w:eastAsia="zh-CN"/>
                    </w:rPr>
                    <w:t>、蒸汽</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eastAsia="zh-CN"/>
                    </w:rPr>
                    <w:t>项目所采用的生产工艺、装备技术可达国内先进水平；水耗、能耗指标可达国内先进水平</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蒸汽由</w:t>
                  </w:r>
                  <w:r>
                    <w:rPr>
                      <w:rFonts w:hint="default" w:ascii="Times New Roman" w:hAnsi="Times New Roman" w:eastAsia="宋体" w:cs="Times New Roman"/>
                      <w:b w:val="0"/>
                      <w:bCs w:val="0"/>
                      <w:color w:val="auto"/>
                      <w:sz w:val="21"/>
                      <w:szCs w:val="21"/>
                      <w:highlight w:val="none"/>
                      <w:lang w:val="en-US" w:eastAsia="zh-CN"/>
                    </w:rPr>
                    <w:t>国电福州发电有限公司供应</w:t>
                  </w:r>
                </w:p>
              </w:tc>
              <w:tc>
                <w:tcPr>
                  <w:tcW w:w="348" w:type="pct"/>
                  <w:vMerge w:val="restart"/>
                  <w:tcBorders>
                    <w:tl2br w:val="nil"/>
                    <w:tr2bl w:val="nil"/>
                  </w:tcBorders>
                  <w:noWrap w:val="0"/>
                  <w:vAlign w:val="center"/>
                </w:tcPr>
                <w:p w14:paraId="1D595F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615F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1" w:type="pct"/>
                  <w:vMerge w:val="continue"/>
                  <w:tcBorders>
                    <w:tl2br w:val="nil"/>
                    <w:tr2bl w:val="nil"/>
                  </w:tcBorders>
                  <w:noWrap w:val="0"/>
                  <w:vAlign w:val="center"/>
                </w:tcPr>
                <w:p w14:paraId="7DB774C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412678A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0C93860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2.强化产业园区单位土地面积投资强度和效用指标的刚性约束，提高土地利用效率。</w:t>
                  </w:r>
                </w:p>
              </w:tc>
              <w:tc>
                <w:tcPr>
                  <w:tcW w:w="1245" w:type="pct"/>
                  <w:vMerge w:val="continue"/>
                  <w:tcBorders>
                    <w:tl2br w:val="nil"/>
                    <w:tr2bl w:val="nil"/>
                  </w:tcBorders>
                  <w:noWrap w:val="0"/>
                  <w:vAlign w:val="center"/>
                </w:tcPr>
                <w:p w14:paraId="2E428EC2">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49969DD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AEE5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1" w:type="pct"/>
                  <w:vMerge w:val="continue"/>
                  <w:tcBorders>
                    <w:tl2br w:val="nil"/>
                    <w:tr2bl w:val="nil"/>
                  </w:tcBorders>
                  <w:noWrap w:val="0"/>
                  <w:vAlign w:val="center"/>
                </w:tcPr>
                <w:p w14:paraId="4C61204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120CBFA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6DF5A66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1245" w:type="pct"/>
                  <w:vMerge w:val="continue"/>
                  <w:tcBorders>
                    <w:tl2br w:val="nil"/>
                    <w:tr2bl w:val="nil"/>
                  </w:tcBorders>
                  <w:noWrap w:val="0"/>
                  <w:vAlign w:val="center"/>
                </w:tcPr>
                <w:p w14:paraId="1DA93D9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40F5F6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9875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1" w:type="pct"/>
                  <w:vMerge w:val="continue"/>
                  <w:tcBorders>
                    <w:tl2br w:val="nil"/>
                    <w:tr2bl w:val="nil"/>
                  </w:tcBorders>
                  <w:noWrap w:val="0"/>
                  <w:vAlign w:val="center"/>
                </w:tcPr>
                <w:p w14:paraId="3B3C13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133DE9E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41D483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1245" w:type="pct"/>
                  <w:vMerge w:val="continue"/>
                  <w:tcBorders>
                    <w:tl2br w:val="nil"/>
                    <w:tr2bl w:val="nil"/>
                  </w:tcBorders>
                  <w:noWrap w:val="0"/>
                  <w:vAlign w:val="center"/>
                </w:tcPr>
                <w:p w14:paraId="3624FB5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54D49B6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AC3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1" w:type="pct"/>
                  <w:vMerge w:val="continue"/>
                  <w:tcBorders>
                    <w:tl2br w:val="nil"/>
                    <w:tr2bl w:val="nil"/>
                  </w:tcBorders>
                  <w:noWrap w:val="0"/>
                  <w:vAlign w:val="center"/>
                </w:tcPr>
                <w:p w14:paraId="527CAAE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0095B4A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157641A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5.落实“闽环保大气〔2023〕5号”文件要求，按照“提气、转电、控煤”的发展思路，推动陶瓷行业进一步优化用能结构，实现能源消费清洁低碳化。</w:t>
                  </w:r>
                </w:p>
              </w:tc>
              <w:tc>
                <w:tcPr>
                  <w:tcW w:w="1245" w:type="pct"/>
                  <w:vMerge w:val="continue"/>
                  <w:tcBorders>
                    <w:tl2br w:val="nil"/>
                    <w:tr2bl w:val="nil"/>
                  </w:tcBorders>
                  <w:noWrap w:val="0"/>
                  <w:vAlign w:val="center"/>
                </w:tcPr>
                <w:p w14:paraId="7B94A557">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2C1FB6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27B50405">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ascii="Times New Roman" w:hAnsi="Times New Roman" w:eastAsia="宋体" w:cs="Times New Roman"/>
                <w:b/>
                <w:bCs/>
                <w:color w:val="auto"/>
                <w:kern w:val="0"/>
                <w:sz w:val="24"/>
                <w:szCs w:val="24"/>
                <w:u w:val="none"/>
                <w:lang w:val="en-US" w:eastAsia="zh-CN"/>
              </w:rPr>
              <w:t>3</w:t>
            </w:r>
            <w:r>
              <w:rPr>
                <w:rFonts w:hint="eastAsia" w:ascii="Times New Roman" w:hAnsi="Times New Roman" w:eastAsia="宋体" w:cs="Times New Roman"/>
                <w:b/>
                <w:bCs/>
                <w:color w:val="auto"/>
                <w:sz w:val="24"/>
                <w:szCs w:val="24"/>
                <w:highlight w:val="none"/>
                <w:lang w:val="en-US" w:eastAsia="zh-CN"/>
              </w:rPr>
              <w:t>福州市</w:t>
            </w:r>
            <w:r>
              <w:rPr>
                <w:rFonts w:hint="default" w:ascii="Times New Roman" w:hAnsi="Times New Roman" w:eastAsia="宋体" w:cs="Times New Roman"/>
                <w:b/>
                <w:bCs/>
                <w:color w:val="auto"/>
                <w:sz w:val="24"/>
                <w:szCs w:val="24"/>
                <w:highlight w:val="none"/>
              </w:rPr>
              <w:t>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40"/>
              <w:gridCol w:w="6414"/>
              <w:gridCol w:w="4370"/>
              <w:gridCol w:w="750"/>
            </w:tblGrid>
            <w:tr w14:paraId="33B1B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73" w:type="pct"/>
                  <w:tcBorders>
                    <w:tl2br w:val="nil"/>
                    <w:tr2bl w:val="nil"/>
                  </w:tcBorders>
                  <w:vAlign w:val="center"/>
                </w:tcPr>
                <w:p w14:paraId="60A5706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适用范围</w:t>
                  </w:r>
                </w:p>
              </w:tc>
              <w:tc>
                <w:tcPr>
                  <w:tcW w:w="2785" w:type="pct"/>
                  <w:gridSpan w:val="2"/>
                  <w:tcBorders>
                    <w:tl2br w:val="nil"/>
                    <w:tr2bl w:val="nil"/>
                  </w:tcBorders>
                  <w:vAlign w:val="center"/>
                </w:tcPr>
                <w:p w14:paraId="27707BC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准入要求</w:t>
                  </w:r>
                </w:p>
              </w:tc>
              <w:tc>
                <w:tcPr>
                  <w:tcW w:w="1655" w:type="pct"/>
                  <w:tcBorders>
                    <w:tl2br w:val="nil"/>
                    <w:tr2bl w:val="nil"/>
                  </w:tcBorders>
                  <w:vAlign w:val="center"/>
                </w:tcPr>
                <w:p w14:paraId="797B60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本项目情况</w:t>
                  </w:r>
                </w:p>
              </w:tc>
              <w:tc>
                <w:tcPr>
                  <w:tcW w:w="284" w:type="pct"/>
                  <w:tcBorders>
                    <w:tl2br w:val="nil"/>
                    <w:tr2bl w:val="nil"/>
                  </w:tcBorders>
                  <w:vAlign w:val="center"/>
                </w:tcPr>
                <w:p w14:paraId="744A70B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符合性</w:t>
                  </w:r>
                </w:p>
              </w:tc>
            </w:tr>
            <w:tr w14:paraId="18E7F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l2br w:val="nil"/>
                    <w:tr2bl w:val="nil"/>
                  </w:tcBorders>
                  <w:vAlign w:val="center"/>
                </w:tcPr>
                <w:p w14:paraId="64332B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城镇生活类重点管控单元</w:t>
                  </w:r>
                </w:p>
              </w:tc>
              <w:tc>
                <w:tcPr>
                  <w:tcW w:w="356" w:type="pct"/>
                  <w:tcBorders>
                    <w:tl2br w:val="nil"/>
                    <w:tr2bl w:val="nil"/>
                  </w:tcBorders>
                  <w:vAlign w:val="center"/>
                </w:tcPr>
                <w:p w14:paraId="4C54552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429" w:type="pct"/>
                  <w:tcBorders>
                    <w:tl2br w:val="nil"/>
                    <w:tr2bl w:val="nil"/>
                  </w:tcBorders>
                  <w:vAlign w:val="center"/>
                </w:tcPr>
                <w:p w14:paraId="540CF5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1655" w:type="pct"/>
                  <w:tcBorders>
                    <w:tl2br w:val="nil"/>
                    <w:tr2bl w:val="nil"/>
                  </w:tcBorders>
                  <w:vAlign w:val="center"/>
                </w:tcPr>
                <w:p w14:paraId="29447E8B">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highlight w:val="none"/>
                      <w:u w:val="none"/>
                      <w:vertAlign w:val="baseline"/>
                    </w:rPr>
                  </w:pPr>
                  <w:r>
                    <w:rPr>
                      <w:rFonts w:hint="eastAsia"/>
                      <w:color w:val="auto"/>
                      <w:highlight w:val="none"/>
                      <w:u w:val="none"/>
                      <w:vertAlign w:val="baseline"/>
                      <w:lang w:val="en-US" w:eastAsia="zh-CN"/>
                    </w:rPr>
                    <w:t>本项目不属于危险化学品生产企业，不属于印染、原料药制造</w:t>
                  </w:r>
                  <w:r>
                    <w:rPr>
                      <w:rFonts w:hint="eastAsia"/>
                      <w:color w:val="auto"/>
                      <w:sz w:val="21"/>
                      <w:szCs w:val="21"/>
                      <w:highlight w:val="none"/>
                      <w:u w:val="none"/>
                      <w:vertAlign w:val="baseline"/>
                      <w:lang w:val="en-US" w:eastAsia="zh-CN"/>
                    </w:rPr>
                    <w:t>、化工等企业；本项目位于</w:t>
                  </w:r>
                  <w:r>
                    <w:rPr>
                      <w:rFonts w:hint="eastAsia" w:cs="Times New Roman"/>
                      <w:color w:val="auto"/>
                      <w:sz w:val="21"/>
                      <w:szCs w:val="21"/>
                      <w:highlight w:val="none"/>
                      <w:u w:val="none"/>
                      <w:lang w:val="en-US" w:eastAsia="zh-CN"/>
                    </w:rPr>
                    <w:t>江阴港城经济区福建力峰机械实业有限公司（租赁福建力峰机械实业有限公司2号金属配件车间、1号组装车间）</w:t>
                  </w:r>
                  <w:r>
                    <w:rPr>
                      <w:rFonts w:hint="eastAsia"/>
                      <w:color w:val="auto"/>
                      <w:sz w:val="21"/>
                      <w:szCs w:val="21"/>
                      <w:highlight w:val="none"/>
                      <w:u w:val="none"/>
                      <w:lang w:eastAsia="zh-CN"/>
                    </w:rPr>
                    <w:t>。</w:t>
                  </w:r>
                </w:p>
              </w:tc>
              <w:tc>
                <w:tcPr>
                  <w:tcW w:w="284" w:type="pct"/>
                  <w:tcBorders>
                    <w:tl2br w:val="nil"/>
                    <w:tr2bl w:val="nil"/>
                  </w:tcBorders>
                  <w:vAlign w:val="center"/>
                </w:tcPr>
                <w:p w14:paraId="7A1E4FC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515CA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1FF9D6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56" w:type="pct"/>
                  <w:tcBorders>
                    <w:tl2br w:val="nil"/>
                    <w:tr2bl w:val="nil"/>
                  </w:tcBorders>
                  <w:vAlign w:val="center"/>
                </w:tcPr>
                <w:p w14:paraId="296E34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污染物排放管控</w:t>
                  </w:r>
                </w:p>
              </w:tc>
              <w:tc>
                <w:tcPr>
                  <w:tcW w:w="2429" w:type="pct"/>
                  <w:tcBorders>
                    <w:tl2br w:val="nil"/>
                    <w:tr2bl w:val="nil"/>
                  </w:tcBorders>
                  <w:vAlign w:val="center"/>
                </w:tcPr>
                <w:p w14:paraId="43DCE24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在城市建成区新建大气污染型项目，二氧化硫、氮氧化物排放量应实行倍量削减替代。</w:t>
                  </w:r>
                </w:p>
              </w:tc>
              <w:tc>
                <w:tcPr>
                  <w:tcW w:w="1655" w:type="pct"/>
                  <w:tcBorders>
                    <w:tl2br w:val="nil"/>
                    <w:tr2bl w:val="nil"/>
                  </w:tcBorders>
                  <w:vAlign w:val="center"/>
                </w:tcPr>
                <w:p w14:paraId="61D60F5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highlight w:val="none"/>
                      <w:u w:val="none"/>
                      <w:vertAlign w:val="baseline"/>
                      <w:lang w:eastAsia="zh-CN"/>
                    </w:rPr>
                  </w:pPr>
                  <w:r>
                    <w:rPr>
                      <w:rFonts w:hint="eastAsia" w:ascii="Times New Roman" w:hAnsi="Times New Roman" w:eastAsia="宋体" w:cs="Times New Roman"/>
                      <w:color w:val="auto"/>
                      <w:kern w:val="0"/>
                      <w:sz w:val="21"/>
                      <w:szCs w:val="21"/>
                      <w:highlight w:val="none"/>
                      <w:u w:val="none"/>
                      <w:lang w:val="en-US" w:eastAsia="zh-CN" w:bidi="ar"/>
                    </w:rPr>
                    <w:t>本项目不涉及</w:t>
                  </w:r>
                  <w:r>
                    <w:rPr>
                      <w:rFonts w:hint="eastAsia"/>
                      <w:color w:val="auto"/>
                      <w:highlight w:val="none"/>
                      <w:u w:val="none"/>
                      <w:vertAlign w:val="baseline"/>
                      <w:lang w:val="en-US" w:eastAsia="zh-CN"/>
                    </w:rPr>
                    <w:t>新增二氧化硫、氮氧化物的排放，</w:t>
                  </w:r>
                  <w:r>
                    <w:rPr>
                      <w:rFonts w:hint="default" w:ascii="Times New Roman" w:hAnsi="Times New Roman" w:eastAsia="宋体" w:cs="Times New Roman"/>
                      <w:color w:val="auto"/>
                      <w:kern w:val="0"/>
                      <w:sz w:val="21"/>
                      <w:szCs w:val="21"/>
                      <w:highlight w:val="none"/>
                      <w:u w:val="none"/>
                      <w:lang w:val="en-US" w:eastAsia="zh-CN" w:bidi="ar"/>
                    </w:rPr>
                    <w:t>本项目</w:t>
                  </w:r>
                  <w:r>
                    <w:rPr>
                      <w:rFonts w:hint="eastAsia" w:ascii="Times New Roman" w:hAnsi="Times New Roman" w:eastAsia="宋体" w:cs="Times New Roman"/>
                      <w:color w:val="auto"/>
                      <w:kern w:val="0"/>
                      <w:sz w:val="21"/>
                      <w:szCs w:val="21"/>
                      <w:highlight w:val="none"/>
                      <w:u w:val="none"/>
                      <w:lang w:val="en-US" w:eastAsia="zh-CN" w:bidi="ar"/>
                    </w:rPr>
                    <w:t>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highlight w:val="none"/>
                      <w:u w:val="none"/>
                    </w:rPr>
                    <w:t>VOCs排放</w:t>
                  </w:r>
                  <w:r>
                    <w:rPr>
                      <w:rFonts w:hint="eastAsia" w:cs="Times New Roman"/>
                      <w:color w:val="auto"/>
                      <w:sz w:val="21"/>
                      <w:szCs w:val="21"/>
                      <w:highlight w:val="none"/>
                      <w:u w:val="none"/>
                      <w:lang w:eastAsia="zh-CN"/>
                    </w:rPr>
                    <w:t>。</w:t>
                  </w:r>
                  <w:r>
                    <w:rPr>
                      <w:rFonts w:hint="eastAsia" w:cs="Times New Roman"/>
                      <w:color w:val="auto"/>
                      <w:sz w:val="21"/>
                      <w:szCs w:val="21"/>
                      <w:highlight w:val="none"/>
                      <w:lang w:val="en-US" w:eastAsia="zh-CN"/>
                    </w:rPr>
                    <w:t>现有工程于2017年3月通过环评审批（榕环评表</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2017</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26号），2017年7月完成竣工验收。由于还发布此政策。现有项目所产生的废气污染物VOCs未安装环保设备，无组织排放。本次扩建将把现有项目产生废气与拟扩建项目产生废气一并收集处理。</w:t>
                  </w:r>
                  <w:r>
                    <w:rPr>
                      <w:rFonts w:hint="eastAsia" w:ascii="Times New Roman" w:hAnsi="Times New Roman" w:eastAsia="宋体" w:cs="Times New Roman"/>
                      <w:b w:val="0"/>
                      <w:bCs w:val="0"/>
                      <w:color w:val="auto"/>
                      <w:sz w:val="21"/>
                      <w:szCs w:val="21"/>
                      <w:highlight w:val="none"/>
                      <w:vertAlign w:val="baseline"/>
                      <w:lang w:val="en-US" w:eastAsia="zh-CN"/>
                    </w:rPr>
                    <w:t>本次扩建项目预发、成型、废</w:t>
                  </w:r>
                  <w:r>
                    <w:rPr>
                      <w:rFonts w:hint="eastAsia"/>
                      <w:color w:val="auto"/>
                      <w:szCs w:val="22"/>
                      <w:highlight w:val="none"/>
                      <w:lang w:val="en-US" w:eastAsia="zh-CN"/>
                    </w:rPr>
                    <w:t>气</w:t>
                  </w:r>
                  <w:r>
                    <w:rPr>
                      <w:rFonts w:hint="eastAsia" w:ascii="Times New Roman" w:hAnsi="Times New Roman" w:eastAsia="宋体" w:cs="Times New Roman"/>
                      <w:b w:val="0"/>
                      <w:bCs w:val="0"/>
                      <w:color w:val="auto"/>
                      <w:sz w:val="21"/>
                      <w:szCs w:val="21"/>
                      <w:highlight w:val="none"/>
                      <w:vertAlign w:val="baseline"/>
                      <w:lang w:val="en-US" w:eastAsia="zh-CN"/>
                    </w:rPr>
                    <w:t>中所产生的VOCs经集气罩收集后通过一套“二级活性炭吸附装置+15m排气筒”排放</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u w:val="none"/>
                    </w:rPr>
                    <w:t>VOCs排放实行区域内倍量替代</w:t>
                  </w:r>
                  <w:r>
                    <w:rPr>
                      <w:rFonts w:hint="eastAsia" w:ascii="Times New Roman" w:hAnsi="Times New Roman" w:cs="Times New Roman"/>
                      <w:color w:val="auto"/>
                      <w:sz w:val="21"/>
                      <w:szCs w:val="21"/>
                      <w:highlight w:val="none"/>
                      <w:u w:val="none"/>
                      <w:lang w:eastAsia="zh-CN"/>
                    </w:rPr>
                    <w:t>。</w:t>
                  </w:r>
                </w:p>
              </w:tc>
              <w:tc>
                <w:tcPr>
                  <w:tcW w:w="284" w:type="pct"/>
                  <w:tcBorders>
                    <w:tl2br w:val="nil"/>
                    <w:tr2bl w:val="nil"/>
                  </w:tcBorders>
                  <w:vAlign w:val="center"/>
                </w:tcPr>
                <w:p w14:paraId="21F04CD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431E3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l2br w:val="nil"/>
                    <w:tr2bl w:val="nil"/>
                  </w:tcBorders>
                  <w:vAlign w:val="center"/>
                </w:tcPr>
                <w:p w14:paraId="5EF61FA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福州市陆域</w:t>
                  </w:r>
                </w:p>
              </w:tc>
              <w:tc>
                <w:tcPr>
                  <w:tcW w:w="356" w:type="pct"/>
                  <w:vMerge w:val="restart"/>
                  <w:tcBorders>
                    <w:tl2br w:val="nil"/>
                    <w:tr2bl w:val="nil"/>
                  </w:tcBorders>
                  <w:vAlign w:val="center"/>
                </w:tcPr>
                <w:p w14:paraId="552061F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429" w:type="pct"/>
                  <w:tcBorders>
                    <w:tl2br w:val="nil"/>
                    <w:tr2bl w:val="nil"/>
                  </w:tcBorders>
                  <w:vAlign w:val="center"/>
                </w:tcPr>
                <w:p w14:paraId="5703E36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color w:val="auto"/>
                      <w:vertAlign w:val="baseline"/>
                      <w:lang w:val="en-US" w:eastAsia="zh-CN"/>
                    </w:rPr>
                  </w:pPr>
                  <w:r>
                    <w:rPr>
                      <w:rFonts w:hint="eastAsia" w:ascii="Times New Roman" w:hAnsi="Times New Roman" w:eastAsia="宋体" w:cs="Times New Roman"/>
                      <w:b/>
                      <w:bCs/>
                      <w:color w:val="auto"/>
                      <w:vertAlign w:val="baseline"/>
                      <w:lang w:val="en-US" w:eastAsia="zh-CN"/>
                    </w:rPr>
                    <w:t>一、优先保护单元中的生态保护红线</w:t>
                  </w:r>
                </w:p>
                <w:p w14:paraId="542568B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w:t>
                  </w:r>
                  <w:r>
                    <w:rPr>
                      <w:rFonts w:hint="eastAsia" w:ascii="Times New Roman" w:hAnsi="Times New Roman" w:eastAsia="宋体" w:cs="Times New Roman"/>
                      <w:color w:val="auto"/>
                      <w:vertAlign w:val="baseline"/>
                      <w:lang w:val="en-US"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w:t>
                  </w:r>
                  <w:r>
                    <w:rPr>
                      <w:rFonts w:hint="eastAsia" w:cs="Times New Roman"/>
                      <w:color w:val="auto"/>
                      <w:vertAlign w:val="baseline"/>
                      <w:lang w:val="en-US" w:eastAsia="zh-CN"/>
                    </w:rPr>
                    <w:t>其他</w:t>
                  </w:r>
                  <w:r>
                    <w:rPr>
                      <w:rFonts w:hint="eastAsia" w:ascii="Times New Roman" w:hAnsi="Times New Roman" w:eastAsia="宋体" w:cs="Times New Roman"/>
                      <w:color w:val="auto"/>
                      <w:vertAlign w:val="baseline"/>
                      <w:lang w:val="en-US" w:eastAsia="zh-CN"/>
                    </w:rPr>
                    <w:t>区域禁止开发性、生产性建设活动，在符合法律法规的前提下，仅允许以下对生态功能不造成破坏的有限人为活动。生态保护红线内自然保护区、风景名胜区、饮用水水源保护区等区域，依照法律法规执行。</w:t>
                  </w:r>
                </w:p>
                <w:p w14:paraId="00D0D9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宋体" w:hAnsi="宋体" w:eastAsia="宋体" w:cs="宋体"/>
                      <w:color w:val="auto"/>
                      <w:vertAlign w:val="baseline"/>
                      <w:lang w:val="en-US" w:eastAsia="zh-CN"/>
                    </w:rPr>
                    <w:t>（</w:t>
                  </w:r>
                  <w:r>
                    <w:rPr>
                      <w:rFonts w:hint="default" w:ascii="Times New Roman" w:hAnsi="Times New Roman" w:eastAsia="宋体" w:cs="Times New Roman"/>
                      <w:color w:val="auto"/>
                      <w:vertAlign w:val="baseline"/>
                      <w:lang w:val="en-US" w:eastAsia="zh-CN"/>
                    </w:rPr>
                    <w:t>1</w:t>
                  </w:r>
                  <w:r>
                    <w:rPr>
                      <w:rFonts w:hint="eastAsia" w:ascii="宋体" w:hAnsi="宋体" w:eastAsia="宋体" w:cs="宋体"/>
                      <w:color w:val="auto"/>
                      <w:vertAlign w:val="baseline"/>
                      <w:lang w:val="en-US" w:eastAsia="zh-CN"/>
                    </w:rPr>
                    <w:t>）</w:t>
                  </w:r>
                  <w:r>
                    <w:rPr>
                      <w:rFonts w:hint="eastAsia" w:ascii="Times New Roman" w:hAnsi="Times New Roman" w:eastAsia="宋体" w:cs="Times New Roman"/>
                      <w:color w:val="auto"/>
                      <w:vertAlign w:val="baseline"/>
                      <w:lang w:val="en-US" w:eastAsia="zh-CN"/>
                    </w:rPr>
                    <w:t>管护巡护、保护执法、科学研究、调查监测、测绘导航、防灾减灾救灾、军事国防、疫情防控等活动及相关的必要设施</w:t>
                  </w:r>
                  <w:r>
                    <w:rPr>
                      <w:rFonts w:hint="eastAsia" w:cs="Times New Roman"/>
                      <w:color w:val="auto"/>
                      <w:vertAlign w:val="baseline"/>
                      <w:lang w:val="en-US" w:eastAsia="zh-CN"/>
                    </w:rPr>
                    <w:t>修缮</w:t>
                  </w:r>
                  <w:r>
                    <w:rPr>
                      <w:rFonts w:hint="eastAsia" w:ascii="Times New Roman" w:hAnsi="Times New Roman" w:eastAsia="宋体" w:cs="Times New Roman"/>
                      <w:color w:val="auto"/>
                      <w:vertAlign w:val="baseline"/>
                      <w:lang w:val="en-US" w:eastAsia="zh-CN"/>
                    </w:rPr>
                    <w:t>。</w:t>
                  </w:r>
                </w:p>
                <w:p w14:paraId="4B49BC2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w:t>
                  </w:r>
                  <w:r>
                    <w:rPr>
                      <w:rFonts w:hint="eastAsia" w:ascii="Times New Roman" w:hAnsi="Times New Roman" w:eastAsia="宋体" w:cs="Times New Roman"/>
                      <w:color w:val="auto"/>
                      <w:vertAlign w:val="baseline"/>
                      <w:lang w:val="en-US"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8C9DA0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w:t>
                  </w:r>
                  <w:r>
                    <w:rPr>
                      <w:rFonts w:hint="eastAsia" w:ascii="Times New Roman" w:hAnsi="Times New Roman" w:eastAsia="宋体" w:cs="Times New Roman"/>
                      <w:color w:val="auto"/>
                      <w:vertAlign w:val="baseline"/>
                      <w:lang w:val="en-US" w:eastAsia="zh-CN"/>
                    </w:rPr>
                    <w:t>经依法批准的考古调查发掘、古生物化石调查发掘、标本采集和文物保护活动。</w:t>
                  </w:r>
                </w:p>
                <w:p w14:paraId="34D9AF8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（4）按规定对人工商品林进行抚育采伐，或以提升森林质量、优化栖息地、建设生物防火隔离带等为目的的树种更新，依法开展的竹林采伐经营。</w:t>
                  </w:r>
                </w:p>
                <w:p w14:paraId="5F4776B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（5）不破坏生态功能的适度参观旅游、科普宣教及符合相关规划的配套性服务设施和相关的必要公共设施建设及维护。</w:t>
                  </w:r>
                </w:p>
                <w:p w14:paraId="37790C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（6）必须且无法避让、符合县级以上国土空间规划的线性基础设施、通讯和防洪、供水设施建设和船舶航行、航道疏浚清淤等活动；已有的合法水利、交通运输等设施运行维护改造。</w:t>
                  </w:r>
                </w:p>
                <w:p w14:paraId="282A5AD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6C9A78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（8）依据县级以上国土空间规划和生态保护修复专项规划开展的生态修复。</w:t>
                  </w:r>
                </w:p>
                <w:p w14:paraId="7B1C7B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（9）法律法规规定允许的其他人为活动。</w:t>
                  </w:r>
                </w:p>
                <w:p w14:paraId="4C2C95A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w:t>
                  </w:r>
                  <w:r>
                    <w:rPr>
                      <w:rFonts w:hint="eastAsia" w:ascii="Times New Roman" w:hAnsi="Times New Roman" w:eastAsia="宋体" w:cs="Times New Roman"/>
                      <w:color w:val="auto"/>
                      <w:vertAlign w:val="baseline"/>
                      <w:lang w:val="en-US" w:eastAsia="zh-CN"/>
                    </w:rPr>
                    <w:t>依据《福建省自然资源厅福建省生态环境厅福建省林业局关于进一步加强生态保护红线监管的通知（试行）》（闽自然资发〔2023〕56号），允许占用生态保护红线的重大项目范围：</w:t>
                  </w:r>
                </w:p>
                <w:p w14:paraId="573A939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（1）党中央、国务院发布文件或批准规划中明确具体名称的项目和国务院批准的项目。</w:t>
                  </w:r>
                </w:p>
                <w:p w14:paraId="700C2B4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（2）中央军委及其有关部门批准的军事国防项目。</w:t>
                  </w:r>
                </w:p>
                <w:p w14:paraId="2E1B79C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（3）国家级规划（指国务院及其有关部门正式颁布）明确的交通、水利项目。</w:t>
                  </w:r>
                </w:p>
                <w:p w14:paraId="2E128DF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（4）国家级规划明确的电网项目，国家级规划明确的且符合国家产业政策的能源矿产勘查开采、油气管线、水电、核电项目。</w:t>
                  </w:r>
                </w:p>
                <w:p w14:paraId="6A30897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（5）为贯彻落实党中央、国务院重大决策部署</w:t>
                  </w:r>
                  <w:r>
                    <w:rPr>
                      <w:rFonts w:hint="eastAsia" w:cs="Times New Roman"/>
                      <w:color w:val="auto"/>
                      <w:vertAlign w:val="baseline"/>
                      <w:lang w:val="en-US" w:eastAsia="zh-CN"/>
                    </w:rPr>
                    <w:t>，由</w:t>
                  </w:r>
                  <w:r>
                    <w:rPr>
                      <w:rFonts w:hint="eastAsia" w:ascii="Times New Roman" w:hAnsi="Times New Roman" w:eastAsia="宋体" w:cs="Times New Roman"/>
                      <w:color w:val="auto"/>
                      <w:vertAlign w:val="baseline"/>
                      <w:lang w:val="en-US" w:eastAsia="zh-CN"/>
                    </w:rPr>
                    <w:t>国务院投资主管部门或国务院投资主管部门会同有关部门确认的交通、能源、水利等基础设施项目。</w:t>
                  </w:r>
                </w:p>
                <w:p w14:paraId="6031F0D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（6）按照国家重大项目用地保障工作机制要求，国家发展改革委会同有关部门确认的需中央加大建设用地保障力度，确实难以避让的国家重大项目。</w:t>
                  </w:r>
                </w:p>
              </w:tc>
              <w:tc>
                <w:tcPr>
                  <w:tcW w:w="1655" w:type="pct"/>
                  <w:tcBorders>
                    <w:tl2br w:val="nil"/>
                    <w:tr2bl w:val="nil"/>
                  </w:tcBorders>
                  <w:vAlign w:val="center"/>
                </w:tcPr>
                <w:p w14:paraId="3C616159">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本项目不涉及自然保护区、风景名胜区、饮用水水源保护区等区域，不在优先保护单</w:t>
                  </w:r>
                  <w:r>
                    <w:rPr>
                      <w:rFonts w:hint="eastAsia" w:cs="Times New Roman"/>
                      <w:color w:val="auto"/>
                      <w:sz w:val="21"/>
                      <w:szCs w:val="21"/>
                      <w:u w:val="none"/>
                      <w:lang w:val="en-US" w:eastAsia="zh-CN"/>
                    </w:rPr>
                    <w:t>位单</w:t>
                  </w:r>
                  <w:r>
                    <w:rPr>
                      <w:rFonts w:hint="eastAsia" w:ascii="Times New Roman" w:hAnsi="Times New Roman" w:eastAsia="宋体" w:cs="Times New Roman"/>
                      <w:color w:val="auto"/>
                      <w:sz w:val="21"/>
                      <w:szCs w:val="21"/>
                      <w:u w:val="none"/>
                      <w:lang w:val="en-US" w:eastAsia="zh-CN"/>
                    </w:rPr>
                    <w:t>元内，不涉及生态保护红线的占用。</w:t>
                  </w:r>
                </w:p>
                <w:p w14:paraId="4CEFC4B3">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本项目不属于重大项目。</w:t>
                  </w:r>
                </w:p>
                <w:p w14:paraId="7F7AC9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84" w:type="pct"/>
                  <w:tcBorders>
                    <w:tl2br w:val="nil"/>
                    <w:tr2bl w:val="nil"/>
                  </w:tcBorders>
                  <w:vAlign w:val="center"/>
                </w:tcPr>
                <w:p w14:paraId="4593DBC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09E82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7FF062A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6" w:type="pct"/>
                  <w:vMerge w:val="continue"/>
                  <w:tcBorders>
                    <w:tl2br w:val="nil"/>
                    <w:tr2bl w:val="nil"/>
                  </w:tcBorders>
                  <w:vAlign w:val="center"/>
                </w:tcPr>
                <w:p w14:paraId="720B795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429" w:type="pct"/>
                  <w:tcBorders>
                    <w:tl2br w:val="nil"/>
                    <w:tr2bl w:val="nil"/>
                  </w:tcBorders>
                  <w:vAlign w:val="center"/>
                </w:tcPr>
                <w:p w14:paraId="7A4933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color w:val="auto"/>
                      <w:vertAlign w:val="baseline"/>
                      <w:lang w:val="en-US" w:eastAsia="zh-CN"/>
                    </w:rPr>
                  </w:pPr>
                  <w:r>
                    <w:rPr>
                      <w:rFonts w:hint="eastAsia" w:ascii="Times New Roman" w:hAnsi="Times New Roman" w:eastAsia="宋体" w:cs="Times New Roman"/>
                      <w:b/>
                      <w:bCs/>
                      <w:color w:val="auto"/>
                      <w:vertAlign w:val="baseline"/>
                      <w:lang w:val="en-US" w:eastAsia="zh-CN"/>
                    </w:rPr>
                    <w:t>二、优先保护单元中的一般生态空间</w:t>
                  </w:r>
                </w:p>
                <w:p w14:paraId="27BC9D9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w:t>
                  </w:r>
                  <w:r>
                    <w:rPr>
                      <w:rFonts w:hint="eastAsia" w:ascii="Times New Roman" w:hAnsi="Times New Roman" w:eastAsia="宋体" w:cs="Times New Roman"/>
                      <w:color w:val="auto"/>
                      <w:vertAlign w:val="baseline"/>
                      <w:lang w:val="en-US" w:eastAsia="zh-CN"/>
                    </w:rPr>
                    <w:t>一般生态空间以保护和修复生态环境、提供生态产品和服务为首要任务，因地制宜地发展不影响主体功能定位的适宜产业。</w:t>
                  </w:r>
                </w:p>
                <w:p w14:paraId="4B37116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w:t>
                  </w:r>
                  <w:r>
                    <w:rPr>
                      <w:rFonts w:hint="eastAsia" w:ascii="Times New Roman" w:hAnsi="Times New Roman" w:eastAsia="宋体" w:cs="Times New Roman"/>
                      <w:color w:val="auto"/>
                      <w:vertAlign w:val="baseline"/>
                      <w:lang w:val="en-US" w:eastAsia="zh-CN"/>
                    </w:rPr>
                    <w:t>一般生态空间内未纳入生态保护红线的饮用水水源保护区等各类法定保护地，其管控要求依照相关法律法规执行。</w:t>
                  </w:r>
                </w:p>
                <w:p w14:paraId="2C7081B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w:t>
                  </w:r>
                  <w:r>
                    <w:rPr>
                      <w:rFonts w:hint="eastAsia" w:ascii="Times New Roman" w:hAnsi="Times New Roman" w:eastAsia="宋体" w:cs="Times New Roman"/>
                      <w:color w:val="auto"/>
                      <w:vertAlign w:val="baseline"/>
                      <w:lang w:val="en-US" w:eastAsia="zh-CN"/>
                    </w:rPr>
                    <w:t>一般生态空间内现有合法的水泥厂、矿山开发等生产性设施及生活垃圾处置等民生工程予以保留，应按照法律法规要求落实污染防治和生态保护措施，避免对生态功能造成破坏。</w:t>
                  </w:r>
                </w:p>
              </w:tc>
              <w:tc>
                <w:tcPr>
                  <w:tcW w:w="1655" w:type="pct"/>
                  <w:tcBorders>
                    <w:tl2br w:val="nil"/>
                    <w:tr2bl w:val="nil"/>
                  </w:tcBorders>
                  <w:vAlign w:val="center"/>
                </w:tcPr>
                <w:p w14:paraId="038E080A">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本项目位于福清市重点管控单元</w:t>
                  </w: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重点管控单元</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，不属于优先保护单元。</w:t>
                  </w:r>
                </w:p>
                <w:p w14:paraId="755A666F">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本项目不涉及饮用水水源保护区</w:t>
                  </w:r>
                </w:p>
                <w:p w14:paraId="5043375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color w:val="auto"/>
                      <w:vertAlign w:val="baseline"/>
                      <w:lang w:val="en-US" w:eastAsia="zh-CN"/>
                    </w:rPr>
                    <w:t>水泥厂、矿山开发等生产性设施项目</w:t>
                  </w:r>
                </w:p>
              </w:tc>
              <w:tc>
                <w:tcPr>
                  <w:tcW w:w="284" w:type="pct"/>
                  <w:tcBorders>
                    <w:tl2br w:val="nil"/>
                    <w:tr2bl w:val="nil"/>
                  </w:tcBorders>
                  <w:vAlign w:val="center"/>
                </w:tcPr>
                <w:p w14:paraId="3AE6320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4120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207FB1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6" w:type="pct"/>
                  <w:vMerge w:val="continue"/>
                  <w:tcBorders>
                    <w:tl2br w:val="nil"/>
                    <w:tr2bl w:val="nil"/>
                  </w:tcBorders>
                  <w:vAlign w:val="center"/>
                </w:tcPr>
                <w:p w14:paraId="4EFB1BB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429" w:type="pct"/>
                  <w:tcBorders>
                    <w:tl2br w:val="nil"/>
                    <w:tr2bl w:val="nil"/>
                  </w:tcBorders>
                  <w:vAlign w:val="center"/>
                </w:tcPr>
                <w:p w14:paraId="631FAAE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b/>
                      <w:bCs/>
                      <w:color w:val="auto"/>
                      <w:vertAlign w:val="baseline"/>
                      <w:lang w:val="en-US" w:eastAsia="zh-CN"/>
                    </w:rPr>
                    <w:t>三、</w:t>
                  </w:r>
                  <w:r>
                    <w:rPr>
                      <w:rFonts w:hint="eastAsia" w:cs="Times New Roman"/>
                      <w:b/>
                      <w:bCs/>
                      <w:color w:val="auto"/>
                      <w:vertAlign w:val="baseline"/>
                      <w:lang w:val="en-US" w:eastAsia="zh-CN"/>
                    </w:rPr>
                    <w:t>其他</w:t>
                  </w:r>
                  <w:r>
                    <w:rPr>
                      <w:rFonts w:hint="eastAsia" w:ascii="Times New Roman" w:hAnsi="Times New Roman" w:eastAsia="宋体" w:cs="Times New Roman"/>
                      <w:b/>
                      <w:bCs/>
                      <w:color w:val="auto"/>
                      <w:vertAlign w:val="baseline"/>
                      <w:lang w:val="en-US" w:eastAsia="zh-CN"/>
                    </w:rPr>
                    <w:t>要求</w:t>
                  </w:r>
                </w:p>
                <w:p w14:paraId="57F0DD3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w:t>
                  </w:r>
                  <w:r>
                    <w:rPr>
                      <w:rFonts w:hint="eastAsia" w:ascii="Times New Roman" w:hAnsi="Times New Roman" w:eastAsia="宋体" w:cs="Times New Roman"/>
                      <w:color w:val="auto"/>
                      <w:vertAlign w:val="baseline"/>
                      <w:lang w:val="en-US" w:eastAsia="zh-CN"/>
                    </w:rPr>
                    <w:t>福州市石化中上游项目重点在福州江阴港城经济区、可门港经济区化工新材料产业园布局。</w:t>
                  </w:r>
                </w:p>
                <w:p w14:paraId="2A761F9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w:t>
                  </w:r>
                  <w:r>
                    <w:rPr>
                      <w:rFonts w:hint="eastAsia" w:ascii="Times New Roman" w:hAnsi="Times New Roman" w:eastAsia="宋体" w:cs="Times New Roman"/>
                      <w:color w:val="auto"/>
                      <w:vertAlign w:val="baseline"/>
                      <w:lang w:val="en-US" w:eastAsia="zh-CN"/>
                    </w:rPr>
                    <w:t>禁止在闽江马尾罗星塔以上流域范围新、扩建制革项目，严控新（扩）建植物制浆、印染、合成革及人造革、电镀项目。</w:t>
                  </w:r>
                </w:p>
                <w:p w14:paraId="2C578E2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w:t>
                  </w:r>
                  <w:r>
                    <w:rPr>
                      <w:rFonts w:hint="eastAsia" w:ascii="Times New Roman" w:hAnsi="Times New Roman" w:eastAsia="宋体" w:cs="Times New Roman"/>
                      <w:color w:val="auto"/>
                      <w:vertAlign w:val="baseline"/>
                      <w:lang w:val="en-US" w:eastAsia="zh-CN"/>
                    </w:rPr>
                    <w:t>禁止在通风廊道和主导风向的上风向布局大气重污染企业，推进建成区大气重污染企业搬迁或升级改造、环境风险企业搬迁或关闭退出。</w:t>
                  </w:r>
                </w:p>
                <w:p w14:paraId="3159846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w:t>
                  </w:r>
                  <w:r>
                    <w:rPr>
                      <w:rFonts w:hint="eastAsia" w:ascii="Times New Roman" w:hAnsi="Times New Roman" w:eastAsia="宋体" w:cs="Times New Roman"/>
                      <w:color w:val="auto"/>
                      <w:vertAlign w:val="baseline"/>
                      <w:lang w:val="en-US" w:eastAsia="zh-CN"/>
                    </w:rPr>
                    <w:t>禁止新、改、扩建生产高VOCs含量有机溶剂型涂料、油墨和胶黏剂的项目。</w:t>
                  </w:r>
                </w:p>
                <w:p w14:paraId="764A3DC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5.</w:t>
                  </w:r>
                  <w:r>
                    <w:rPr>
                      <w:rFonts w:hint="eastAsia" w:ascii="Times New Roman" w:hAnsi="Times New Roman" w:eastAsia="宋体" w:cs="Times New Roman"/>
                      <w:color w:val="auto"/>
                      <w:vertAlign w:val="baseline"/>
                      <w:lang w:val="en-US" w:eastAsia="zh-CN"/>
                    </w:rPr>
                    <w:t>持续加强闽清等地建陶产业的环境综合治理，充分衔接国土空间规划和生态环境分区管控，并对照产业政策、城市总体发展规划等要求，进一步明确发展定位，优化产业布局和规模。</w:t>
                  </w:r>
                </w:p>
                <w:p w14:paraId="33D5DE4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6.</w:t>
                  </w:r>
                  <w:r>
                    <w:rPr>
                      <w:rFonts w:hint="eastAsia" w:ascii="Times New Roman" w:hAnsi="Times New Roman" w:eastAsia="宋体" w:cs="Times New Roman"/>
                      <w:color w:val="auto"/>
                      <w:vertAlign w:val="baseline"/>
                      <w:lang w:val="en-US" w:eastAsia="zh-CN"/>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30C2CA1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7.</w:t>
                  </w:r>
                  <w:r>
                    <w:rPr>
                      <w:rFonts w:hint="eastAsia" w:ascii="Times New Roman" w:hAnsi="Times New Roman" w:eastAsia="宋体" w:cs="Times New Roman"/>
                      <w:color w:val="auto"/>
                      <w:vertAlign w:val="baseline"/>
                      <w:lang w:val="en-US" w:eastAsia="zh-CN"/>
                    </w:rPr>
                    <w:t>禁止在流域上游新建、扩建重污染企业和项目。</w:t>
                  </w:r>
                </w:p>
                <w:p w14:paraId="1D67BF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8.</w:t>
                  </w:r>
                  <w:r>
                    <w:rPr>
                      <w:rFonts w:hint="eastAsia" w:ascii="Times New Roman" w:hAnsi="Times New Roman" w:eastAsia="宋体" w:cs="Times New Roman"/>
                      <w:color w:val="auto"/>
                      <w:vertAlign w:val="baseline"/>
                      <w:lang w:val="en-US" w:eastAsia="zh-CN"/>
                    </w:rPr>
                    <w:t>重要敏感水体及富营养化湖库生态缓冲带除相关政府部门批准的科学研究活动外，禁止</w:t>
                  </w:r>
                  <w:r>
                    <w:rPr>
                      <w:rFonts w:hint="eastAsia" w:cs="Times New Roman"/>
                      <w:color w:val="auto"/>
                      <w:vertAlign w:val="baseline"/>
                      <w:lang w:val="en-US" w:eastAsia="zh-CN"/>
                    </w:rPr>
                    <w:t>其他可能</w:t>
                  </w:r>
                  <w:r>
                    <w:rPr>
                      <w:rFonts w:hint="eastAsia" w:ascii="Times New Roman" w:hAnsi="Times New Roman" w:eastAsia="宋体" w:cs="Times New Roman"/>
                      <w:color w:val="auto"/>
                      <w:vertAlign w:val="baseline"/>
                      <w:lang w:val="en-US" w:eastAsia="zh-CN"/>
                    </w:rPr>
                    <w:t>对保护区构成危害或不良影响的大规模生产、建设活动。</w:t>
                  </w:r>
                </w:p>
                <w:p w14:paraId="5D98FCF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9.</w:t>
                  </w:r>
                  <w:r>
                    <w:rPr>
                      <w:rFonts w:hint="eastAsia" w:ascii="Times New Roman" w:hAnsi="Times New Roman" w:eastAsia="宋体" w:cs="Times New Roman"/>
                      <w:color w:val="auto"/>
                      <w:vertAlign w:val="baseline"/>
                      <w:lang w:val="en-US" w:eastAsia="zh-CN"/>
                    </w:rPr>
                    <w:t>新、改、扩建煤电、钢铁、建材、石化、化工等“两高”项目，严格落实国家、省、市产业规划、产业政策、“三线一单”、规划环评，以及产能置换、煤炭消费减量替代、区域污染削减等相关要求。</w:t>
                  </w:r>
                </w:p>
                <w:p w14:paraId="0018FA7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w:t>
                  </w:r>
                  <w:r>
                    <w:rPr>
                      <w:rFonts w:hint="eastAsia" w:ascii="Times New Roman" w:hAnsi="Times New Roman" w:eastAsia="宋体" w:cs="Times New Roman"/>
                      <w:color w:val="auto"/>
                      <w:vertAlign w:val="baseline"/>
                      <w:lang w:val="en-US" w:eastAsia="zh-CN"/>
                    </w:rPr>
                    <w:t>单元内涉及永久基本农田的，应按照《福建省基本农田保护条例》（2010年修正本）、《国土资源部关于全面实行永久共本农田特殊保护的通知》（国土资规〔2018〕1号）、《</w:t>
                  </w:r>
                  <w:r>
                    <w:rPr>
                      <w:rFonts w:hint="eastAsia" w:cs="Times New Roman"/>
                      <w:color w:val="auto"/>
                      <w:vertAlign w:val="baseline"/>
                      <w:lang w:val="en-US" w:eastAsia="zh-CN"/>
                    </w:rPr>
                    <w:t>中共中央、国务院</w:t>
                  </w:r>
                  <w:r>
                    <w:rPr>
                      <w:rFonts w:hint="eastAsia" w:ascii="Times New Roman" w:hAnsi="Times New Roman" w:eastAsia="宋体" w:cs="Times New Roman"/>
                      <w:color w:val="auto"/>
                      <w:vertAlign w:val="baseline"/>
                      <w:lang w:val="en-US" w:eastAsia="zh-CN"/>
                    </w:rPr>
                    <w:t>关于加强耕地保护和改进占补平衡的意见》（2017年1月9日）等相关文件要求进</w:t>
                  </w:r>
                  <w:r>
                    <w:rPr>
                      <w:rFonts w:hint="eastAsia" w:cs="Times New Roman"/>
                      <w:color w:val="auto"/>
                      <w:vertAlign w:val="baseline"/>
                      <w:lang w:val="en-US" w:eastAsia="zh-CN"/>
                    </w:rPr>
                    <w:t>行严</w:t>
                  </w:r>
                  <w:r>
                    <w:rPr>
                      <w:rFonts w:hint="eastAsia" w:ascii="Times New Roman" w:hAnsi="Times New Roman" w:eastAsia="宋体" w:cs="Times New Roman"/>
                      <w:color w:val="auto"/>
                      <w:vertAlign w:val="baseline"/>
                      <w:lang w:val="en-US" w:eastAsia="zh-CN"/>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655" w:type="pct"/>
                  <w:tcBorders>
                    <w:tl2br w:val="nil"/>
                    <w:tr2bl w:val="nil"/>
                  </w:tcBorders>
                  <w:vAlign w:val="center"/>
                </w:tcPr>
                <w:p w14:paraId="43A48B5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本项目不属于石化植物制浆、印染、合成革及人造革、电镀项目，不涉及油墨、涂料、</w:t>
                  </w:r>
                  <w:r>
                    <w:rPr>
                      <w:rFonts w:hint="eastAsia" w:cs="Times New Roman"/>
                      <w:color w:val="auto"/>
                      <w:sz w:val="21"/>
                      <w:szCs w:val="21"/>
                      <w:u w:val="none"/>
                      <w:lang w:val="en-US" w:eastAsia="zh-CN"/>
                    </w:rPr>
                    <w:t>胶黏剂</w:t>
                  </w:r>
                  <w:r>
                    <w:rPr>
                      <w:rFonts w:hint="eastAsia" w:ascii="Times New Roman" w:hAnsi="Times New Roman" w:eastAsia="宋体" w:cs="Times New Roman"/>
                      <w:color w:val="auto"/>
                      <w:sz w:val="21"/>
                      <w:szCs w:val="21"/>
                      <w:u w:val="none"/>
                      <w:lang w:val="en-US" w:eastAsia="zh-CN"/>
                    </w:rPr>
                    <w:t>的使用，不属于陶瓷企业。不属于煤电、钢铁、建材、石化、化工等“两高”项目；</w:t>
                  </w:r>
                </w:p>
                <w:p w14:paraId="06400EDD">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vertAlign w:val="baseli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color w:val="auto"/>
                      <w:vertAlign w:val="baseline"/>
                      <w:lang w:val="en-US" w:eastAsia="zh-CN"/>
                    </w:rPr>
                    <w:t>高VOCs含量有机溶剂型涂料、油墨和胶黏剂的项目；</w:t>
                  </w:r>
                </w:p>
                <w:p w14:paraId="780A967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项目所在地属于工业用地，不涉及基本农田、永久基本农田、防风固沙林和农田保护林等。</w:t>
                  </w:r>
                </w:p>
              </w:tc>
              <w:tc>
                <w:tcPr>
                  <w:tcW w:w="284" w:type="pct"/>
                  <w:tcBorders>
                    <w:tl2br w:val="nil"/>
                    <w:tr2bl w:val="nil"/>
                  </w:tcBorders>
                  <w:vAlign w:val="center"/>
                </w:tcPr>
                <w:p w14:paraId="7C9504B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06D1E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7E7C075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6" w:type="pct"/>
                  <w:tcBorders>
                    <w:tl2br w:val="nil"/>
                    <w:tr2bl w:val="nil"/>
                  </w:tcBorders>
                  <w:vAlign w:val="center"/>
                </w:tcPr>
                <w:p w14:paraId="4A51934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vertAlign w:val="baseline"/>
                      <w:lang w:val="en-US" w:eastAsia="zh-CN"/>
                    </w:rPr>
                    <w:t>污染物排放管控</w:t>
                  </w:r>
                </w:p>
              </w:tc>
              <w:tc>
                <w:tcPr>
                  <w:tcW w:w="2429" w:type="pct"/>
                  <w:tcBorders>
                    <w:tl2br w:val="nil"/>
                    <w:tr2bl w:val="nil"/>
                  </w:tcBorders>
                  <w:vAlign w:val="center"/>
                </w:tcPr>
                <w:p w14:paraId="7AA93DE8">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工业类新（改、扩）建项目新增主要污染物（水污染物化学需氧量、氨氮和大气污染物二氧化硫、氮氧化物）排放总量指标应符合区域环境质量和总量控制要求，立足于通过</w:t>
                  </w:r>
                  <w:r>
                    <w:rPr>
                      <w:rFonts w:hint="eastAsia"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以新带老</w:t>
                  </w:r>
                  <w:r>
                    <w:rPr>
                      <w:rFonts w:hint="eastAsia"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、削减存量，努力实现区域、企业自身总量平衡。总量指标来源、审核和监督管理按照“榕环保综〔2017〕90号</w:t>
                  </w:r>
                  <w:r>
                    <w:rPr>
                      <w:rFonts w:hint="eastAsia"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等相关文件执行。</w:t>
                  </w:r>
                </w:p>
                <w:p w14:paraId="0066DB96">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新、改、扩建涉VOCs排放项目，应从源头加强控制，使用低（无）VOCs含量的原辅材料，实施新建项目VOCs排放区域内1.2及以上倍量替代。</w:t>
                  </w:r>
                </w:p>
                <w:p w14:paraId="49399F13">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严格控制新建、改建、扩建钢铁、水泥、平板玻璃、有色金属冶炼、化工等工业项目。新改扩建钢铁、火电项目</w:t>
                  </w:r>
                  <w:r>
                    <w:rPr>
                      <w:rFonts w:hint="eastAsia" w:cs="Times New Roman"/>
                      <w:b w:val="0"/>
                      <w:bCs w:val="0"/>
                      <w:color w:val="auto"/>
                      <w:vertAlign w:val="baseline"/>
                      <w:lang w:val="en-US" w:eastAsia="zh-CN"/>
                    </w:rPr>
                    <w:t>应当</w:t>
                  </w:r>
                  <w:r>
                    <w:rPr>
                      <w:rFonts w:hint="default" w:ascii="Times New Roman" w:hAnsi="Times New Roman" w:eastAsia="宋体" w:cs="Times New Roman"/>
                      <w:b w:val="0"/>
                      <w:bCs w:val="0"/>
                      <w:color w:val="auto"/>
                      <w:vertAlign w:val="baseline"/>
                      <w:lang w:val="en-US" w:eastAsia="zh-CN"/>
                    </w:rPr>
                    <w:t>执行超低排放限值，有色项目应当执行大气污染物特别排放限值。重点控制区新建化工、石化应当执行大气污染物特别排放限值。</w:t>
                  </w:r>
                </w:p>
                <w:p w14:paraId="1BD30C4F">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氟化工、印染、电镀等行业企业实行水污染物特别排放限值。</w:t>
                  </w:r>
                </w:p>
                <w:p w14:paraId="34B90F8F">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新、改、扩建重点行业［2］建设项目要遵循重点重金属污染物排放“等量替代”原则，总量来源原则上应是同一重点行业内的削减量，当同一重点行业无法满足时可从其他重点行业调剂。</w:t>
                  </w:r>
                </w:p>
                <w:p w14:paraId="3C4EF0F2">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每小时35（含）—65蒸吨燃煤锅炉和位于县级及以上城市建成区内保留的燃煤、燃油、燃生物质锅炉，原则上2024年底前必须全面实现超低排放。</w:t>
                  </w:r>
                </w:p>
                <w:p w14:paraId="04CDC0E3">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水泥行业新改扩建项目严格对照超低排放、能效标杆水平建设实施；现有项目超低排放改造应按文件（闽环规〔2023〕2号）的时限要求分步推进，2025年底前全面完成［3］［4］。</w:t>
                  </w:r>
                </w:p>
                <w:p w14:paraId="0059D56A">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655" w:type="pct"/>
                  <w:tcBorders>
                    <w:tl2br w:val="nil"/>
                    <w:tr2bl w:val="nil"/>
                  </w:tcBorders>
                  <w:vAlign w:val="center"/>
                </w:tcPr>
                <w:p w14:paraId="1598D140">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1.本项目不新增</w:t>
                  </w:r>
                  <w:r>
                    <w:rPr>
                      <w:rFonts w:hint="eastAsia"/>
                      <w:color w:val="auto"/>
                      <w:u w:val="none"/>
                      <w:vertAlign w:val="baseline"/>
                      <w:lang w:val="en-US" w:eastAsia="zh-CN"/>
                    </w:rPr>
                    <w:t>水污染物化学需氧量、氨氮和大气污染物二氧化硫、氮氧化物的排放；</w:t>
                  </w:r>
                </w:p>
                <w:p w14:paraId="1E36DD34">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2.本项目新增VOCs排放，在区域内实行倍量替代；</w:t>
                  </w:r>
                </w:p>
                <w:p w14:paraId="54CDA67E">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3.本项目不属于钢铁、水泥、平板玻璃、有色金属冶炼、化工等工业项目；</w:t>
                  </w:r>
                </w:p>
                <w:p w14:paraId="3588B8C2">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4.本项目不属于氟化工、印染、电镀等行业企业；</w:t>
                  </w:r>
                </w:p>
                <w:p w14:paraId="3CE534AC">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5.本项目不涉及重点污染物排放；</w:t>
                  </w:r>
                </w:p>
                <w:p w14:paraId="34ECAE8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6.</w:t>
                  </w:r>
                  <w:r>
                    <w:rPr>
                      <w:rFonts w:hint="eastAsia"/>
                      <w:color w:val="auto"/>
                      <w:highlight w:val="none"/>
                      <w:u w:val="none"/>
                      <w:vertAlign w:val="baseline"/>
                      <w:lang w:val="en-US" w:eastAsia="zh-CN"/>
                    </w:rPr>
                    <w:t>本项目采用蒸汽由国电福州发电有限公司供应，不使用燃煤、燃油、生物质和其他使用高污染燃料的锅炉；</w:t>
                  </w:r>
                </w:p>
                <w:p w14:paraId="24FDDC7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7.本项目不属于水泥行业；</w:t>
                  </w:r>
                </w:p>
                <w:p w14:paraId="7BF7120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8.本项目不属于印染、皮革、农药、医药、涂料等企业，不涉及废药品、废农药以及抗生素生产过程中产生的废母液、废反应基和废培养基等废物的产生。</w:t>
                  </w:r>
                </w:p>
              </w:tc>
              <w:tc>
                <w:tcPr>
                  <w:tcW w:w="284" w:type="pct"/>
                  <w:tcBorders>
                    <w:tl2br w:val="nil"/>
                    <w:tr2bl w:val="nil"/>
                  </w:tcBorders>
                  <w:vAlign w:val="center"/>
                </w:tcPr>
                <w:p w14:paraId="60844F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6CB8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7AA404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6" w:type="pct"/>
                  <w:tcBorders>
                    <w:tl2br w:val="nil"/>
                    <w:tr2bl w:val="nil"/>
                  </w:tcBorders>
                  <w:vAlign w:val="center"/>
                </w:tcPr>
                <w:p w14:paraId="6EA46BC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资源开发效率要求</w:t>
                  </w:r>
                </w:p>
              </w:tc>
              <w:tc>
                <w:tcPr>
                  <w:tcW w:w="2429" w:type="pct"/>
                  <w:tcBorders>
                    <w:tl2br w:val="nil"/>
                    <w:tr2bl w:val="nil"/>
                  </w:tcBorders>
                  <w:vAlign w:val="center"/>
                </w:tcPr>
                <w:p w14:paraId="0AFA832F">
                  <w:pPr>
                    <w:keepNext w:val="0"/>
                    <w:keepLines w:val="0"/>
                    <w:pageBreakBefore w:val="0"/>
                    <w:widowControl w:val="0"/>
                    <w:numPr>
                      <w:ilvl w:val="0"/>
                      <w:numId w:val="4"/>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9E28B3B">
                  <w:pPr>
                    <w:keepNext w:val="0"/>
                    <w:keepLines w:val="0"/>
                    <w:pageBreakBefore w:val="0"/>
                    <w:widowControl w:val="0"/>
                    <w:numPr>
                      <w:ilvl w:val="0"/>
                      <w:numId w:val="4"/>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按照</w:t>
                  </w:r>
                  <w:r>
                    <w:rPr>
                      <w:rFonts w:hint="eastAsia" w:ascii="Times New Roman" w:hAnsi="Times New Roman" w:eastAsia="宋体"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提气、转电、控煤</w:t>
                  </w:r>
                  <w:r>
                    <w:rPr>
                      <w:rFonts w:hint="eastAsia" w:ascii="Times New Roman" w:hAnsi="Times New Roman" w:eastAsia="宋体"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的发展思路，推动陶瓷行业进一步优化用能结构，实现能源消费清洁低碳化。</w:t>
                  </w:r>
                </w:p>
              </w:tc>
              <w:tc>
                <w:tcPr>
                  <w:tcW w:w="1655" w:type="pct"/>
                  <w:tcBorders>
                    <w:tl2br w:val="nil"/>
                    <w:tr2bl w:val="nil"/>
                  </w:tcBorders>
                  <w:vAlign w:val="center"/>
                </w:tcPr>
                <w:p w14:paraId="62BAD3C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w:t>
                  </w:r>
                  <w:r>
                    <w:rPr>
                      <w:rFonts w:hint="eastAsia"/>
                      <w:color w:val="auto"/>
                      <w:u w:val="none"/>
                      <w:vertAlign w:val="baseline"/>
                      <w:lang w:val="en-US" w:eastAsia="zh-CN"/>
                    </w:rPr>
                    <w:t>本项</w:t>
                  </w:r>
                  <w:r>
                    <w:rPr>
                      <w:rFonts w:hint="eastAsia"/>
                      <w:color w:val="auto"/>
                      <w:highlight w:val="none"/>
                      <w:u w:val="none"/>
                      <w:vertAlign w:val="baseline"/>
                      <w:lang w:val="en-US" w:eastAsia="zh-CN"/>
                    </w:rPr>
                    <w:t>目采用蒸汽由国电福州发电有限公司供应，不燃</w:t>
                  </w:r>
                  <w:r>
                    <w:rPr>
                      <w:rFonts w:hint="eastAsia"/>
                      <w:color w:val="auto"/>
                      <w:u w:val="none"/>
                      <w:vertAlign w:val="baseline"/>
                      <w:lang w:val="en-US" w:eastAsia="zh-CN"/>
                    </w:rPr>
                    <w:t>煤、燃油、生物质和其他使用高污染燃料的锅炉；</w:t>
                  </w:r>
                </w:p>
                <w:p w14:paraId="519C2EE6">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ascii="Times New Roman" w:hAnsi="Times New Roman" w:eastAsia="宋体" w:cs="Times New Roman"/>
                      <w:color w:val="auto"/>
                      <w:sz w:val="21"/>
                      <w:szCs w:val="21"/>
                      <w:u w:val="none"/>
                      <w:vertAlign w:val="baseline"/>
                    </w:rPr>
                  </w:pPr>
                  <w:r>
                    <w:rPr>
                      <w:rFonts w:hint="eastAsia"/>
                      <w:color w:val="auto"/>
                      <w:sz w:val="21"/>
                      <w:szCs w:val="21"/>
                      <w:u w:val="none"/>
                      <w:lang w:val="en-US" w:eastAsia="zh-CN"/>
                    </w:rPr>
                    <w:t>2.本项目不属于陶瓷行业。</w:t>
                  </w:r>
                </w:p>
              </w:tc>
              <w:tc>
                <w:tcPr>
                  <w:tcW w:w="284" w:type="pct"/>
                  <w:tcBorders>
                    <w:tl2br w:val="nil"/>
                    <w:tr2bl w:val="nil"/>
                  </w:tcBorders>
                  <w:vAlign w:val="center"/>
                </w:tcPr>
                <w:p w14:paraId="267077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bl>
          <w:p w14:paraId="18405617">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p w14:paraId="736E1AE2">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表1.1-4本项目与</w:t>
            </w:r>
            <w:r>
              <w:rPr>
                <w:rFonts w:hint="eastAsia" w:ascii="Times New Roman" w:hAnsi="Times New Roman" w:eastAsia="宋体" w:cs="Times New Roman"/>
                <w:b/>
                <w:bCs/>
                <w:color w:val="auto"/>
                <w:sz w:val="24"/>
                <w:szCs w:val="24"/>
                <w:highlight w:val="none"/>
                <w:lang w:val="en-US" w:eastAsia="zh-CN"/>
              </w:rPr>
              <w:t>福清市</w:t>
            </w:r>
            <w:r>
              <w:rPr>
                <w:rFonts w:hint="default" w:ascii="Times New Roman" w:hAnsi="Times New Roman" w:eastAsia="宋体" w:cs="Times New Roman"/>
                <w:b/>
                <w:bCs/>
                <w:color w:val="auto"/>
                <w:sz w:val="24"/>
                <w:szCs w:val="24"/>
                <w:highlight w:val="none"/>
                <w:lang w:val="en-US" w:eastAsia="zh-CN"/>
              </w:rPr>
              <w:t>重点管控单元</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环境管控单元准入要求</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1133"/>
              <w:gridCol w:w="789"/>
              <w:gridCol w:w="723"/>
              <w:gridCol w:w="5281"/>
              <w:gridCol w:w="2757"/>
              <w:gridCol w:w="758"/>
            </w:tblGrid>
            <w:tr w14:paraId="2CDE6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tcBorders>
                    <w:tl2br w:val="nil"/>
                    <w:tr2bl w:val="nil"/>
                  </w:tcBorders>
                  <w:vAlign w:val="center"/>
                </w:tcPr>
                <w:p w14:paraId="083D63D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环境管控单位编码</w:t>
                  </w:r>
                </w:p>
              </w:tc>
              <w:tc>
                <w:tcPr>
                  <w:tcW w:w="429" w:type="pct"/>
                  <w:tcBorders>
                    <w:tl2br w:val="nil"/>
                    <w:tr2bl w:val="nil"/>
                  </w:tcBorders>
                  <w:vAlign w:val="center"/>
                </w:tcPr>
                <w:p w14:paraId="491F8F0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环境管控单元名称</w:t>
                  </w:r>
                </w:p>
              </w:tc>
              <w:tc>
                <w:tcPr>
                  <w:tcW w:w="299" w:type="pct"/>
                  <w:tcBorders>
                    <w:tl2br w:val="nil"/>
                    <w:tr2bl w:val="nil"/>
                  </w:tcBorders>
                  <w:vAlign w:val="center"/>
                </w:tcPr>
                <w:p w14:paraId="3DCFEC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管控类别</w:t>
                  </w:r>
                </w:p>
              </w:tc>
              <w:tc>
                <w:tcPr>
                  <w:tcW w:w="2274" w:type="pct"/>
                  <w:gridSpan w:val="2"/>
                  <w:tcBorders>
                    <w:tl2br w:val="nil"/>
                    <w:tr2bl w:val="nil"/>
                  </w:tcBorders>
                  <w:vAlign w:val="center"/>
                </w:tcPr>
                <w:p w14:paraId="081502E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管控要求</w:t>
                  </w:r>
                </w:p>
              </w:tc>
              <w:tc>
                <w:tcPr>
                  <w:tcW w:w="1044" w:type="pct"/>
                  <w:tcBorders>
                    <w:tl2br w:val="nil"/>
                    <w:tr2bl w:val="nil"/>
                  </w:tcBorders>
                  <w:vAlign w:val="center"/>
                </w:tcPr>
                <w:p w14:paraId="45CF0E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287" w:type="pct"/>
                  <w:tcBorders>
                    <w:tl2br w:val="nil"/>
                    <w:tr2bl w:val="nil"/>
                  </w:tcBorders>
                  <w:vAlign w:val="center"/>
                </w:tcPr>
                <w:p w14:paraId="1151C59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46CF2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tcBorders>
                    <w:tl2br w:val="nil"/>
                    <w:tr2bl w:val="nil"/>
                  </w:tcBorders>
                  <w:vAlign w:val="center"/>
                </w:tcPr>
                <w:p w14:paraId="405D347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ZH350181200</w:t>
                  </w:r>
                  <w:r>
                    <w:rPr>
                      <w:rFonts w:hint="eastAsia" w:cs="Times New Roman"/>
                      <w:color w:val="auto"/>
                      <w:sz w:val="21"/>
                      <w:szCs w:val="21"/>
                      <w:vertAlign w:val="baseline"/>
                      <w:lang w:val="en-US" w:eastAsia="zh-CN"/>
                    </w:rPr>
                    <w:t>10</w:t>
                  </w:r>
                </w:p>
              </w:tc>
              <w:tc>
                <w:tcPr>
                  <w:tcW w:w="429" w:type="pct"/>
                  <w:vMerge w:val="restart"/>
                  <w:tcBorders>
                    <w:tl2br w:val="nil"/>
                    <w:tr2bl w:val="nil"/>
                  </w:tcBorders>
                  <w:vAlign w:val="center"/>
                </w:tcPr>
                <w:p w14:paraId="6CE4D8C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福清市重点管控单元</w:t>
                  </w:r>
                  <w:r>
                    <w:rPr>
                      <w:rFonts w:hint="eastAsia" w:cs="Times New Roman"/>
                      <w:color w:val="auto"/>
                      <w:kern w:val="0"/>
                      <w:sz w:val="21"/>
                      <w:szCs w:val="21"/>
                      <w:highlight w:val="none"/>
                      <w:u w:val="none"/>
                      <w:vertAlign w:val="baseline"/>
                      <w:lang w:val="en-US" w:eastAsia="zh-CN"/>
                    </w:rPr>
                    <w:t>3</w:t>
                  </w:r>
                </w:p>
              </w:tc>
              <w:tc>
                <w:tcPr>
                  <w:tcW w:w="299" w:type="pct"/>
                  <w:vMerge w:val="restart"/>
                  <w:tcBorders>
                    <w:tl2br w:val="nil"/>
                    <w:tr2bl w:val="nil"/>
                  </w:tcBorders>
                  <w:vAlign w:val="center"/>
                </w:tcPr>
                <w:p w14:paraId="5D12569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重点管控单位</w:t>
                  </w:r>
                </w:p>
              </w:tc>
              <w:tc>
                <w:tcPr>
                  <w:tcW w:w="274" w:type="pct"/>
                  <w:tcBorders>
                    <w:tl2br w:val="nil"/>
                    <w:tr2bl w:val="nil"/>
                  </w:tcBorders>
                  <w:vAlign w:val="center"/>
                </w:tcPr>
                <w:p w14:paraId="16B9F2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000" w:type="pct"/>
                  <w:tcBorders>
                    <w:tl2br w:val="nil"/>
                    <w:tr2bl w:val="nil"/>
                  </w:tcBorders>
                  <w:vAlign w:val="center"/>
                </w:tcPr>
                <w:p w14:paraId="3B263182">
                  <w:pPr>
                    <w:keepNext w:val="0"/>
                    <w:keepLines w:val="0"/>
                    <w:pageBreakBefore w:val="0"/>
                    <w:widowControl w:val="0"/>
                    <w:numPr>
                      <w:ilvl w:val="0"/>
                      <w:numId w:val="5"/>
                    </w:numPr>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405676AF">
                  <w:pPr>
                    <w:keepNext w:val="0"/>
                    <w:keepLines w:val="0"/>
                    <w:pageBreakBefore w:val="0"/>
                    <w:widowControl w:val="0"/>
                    <w:numPr>
                      <w:ilvl w:val="0"/>
                      <w:numId w:val="5"/>
                    </w:numPr>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严格控制包装印刷、工业涂装、制鞋等高VOCs排放的项目建设，相关新建项目必须进入工业园区。</w:t>
                  </w:r>
                </w:p>
                <w:p w14:paraId="5301D5BE">
                  <w:pPr>
                    <w:keepNext w:val="0"/>
                    <w:keepLines w:val="0"/>
                    <w:pageBreakBefore w:val="0"/>
                    <w:widowControl w:val="0"/>
                    <w:numPr>
                      <w:ilvl w:val="0"/>
                      <w:numId w:val="0"/>
                    </w:numPr>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禁止开发利用未经评估和无害化处理的列入建设用地污染地块名录及开发利用负面清单的土地。</w:t>
                  </w:r>
                </w:p>
              </w:tc>
              <w:tc>
                <w:tcPr>
                  <w:tcW w:w="1044" w:type="pct"/>
                  <w:tcBorders>
                    <w:tl2br w:val="nil"/>
                    <w:tr2bl w:val="nil"/>
                  </w:tcBorders>
                  <w:vAlign w:val="center"/>
                </w:tcPr>
                <w:p w14:paraId="4F116F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w:t>
                  </w:r>
                  <w:r>
                    <w:rPr>
                      <w:rFonts w:hint="default" w:ascii="Times New Roman" w:hAnsi="Times New Roman" w:eastAsia="宋体" w:cs="Times New Roman"/>
                      <w:color w:val="auto"/>
                      <w:sz w:val="21"/>
                      <w:szCs w:val="21"/>
                      <w:u w:val="none"/>
                      <w:vertAlign w:val="baseline"/>
                      <w:lang w:val="en-US" w:eastAsia="zh-CN"/>
                    </w:rPr>
                    <w:t>本项目不属于危险化学品生产企业，不属于印染、原料药制造、化工等企业；</w:t>
                  </w:r>
                </w:p>
                <w:p w14:paraId="70EDDC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2、本项目不属于包装印刷、工业涂装、制鞋等高VOCs排放的项目；</w:t>
                  </w:r>
                </w:p>
                <w:p w14:paraId="14D93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3、</w:t>
                  </w:r>
                  <w:r>
                    <w:rPr>
                      <w:rFonts w:hint="default" w:ascii="Times New Roman" w:hAnsi="Times New Roman" w:eastAsia="宋体" w:cs="Times New Roman"/>
                      <w:color w:val="auto"/>
                      <w:sz w:val="21"/>
                      <w:szCs w:val="21"/>
                      <w:u w:val="none"/>
                      <w:vertAlign w:val="baseline"/>
                      <w:lang w:val="en-US" w:eastAsia="zh-CN"/>
                    </w:rPr>
                    <w:t>本项目</w:t>
                  </w:r>
                  <w:r>
                    <w:rPr>
                      <w:rFonts w:hint="default" w:ascii="Times New Roman" w:hAnsi="Times New Roman" w:eastAsia="宋体" w:cs="Times New Roman"/>
                      <w:color w:val="auto"/>
                      <w:sz w:val="21"/>
                      <w:szCs w:val="21"/>
                      <w:highlight w:val="none"/>
                      <w:u w:val="none"/>
                      <w:vertAlign w:val="baseline"/>
                      <w:lang w:val="en-US" w:eastAsia="zh-CN"/>
                    </w:rPr>
                    <w:t>位于</w:t>
                  </w:r>
                  <w:r>
                    <w:rPr>
                      <w:rFonts w:hint="eastAsia" w:cs="Times New Roman"/>
                      <w:color w:val="auto"/>
                      <w:sz w:val="21"/>
                      <w:szCs w:val="21"/>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cs="Times New Roman"/>
                      <w:color w:val="auto"/>
                      <w:sz w:val="21"/>
                      <w:szCs w:val="21"/>
                      <w:highlight w:val="none"/>
                      <w:lang w:val="en-US" w:eastAsia="zh-CN"/>
                    </w:rPr>
                    <w:t>内</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不涉及</w:t>
                  </w:r>
                  <w:r>
                    <w:rPr>
                      <w:rFonts w:hint="default" w:ascii="Times New Roman" w:hAnsi="Times New Roman" w:eastAsia="宋体" w:cs="Times New Roman"/>
                      <w:b w:val="0"/>
                      <w:bCs w:val="0"/>
                      <w:color w:val="auto"/>
                      <w:sz w:val="21"/>
                      <w:szCs w:val="21"/>
                      <w:highlight w:val="none"/>
                      <w:vertAlign w:val="baseline"/>
                      <w:lang w:val="en-US" w:eastAsia="zh-CN"/>
                    </w:rPr>
                    <w:t>开</w:t>
                  </w:r>
                  <w:r>
                    <w:rPr>
                      <w:rFonts w:hint="default" w:ascii="Times New Roman" w:hAnsi="Times New Roman" w:eastAsia="宋体" w:cs="Times New Roman"/>
                      <w:b w:val="0"/>
                      <w:bCs w:val="0"/>
                      <w:color w:val="auto"/>
                      <w:sz w:val="21"/>
                      <w:szCs w:val="21"/>
                      <w:vertAlign w:val="baseline"/>
                      <w:lang w:val="en-US" w:eastAsia="zh-CN"/>
                    </w:rPr>
                    <w:t>发利用未经评估和无害化处理的列入建设用地污染地块名录及开发利用负面清单的土地</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D981BB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3FFC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63B401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301C7A7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0B95009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6A8AF73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000" w:type="pct"/>
                  <w:tcBorders>
                    <w:tl2br w:val="nil"/>
                    <w:tr2bl w:val="nil"/>
                  </w:tcBorders>
                  <w:vAlign w:val="center"/>
                </w:tcPr>
                <w:p w14:paraId="1F7AE86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落实新增二氧化硫、氮氧化物和VOCs排放总量控制要求。</w:t>
                  </w:r>
                </w:p>
              </w:tc>
              <w:tc>
                <w:tcPr>
                  <w:tcW w:w="1044" w:type="pct"/>
                  <w:tcBorders>
                    <w:tl2br w:val="nil"/>
                    <w:tr2bl w:val="nil"/>
                  </w:tcBorders>
                  <w:vAlign w:val="center"/>
                </w:tcPr>
                <w:p w14:paraId="662FC8C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kern w:val="0"/>
                      <w:sz w:val="21"/>
                      <w:szCs w:val="21"/>
                      <w:u w:val="none"/>
                      <w:lang w:val="en-US" w:eastAsia="zh-CN" w:bidi="ar"/>
                    </w:rPr>
                    <w:t>本项目不涉及</w:t>
                  </w:r>
                  <w:r>
                    <w:rPr>
                      <w:rFonts w:hint="default" w:ascii="Times New Roman" w:hAnsi="Times New Roman" w:eastAsia="宋体" w:cs="Times New Roman"/>
                      <w:color w:val="auto"/>
                      <w:sz w:val="21"/>
                      <w:szCs w:val="21"/>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50CD76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71005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277584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574F30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2824B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054D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环境风险防控</w:t>
                  </w:r>
                </w:p>
              </w:tc>
              <w:tc>
                <w:tcPr>
                  <w:tcW w:w="2000" w:type="pct"/>
                  <w:tcBorders>
                    <w:tl2br w:val="nil"/>
                    <w:tr2bl w:val="nil"/>
                  </w:tcBorders>
                  <w:vAlign w:val="center"/>
                </w:tcPr>
                <w:p w14:paraId="28F5F621">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044" w:type="pct"/>
                  <w:tcBorders>
                    <w:tl2br w:val="nil"/>
                    <w:tr2bl w:val="nil"/>
                  </w:tcBorders>
                  <w:vAlign w:val="center"/>
                </w:tcPr>
                <w:p w14:paraId="5987F4E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color w:val="auto"/>
                    </w:rPr>
                    <w:t>不涉及</w:t>
                  </w:r>
                </w:p>
              </w:tc>
              <w:tc>
                <w:tcPr>
                  <w:tcW w:w="287" w:type="pct"/>
                  <w:tcBorders>
                    <w:tl2br w:val="nil"/>
                    <w:tr2bl w:val="nil"/>
                  </w:tcBorders>
                  <w:vAlign w:val="center"/>
                </w:tcPr>
                <w:p w14:paraId="5B01814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r w14:paraId="50165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pct"/>
                  <w:vMerge w:val="continue"/>
                  <w:tcBorders>
                    <w:tl2br w:val="nil"/>
                    <w:tr2bl w:val="nil"/>
                  </w:tcBorders>
                  <w:vAlign w:val="center"/>
                </w:tcPr>
                <w:p w14:paraId="44279F4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6D0D91F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36FDCF7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BA001A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资源开发效率要求</w:t>
                  </w:r>
                </w:p>
              </w:tc>
              <w:tc>
                <w:tcPr>
                  <w:tcW w:w="2000" w:type="pct"/>
                  <w:tcBorders>
                    <w:tl2br w:val="nil"/>
                    <w:tr2bl w:val="nil"/>
                  </w:tcBorders>
                  <w:vAlign w:val="center"/>
                </w:tcPr>
                <w:p w14:paraId="0B58FAB4">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1044" w:type="pct"/>
                  <w:tcBorders>
                    <w:tl2br w:val="nil"/>
                    <w:tr2bl w:val="nil"/>
                  </w:tcBorders>
                  <w:vAlign w:val="center"/>
                </w:tcPr>
                <w:p w14:paraId="52BD2B8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cs="Times New Roman"/>
                      <w:b w:val="0"/>
                      <w:bCs w:val="0"/>
                      <w:color w:val="auto"/>
                      <w:sz w:val="21"/>
                      <w:szCs w:val="21"/>
                      <w:highlight w:val="none"/>
                      <w:lang w:val="en-US" w:eastAsia="zh-CN"/>
                    </w:rPr>
                    <w:t>项目使用蒸汽由</w:t>
                  </w:r>
                  <w:r>
                    <w:rPr>
                      <w:rFonts w:hint="default" w:ascii="Times New Roman" w:hAnsi="Times New Roman" w:eastAsia="宋体" w:cs="Times New Roman"/>
                      <w:b w:val="0"/>
                      <w:bCs w:val="0"/>
                      <w:color w:val="auto"/>
                      <w:sz w:val="21"/>
                      <w:szCs w:val="21"/>
                      <w:highlight w:val="none"/>
                      <w:lang w:val="en-US" w:eastAsia="zh-CN"/>
                    </w:rPr>
                    <w:t>国电福州发电有限公司供应</w:t>
                  </w:r>
                  <w:r>
                    <w:rPr>
                      <w:color w:val="auto"/>
                    </w:rPr>
                    <w:t>，未使用高污染燃料</w:t>
                  </w:r>
                </w:p>
              </w:tc>
              <w:tc>
                <w:tcPr>
                  <w:tcW w:w="287" w:type="pct"/>
                  <w:tcBorders>
                    <w:tl2br w:val="nil"/>
                    <w:tr2bl w:val="nil"/>
                  </w:tcBorders>
                  <w:vAlign w:val="center"/>
                </w:tcPr>
                <w:p w14:paraId="0A73603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bl>
          <w:p w14:paraId="0105E318">
            <w:pPr>
              <w:keepNext w:val="0"/>
              <w:keepLines w:val="0"/>
              <w:pageBreakBefore w:val="0"/>
              <w:widowControl w:val="0"/>
              <w:kinsoku/>
              <w:wordWrap/>
              <w:overflowPunct/>
              <w:topLinePunct w:val="0"/>
              <w:autoSpaceDE/>
              <w:autoSpaceDN/>
              <w:bidi w:val="0"/>
              <w:adjustRightInd/>
              <w:snapToGrid/>
              <w:spacing w:line="360" w:lineRule="auto"/>
              <w:ind w:left="0" w:right="0" w:firstLine="720" w:firstLineChars="300"/>
              <w:jc w:val="left"/>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综上所述，项目建设符合《福州市人民政府办公厅关于印发〈福州市生态环境分区管控方案（2023年更新）〉的通知》（榕政办规〔2024〕20号）及《福州市生态环境局关于发布福州市2024年生态环境分区管控动态更新成果的通知》（榕环保综〔2025〕1号）中相关要求。</w:t>
            </w:r>
          </w:p>
          <w:p w14:paraId="7B8735E5">
            <w:pPr>
              <w:pStyle w:val="14"/>
              <w:keepLines w:val="0"/>
              <w:pageBreakBefore w:val="0"/>
              <w:wordWrap/>
              <w:topLinePunct w:val="0"/>
              <w:bidi w:val="0"/>
              <w:spacing w:before="0" w:after="0" w:line="360" w:lineRule="auto"/>
              <w:ind w:left="0" w:right="0" w:firstLine="0" w:firstLineChars="0"/>
              <w:jc w:val="left"/>
              <w:rPr>
                <w:rFonts w:hint="default" w:ascii="Times New Roman" w:hAnsi="Times New Roman" w:eastAsia="宋体" w:cs="Times New Roman"/>
                <w:color w:val="auto"/>
                <w:sz w:val="24"/>
                <w:szCs w:val="24"/>
                <w:u w:val="none"/>
                <w:lang w:eastAsia="zh-CN"/>
              </w:rPr>
            </w:pPr>
          </w:p>
        </w:tc>
      </w:tr>
    </w:tbl>
    <w:p w14:paraId="215C579B">
      <w:pPr>
        <w:jc w:val="both"/>
        <w:rPr>
          <w:rFonts w:hint="eastAsia" w:eastAsia="楷体_GB2312" w:cs="Times New Roman"/>
          <w:color w:val="auto"/>
          <w:sz w:val="36"/>
          <w:szCs w:val="36"/>
          <w:u w:val="none"/>
          <w:lang w:eastAsia="zh-CN"/>
        </w:rPr>
        <w:sectPr>
          <w:pgSz w:w="16838" w:h="11906" w:orient="landscape"/>
          <w:pgMar w:top="1417" w:right="1417" w:bottom="1134" w:left="1134" w:header="851" w:footer="992" w:gutter="0"/>
          <w:pgBorders>
            <w:top w:val="none" w:sz="0" w:space="0"/>
            <w:left w:val="none" w:sz="0" w:space="0"/>
            <w:bottom w:val="none" w:sz="0" w:space="0"/>
            <w:right w:val="none" w:sz="0" w:space="0"/>
          </w:pgBorders>
          <w:pgNumType w:fmt="decimal"/>
          <w:cols w:space="0" w:num="1"/>
          <w:rtlGutter w:val="0"/>
          <w:docGrid w:type="lines" w:linePitch="334" w:charSpace="0"/>
        </w:sect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8955"/>
      </w:tblGrid>
      <w:tr w14:paraId="2D0A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tcPr>
          <w:p w14:paraId="594F6A01">
            <w:pPr>
              <w:pStyle w:val="11"/>
              <w:rPr>
                <w:rFonts w:hint="eastAsia"/>
                <w:color w:val="auto"/>
                <w:highlight w:val="none"/>
                <w:vertAlign w:val="baseline"/>
                <w:lang w:eastAsia="zh-CN"/>
              </w:rPr>
            </w:pPr>
          </w:p>
        </w:tc>
        <w:tc>
          <w:tcPr>
            <w:tcW w:w="4678" w:type="pct"/>
          </w:tcPr>
          <w:p w14:paraId="4442B9EA">
            <w:pPr>
              <w:pStyle w:val="35"/>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平面布局合理性分析</w:t>
            </w:r>
          </w:p>
          <w:p w14:paraId="304689A3">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租赁福建力峰机械实业有限公司的闲置厂房，福建力峰机械实业有限公司的征地面积为</w:t>
            </w:r>
            <w:r>
              <w:rPr>
                <w:rFonts w:hint="eastAsia" w:cs="Times New Roman"/>
                <w:color w:val="auto"/>
                <w:sz w:val="24"/>
                <w:szCs w:val="24"/>
                <w:highlight w:val="none"/>
                <w:lang w:val="en-US" w:eastAsia="zh-CN"/>
              </w:rPr>
              <w:t>15359.17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房屋面积9131m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建设</w:t>
            </w:r>
            <w:r>
              <w:rPr>
                <w:rFonts w:hint="eastAsia" w:cs="Times New Roman"/>
                <w:color w:val="auto"/>
                <w:sz w:val="24"/>
                <w:szCs w:val="24"/>
                <w:highlight w:val="none"/>
                <w:lang w:val="en-US" w:eastAsia="zh-CN"/>
              </w:rPr>
              <w:t>两幢车间分别为1号组装车间面积3</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6m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2#金属配件车间面积6045m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，均为钢结构工业厂房（不动产权证详见</w:t>
            </w:r>
            <w:r>
              <w:rPr>
                <w:rFonts w:hint="eastAsia" w:cs="Times New Roman"/>
                <w:b/>
                <w:bCs/>
                <w:color w:val="auto"/>
                <w:sz w:val="24"/>
                <w:szCs w:val="24"/>
                <w:highlight w:val="none"/>
                <w:lang w:val="en-US" w:eastAsia="zh-CN"/>
              </w:rPr>
              <w:t>附件七</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目前将该处厂房全租给福建恒润包装有限公司，其余</w:t>
            </w:r>
            <w:r>
              <w:rPr>
                <w:rFonts w:hint="eastAsia" w:cs="Times New Roman"/>
                <w:color w:val="auto"/>
                <w:sz w:val="24"/>
                <w:szCs w:val="24"/>
                <w:highlight w:val="none"/>
                <w:lang w:val="en-US" w:eastAsia="zh-CN"/>
              </w:rPr>
              <w:t>6228.07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空地暂时闲置。项目租赁厂房</w:t>
            </w:r>
            <w:r>
              <w:rPr>
                <w:rFonts w:hint="eastAsia" w:cs="Times New Roman"/>
                <w:color w:val="auto"/>
                <w:sz w:val="24"/>
                <w:szCs w:val="24"/>
                <w:highlight w:val="none"/>
                <w:lang w:val="en-US" w:eastAsia="zh-CN"/>
              </w:rPr>
              <w:t>建筑</w:t>
            </w:r>
            <w:r>
              <w:rPr>
                <w:rFonts w:hint="default" w:ascii="Times New Roman" w:hAnsi="Times New Roman" w:eastAsia="宋体" w:cs="Times New Roman"/>
                <w:color w:val="auto"/>
                <w:sz w:val="24"/>
                <w:szCs w:val="24"/>
                <w:highlight w:val="none"/>
                <w:lang w:val="en-US" w:eastAsia="zh-CN"/>
              </w:rPr>
              <w:t>面积</w:t>
            </w:r>
            <w:r>
              <w:rPr>
                <w:rFonts w:hint="eastAsia" w:cs="Times New Roman"/>
                <w:color w:val="auto"/>
                <w:sz w:val="24"/>
                <w:szCs w:val="24"/>
                <w:highlight w:val="none"/>
                <w:lang w:val="en-US" w:eastAsia="zh-CN"/>
              </w:rPr>
              <w:t>9131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，其中原有项目面积3086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，本次项目新增6045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（厂房</w:t>
            </w:r>
            <w:r>
              <w:rPr>
                <w:rFonts w:hint="eastAsia" w:ascii="Times New Roman" w:hAnsi="Times New Roman" w:eastAsia="宋体" w:cs="Times New Roman"/>
                <w:color w:val="auto"/>
                <w:sz w:val="24"/>
                <w:szCs w:val="24"/>
                <w:highlight w:val="none"/>
                <w:u w:val="none"/>
                <w:lang w:val="en-US" w:eastAsia="zh-CN"/>
              </w:rPr>
              <w:t>租赁</w:t>
            </w:r>
            <w:r>
              <w:rPr>
                <w:rFonts w:hint="default" w:ascii="Times New Roman" w:hAnsi="Times New Roman" w:eastAsia="宋体" w:cs="Times New Roman"/>
                <w:color w:val="auto"/>
                <w:sz w:val="24"/>
                <w:szCs w:val="24"/>
                <w:highlight w:val="none"/>
                <w:u w:val="none"/>
                <w:lang w:val="en-US" w:eastAsia="zh-CN"/>
              </w:rPr>
              <w:t>合同详见</w:t>
            </w:r>
            <w:r>
              <w:rPr>
                <w:rFonts w:hint="default" w:ascii="Times New Roman" w:hAnsi="Times New Roman" w:eastAsia="宋体" w:cs="Times New Roman"/>
                <w:b/>
                <w:bCs/>
                <w:color w:val="auto"/>
                <w:sz w:val="24"/>
                <w:szCs w:val="24"/>
                <w:highlight w:val="none"/>
                <w:u w:val="none"/>
                <w:lang w:val="en-US" w:eastAsia="zh-CN"/>
              </w:rPr>
              <w:t>附件</w:t>
            </w:r>
            <w:r>
              <w:rPr>
                <w:rFonts w:hint="eastAsia" w:cs="Times New Roman"/>
                <w:b/>
                <w:bCs/>
                <w:color w:val="auto"/>
                <w:sz w:val="24"/>
                <w:szCs w:val="24"/>
                <w:highlight w:val="none"/>
                <w:u w:val="none"/>
                <w:lang w:val="en-US" w:eastAsia="zh-CN"/>
              </w:rPr>
              <w:t>八</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lang w:val="en-US" w:eastAsia="zh-CN"/>
              </w:rPr>
              <w:t>。本次扩建项目</w:t>
            </w:r>
            <w:r>
              <w:rPr>
                <w:rFonts w:hint="eastAsia" w:cs="Times New Roman"/>
                <w:color w:val="auto"/>
                <w:sz w:val="24"/>
                <w:szCs w:val="24"/>
                <w:highlight w:val="none"/>
                <w:lang w:val="en-US" w:eastAsia="zh-CN"/>
              </w:rPr>
              <w:t>拟建设</w:t>
            </w:r>
            <w:r>
              <w:rPr>
                <w:rFonts w:hint="eastAsia" w:ascii="Times New Roman" w:hAnsi="Times New Roman" w:eastAsia="宋体" w:cs="Times New Roman"/>
                <w:color w:val="auto"/>
                <w:sz w:val="24"/>
                <w:szCs w:val="24"/>
                <w:highlight w:val="none"/>
                <w:lang w:val="en-US" w:eastAsia="zh-CN"/>
              </w:rPr>
              <w:t>于</w:t>
            </w:r>
            <w:r>
              <w:rPr>
                <w:rFonts w:hint="eastAsia" w:cs="Times New Roman"/>
                <w:color w:val="auto"/>
                <w:sz w:val="24"/>
                <w:szCs w:val="24"/>
                <w:highlight w:val="none"/>
                <w:lang w:val="en-US" w:eastAsia="zh-CN"/>
              </w:rPr>
              <w:t>1#组装车间</w:t>
            </w:r>
            <w:r>
              <w:rPr>
                <w:rFonts w:hint="eastAsia" w:ascii="Times New Roman" w:hAnsi="Times New Roman" w:eastAsia="宋体" w:cs="Times New Roman"/>
                <w:color w:val="auto"/>
                <w:sz w:val="24"/>
                <w:szCs w:val="24"/>
                <w:highlight w:val="none"/>
                <w:lang w:val="en-US" w:eastAsia="zh-CN"/>
              </w:rPr>
              <w:t>内东侧闲置区域</w:t>
            </w:r>
            <w:r>
              <w:rPr>
                <w:rFonts w:hint="eastAsia" w:cs="Times New Roman"/>
                <w:color w:val="auto"/>
                <w:sz w:val="24"/>
                <w:szCs w:val="24"/>
                <w:highlight w:val="none"/>
                <w:lang w:val="en-US" w:eastAsia="zh-CN"/>
              </w:rPr>
              <w:t>（1024m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，新增成型机、发料机、烘干机、干燥机等设备。扩建3条生产线（</w:t>
            </w:r>
            <w:r>
              <w:rPr>
                <w:rFonts w:hint="eastAsia" w:cs="Times New Roman"/>
                <w:color w:val="auto"/>
                <w:sz w:val="24"/>
                <w:szCs w:val="24"/>
                <w:u w:val="none"/>
                <w:lang w:eastAsia="zh-CN"/>
              </w:rPr>
              <w:t>EPS包装泡沫</w:t>
            </w:r>
            <w:r>
              <w:rPr>
                <w:rFonts w:hint="eastAsia" w:cs="Times New Roman"/>
                <w:color w:val="auto"/>
                <w:sz w:val="24"/>
                <w:szCs w:val="24"/>
                <w:u w:val="none"/>
                <w:lang w:val="en-US" w:eastAsia="zh-CN"/>
              </w:rPr>
              <w:t>生产线</w:t>
            </w:r>
            <w:r>
              <w:rPr>
                <w:rFonts w:hint="eastAsia" w:cs="Times New Roman"/>
                <w:color w:val="auto"/>
                <w:sz w:val="24"/>
                <w:szCs w:val="24"/>
                <w:u w:val="none"/>
                <w:lang w:eastAsia="zh-CN"/>
              </w:rPr>
              <w:t>、EPP包装泡</w:t>
            </w:r>
            <w:r>
              <w:rPr>
                <w:rFonts w:hint="eastAsia" w:cs="Times New Roman"/>
                <w:color w:val="auto"/>
                <w:sz w:val="24"/>
                <w:szCs w:val="24"/>
                <w:u w:val="none"/>
                <w:lang w:val="en-US" w:eastAsia="zh-CN"/>
              </w:rPr>
              <w:t>生产线</w:t>
            </w:r>
            <w:r>
              <w:rPr>
                <w:rFonts w:hint="eastAsia" w:ascii="Times New Roman" w:hAnsi="Times New Roman" w:eastAsia="宋体" w:cs="Times New Roman"/>
                <w:color w:val="auto"/>
                <w:sz w:val="24"/>
                <w:szCs w:val="24"/>
                <w:highlight w:val="none"/>
                <w:lang w:val="en-US" w:eastAsia="zh-CN"/>
              </w:rPr>
              <w:t>），本项目新增设备均建设在租赁厂房内，</w:t>
            </w:r>
            <w:r>
              <w:rPr>
                <w:rFonts w:hint="eastAsia" w:cs="Times New Roman"/>
                <w:color w:val="auto"/>
                <w:sz w:val="24"/>
                <w:szCs w:val="24"/>
                <w:highlight w:val="none"/>
                <w:lang w:val="en-US" w:eastAsia="zh-CN"/>
              </w:rPr>
              <w:t>2#金属配件车间（6065m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）作为仓库使用，冷却水</w:t>
            </w:r>
            <w:r>
              <w:rPr>
                <w:rFonts w:hint="eastAsia" w:ascii="Times New Roman" w:hAnsi="Times New Roman" w:eastAsia="宋体" w:cs="Times New Roman"/>
                <w:color w:val="auto"/>
                <w:sz w:val="24"/>
                <w:szCs w:val="24"/>
                <w:highlight w:val="none"/>
                <w:lang w:val="en-US" w:eastAsia="zh-CN"/>
              </w:rPr>
              <w:t>循环沉淀池、化粪池、均依托现有项目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原环评</w:t>
            </w:r>
            <w:r>
              <w:rPr>
                <w:rFonts w:hint="eastAsia" w:cs="Times New Roman"/>
                <w:color w:val="auto"/>
                <w:sz w:val="24"/>
                <w:szCs w:val="24"/>
                <w:highlight w:val="none"/>
                <w:lang w:val="en-US" w:eastAsia="zh-CN"/>
              </w:rPr>
              <w:t>于2017年3月通过环评审批（榕环评表〔2017〕26号），2017年7月完成竣工验收。由于还发布VOCs防控政策。现有项目所产生的废气污染物VOCs未安装环保设备，将产生少量废</w:t>
            </w:r>
            <w:r>
              <w:rPr>
                <w:rFonts w:hint="eastAsia" w:ascii="Times New Roman" w:hAnsi="Times New Roman" w:cs="Times New Roman"/>
                <w:color w:val="auto"/>
                <w:sz w:val="24"/>
                <w:szCs w:val="24"/>
                <w:highlight w:val="none"/>
                <w:lang w:val="en-US" w:eastAsia="zh-CN"/>
              </w:rPr>
              <w:t>气无组织排放，本次扩建拟在1#车间西侧外新增一台活性炭吸附装置将废气收集并处理后达标排放。由于现有项目未产生危险废物，本次扩建后新增活性炭处理设施所产生废活性炭，拟在1#厂房西侧外按照规范设置一间面积2-3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危险废物贮存间。</w:t>
            </w:r>
            <w:r>
              <w:rPr>
                <w:rFonts w:hint="eastAsia" w:cs="Times New Roman"/>
                <w:color w:val="auto"/>
                <w:sz w:val="24"/>
                <w:szCs w:val="24"/>
                <w:highlight w:val="none"/>
                <w:lang w:val="en-US" w:eastAsia="zh-CN"/>
              </w:rPr>
              <w:t>生活污水通过污水管网流入位于厂区内化粪池处理后纳入市政污水管网。</w:t>
            </w:r>
            <w:r>
              <w:rPr>
                <w:rFonts w:hint="default" w:ascii="Times New Roman" w:hAnsi="Times New Roman" w:eastAsia="宋体" w:cs="Times New Roman"/>
                <w:color w:val="auto"/>
                <w:sz w:val="24"/>
                <w:szCs w:val="24"/>
                <w:highlight w:val="none"/>
              </w:rPr>
              <w:t>各功能分区明确，生产车间内平面布置基本上根据生产工艺需要和物料流向，各工序布置间距较近，便于生产操作，同时也避免物料来回运输消耗能源，厂区总平面布置基</w:t>
            </w:r>
            <w:r>
              <w:rPr>
                <w:rFonts w:hint="default" w:ascii="Times New Roman" w:hAnsi="Times New Roman" w:eastAsia="宋体" w:cs="Times New Roman"/>
                <w:color w:val="auto"/>
                <w:sz w:val="24"/>
                <w:szCs w:val="24"/>
                <w:highlight w:val="none"/>
                <w:lang w:val="en-US" w:eastAsia="zh-CN"/>
              </w:rPr>
              <w:t>本合理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项目组成见表</w:t>
            </w:r>
            <w:r>
              <w:rPr>
                <w:rFonts w:hint="eastAsia" w:cs="Times New Roman"/>
                <w:color w:val="auto"/>
                <w:sz w:val="24"/>
                <w:szCs w:val="24"/>
                <w:highlight w:val="none"/>
                <w:lang w:val="en-US" w:eastAsia="zh-CN"/>
              </w:rPr>
              <w:t>2.2-1</w:t>
            </w:r>
            <w:r>
              <w:rPr>
                <w:rFonts w:hint="default" w:ascii="Times New Roman" w:hAnsi="Times New Roman" w:eastAsia="宋体" w:cs="Times New Roman"/>
                <w:color w:val="auto"/>
                <w:sz w:val="24"/>
                <w:szCs w:val="24"/>
                <w:highlight w:val="none"/>
                <w:lang w:val="en-US" w:eastAsia="zh-CN"/>
              </w:rPr>
              <w:t>，项目平面布置</w:t>
            </w:r>
            <w:r>
              <w:rPr>
                <w:rFonts w:hint="eastAsia" w:cs="Times New Roman"/>
                <w:color w:val="auto"/>
                <w:sz w:val="24"/>
                <w:szCs w:val="24"/>
                <w:highlight w:val="none"/>
                <w:lang w:val="en-US" w:eastAsia="zh-CN"/>
              </w:rPr>
              <w:t>详见</w:t>
            </w:r>
            <w:r>
              <w:rPr>
                <w:rFonts w:hint="eastAsia" w:cs="Times New Roman"/>
                <w:b/>
                <w:bCs/>
                <w:color w:val="auto"/>
                <w:sz w:val="24"/>
                <w:szCs w:val="24"/>
                <w:highlight w:val="none"/>
                <w:lang w:val="en-US" w:eastAsia="zh-CN"/>
              </w:rPr>
              <w:t>附图八</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p>
          <w:p w14:paraId="07AFA48C">
            <w:pPr>
              <w:pStyle w:val="35"/>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red"/>
                <w:lang w:val="en-US" w:eastAsia="zh-CN"/>
              </w:rPr>
            </w:pPr>
            <w:r>
              <w:rPr>
                <w:rFonts w:hint="eastAsia" w:cs="Times New Roman"/>
                <w:b/>
                <w:bCs/>
                <w:color w:val="auto"/>
                <w:sz w:val="24"/>
                <w:szCs w:val="24"/>
                <w:highlight w:val="none"/>
                <w:lang w:val="en-US" w:eastAsia="zh-CN"/>
              </w:rPr>
              <w:t>5.项目选址合理性分析</w:t>
            </w:r>
          </w:p>
          <w:p w14:paraId="16E485B4">
            <w:pPr>
              <w:widowControl/>
              <w:spacing w:line="360" w:lineRule="auto"/>
              <w:ind w:firstLine="480" w:firstLineChars="200"/>
              <w:jc w:val="left"/>
              <w:rPr>
                <w:rFonts w:hint="eastAsia"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本项目位于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z w:val="24"/>
                <w:szCs w:val="24"/>
                <w:highlight w:val="none"/>
                <w:lang w:val="en-US" w:eastAsia="zh-CN"/>
              </w:rPr>
              <w:t>，在</w:t>
            </w:r>
            <w:r>
              <w:rPr>
                <w:rFonts w:hint="eastAsia" w:cs="Times New Roman"/>
                <w:b w:val="0"/>
                <w:bCs w:val="0"/>
                <w:color w:val="auto"/>
                <w:sz w:val="24"/>
                <w:szCs w:val="24"/>
                <w:highlight w:val="none"/>
                <w:u w:val="none"/>
                <w:lang w:val="en-US" w:eastAsia="zh-CN"/>
              </w:rPr>
              <w:t>江阴临港产业区</w:t>
            </w:r>
            <w:r>
              <w:rPr>
                <w:rFonts w:hint="eastAsia" w:ascii="Times New Roman" w:hAnsi="Times New Roman" w:cs="Times New Roman"/>
                <w:b w:val="0"/>
                <w:bCs w:val="0"/>
                <w:color w:val="auto"/>
                <w:sz w:val="24"/>
                <w:szCs w:val="24"/>
                <w:highlight w:val="none"/>
                <w:lang w:val="en-US" w:eastAsia="zh-CN"/>
              </w:rPr>
              <w:t>（</w:t>
            </w:r>
            <w:r>
              <w:rPr>
                <w:rFonts w:ascii="宋体" w:hAnsi="宋体" w:eastAsia="宋体" w:cs="宋体"/>
                <w:b w:val="0"/>
                <w:bCs w:val="0"/>
                <w:color w:val="auto"/>
                <w:sz w:val="24"/>
                <w:szCs w:val="24"/>
                <w:highlight w:val="none"/>
              </w:rPr>
              <w:t>新厝先进制造业基地</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内</w:t>
            </w:r>
            <w:r>
              <w:rPr>
                <w:rFonts w:hint="eastAsia"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lang w:val="en-US" w:eastAsia="zh-CN"/>
              </w:rPr>
              <w:t>项目属于</w:t>
            </w:r>
            <w:r>
              <w:rPr>
                <w:rFonts w:hint="eastAsia" w:ascii="Times New Roman" w:hAnsi="Times New Roman" w:cs="Times New Roman"/>
                <w:color w:val="auto"/>
                <w:sz w:val="24"/>
                <w:szCs w:val="24"/>
                <w:highlight w:val="none"/>
                <w:lang w:val="en-US" w:eastAsia="zh-CN"/>
              </w:rPr>
              <w:t>泡沫塑料制造业</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根据调查项目厂址不位于自然保护区、风景名胜区、饮用水水源保护区和其他需要特别保护等法律法规禁止开发建设的区域，与区域内土地利用规划不冲突。</w:t>
            </w:r>
          </w:p>
          <w:p w14:paraId="72C61243">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根据现场勘查，</w:t>
            </w:r>
            <w:r>
              <w:rPr>
                <w:rFonts w:hint="eastAsia" w:ascii="Times New Roman" w:hAnsi="Times New Roman" w:eastAsia="宋体" w:cs="Times New Roman"/>
                <w:color w:val="auto"/>
                <w:sz w:val="24"/>
                <w:highlight w:val="none"/>
                <w:lang w:val="en-US" w:eastAsia="zh-CN"/>
              </w:rPr>
              <w:t>项目</w:t>
            </w:r>
            <w:r>
              <w:rPr>
                <w:rFonts w:hint="eastAsia"/>
                <w:color w:val="auto"/>
                <w:sz w:val="24"/>
                <w:highlight w:val="none"/>
                <w:lang w:val="en-US" w:eastAsia="zh-CN"/>
              </w:rPr>
              <w:t>厂界外50米范围内不存在声环境保护目标，厂界</w:t>
            </w:r>
            <w:r>
              <w:rPr>
                <w:rFonts w:hint="eastAsia" w:ascii="Times New Roman" w:hAnsi="Times New Roman" w:eastAsia="宋体" w:cs="Times New Roman"/>
                <w:color w:val="auto"/>
                <w:sz w:val="24"/>
                <w:highlight w:val="none"/>
                <w:lang w:val="en-US" w:eastAsia="zh-CN"/>
              </w:rPr>
              <w:t>外500米范围内</w:t>
            </w:r>
            <w:r>
              <w:rPr>
                <w:rFonts w:hint="eastAsia" w:cs="Times New Roman"/>
                <w:color w:val="auto"/>
                <w:sz w:val="24"/>
                <w:highlight w:val="none"/>
                <w:lang w:val="en-US" w:eastAsia="zh-CN"/>
              </w:rPr>
              <w:t>无集中式</w:t>
            </w:r>
            <w:r>
              <w:rPr>
                <w:rFonts w:hint="eastAsia" w:ascii="Times New Roman" w:hAnsi="Times New Roman" w:eastAsia="宋体" w:cs="Times New Roman"/>
                <w:color w:val="auto"/>
                <w:sz w:val="24"/>
                <w:highlight w:val="none"/>
                <w:lang w:val="en-US" w:eastAsia="zh-CN"/>
              </w:rPr>
              <w:t>居民点，</w:t>
            </w:r>
            <w:r>
              <w:rPr>
                <w:rFonts w:hint="eastAsia" w:cs="Times New Roman"/>
                <w:color w:val="auto"/>
                <w:sz w:val="24"/>
                <w:highlight w:val="none"/>
                <w:lang w:val="en-US" w:eastAsia="zh-CN"/>
              </w:rPr>
              <w:t>水环境保护目标为厂界东侧700m的兴化湾</w:t>
            </w:r>
            <w:r>
              <w:rPr>
                <w:rFonts w:hint="eastAsia" w:cs="Times New Roman"/>
                <w:color w:val="auto"/>
                <w:sz w:val="24"/>
                <w:szCs w:val="24"/>
                <w:highlight w:val="none"/>
                <w:lang w:val="en-US" w:eastAsia="zh-CN"/>
              </w:rPr>
              <w:t>（水质执行《海水水质标准》（GB3097-1996）中第二</w:t>
            </w:r>
            <w:r>
              <w:rPr>
                <w:rFonts w:hint="default" w:ascii="Times New Roman" w:hAnsi="Times New Roman" w:eastAsia="宋体" w:cs="Times New Roman"/>
                <w:color w:val="auto"/>
                <w:sz w:val="24"/>
                <w:szCs w:val="24"/>
                <w:highlight w:val="none"/>
                <w:lang w:eastAsia="zh-CN"/>
              </w:rPr>
              <w:t>类</w:t>
            </w:r>
            <w:r>
              <w:rPr>
                <w:rFonts w:hint="eastAsia" w:ascii="Times New Roman" w:hAnsi="Times New Roman" w:eastAsia="宋体" w:cs="Times New Roman"/>
                <w:color w:val="auto"/>
                <w:sz w:val="24"/>
                <w:szCs w:val="24"/>
                <w:highlight w:val="none"/>
                <w:lang w:val="en-US" w:eastAsia="zh-CN"/>
              </w:rPr>
              <w:t>水体</w:t>
            </w:r>
            <w:r>
              <w:rPr>
                <w:rFonts w:hint="eastAsia" w:cs="Times New Roman"/>
                <w:color w:val="auto"/>
                <w:sz w:val="24"/>
                <w:szCs w:val="24"/>
                <w:highlight w:val="none"/>
                <w:lang w:val="en-US" w:eastAsia="zh-CN"/>
              </w:rPr>
              <w:t>标准）。</w:t>
            </w:r>
            <w:r>
              <w:rPr>
                <w:rFonts w:hint="default" w:ascii="Times New Roman" w:hAnsi="Times New Roman" w:eastAsia="宋体" w:cs="Times New Roman"/>
                <w:color w:val="auto"/>
                <w:sz w:val="24"/>
                <w:highlight w:val="none"/>
                <w:lang w:eastAsia="zh-CN"/>
              </w:rPr>
              <w:t>周边</w:t>
            </w:r>
            <w:r>
              <w:rPr>
                <w:rFonts w:hint="eastAsia" w:cs="Times New Roman"/>
                <w:color w:val="auto"/>
                <w:sz w:val="24"/>
                <w:highlight w:val="none"/>
                <w:lang w:eastAsia="zh-CN"/>
              </w:rPr>
              <w:t>分布</w:t>
            </w:r>
            <w:r>
              <w:rPr>
                <w:rFonts w:hint="eastAsia" w:cs="Times New Roman"/>
                <w:color w:val="auto"/>
                <w:sz w:val="24"/>
                <w:highlight w:val="none"/>
                <w:lang w:val="en-US" w:eastAsia="zh-CN"/>
              </w:rPr>
              <w:t>企业为（高新（福建）日用品有限公司、福建润强包装材料有限公司、福建聚辉纸业有限公司等）均</w:t>
            </w:r>
            <w:r>
              <w:rPr>
                <w:rFonts w:hint="eastAsia" w:cs="Times New Roman"/>
                <w:color w:val="auto"/>
                <w:sz w:val="24"/>
                <w:highlight w:val="none"/>
                <w:lang w:eastAsia="zh-CN"/>
              </w:rPr>
              <w:t>以工业企业为主</w:t>
            </w:r>
            <w:r>
              <w:rPr>
                <w:rFonts w:hint="eastAsia" w:ascii="Times New Roman" w:hAnsi="Times New Roman" w:eastAsia="宋体" w:cs="Times New Roman"/>
                <w:color w:val="auto"/>
                <w:sz w:val="24"/>
                <w:highlight w:val="none"/>
                <w:lang w:val="en-US" w:eastAsia="zh-CN"/>
              </w:rPr>
              <w:t>等</w:t>
            </w:r>
            <w:r>
              <w:rPr>
                <w:rFonts w:hint="eastAsia" w:ascii="Times New Roman" w:hAnsi="Times New Roman" w:eastAsia="宋体" w:cs="Times New Roman"/>
                <w:color w:val="auto"/>
                <w:sz w:val="24"/>
                <w:highlight w:val="none"/>
                <w:lang w:eastAsia="zh-CN"/>
              </w:rPr>
              <w:t>，项目周边环境示意图</w:t>
            </w:r>
            <w:r>
              <w:rPr>
                <w:rFonts w:hint="eastAsia" w:cs="Times New Roman"/>
                <w:color w:val="auto"/>
                <w:sz w:val="24"/>
                <w:highlight w:val="none"/>
                <w:lang w:val="en-US" w:eastAsia="zh-CN"/>
              </w:rPr>
              <w:t>及保护目标</w:t>
            </w:r>
            <w:r>
              <w:rPr>
                <w:rFonts w:hint="eastAsia" w:ascii="Times New Roman" w:hAnsi="Times New Roman" w:eastAsia="宋体" w:cs="Times New Roman"/>
                <w:color w:val="auto"/>
                <w:sz w:val="24"/>
                <w:highlight w:val="none"/>
                <w:lang w:eastAsia="zh-CN"/>
              </w:rPr>
              <w:t>详见</w:t>
            </w:r>
            <w:r>
              <w:rPr>
                <w:rFonts w:hint="eastAsia"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pacing w:val="0"/>
                <w:sz w:val="24"/>
                <w:szCs w:val="24"/>
                <w:highlight w:val="none"/>
                <w:u w:val="none"/>
                <w:lang w:eastAsia="zh-CN"/>
              </w:rPr>
              <w:t>项目周边环境现状拍摄图详</w:t>
            </w:r>
            <w:r>
              <w:rPr>
                <w:rFonts w:hint="default" w:ascii="Times New Roman" w:hAnsi="Times New Roman" w:eastAsia="宋体" w:cs="Times New Roman"/>
                <w:color w:val="auto"/>
                <w:sz w:val="24"/>
                <w:highlight w:val="none"/>
                <w:lang w:eastAsia="zh-CN"/>
              </w:rPr>
              <w:t>见</w:t>
            </w:r>
            <w:r>
              <w:rPr>
                <w:rFonts w:hint="default"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七</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建设单位在</w:t>
            </w:r>
            <w:r>
              <w:rPr>
                <w:rFonts w:hint="eastAsia" w:cs="Times New Roman"/>
                <w:color w:val="auto"/>
                <w:sz w:val="24"/>
                <w:highlight w:val="none"/>
                <w:lang w:eastAsia="zh-CN"/>
              </w:rPr>
              <w:t>切实落实</w:t>
            </w:r>
            <w:r>
              <w:rPr>
                <w:rFonts w:hint="default" w:ascii="Times New Roman" w:hAnsi="Times New Roman" w:eastAsia="宋体" w:cs="Times New Roman"/>
                <w:color w:val="auto"/>
                <w:sz w:val="24"/>
                <w:highlight w:val="none"/>
                <w:lang w:eastAsia="zh-CN"/>
              </w:rPr>
              <w:t>本评价提出的各项污染治理措施的前提下，可实现污染物达标排放</w:t>
            </w:r>
            <w:r>
              <w:rPr>
                <w:rFonts w:hint="eastAsia" w:cs="Times New Roman"/>
                <w:color w:val="auto"/>
                <w:sz w:val="24"/>
                <w:highlight w:val="none"/>
                <w:lang w:eastAsia="zh-CN"/>
              </w:rPr>
              <w:t>且</w:t>
            </w:r>
            <w:r>
              <w:rPr>
                <w:rFonts w:hint="default" w:ascii="Times New Roman" w:hAnsi="Times New Roman" w:eastAsia="宋体" w:cs="Times New Roman"/>
                <w:color w:val="auto"/>
                <w:sz w:val="24"/>
                <w:highlight w:val="none"/>
                <w:lang w:eastAsia="zh-CN"/>
              </w:rPr>
              <w:t>各污染物排放源强较低，运营期产生的</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三废</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及噪声对周边环境影响不明显，因此，项目</w:t>
            </w:r>
            <w:r>
              <w:rPr>
                <w:rFonts w:hint="eastAsia" w:cs="Times New Roman"/>
                <w:color w:val="auto"/>
                <w:sz w:val="24"/>
                <w:highlight w:val="none"/>
                <w:lang w:val="en-US" w:eastAsia="zh-CN"/>
              </w:rPr>
              <w:t>建设选址可行。</w:t>
            </w:r>
          </w:p>
          <w:p w14:paraId="33CA0927">
            <w:pPr>
              <w:widowControl/>
              <w:numPr>
                <w:ilvl w:val="0"/>
                <w:numId w:val="0"/>
              </w:numPr>
              <w:spacing w:line="360" w:lineRule="auto"/>
              <w:ind w:firstLine="482" w:firstLineChars="200"/>
              <w:jc w:val="left"/>
              <w:rPr>
                <w:b/>
                <w:bCs/>
                <w:color w:val="auto"/>
                <w:sz w:val="24"/>
                <w:highlight w:val="none"/>
              </w:rPr>
            </w:pPr>
            <w:r>
              <w:rPr>
                <w:rFonts w:hint="eastAsia"/>
                <w:b/>
                <w:bCs/>
                <w:color w:val="auto"/>
                <w:sz w:val="24"/>
                <w:highlight w:val="none"/>
                <w:lang w:val="en-US" w:eastAsia="zh-CN"/>
              </w:rPr>
              <w:t>6.</w:t>
            </w:r>
            <w:r>
              <w:rPr>
                <w:b/>
                <w:bCs/>
                <w:color w:val="auto"/>
                <w:sz w:val="24"/>
                <w:highlight w:val="none"/>
              </w:rPr>
              <w:t>与挥发性有机物污染防治相关政策符合性分析</w:t>
            </w:r>
          </w:p>
          <w:p w14:paraId="68FDA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宋体"/>
                <w:color w:val="auto"/>
                <w:sz w:val="24"/>
                <w:szCs w:val="24"/>
                <w:highlight w:val="none"/>
                <w:u w:val="none"/>
                <w:lang w:val="en-US" w:eastAsia="zh-CN" w:bidi="ar"/>
              </w:rPr>
            </w:pPr>
            <w:r>
              <w:rPr>
                <w:rFonts w:hint="eastAsia" w:cs="宋体"/>
                <w:color w:val="auto"/>
                <w:sz w:val="24"/>
                <w:szCs w:val="24"/>
                <w:highlight w:val="none"/>
                <w:u w:val="none"/>
                <w:lang w:bidi="ar"/>
              </w:rPr>
              <w:t>本项目与挥发性有机物污染防治政策相关内容符合性分析，符合性分析详见表</w:t>
            </w:r>
            <w:r>
              <w:rPr>
                <w:rFonts w:hint="eastAsia" w:cs="宋体"/>
                <w:color w:val="auto"/>
                <w:sz w:val="24"/>
                <w:szCs w:val="24"/>
                <w:highlight w:val="none"/>
                <w:u w:val="none"/>
                <w:lang w:val="en-US" w:eastAsia="zh-CN" w:bidi="ar"/>
              </w:rPr>
              <w:t>1.1-5</w:t>
            </w:r>
            <w:r>
              <w:rPr>
                <w:rFonts w:hint="eastAsia" w:cs="宋体"/>
                <w:color w:val="auto"/>
                <w:sz w:val="24"/>
                <w:szCs w:val="24"/>
                <w:highlight w:val="none"/>
                <w:u w:val="none"/>
                <w:lang w:bidi="ar"/>
              </w:rPr>
              <w:t>。</w:t>
            </w:r>
            <w:r>
              <w:rPr>
                <w:rFonts w:hint="eastAsia" w:cs="宋体"/>
                <w:color w:val="auto"/>
                <w:sz w:val="24"/>
                <w:szCs w:val="24"/>
                <w:highlight w:val="none"/>
                <w:u w:val="none"/>
                <w:lang w:eastAsia="zh-CN" w:bidi="ar"/>
              </w:rPr>
              <w:t>根据表</w:t>
            </w:r>
            <w:r>
              <w:rPr>
                <w:rFonts w:hint="eastAsia" w:cs="宋体"/>
                <w:color w:val="auto"/>
                <w:sz w:val="24"/>
                <w:szCs w:val="24"/>
                <w:highlight w:val="none"/>
                <w:u w:val="none"/>
                <w:lang w:val="en-US" w:eastAsia="zh-CN" w:bidi="ar"/>
              </w:rPr>
              <w:t>1.1-5的分析可知，本项目建设符合国家及地方的</w:t>
            </w:r>
            <w:r>
              <w:rPr>
                <w:rFonts w:hint="eastAsia" w:cs="宋体"/>
                <w:color w:val="auto"/>
                <w:sz w:val="24"/>
                <w:szCs w:val="24"/>
                <w:highlight w:val="none"/>
                <w:u w:val="none"/>
                <w:lang w:bidi="ar"/>
              </w:rPr>
              <w:t>挥发性有机物污染防治政策相关内容</w:t>
            </w:r>
            <w:r>
              <w:rPr>
                <w:rFonts w:hint="eastAsia" w:cs="宋体"/>
                <w:color w:val="auto"/>
                <w:sz w:val="24"/>
                <w:szCs w:val="24"/>
                <w:highlight w:val="none"/>
                <w:u w:val="none"/>
                <w:lang w:eastAsia="zh-CN" w:bidi="ar"/>
              </w:rPr>
              <w:t>的要求。</w:t>
            </w:r>
          </w:p>
          <w:p w14:paraId="2D00FFE7">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黑体" w:cs="Times New Roman"/>
                <w:color w:val="auto"/>
                <w:sz w:val="24"/>
                <w:highlight w:val="none"/>
                <w:u w:val="none"/>
              </w:rPr>
            </w:pPr>
            <w:r>
              <w:rPr>
                <w:rFonts w:hint="eastAsia" w:ascii="Times New Roman" w:hAnsi="Times New Roman" w:eastAsia="宋体" w:cs="Times New Roman"/>
                <w:b/>
                <w:bCs/>
                <w:color w:val="auto"/>
                <w:sz w:val="24"/>
                <w:szCs w:val="24"/>
                <w:highlight w:val="none"/>
                <w:lang w:val="en-US" w:eastAsia="zh-CN"/>
              </w:rPr>
              <w:t>表1.1-5挥发性有机物污染防治政策相关内容</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3126"/>
              <w:gridCol w:w="3442"/>
              <w:gridCol w:w="465"/>
            </w:tblGrid>
            <w:tr w14:paraId="5BA77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72" w:type="pct"/>
                  <w:tcBorders>
                    <w:tl2br w:val="nil"/>
                    <w:tr2bl w:val="nil"/>
                  </w:tcBorders>
                  <w:vAlign w:val="center"/>
                </w:tcPr>
                <w:p w14:paraId="1B598B6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相关文件名称</w:t>
                  </w:r>
                </w:p>
              </w:tc>
              <w:tc>
                <w:tcPr>
                  <w:tcW w:w="1790" w:type="pct"/>
                  <w:tcBorders>
                    <w:tl2br w:val="nil"/>
                    <w:tr2bl w:val="nil"/>
                  </w:tcBorders>
                  <w:vAlign w:val="center"/>
                </w:tcPr>
                <w:p w14:paraId="537A018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相关内容</w:t>
                  </w:r>
                </w:p>
              </w:tc>
              <w:tc>
                <w:tcPr>
                  <w:tcW w:w="1971" w:type="pct"/>
                  <w:tcBorders>
                    <w:tl2br w:val="nil"/>
                    <w:tr2bl w:val="nil"/>
                  </w:tcBorders>
                  <w:vAlign w:val="center"/>
                </w:tcPr>
                <w:p w14:paraId="586BCE7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本项目内容</w:t>
                  </w:r>
                </w:p>
              </w:tc>
              <w:tc>
                <w:tcPr>
                  <w:tcW w:w="266" w:type="pct"/>
                  <w:tcBorders>
                    <w:tl2br w:val="nil"/>
                    <w:tr2bl w:val="nil"/>
                  </w:tcBorders>
                  <w:vAlign w:val="center"/>
                </w:tcPr>
                <w:p w14:paraId="74124BE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符合性</w:t>
                  </w:r>
                </w:p>
              </w:tc>
            </w:tr>
            <w:tr w14:paraId="6B3B2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2" w:type="pct"/>
                  <w:tcBorders>
                    <w:tl2br w:val="nil"/>
                    <w:tr2bl w:val="nil"/>
                  </w:tcBorders>
                  <w:shd w:val="clear" w:color="auto" w:fill="auto"/>
                  <w:vAlign w:val="center"/>
                </w:tcPr>
                <w:p w14:paraId="4BFC9D71">
                  <w:pPr>
                    <w:pStyle w:val="75"/>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2"/>
                      <w:lang w:val="en-US" w:eastAsia="zh-CN" w:bidi="ar-SA"/>
                    </w:rPr>
                  </w:pPr>
                  <w:r>
                    <w:rPr>
                      <w:rFonts w:hint="default"/>
                      <w:color w:val="auto"/>
                      <w:szCs w:val="22"/>
                    </w:rPr>
                    <w:t>“十三五”挥发性有机物污染防治工作方案</w:t>
                  </w:r>
                </w:p>
              </w:tc>
              <w:tc>
                <w:tcPr>
                  <w:tcW w:w="1790" w:type="pct"/>
                  <w:tcBorders>
                    <w:tl2br w:val="nil"/>
                    <w:tr2bl w:val="nil"/>
                  </w:tcBorders>
                  <w:shd w:val="clear" w:color="auto" w:fill="auto"/>
                  <w:vAlign w:val="top"/>
                </w:tcPr>
                <w:p w14:paraId="78DA0F9F">
                  <w:pPr>
                    <w:pStyle w:val="75"/>
                    <w:keepNext w:val="0"/>
                    <w:keepLines w:val="0"/>
                    <w:widowControl/>
                    <w:suppressLineNumbers w:val="0"/>
                    <w:bidi w:val="0"/>
                    <w:spacing w:before="0" w:beforeAutospacing="0" w:after="0" w:afterAutospacing="0"/>
                    <w:ind w:left="0" w:right="0"/>
                    <w:rPr>
                      <w:rFonts w:hint="default"/>
                      <w:color w:val="auto"/>
                      <w:szCs w:val="22"/>
                    </w:rPr>
                  </w:pPr>
                  <w:r>
                    <w:rPr>
                      <w:rFonts w:hint="default"/>
                      <w:color w:val="auto"/>
                      <w:szCs w:val="22"/>
                      <w:lang w:val="en-US" w:eastAsia="zh-CN"/>
                    </w:rPr>
                    <w:t>1</w:t>
                  </w:r>
                  <w:r>
                    <w:rPr>
                      <w:rFonts w:hint="default"/>
                      <w:color w:val="auto"/>
                      <w:szCs w:val="22"/>
                    </w:rPr>
                    <w:t>.严格建设项目环境准入。</w:t>
                  </w:r>
                </w:p>
                <w:p w14:paraId="1B4E5853">
                  <w:pPr>
                    <w:pStyle w:val="75"/>
                    <w:keepNext w:val="0"/>
                    <w:keepLines w:val="0"/>
                    <w:widowControl/>
                    <w:suppressLineNumbers w:val="0"/>
                    <w:bidi w:val="0"/>
                    <w:spacing w:before="0" w:beforeAutospacing="0" w:after="0" w:afterAutospacing="0"/>
                    <w:ind w:left="0" w:right="0"/>
                    <w:rPr>
                      <w:rFonts w:hint="default"/>
                      <w:color w:val="auto"/>
                      <w:szCs w:val="22"/>
                    </w:rPr>
                  </w:pPr>
                  <w:r>
                    <w:rPr>
                      <w:rFonts w:hint="default"/>
                      <w:color w:val="auto"/>
                      <w:szCs w:val="22"/>
                    </w:rPr>
                    <w:t>提高</w:t>
                  </w:r>
                  <w:r>
                    <w:rPr>
                      <w:rFonts w:hint="eastAsia"/>
                      <w:color w:val="auto"/>
                      <w:szCs w:val="22"/>
                      <w:lang w:eastAsia="zh-CN"/>
                    </w:rPr>
                    <w:t>VOCs</w:t>
                  </w:r>
                  <w:r>
                    <w:rPr>
                      <w:rFonts w:hint="default"/>
                      <w:color w:val="auto"/>
                      <w:szCs w:val="22"/>
                    </w:rPr>
                    <w:t>排放重点行业环保准入门槛，严格控制新增污染物排放量。新建涉</w:t>
                  </w:r>
                  <w:r>
                    <w:rPr>
                      <w:rFonts w:hint="eastAsia"/>
                      <w:color w:val="auto"/>
                      <w:szCs w:val="22"/>
                      <w:lang w:eastAsia="zh-CN"/>
                    </w:rPr>
                    <w:t>VOCs</w:t>
                  </w:r>
                  <w:r>
                    <w:rPr>
                      <w:rFonts w:hint="default"/>
                      <w:color w:val="auto"/>
                      <w:szCs w:val="22"/>
                    </w:rPr>
                    <w:t>排放的工业企业要入园区。新、改、扩建涉</w:t>
                  </w:r>
                  <w:r>
                    <w:rPr>
                      <w:rFonts w:hint="eastAsia"/>
                      <w:color w:val="auto"/>
                      <w:szCs w:val="22"/>
                      <w:lang w:eastAsia="zh-CN"/>
                    </w:rPr>
                    <w:t>VOCs</w:t>
                  </w:r>
                  <w:r>
                    <w:rPr>
                      <w:rFonts w:hint="default"/>
                      <w:color w:val="auto"/>
                      <w:szCs w:val="22"/>
                    </w:rPr>
                    <w:t>排放项目，应从源头加强控制，使用低（无）</w:t>
                  </w:r>
                  <w:r>
                    <w:rPr>
                      <w:rFonts w:hint="eastAsia"/>
                      <w:color w:val="auto"/>
                      <w:szCs w:val="22"/>
                      <w:lang w:eastAsia="zh-CN"/>
                    </w:rPr>
                    <w:t>VOCs</w:t>
                  </w:r>
                  <w:r>
                    <w:rPr>
                      <w:rFonts w:hint="default"/>
                      <w:color w:val="auto"/>
                      <w:szCs w:val="22"/>
                    </w:rPr>
                    <w:t>含量的原辅材料，加强废气收集，安装高效治理设施。</w:t>
                  </w:r>
                </w:p>
                <w:p w14:paraId="6FF574A3">
                  <w:pPr>
                    <w:pStyle w:val="75"/>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2"/>
                      <w:lang w:val="en-US" w:eastAsia="zh-CN" w:bidi="ar-SA"/>
                    </w:rPr>
                  </w:pPr>
                  <w:r>
                    <w:rPr>
                      <w:rFonts w:hint="default"/>
                      <w:color w:val="auto"/>
                      <w:szCs w:val="22"/>
                      <w:lang w:val="en-US" w:eastAsia="zh-CN"/>
                    </w:rPr>
                    <w:t>2</w:t>
                  </w:r>
                  <w:r>
                    <w:rPr>
                      <w:rFonts w:hint="default"/>
                      <w:color w:val="auto"/>
                      <w:szCs w:val="22"/>
                    </w:rPr>
                    <w:t>.加大工业涂装</w:t>
                  </w:r>
                  <w:r>
                    <w:rPr>
                      <w:rFonts w:hint="eastAsia"/>
                      <w:color w:val="auto"/>
                      <w:szCs w:val="22"/>
                      <w:lang w:eastAsia="zh-CN"/>
                    </w:rPr>
                    <w:t>VOCs</w:t>
                  </w:r>
                  <w:r>
                    <w:rPr>
                      <w:rFonts w:hint="default"/>
                      <w:color w:val="auto"/>
                      <w:szCs w:val="22"/>
                    </w:rPr>
                    <w:t>治理力度。木质家具制造行业。大力推广使用水性、紫外光固化涂料，到2020年底前，替代比例达到60%以上；全面使用水性胶粘剂，到2020年底前，替代比例达到100%。在平面板式木质家具制造领域，推广使用自动喷涂或辊涂等先进工艺技术。加强废气收集与处理，有机废气收集效率不低于80%；建设吸附燃烧等高效治理设施，实现达标排放。</w:t>
                  </w:r>
                </w:p>
              </w:tc>
              <w:tc>
                <w:tcPr>
                  <w:tcW w:w="1971" w:type="pct"/>
                  <w:tcBorders>
                    <w:tl2br w:val="nil"/>
                    <w:tr2bl w:val="nil"/>
                  </w:tcBorders>
                  <w:shd w:val="clear" w:color="auto" w:fill="auto"/>
                  <w:vAlign w:val="center"/>
                </w:tcPr>
                <w:p w14:paraId="0A84B57B">
                  <w:pPr>
                    <w:pStyle w:val="75"/>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color w:val="auto"/>
                      <w:szCs w:val="22"/>
                      <w:lang w:val="en-US" w:eastAsia="zh-CN"/>
                    </w:rPr>
                    <w:t>1</w:t>
                  </w:r>
                  <w:r>
                    <w:rPr>
                      <w:rFonts w:hint="default"/>
                      <w:color w:val="auto"/>
                      <w:szCs w:val="22"/>
                      <w:highlight w:val="none"/>
                      <w:lang w:val="en-US" w:eastAsia="zh-CN"/>
                    </w:rPr>
                    <w:t>、项目属于</w:t>
                  </w:r>
                  <w:r>
                    <w:rPr>
                      <w:rFonts w:hint="eastAsia"/>
                      <w:color w:val="auto"/>
                      <w:szCs w:val="22"/>
                      <w:highlight w:val="none"/>
                      <w:lang w:val="en-US" w:eastAsia="zh-CN"/>
                    </w:rPr>
                    <w:t>扩建项目</w:t>
                  </w:r>
                  <w:r>
                    <w:rPr>
                      <w:rFonts w:hint="default"/>
                      <w:color w:val="auto"/>
                      <w:szCs w:val="22"/>
                      <w:highlight w:val="none"/>
                      <w:lang w:val="en-US" w:eastAsia="zh-CN"/>
                    </w:rPr>
                    <w:t>，涉</w:t>
                  </w:r>
                  <w:r>
                    <w:rPr>
                      <w:rFonts w:hint="eastAsia"/>
                      <w:color w:val="auto"/>
                      <w:szCs w:val="22"/>
                      <w:highlight w:val="none"/>
                      <w:lang w:eastAsia="zh-CN"/>
                    </w:rPr>
                    <w:t>VOCs</w:t>
                  </w:r>
                  <w:r>
                    <w:rPr>
                      <w:rFonts w:hint="default"/>
                      <w:color w:val="auto"/>
                      <w:szCs w:val="22"/>
                      <w:highlight w:val="none"/>
                    </w:rPr>
                    <w:t>排放</w:t>
                  </w:r>
                  <w:r>
                    <w:rPr>
                      <w:rFonts w:hint="default"/>
                      <w:color w:val="auto"/>
                      <w:szCs w:val="22"/>
                      <w:highlight w:val="none"/>
                      <w:lang w:eastAsia="zh-CN"/>
                    </w:rPr>
                    <w:t>，</w:t>
                  </w:r>
                  <w:r>
                    <w:rPr>
                      <w:rFonts w:hint="default"/>
                      <w:color w:val="auto"/>
                      <w:szCs w:val="22"/>
                      <w:highlight w:val="none"/>
                      <w:lang w:val="en-US" w:eastAsia="zh-CN"/>
                    </w:rPr>
                    <w:t>企</w:t>
                  </w:r>
                  <w:r>
                    <w:rPr>
                      <w:rFonts w:hint="default" w:ascii="Times New Roman" w:hAnsi="Times New Roman" w:eastAsia="宋体" w:cs="Times New Roman"/>
                      <w:b w:val="0"/>
                      <w:bCs w:val="0"/>
                      <w:color w:val="auto"/>
                      <w:sz w:val="21"/>
                      <w:szCs w:val="21"/>
                      <w:highlight w:val="none"/>
                      <w:vertAlign w:val="baseline"/>
                      <w:lang w:val="en-US" w:eastAsia="zh-CN"/>
                    </w:rPr>
                    <w:t>业</w:t>
                  </w:r>
                  <w:r>
                    <w:rPr>
                      <w:rFonts w:hint="eastAsia" w:ascii="Times New Roman" w:hAnsi="Times New Roman" w:eastAsia="宋体" w:cs="Times New Roman"/>
                      <w:b w:val="0"/>
                      <w:bCs w:val="0"/>
                      <w:color w:val="auto"/>
                      <w:sz w:val="21"/>
                      <w:szCs w:val="21"/>
                      <w:highlight w:val="none"/>
                      <w:vertAlign w:val="baseline"/>
                      <w:lang w:val="en-US" w:eastAsia="zh-CN"/>
                    </w:rPr>
                    <w:t>位于</w:t>
                  </w:r>
                  <w:r>
                    <w:rPr>
                      <w:rFonts w:hint="eastAsia" w:cs="Times New Roman"/>
                      <w:b w:val="0"/>
                      <w:bCs w:val="0"/>
                      <w:color w:val="auto"/>
                      <w:sz w:val="21"/>
                      <w:szCs w:val="21"/>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b w:val="0"/>
                      <w:bCs w:val="0"/>
                      <w:color w:val="auto"/>
                      <w:sz w:val="21"/>
                      <w:szCs w:val="21"/>
                      <w:highlight w:val="none"/>
                      <w:lang w:val="en-US" w:eastAsia="zh-CN"/>
                    </w:rPr>
                    <w:t>，在</w:t>
                  </w:r>
                  <w:r>
                    <w:rPr>
                      <w:rFonts w:hint="default" w:ascii="Times New Roman" w:hAnsi="Times New Roman" w:eastAsia="宋体" w:cs="Times New Roman"/>
                      <w:b w:val="0"/>
                      <w:bCs w:val="0"/>
                      <w:color w:val="auto"/>
                      <w:sz w:val="21"/>
                      <w:szCs w:val="21"/>
                      <w:highlight w:val="none"/>
                      <w:u w:val="none"/>
                      <w:lang w:val="en-US" w:eastAsia="zh-CN"/>
                    </w:rPr>
                    <w:t>江阴临港产业区</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新厝先进制造业基地</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w:t>
                  </w:r>
                </w:p>
                <w:p w14:paraId="6519CBC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auto"/>
                      <w:szCs w:val="22"/>
                      <w:highlight w:val="none"/>
                      <w:lang w:val="en-US" w:eastAsia="zh-CN"/>
                    </w:rPr>
                  </w:pPr>
                  <w:r>
                    <w:rPr>
                      <w:rFonts w:hint="eastAsia" w:cs="Times New Roman"/>
                      <w:color w:val="auto"/>
                      <w:sz w:val="21"/>
                      <w:szCs w:val="21"/>
                      <w:highlight w:val="none"/>
                      <w:lang w:val="en-US" w:eastAsia="zh-CN"/>
                    </w:rPr>
                    <w:t>项目现有工程于2017年3月通过环评审批（榕环评表</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2017</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26号），2017年7月完成竣工验收。由于还发布此政策。现有项目所产生的废气污染物VOCs未安装环保设备，无组织排放。本次扩建将把现有项目产生废气与拟扩建项目产生废气一并收集处理。</w:t>
                  </w:r>
                  <w:r>
                    <w:rPr>
                      <w:rFonts w:hint="eastAsia" w:ascii="Times New Roman" w:hAnsi="Times New Roman" w:eastAsia="宋体" w:cs="Times New Roman"/>
                      <w:b w:val="0"/>
                      <w:bCs w:val="0"/>
                      <w:color w:val="auto"/>
                      <w:sz w:val="21"/>
                      <w:szCs w:val="21"/>
                      <w:highlight w:val="none"/>
                      <w:vertAlign w:val="baseline"/>
                      <w:lang w:val="en-US" w:eastAsia="zh-CN"/>
                    </w:rPr>
                    <w:t>本次扩建项目预发、成型、废</w:t>
                  </w:r>
                  <w:r>
                    <w:rPr>
                      <w:rFonts w:hint="eastAsia"/>
                      <w:color w:val="auto"/>
                      <w:szCs w:val="22"/>
                      <w:highlight w:val="none"/>
                      <w:lang w:val="en-US" w:eastAsia="zh-CN"/>
                    </w:rPr>
                    <w:t>气</w:t>
                  </w:r>
                  <w:r>
                    <w:rPr>
                      <w:rFonts w:hint="eastAsia" w:ascii="Times New Roman" w:hAnsi="Times New Roman" w:eastAsia="宋体" w:cs="Times New Roman"/>
                      <w:b w:val="0"/>
                      <w:bCs w:val="0"/>
                      <w:color w:val="auto"/>
                      <w:sz w:val="21"/>
                      <w:szCs w:val="21"/>
                      <w:highlight w:val="none"/>
                      <w:vertAlign w:val="baseline"/>
                      <w:lang w:val="en-US" w:eastAsia="zh-CN"/>
                    </w:rPr>
                    <w:t>中所产生的VOCs经集气罩收集后通过一套“二级活性炭吸附装置+15m排气筒”排放</w:t>
                  </w:r>
                </w:p>
                <w:p w14:paraId="4037E46E">
                  <w:pPr>
                    <w:pStyle w:val="7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2"/>
                      <w:lang w:val="en-US" w:eastAsia="zh-CN" w:bidi="ar-SA"/>
                    </w:rPr>
                  </w:pPr>
                  <w:r>
                    <w:rPr>
                      <w:rFonts w:hint="default"/>
                      <w:color w:val="auto"/>
                      <w:szCs w:val="22"/>
                      <w:highlight w:val="none"/>
                      <w:lang w:val="en-US" w:eastAsia="zh-CN"/>
                    </w:rPr>
                    <w:t>2、项目不属于</w:t>
                  </w:r>
                  <w:r>
                    <w:rPr>
                      <w:rFonts w:hint="default"/>
                      <w:color w:val="auto"/>
                      <w:szCs w:val="22"/>
                      <w:highlight w:val="none"/>
                    </w:rPr>
                    <w:t>木质家具制造行业</w:t>
                  </w:r>
                  <w:r>
                    <w:rPr>
                      <w:rFonts w:hint="default"/>
                      <w:color w:val="auto"/>
                      <w:szCs w:val="22"/>
                      <w:lang w:eastAsia="zh-CN"/>
                    </w:rPr>
                    <w:t>。</w:t>
                  </w:r>
                </w:p>
              </w:tc>
              <w:tc>
                <w:tcPr>
                  <w:tcW w:w="266" w:type="pct"/>
                  <w:tcBorders>
                    <w:tl2br w:val="nil"/>
                    <w:tr2bl w:val="nil"/>
                  </w:tcBorders>
                  <w:vAlign w:val="center"/>
                </w:tcPr>
                <w:p w14:paraId="0F098DF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14:paraId="7794E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2" w:type="pct"/>
                  <w:tcBorders>
                    <w:tl2br w:val="nil"/>
                    <w:tr2bl w:val="nil"/>
                  </w:tcBorders>
                  <w:shd w:val="clear" w:color="auto" w:fill="auto"/>
                  <w:vAlign w:val="center"/>
                </w:tcPr>
                <w:p w14:paraId="6768FAEE">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福建省“十四五”空气质量改善规划</w:t>
                  </w:r>
                  <w:r>
                    <w:rPr>
                      <w:rFonts w:hint="eastAsia" w:ascii="Times New Roman" w:hAnsi="Times New Roman" w:eastAsia="宋体" w:cs="Times New Roman"/>
                      <w:color w:val="auto"/>
                      <w:sz w:val="21"/>
                      <w:szCs w:val="21"/>
                      <w:highlight w:val="none"/>
                      <w:lang w:eastAsia="zh-CN"/>
                    </w:rPr>
                    <w:t>》</w:t>
                  </w:r>
                </w:p>
                <w:p w14:paraId="5FD37625">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2022年1月</w:t>
                  </w:r>
                  <w:r>
                    <w:rPr>
                      <w:rFonts w:hint="eastAsia" w:cs="Times New Roman"/>
                      <w:color w:val="auto"/>
                      <w:sz w:val="21"/>
                      <w:szCs w:val="21"/>
                      <w:highlight w:val="none"/>
                      <w:lang w:val="en-US" w:eastAsia="zh-CN"/>
                    </w:rPr>
                    <w:t>）</w:t>
                  </w:r>
                </w:p>
              </w:tc>
              <w:tc>
                <w:tcPr>
                  <w:tcW w:w="1790" w:type="pct"/>
                  <w:tcBorders>
                    <w:tl2br w:val="nil"/>
                    <w:tr2bl w:val="nil"/>
                  </w:tcBorders>
                  <w:shd w:val="clear" w:color="auto" w:fill="auto"/>
                  <w:vAlign w:val="center"/>
                </w:tcPr>
                <w:p w14:paraId="489BAEBA">
                  <w:pPr>
                    <w:pStyle w:val="37"/>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rPr>
                    <w:t>推广使用水性、高固体分、无溶剂、粉末等低VOCs含量涂料，</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电缆桥架</w:t>
                  </w:r>
                  <w:r>
                    <w:rPr>
                      <w:rFonts w:hint="eastAsia" w:ascii="Times New Roman" w:hAnsi="Times New Roman" w:eastAsia="宋体" w:cs="Times New Roman"/>
                      <w:color w:val="auto"/>
                      <w:sz w:val="21"/>
                      <w:szCs w:val="21"/>
                      <w:highlight w:val="none"/>
                    </w:rPr>
                    <w:t>制造、</w:t>
                  </w:r>
                  <w:r>
                    <w:rPr>
                      <w:rFonts w:hint="eastAsia" w:ascii="Times New Roman" w:hAnsi="Times New Roman" w:eastAsia="宋体" w:cs="Times New Roman"/>
                      <w:b w:val="0"/>
                      <w:bCs w:val="0"/>
                      <w:color w:val="auto"/>
                      <w:sz w:val="21"/>
                      <w:szCs w:val="21"/>
                      <w:highlight w:val="none"/>
                    </w:rPr>
                    <w:t>汽车零部件</w:t>
                  </w:r>
                  <w:r>
                    <w:rPr>
                      <w:rFonts w:hint="eastAsia" w:ascii="Times New Roman" w:hAnsi="Times New Roman" w:eastAsia="宋体" w:cs="Times New Roman"/>
                      <w:color w:val="auto"/>
                      <w:sz w:val="21"/>
                      <w:szCs w:val="21"/>
                      <w:highlight w:val="none"/>
                    </w:rPr>
                    <w:t>、工程机械使用比例达到50%以上；</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严格执行涂料、油墨、胶粘剂、清洗剂VOCs含量限值标准，加大抽检力度，确保生产、销售、进口、使用符合标准的产品。严格涉VOCs建设项目环境影响评价，VOCs排放实行区域内等量替代，</w:t>
                  </w:r>
                  <w:r>
                    <w:rPr>
                      <w:rFonts w:hint="eastAsia" w:ascii="Times New Roman" w:hAnsi="Times New Roman" w:eastAsia="宋体" w:cs="Times New Roman"/>
                      <w:b/>
                      <w:bCs/>
                      <w:color w:val="auto"/>
                      <w:sz w:val="21"/>
                      <w:szCs w:val="21"/>
                      <w:highlight w:val="none"/>
                    </w:rPr>
                    <w:t>福州</w:t>
                  </w:r>
                  <w:r>
                    <w:rPr>
                      <w:rFonts w:hint="eastAsia" w:ascii="Times New Roman" w:hAnsi="Times New Roman" w:eastAsia="宋体" w:cs="Times New Roman"/>
                      <w:color w:val="auto"/>
                      <w:sz w:val="21"/>
                      <w:szCs w:val="21"/>
                      <w:highlight w:val="none"/>
                    </w:rPr>
                    <w:t>、厦门、漳州、泉州、莆田、宁德实施VOCs倍量替代。</w:t>
                  </w:r>
                </w:p>
              </w:tc>
              <w:tc>
                <w:tcPr>
                  <w:tcW w:w="1971" w:type="pct"/>
                  <w:vMerge w:val="restart"/>
                  <w:tcBorders>
                    <w:tl2br w:val="nil"/>
                    <w:tr2bl w:val="nil"/>
                  </w:tcBorders>
                  <w:vAlign w:val="center"/>
                </w:tcPr>
                <w:p w14:paraId="33BB7C9C">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从事</w:t>
                  </w:r>
                  <w:r>
                    <w:rPr>
                      <w:rFonts w:hint="eastAsia" w:cs="Times New Roman"/>
                      <w:color w:val="auto"/>
                      <w:sz w:val="21"/>
                      <w:szCs w:val="21"/>
                      <w:highlight w:val="none"/>
                      <w:u w:val="none"/>
                      <w:lang w:eastAsia="zh-CN"/>
                    </w:rPr>
                    <w:t>EPS包装泡沫、</w:t>
                  </w:r>
                  <w:r>
                    <w:rPr>
                      <w:rFonts w:hint="eastAsia" w:cs="Times New Roman"/>
                      <w:color w:val="auto"/>
                      <w:sz w:val="21"/>
                      <w:szCs w:val="21"/>
                      <w:highlight w:val="none"/>
                      <w:u w:val="none"/>
                      <w:lang w:val="en-US" w:eastAsia="zh-CN"/>
                    </w:rPr>
                    <w:t>EPP包装泡沫的</w:t>
                  </w:r>
                  <w:r>
                    <w:rPr>
                      <w:rFonts w:hint="default" w:ascii="Times New Roman" w:hAnsi="Times New Roman" w:eastAsia="宋体" w:cs="Times New Roman"/>
                      <w:color w:val="auto"/>
                      <w:spacing w:val="0"/>
                      <w:sz w:val="21"/>
                      <w:szCs w:val="21"/>
                      <w:highlight w:val="none"/>
                      <w:u w:val="none"/>
                      <w:lang w:val="en-US" w:eastAsia="zh-CN"/>
                    </w:rPr>
                    <w:t>生产</w:t>
                  </w:r>
                  <w:r>
                    <w:rPr>
                      <w:rFonts w:hint="default" w:ascii="Times New Roman" w:hAnsi="Times New Roman" w:eastAsia="宋体" w:cs="Times New Roman"/>
                      <w:b w:val="0"/>
                      <w:bCs w:val="0"/>
                      <w:color w:val="auto"/>
                      <w:sz w:val="21"/>
                      <w:szCs w:val="21"/>
                      <w:highlight w:val="none"/>
                      <w:vertAlign w:val="baseline"/>
                      <w:lang w:val="en-US" w:eastAsia="zh-CN"/>
                    </w:rPr>
                    <w:t>。生产过程中不涉及涂料使用，所产生VOCs的排放量较小，</w:t>
                  </w:r>
                  <w:r>
                    <w:rPr>
                      <w:rFonts w:hint="default" w:ascii="Times New Roman" w:hAnsi="Times New Roman" w:eastAsia="宋体" w:cs="Times New Roman"/>
                      <w:b w:val="0"/>
                      <w:bCs w:val="0"/>
                      <w:color w:val="auto"/>
                      <w:kern w:val="2"/>
                      <w:sz w:val="21"/>
                      <w:szCs w:val="21"/>
                      <w:highlight w:val="none"/>
                      <w:lang w:val="en-US" w:eastAsia="zh-CN" w:bidi="ar-SA"/>
                    </w:rPr>
                    <w:t>不需</w:t>
                  </w:r>
                  <w:r>
                    <w:rPr>
                      <w:rFonts w:hint="default" w:ascii="Times New Roman" w:hAnsi="Times New Roman" w:eastAsia="宋体" w:cs="Times New Roman"/>
                      <w:b w:val="0"/>
                      <w:bCs w:val="0"/>
                      <w:color w:val="auto"/>
                      <w:sz w:val="21"/>
                      <w:szCs w:val="21"/>
                      <w:highlight w:val="none"/>
                    </w:rPr>
                    <w:t>安装VOCs在线监控设备</w:t>
                  </w:r>
                  <w:r>
                    <w:rPr>
                      <w:rFonts w:hint="default" w:ascii="Times New Roman" w:hAnsi="Times New Roman" w:eastAsia="宋体" w:cs="Times New Roman"/>
                      <w:b w:val="0"/>
                      <w:bCs w:val="0"/>
                      <w:color w:val="auto"/>
                      <w:sz w:val="21"/>
                      <w:szCs w:val="21"/>
                      <w:highlight w:val="none"/>
                      <w:lang w:eastAsia="zh-CN"/>
                    </w:rPr>
                    <w:t>；</w:t>
                  </w:r>
                </w:p>
                <w:p w14:paraId="28D9A1F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项目建设位置</w:t>
                  </w:r>
                  <w:r>
                    <w:rPr>
                      <w:rFonts w:hint="default" w:ascii="Times New Roman" w:hAnsi="Times New Roman" w:eastAsia="宋体" w:cs="Times New Roman"/>
                      <w:b w:val="0"/>
                      <w:bCs w:val="0"/>
                      <w:color w:val="auto"/>
                      <w:sz w:val="21"/>
                      <w:szCs w:val="21"/>
                      <w:highlight w:val="none"/>
                      <w:u w:val="none"/>
                      <w:lang w:eastAsia="zh-CN"/>
                    </w:rPr>
                    <w:t>位于</w:t>
                  </w:r>
                  <w:r>
                    <w:rPr>
                      <w:rFonts w:hint="eastAsia" w:cs="Times New Roman"/>
                      <w:b w:val="0"/>
                      <w:bCs w:val="0"/>
                      <w:color w:val="auto"/>
                      <w:sz w:val="21"/>
                      <w:szCs w:val="21"/>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b w:val="0"/>
                      <w:bCs w:val="0"/>
                      <w:color w:val="auto"/>
                      <w:sz w:val="21"/>
                      <w:szCs w:val="21"/>
                      <w:highlight w:val="none"/>
                      <w:lang w:val="en-US" w:eastAsia="zh-CN"/>
                    </w:rPr>
                    <w:t>，在</w:t>
                  </w:r>
                  <w:r>
                    <w:rPr>
                      <w:rFonts w:hint="default" w:ascii="Times New Roman" w:hAnsi="Times New Roman" w:eastAsia="宋体" w:cs="Times New Roman"/>
                      <w:b w:val="0"/>
                      <w:bCs w:val="0"/>
                      <w:color w:val="auto"/>
                      <w:sz w:val="21"/>
                      <w:szCs w:val="21"/>
                      <w:highlight w:val="none"/>
                      <w:u w:val="none"/>
                      <w:lang w:val="en-US" w:eastAsia="zh-CN"/>
                    </w:rPr>
                    <w:t>江阴临港产业区</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新厝先进制造业基地</w:t>
                  </w:r>
                  <w:r>
                    <w:rPr>
                      <w:rFonts w:hint="default" w:ascii="Times New Roman" w:hAnsi="Times New Roman" w:eastAsia="宋体" w:cs="Times New Roman"/>
                      <w:b w:val="0"/>
                      <w:bCs w:val="0"/>
                      <w:color w:val="auto"/>
                      <w:sz w:val="21"/>
                      <w:szCs w:val="21"/>
                      <w:highlight w:val="none"/>
                      <w:lang w:val="en-US" w:eastAsia="zh-CN"/>
                    </w:rPr>
                    <w:t>）内</w:t>
                  </w:r>
                  <w:r>
                    <w:rPr>
                      <w:rFonts w:hint="eastAsia" w:cs="Times New Roman"/>
                      <w:b w:val="0"/>
                      <w:bCs w:val="0"/>
                      <w:color w:val="auto"/>
                      <w:sz w:val="21"/>
                      <w:szCs w:val="21"/>
                      <w:highlight w:val="none"/>
                      <w:lang w:val="en-US" w:eastAsia="zh-CN"/>
                    </w:rPr>
                    <w:t>。</w:t>
                  </w:r>
                </w:p>
              </w:tc>
              <w:tc>
                <w:tcPr>
                  <w:tcW w:w="266" w:type="pct"/>
                  <w:vMerge w:val="restart"/>
                  <w:tcBorders>
                    <w:tl2br w:val="nil"/>
                    <w:tr2bl w:val="nil"/>
                  </w:tcBorders>
                  <w:vAlign w:val="center"/>
                </w:tcPr>
                <w:p w14:paraId="0B33423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68FED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972" w:type="pct"/>
                  <w:tcBorders>
                    <w:tl2br w:val="nil"/>
                    <w:tr2bl w:val="nil"/>
                  </w:tcBorders>
                  <w:shd w:val="clear" w:color="auto" w:fill="auto"/>
                  <w:vAlign w:val="center"/>
                </w:tcPr>
                <w:p w14:paraId="310DF726">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2022年度福州市蓝天碧海净土保卫战行动计划通知</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榕环委办</w:t>
                  </w:r>
                  <w:r>
                    <w:rPr>
                      <w:rFonts w:hint="eastAsia" w:ascii="Times New Roman" w:hAnsi="Times New Roman" w:cs="Times New Roman"/>
                      <w:color w:val="auto"/>
                      <w:sz w:val="21"/>
                      <w:szCs w:val="21"/>
                      <w:highlight w:val="none"/>
                      <w:lang w:eastAsia="zh-CN"/>
                    </w:rPr>
                    <w:t>〔2022〕49号</w:t>
                  </w:r>
                  <w:r>
                    <w:rPr>
                      <w:rFonts w:hint="eastAsia" w:cs="Times New Roman"/>
                      <w:color w:val="auto"/>
                      <w:sz w:val="21"/>
                      <w:szCs w:val="21"/>
                      <w:highlight w:val="none"/>
                      <w:lang w:eastAsia="zh-CN"/>
                    </w:rPr>
                    <w:t>）</w:t>
                  </w:r>
                </w:p>
              </w:tc>
              <w:tc>
                <w:tcPr>
                  <w:tcW w:w="1790" w:type="pct"/>
                  <w:tcBorders>
                    <w:tl2br w:val="nil"/>
                    <w:tr2bl w:val="nil"/>
                  </w:tcBorders>
                  <w:shd w:val="clear" w:color="auto" w:fill="auto"/>
                  <w:vAlign w:val="center"/>
                </w:tcPr>
                <w:p w14:paraId="11112126">
                  <w:pPr>
                    <w:pStyle w:val="37"/>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四是严格涉VOCs建设项目环境影响评价审批。新、改、扩建涉VOCs排放项目，应使用低</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无</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VOCs涂料、粘胶剂等，实施新建项目VOCs排放区域内1.2及以上倍量替代。VOCs年排放量大于5吨的新建项目投运前应安装VOCs在线监控设备，并接入市生态云平台。</w:t>
                  </w:r>
                </w:p>
              </w:tc>
              <w:tc>
                <w:tcPr>
                  <w:tcW w:w="1971" w:type="pct"/>
                  <w:vMerge w:val="continue"/>
                  <w:tcBorders>
                    <w:tl2br w:val="nil"/>
                    <w:tr2bl w:val="nil"/>
                  </w:tcBorders>
                  <w:vAlign w:val="center"/>
                </w:tcPr>
                <w:p w14:paraId="66DA2B8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266" w:type="pct"/>
                  <w:vMerge w:val="continue"/>
                  <w:tcBorders>
                    <w:tl2br w:val="nil"/>
                    <w:tr2bl w:val="nil"/>
                  </w:tcBorders>
                  <w:vAlign w:val="center"/>
                </w:tcPr>
                <w:p w14:paraId="78B39C7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r w14:paraId="04CDD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2" w:type="pct"/>
                  <w:tcBorders>
                    <w:tl2br w:val="nil"/>
                    <w:tr2bl w:val="nil"/>
                  </w:tcBorders>
                  <w:shd w:val="clear" w:color="auto" w:fill="auto"/>
                  <w:vAlign w:val="center"/>
                </w:tcPr>
                <w:p w14:paraId="093771CC">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福州市“十四五”生态环境保护规划</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榕政办〔2021〕123号</w:t>
                  </w:r>
                  <w:r>
                    <w:rPr>
                      <w:rFonts w:hint="eastAsia" w:cs="Times New Roman"/>
                      <w:color w:val="auto"/>
                      <w:sz w:val="21"/>
                      <w:szCs w:val="21"/>
                      <w:highlight w:val="none"/>
                      <w:lang w:eastAsia="zh-CN"/>
                    </w:rPr>
                    <w:t>）</w:t>
                  </w:r>
                </w:p>
              </w:tc>
              <w:tc>
                <w:tcPr>
                  <w:tcW w:w="1790" w:type="pct"/>
                  <w:tcBorders>
                    <w:tl2br w:val="nil"/>
                    <w:tr2bl w:val="nil"/>
                  </w:tcBorders>
                  <w:shd w:val="clear" w:color="auto" w:fill="auto"/>
                  <w:vAlign w:val="center"/>
                </w:tcPr>
                <w:p w14:paraId="686B29C0">
                  <w:pPr>
                    <w:pStyle w:val="37"/>
                    <w:keepNext w:val="0"/>
                    <w:keepLines w:val="0"/>
                    <w:pageBreakBefore w:val="0"/>
                    <w:widowControl w:val="0"/>
                    <w:kinsoku/>
                    <w:wordWrap/>
                    <w:overflowPunct/>
                    <w:topLinePunct w:val="0"/>
                    <w:autoSpaceDE/>
                    <w:autoSpaceDN w:val="0"/>
                    <w:bidi w:val="0"/>
                    <w:adjustRightInd w:val="0"/>
                    <w:snapToGrid w:val="0"/>
                    <w:spacing w:line="30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强化挥发性有机物整治。</w:t>
                  </w:r>
                  <w:r>
                    <w:rPr>
                      <w:rFonts w:hint="default"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实行挥发性有机物排放倍量替代。加大涉VOCs企业源头替代力度，推广使用低</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无</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VOCs原辅材料替代，禁止生产高VOCs含量有机溶剂型涂料、油墨和胶黏剂的新、改、扩建项目，推进重点企业“油改水”治理，提高有机溶剂回收率。”</w:t>
                  </w:r>
                </w:p>
              </w:tc>
              <w:tc>
                <w:tcPr>
                  <w:tcW w:w="1971" w:type="pct"/>
                  <w:vMerge w:val="continue"/>
                  <w:tcBorders>
                    <w:tl2br w:val="nil"/>
                    <w:tr2bl w:val="nil"/>
                  </w:tcBorders>
                  <w:vAlign w:val="center"/>
                </w:tcPr>
                <w:p w14:paraId="248E3FB2">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266" w:type="pct"/>
                  <w:vMerge w:val="continue"/>
                  <w:tcBorders>
                    <w:tl2br w:val="nil"/>
                    <w:tr2bl w:val="nil"/>
                  </w:tcBorders>
                  <w:vAlign w:val="center"/>
                </w:tcPr>
                <w:p w14:paraId="45D9DC4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r w14:paraId="572B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972" w:type="pct"/>
                  <w:tcBorders>
                    <w:tl2br w:val="nil"/>
                    <w:tr2bl w:val="nil"/>
                  </w:tcBorders>
                  <w:shd w:val="clear" w:color="auto" w:fill="auto"/>
                  <w:vAlign w:val="center"/>
                </w:tcPr>
                <w:p w14:paraId="299361A2">
                  <w:pPr>
                    <w:pStyle w:val="37"/>
                    <w:adjustRightInd w:val="0"/>
                    <w:snapToGrid w:val="0"/>
                    <w:spacing w:line="340" w:lineRule="exact"/>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《关于开展福州市重点行业挥发性有机物综合治理工作（VOCs2.0）》</w:t>
                  </w:r>
                  <w:r>
                    <w:rPr>
                      <w:rFonts w:hint="eastAsia"/>
                      <w:color w:val="auto"/>
                      <w:highlight w:val="none"/>
                      <w:lang w:eastAsia="zh-CN"/>
                    </w:rPr>
                    <w:t>（</w:t>
                  </w:r>
                  <w:r>
                    <w:rPr>
                      <w:rFonts w:hint="eastAsia"/>
                      <w:color w:val="auto"/>
                      <w:highlight w:val="none"/>
                    </w:rPr>
                    <w:t>榕环保综</w:t>
                  </w:r>
                  <w:r>
                    <w:rPr>
                      <w:rFonts w:hint="eastAsia"/>
                      <w:color w:val="auto"/>
                      <w:highlight w:val="none"/>
                      <w:lang w:eastAsia="zh-CN"/>
                    </w:rPr>
                    <w:t>〔2021〕100号</w:t>
                  </w:r>
                </w:p>
              </w:tc>
              <w:tc>
                <w:tcPr>
                  <w:tcW w:w="1790" w:type="pct"/>
                  <w:tcBorders>
                    <w:tl2br w:val="nil"/>
                    <w:tr2bl w:val="nil"/>
                  </w:tcBorders>
                  <w:shd w:val="clear" w:color="auto" w:fill="auto"/>
                  <w:vAlign w:val="center"/>
                </w:tcPr>
                <w:p w14:paraId="547C5F36">
                  <w:pPr>
                    <w:pStyle w:val="38"/>
                    <w:jc w:val="both"/>
                    <w:rPr>
                      <w:color w:val="auto"/>
                      <w:highlight w:val="none"/>
                    </w:rPr>
                  </w:pPr>
                  <w:r>
                    <w:rPr>
                      <w:rFonts w:hint="eastAsia"/>
                      <w:color w:val="auto"/>
                      <w:highlight w:val="none"/>
                    </w:rPr>
                    <w:t>（三）严格审批，加强管控</w:t>
                  </w:r>
                </w:p>
                <w:p w14:paraId="276BCCE5">
                  <w:pPr>
                    <w:pStyle w:val="37"/>
                    <w:adjustRightInd w:val="0"/>
                    <w:snapToGrid w:val="0"/>
                    <w:spacing w:line="340" w:lineRule="exact"/>
                    <w:jc w:val="both"/>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1.严格涉挥发性有机物建设项目环境影响评价审批。新、改、扩建排放挥发性有机物的建设项目实行</w:t>
                  </w:r>
                  <w:r>
                    <w:rPr>
                      <w:rFonts w:hint="eastAsia"/>
                      <w:color w:val="auto"/>
                      <w:highlight w:val="none"/>
                      <w:shd w:val="clear" w:color="auto" w:fill="FFFFFF"/>
                    </w:rPr>
                    <w:t>倍量</w:t>
                  </w:r>
                  <w:r>
                    <w:rPr>
                      <w:rFonts w:hint="eastAsia"/>
                      <w:color w:val="auto"/>
                      <w:highlight w:val="none"/>
                    </w:rPr>
                    <w:t>替代。鼓励使用低（无）挥发性有机物含量的原辅材料</w:t>
                  </w:r>
                </w:p>
              </w:tc>
              <w:tc>
                <w:tcPr>
                  <w:tcW w:w="1971" w:type="pct"/>
                  <w:vMerge w:val="restart"/>
                  <w:tcBorders>
                    <w:tl2br w:val="nil"/>
                    <w:tr2bl w:val="nil"/>
                  </w:tcBorders>
                  <w:vAlign w:val="center"/>
                </w:tcPr>
                <w:p w14:paraId="6DA2D671">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项目现有工程于2017年3月通过环评审批（榕环评表</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2017</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26号），2017年7月完成竣工验收。由于还发布此政策。现有项目所产生的废气污染物VOCs未安装环保设备，无组织排放。本次扩建将把现有项目产生废气与拟扩建项目产生废气一并收集处理。</w:t>
                  </w:r>
                </w:p>
                <w:p w14:paraId="4B315B57">
                  <w:pPr>
                    <w:pStyle w:val="37"/>
                    <w:keepNext w:val="0"/>
                    <w:keepLines w:val="0"/>
                    <w:pageBreakBefore w:val="0"/>
                    <w:widowControl w:val="0"/>
                    <w:numPr>
                      <w:ilvl w:val="0"/>
                      <w:numId w:val="0"/>
                    </w:numPr>
                    <w:kinsoku/>
                    <w:wordWrap/>
                    <w:overflowPunct/>
                    <w:topLinePunct w:val="0"/>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（2）本次扩建</w:t>
                  </w:r>
                  <w:r>
                    <w:rPr>
                      <w:rFonts w:hint="default" w:ascii="Times New Roman" w:hAnsi="Times New Roman" w:eastAsia="宋体" w:cs="Times New Roman"/>
                      <w:color w:val="auto"/>
                      <w:kern w:val="2"/>
                      <w:sz w:val="21"/>
                      <w:szCs w:val="21"/>
                      <w:highlight w:val="none"/>
                      <w:lang w:val="en-US" w:eastAsia="zh-CN" w:bidi="ar-SA"/>
                    </w:rPr>
                    <w:t>项目</w:t>
                  </w:r>
                  <w:r>
                    <w:rPr>
                      <w:rFonts w:hint="eastAsia" w:cs="Times New Roman"/>
                      <w:color w:val="auto"/>
                      <w:kern w:val="2"/>
                      <w:sz w:val="21"/>
                      <w:szCs w:val="21"/>
                      <w:highlight w:val="none"/>
                      <w:lang w:val="en-US" w:eastAsia="zh-CN" w:bidi="ar-SA"/>
                    </w:rPr>
                    <w:t>在发泡、成型工序会产生少量的VOCs，项目发泡、成型过程均在密闭的容器中进行，设备</w:t>
                  </w:r>
                  <w:r>
                    <w:rPr>
                      <w:rFonts w:hint="eastAsia" w:ascii="Times New Roman" w:hAnsi="Times New Roman" w:eastAsia="宋体" w:cs="Times New Roman"/>
                      <w:color w:val="auto"/>
                      <w:kern w:val="2"/>
                      <w:sz w:val="21"/>
                      <w:szCs w:val="21"/>
                      <w:highlight w:val="none"/>
                      <w:lang w:val="en-US" w:eastAsia="zh-CN" w:bidi="ar-SA"/>
                    </w:rPr>
                    <w:t>配套顶吸式半密闭集气罩收集有机废气，</w:t>
                  </w:r>
                  <w:r>
                    <w:rPr>
                      <w:rFonts w:hint="eastAsia" w:cs="Times New Roman"/>
                      <w:color w:val="auto"/>
                      <w:kern w:val="2"/>
                      <w:sz w:val="21"/>
                      <w:szCs w:val="21"/>
                      <w:highlight w:val="none"/>
                      <w:lang w:val="en-US" w:eastAsia="zh-CN" w:bidi="ar-SA"/>
                    </w:rPr>
                    <w:t>并通过管道进入活性炭吸附装置处理达标后排放。</w:t>
                  </w:r>
                  <w:r>
                    <w:rPr>
                      <w:rFonts w:hint="eastAsia" w:ascii="Times New Roman" w:hAnsi="Times New Roman" w:eastAsia="宋体" w:cs="Times New Roman"/>
                      <w:color w:val="auto"/>
                      <w:kern w:val="2"/>
                      <w:sz w:val="21"/>
                      <w:szCs w:val="21"/>
                      <w:highlight w:val="none"/>
                      <w:lang w:val="en-US" w:eastAsia="zh-CN" w:bidi="ar-SA"/>
                    </w:rPr>
                    <w:t>拟将更换的废活性炭当作危险废物，</w:t>
                  </w:r>
                  <w:r>
                    <w:rPr>
                      <w:rFonts w:hint="eastAsia" w:cs="Times New Roman"/>
                      <w:color w:val="auto"/>
                      <w:kern w:val="2"/>
                      <w:sz w:val="21"/>
                      <w:szCs w:val="21"/>
                      <w:highlight w:val="none"/>
                      <w:lang w:val="en-US" w:eastAsia="zh-CN" w:bidi="ar-SA"/>
                    </w:rPr>
                    <w:t>暂存</w:t>
                  </w:r>
                  <w:r>
                    <w:rPr>
                      <w:rFonts w:hint="default" w:ascii="Times New Roman" w:hAnsi="Times New Roman" w:eastAsia="宋体" w:cs="Times New Roman"/>
                      <w:color w:val="auto"/>
                      <w:kern w:val="2"/>
                      <w:sz w:val="21"/>
                      <w:szCs w:val="21"/>
                      <w:highlight w:val="none"/>
                      <w:lang w:val="en-US" w:eastAsia="zh-CN" w:bidi="ar-SA"/>
                    </w:rPr>
                    <w:t>于</w:t>
                  </w:r>
                  <w:r>
                    <w:rPr>
                      <w:rFonts w:hint="eastAsia" w:ascii="Times New Roman" w:hAnsi="Times New Roman" w:eastAsia="宋体" w:cs="Times New Roman"/>
                      <w:color w:val="auto"/>
                      <w:kern w:val="2"/>
                      <w:sz w:val="21"/>
                      <w:szCs w:val="21"/>
                      <w:highlight w:val="none"/>
                      <w:lang w:val="en-US" w:eastAsia="zh-CN" w:bidi="ar-SA"/>
                    </w:rPr>
                    <w:t>危险废物贮存库</w:t>
                  </w:r>
                  <w:r>
                    <w:rPr>
                      <w:rFonts w:hint="default" w:ascii="Times New Roman" w:hAnsi="Times New Roman" w:eastAsia="宋体" w:cs="Times New Roman"/>
                      <w:color w:val="auto"/>
                      <w:kern w:val="2"/>
                      <w:sz w:val="21"/>
                      <w:szCs w:val="21"/>
                      <w:highlight w:val="none"/>
                      <w:lang w:val="en-US" w:eastAsia="zh-CN" w:bidi="ar-SA"/>
                    </w:rPr>
                    <w:t>内</w:t>
                  </w:r>
                  <w:r>
                    <w:rPr>
                      <w:rFonts w:hint="eastAsia" w:ascii="Times New Roman" w:hAnsi="Times New Roman" w:eastAsia="宋体" w:cs="Times New Roman"/>
                      <w:color w:val="auto"/>
                      <w:kern w:val="2"/>
                      <w:sz w:val="21"/>
                      <w:szCs w:val="21"/>
                      <w:highlight w:val="none"/>
                      <w:lang w:val="en-US" w:eastAsia="zh-CN" w:bidi="ar-SA"/>
                    </w:rPr>
                    <w:t>，定期委托有资质单位统一处置；</w:t>
                  </w:r>
                </w:p>
                <w:p w14:paraId="1AED9FD8">
                  <w:pPr>
                    <w:pStyle w:val="37"/>
                    <w:keepNext w:val="0"/>
                    <w:keepLines w:val="0"/>
                    <w:pageBreakBefore w:val="0"/>
                    <w:widowControl w:val="0"/>
                    <w:numPr>
                      <w:ilvl w:val="0"/>
                      <w:numId w:val="0"/>
                    </w:numPr>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（3）本项目将</w:t>
                  </w:r>
                  <w:r>
                    <w:rPr>
                      <w:rFonts w:hint="default" w:ascii="Times New Roman" w:hAnsi="Times New Roman" w:eastAsia="宋体" w:cs="Times New Roman"/>
                      <w:color w:val="auto"/>
                      <w:kern w:val="2"/>
                      <w:sz w:val="21"/>
                      <w:szCs w:val="21"/>
                      <w:highlight w:val="none"/>
                      <w:lang w:val="en-US" w:eastAsia="zh-CN" w:bidi="ar-SA"/>
                    </w:rPr>
                    <w:t>产生的VOCs收集</w:t>
                  </w:r>
                  <w:r>
                    <w:rPr>
                      <w:rFonts w:hint="eastAsia" w:ascii="Times New Roman" w:hAnsi="Times New Roman" w:eastAsia="宋体" w:cs="Times New Roman"/>
                      <w:color w:val="auto"/>
                      <w:kern w:val="2"/>
                      <w:sz w:val="21"/>
                      <w:szCs w:val="21"/>
                      <w:highlight w:val="none"/>
                      <w:lang w:val="en-US" w:eastAsia="zh-CN" w:bidi="ar-SA"/>
                    </w:rPr>
                    <w:t>后通过1套活性炭吸附装置</w:t>
                  </w:r>
                  <w:r>
                    <w:rPr>
                      <w:rFonts w:hint="default" w:ascii="Times New Roman" w:hAnsi="Times New Roman" w:eastAsia="宋体" w:cs="Times New Roman"/>
                      <w:color w:val="auto"/>
                      <w:kern w:val="2"/>
                      <w:sz w:val="21"/>
                      <w:szCs w:val="21"/>
                      <w:highlight w:val="none"/>
                      <w:lang w:val="en-US" w:eastAsia="zh-CN" w:bidi="ar-SA"/>
                    </w:rPr>
                    <w:t>处理后排放</w:t>
                  </w:r>
                  <w:r>
                    <w:rPr>
                      <w:rFonts w:hint="eastAsia" w:ascii="Times New Roman" w:hAnsi="Times New Roman" w:eastAsia="宋体" w:cs="Times New Roman"/>
                      <w:color w:val="auto"/>
                      <w:kern w:val="2"/>
                      <w:sz w:val="21"/>
                      <w:szCs w:val="21"/>
                      <w:highlight w:val="none"/>
                      <w:lang w:val="en-US" w:eastAsia="zh-CN" w:bidi="ar-SA"/>
                    </w:rPr>
                    <w:t>，</w:t>
                  </w:r>
                  <w:r>
                    <w:rPr>
                      <w:color w:val="auto"/>
                      <w:szCs w:val="21"/>
                      <w:highlight w:val="none"/>
                    </w:rPr>
                    <w:t>项目生产设备除进出料口</w:t>
                  </w:r>
                  <w:r>
                    <w:rPr>
                      <w:rFonts w:hint="eastAsia"/>
                      <w:color w:val="auto"/>
                      <w:szCs w:val="21"/>
                      <w:highlight w:val="none"/>
                      <w:lang w:val="en-US" w:eastAsia="zh-CN"/>
                    </w:rPr>
                    <w:t>外</w:t>
                  </w:r>
                  <w:r>
                    <w:rPr>
                      <w:color w:val="auto"/>
                      <w:szCs w:val="21"/>
                      <w:highlight w:val="none"/>
                    </w:rPr>
                    <w:t>全部密闭，</w:t>
                  </w:r>
                  <w:r>
                    <w:rPr>
                      <w:rFonts w:hint="default" w:ascii="Times New Roman" w:hAnsi="Times New Roman" w:eastAsia="宋体" w:cs="Times New Roman"/>
                      <w:color w:val="auto"/>
                      <w:kern w:val="2"/>
                      <w:sz w:val="21"/>
                      <w:szCs w:val="21"/>
                      <w:highlight w:val="none"/>
                      <w:lang w:val="en-US" w:eastAsia="zh-CN" w:bidi="ar-SA"/>
                    </w:rPr>
                    <w:t>VOCs</w:t>
                  </w:r>
                  <w:r>
                    <w:rPr>
                      <w:rFonts w:hint="eastAsia" w:ascii="Times New Roman" w:hAnsi="Times New Roman" w:eastAsia="宋体" w:cs="Times New Roman"/>
                      <w:color w:val="auto"/>
                      <w:kern w:val="2"/>
                      <w:sz w:val="21"/>
                      <w:szCs w:val="21"/>
                      <w:highlight w:val="none"/>
                      <w:lang w:val="en-US" w:eastAsia="zh-CN" w:bidi="ar-SA"/>
                    </w:rPr>
                    <w:t>采用集气罩收集，采用碘值不低于800毫克/克的活性炭，并定期更换</w:t>
                  </w:r>
                  <w:r>
                    <w:rPr>
                      <w:color w:val="auto"/>
                      <w:highlight w:val="none"/>
                    </w:rPr>
                    <w:t>。</w:t>
                  </w:r>
                </w:p>
              </w:tc>
              <w:tc>
                <w:tcPr>
                  <w:tcW w:w="266" w:type="pct"/>
                  <w:vMerge w:val="continue"/>
                  <w:tcBorders>
                    <w:tl2br w:val="nil"/>
                    <w:tr2bl w:val="nil"/>
                  </w:tcBorders>
                  <w:vAlign w:val="center"/>
                </w:tcPr>
                <w:p w14:paraId="0CF520A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r w14:paraId="57B6C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2" w:type="pct"/>
                  <w:tcBorders>
                    <w:tl2br w:val="nil"/>
                    <w:tr2bl w:val="nil"/>
                  </w:tcBorders>
                  <w:vAlign w:val="center"/>
                </w:tcPr>
                <w:p w14:paraId="73F0C9D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color w:val="auto"/>
                      <w:highlight w:val="none"/>
                    </w:rPr>
                    <w:t>《福建省2020年挥发性有机物治理攻坚实施方案》的通知</w:t>
                  </w:r>
                  <w:r>
                    <w:rPr>
                      <w:rFonts w:hint="eastAsia"/>
                      <w:color w:val="auto"/>
                      <w:highlight w:val="none"/>
                    </w:rPr>
                    <w:t>（</w:t>
                  </w:r>
                  <w:r>
                    <w:rPr>
                      <w:color w:val="auto"/>
                      <w:highlight w:val="none"/>
                    </w:rPr>
                    <w:t>闽环保大气〔2020〕6号</w:t>
                  </w:r>
                  <w:r>
                    <w:rPr>
                      <w:rFonts w:hint="eastAsia"/>
                      <w:color w:val="auto"/>
                      <w:highlight w:val="none"/>
                    </w:rPr>
                    <w:t>）</w:t>
                  </w:r>
                </w:p>
              </w:tc>
              <w:tc>
                <w:tcPr>
                  <w:tcW w:w="1790" w:type="pct"/>
                  <w:tcBorders>
                    <w:tl2br w:val="nil"/>
                    <w:tr2bl w:val="nil"/>
                  </w:tcBorders>
                  <w:shd w:val="clear" w:color="auto" w:fill="auto"/>
                  <w:vAlign w:val="center"/>
                </w:tcPr>
                <w:p w14:paraId="28CE4856">
                  <w:pPr>
                    <w:pStyle w:val="38"/>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大力推进源头替代，有效减少VOCs产生；</w:t>
                  </w:r>
                </w:p>
                <w:p w14:paraId="0F2D6DE3">
                  <w:pPr>
                    <w:pStyle w:val="38"/>
                    <w:jc w:val="both"/>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auto"/>
                      <w:highlight w:val="none"/>
                    </w:rPr>
                    <w:t>（</w:t>
                  </w:r>
                  <w:r>
                    <w:rPr>
                      <w:color w:val="auto"/>
                      <w:highlight w:val="none"/>
                    </w:rPr>
                    <w:t>渣、液</w:t>
                  </w:r>
                  <w:r>
                    <w:rPr>
                      <w:rFonts w:hint="eastAsia"/>
                      <w:color w:val="auto"/>
                      <w:highlight w:val="none"/>
                    </w:rPr>
                    <w:t>）</w:t>
                  </w:r>
                  <w:r>
                    <w:rPr>
                      <w:color w:val="auto"/>
                      <w:highlight w:val="none"/>
                    </w:rPr>
                    <w:t>、废吸附剂等通过加盖、封装等方式密闭，妥善存放，集中清运，交有资质的单位处置，不得随意丢弃；</w:t>
                  </w:r>
                </w:p>
                <w:p w14:paraId="6CBE8DF8">
                  <w:pPr>
                    <w:pStyle w:val="38"/>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w:t>
                  </w:r>
                  <w:r>
                    <w:rPr>
                      <w:color w:val="auto"/>
                      <w:highlight w:val="none"/>
                    </w:rPr>
                    <w:t>3</w:t>
                  </w:r>
                  <w:r>
                    <w:rPr>
                      <w:rFonts w:hint="eastAsia"/>
                      <w:color w:val="auto"/>
                      <w:highlight w:val="none"/>
                    </w:rPr>
                    <w:t>）</w:t>
                  </w:r>
                  <w:r>
                    <w:rPr>
                      <w:color w:val="auto"/>
                      <w:highlight w:val="none"/>
                    </w:rPr>
                    <w:t>聚焦治污设施</w:t>
                  </w:r>
                  <w:r>
                    <w:rPr>
                      <w:rFonts w:hint="eastAsia"/>
                      <w:color w:val="auto"/>
                      <w:highlight w:val="none"/>
                    </w:rPr>
                    <w:t>“</w:t>
                  </w:r>
                  <w:r>
                    <w:rPr>
                      <w:color w:val="auto"/>
                      <w:highlight w:val="none"/>
                    </w:rPr>
                    <w:t>三率</w:t>
                  </w:r>
                  <w:r>
                    <w:rPr>
                      <w:rFonts w:hint="eastAsia"/>
                      <w:color w:val="auto"/>
                      <w:highlight w:val="none"/>
                    </w:rPr>
                    <w:t>”</w:t>
                  </w:r>
                  <w:r>
                    <w:rPr>
                      <w:color w:val="auto"/>
                      <w:highlight w:val="none"/>
                    </w:rPr>
                    <w:t>，提升综合治理效率</w:t>
                  </w:r>
                  <w:r>
                    <w:rPr>
                      <w:color w:val="auto"/>
                      <w:highlight w:val="none"/>
                      <w:shd w:val="clear" w:color="auto" w:fill="FFFFFF"/>
                    </w:rPr>
                    <w:t>。.</w:t>
                  </w:r>
                  <w:r>
                    <w:rPr>
                      <w:color w:val="auto"/>
                      <w:highlight w:val="none"/>
                    </w:rPr>
                    <w:t>....</w:t>
                  </w:r>
                  <w:r>
                    <w:rPr>
                      <w:color w:val="auto"/>
                      <w:highlight w:val="none"/>
                      <w:shd w:val="clear" w:color="auto" w:fill="FFFFFF"/>
                    </w:rPr>
                    <w:t>.</w:t>
                  </w:r>
                  <w:r>
                    <w:rPr>
                      <w:color w:val="auto"/>
                      <w:highlight w:val="none"/>
                    </w:rPr>
                    <w:t>除恶臭异味治理外，一般不采用低温等离子、光催化、光氧化等技术。优先采用密闭设备、在密闭空间中操作或采用全密闭集气罩收集方式；</w:t>
                  </w:r>
                  <w:r>
                    <w:rPr>
                      <w:rFonts w:hint="eastAsia"/>
                      <w:color w:val="auto"/>
                      <w:highlight w:val="none"/>
                      <w:lang w:eastAsia="zh-CN"/>
                    </w:rPr>
                    <w:t>……</w:t>
                  </w:r>
                  <w:r>
                    <w:rPr>
                      <w:color w:val="auto"/>
                      <w:highlight w:val="none"/>
                    </w:rPr>
                    <w:t>采用活性炭吸附技术的，应选择碘值不低于800毫克/克的活性炭，并按设计要求足量添加</w:t>
                  </w:r>
                  <w:r>
                    <w:rPr>
                      <w:rFonts w:hint="eastAsia"/>
                      <w:color w:val="auto"/>
                      <w:highlight w:val="none"/>
                      <w:lang w:eastAsia="zh-CN"/>
                    </w:rPr>
                    <w:t>及</w:t>
                  </w:r>
                  <w:r>
                    <w:rPr>
                      <w:color w:val="auto"/>
                      <w:highlight w:val="none"/>
                    </w:rPr>
                    <w:t>时更换。</w:t>
                  </w:r>
                </w:p>
              </w:tc>
              <w:tc>
                <w:tcPr>
                  <w:tcW w:w="1971" w:type="pct"/>
                  <w:vMerge w:val="continue"/>
                  <w:tcBorders>
                    <w:tl2br w:val="nil"/>
                    <w:tr2bl w:val="nil"/>
                  </w:tcBorders>
                  <w:shd w:val="clear" w:color="auto" w:fill="auto"/>
                  <w:vAlign w:val="center"/>
                </w:tcPr>
                <w:p w14:paraId="21B903FF">
                  <w:pPr>
                    <w:pStyle w:val="37"/>
                    <w:keepNext w:val="0"/>
                    <w:keepLines w:val="0"/>
                    <w:pageBreakBefore w:val="0"/>
                    <w:widowControl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4"/>
                      <w:highlight w:val="none"/>
                      <w:lang w:val="en-US" w:eastAsia="zh-CN" w:bidi="ar-SA"/>
                    </w:rPr>
                  </w:pPr>
                </w:p>
              </w:tc>
              <w:tc>
                <w:tcPr>
                  <w:tcW w:w="266" w:type="pct"/>
                  <w:tcBorders>
                    <w:tl2br w:val="nil"/>
                    <w:tr2bl w:val="nil"/>
                  </w:tcBorders>
                  <w:vAlign w:val="center"/>
                </w:tcPr>
                <w:p w14:paraId="49AE23C0">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2E99F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2" w:type="pct"/>
                  <w:tcBorders>
                    <w:tl2br w:val="nil"/>
                    <w:tr2bl w:val="nil"/>
                  </w:tcBorders>
                  <w:vAlign w:val="center"/>
                </w:tcPr>
                <w:p w14:paraId="37E2F7C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《福建省重点行业挥发性有机物排放控制要求</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试行</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的通知》</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闽环保大气〔2017〕9号</w:t>
                  </w:r>
                  <w:r>
                    <w:rPr>
                      <w:rFonts w:hint="eastAsia" w:cs="Times New Roman"/>
                      <w:color w:val="auto"/>
                      <w:sz w:val="21"/>
                      <w:szCs w:val="21"/>
                      <w:highlight w:val="none"/>
                      <w:lang w:val="en-US" w:eastAsia="zh-CN"/>
                    </w:rPr>
                    <w:t>）</w:t>
                  </w:r>
                </w:p>
              </w:tc>
              <w:tc>
                <w:tcPr>
                  <w:tcW w:w="1790" w:type="pct"/>
                  <w:tcBorders>
                    <w:tl2br w:val="nil"/>
                    <w:tr2bl w:val="nil"/>
                  </w:tcBorders>
                  <w:vAlign w:val="center"/>
                </w:tcPr>
                <w:p w14:paraId="0D84D15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w:t>
                  </w:r>
                  <w:r>
                    <w:rPr>
                      <w:rFonts w:hint="default" w:ascii="Times New Roman" w:hAnsi="Times New Roman" w:eastAsia="宋体" w:cs="Times New Roman"/>
                      <w:b w:val="0"/>
                      <w:bCs w:val="0"/>
                      <w:color w:val="auto"/>
                      <w:sz w:val="21"/>
                      <w:szCs w:val="21"/>
                      <w:highlight w:val="none"/>
                      <w:vertAlign w:val="baseline"/>
                      <w:lang w:val="en-US" w:eastAsia="zh-CN"/>
                    </w:rPr>
                    <w:t>工艺过程控制要求</w:t>
                  </w:r>
                </w:p>
                <w:p w14:paraId="408669A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含VOCs物料应储存于密闭容器中。盛装含VOCs物料的容器应存放于储存室内，或至少设置遮阳挡雨等设施</w:t>
                  </w:r>
                  <w:r>
                    <w:rPr>
                      <w:rFonts w:hint="eastAsia" w:ascii="Times New Roman" w:hAnsi="Times New Roman" w:eastAsia="宋体" w:cs="Times New Roman"/>
                      <w:b w:val="0"/>
                      <w:bCs w:val="0"/>
                      <w:color w:val="auto"/>
                      <w:sz w:val="21"/>
                      <w:szCs w:val="21"/>
                      <w:highlight w:val="none"/>
                      <w:vertAlign w:val="baseline"/>
                      <w:lang w:val="en-US" w:eastAsia="zh-CN"/>
                    </w:rPr>
                    <w:t>。</w:t>
                  </w:r>
                </w:p>
                <w:p w14:paraId="4530757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w:t>
                  </w:r>
                  <w:r>
                    <w:rPr>
                      <w:rFonts w:hint="default" w:ascii="Times New Roman" w:hAnsi="Times New Roman" w:eastAsia="宋体" w:cs="Times New Roman"/>
                      <w:b w:val="0"/>
                      <w:bCs w:val="0"/>
                      <w:color w:val="auto"/>
                      <w:sz w:val="21"/>
                      <w:szCs w:val="21"/>
                      <w:highlight w:val="none"/>
                      <w:vertAlign w:val="baseline"/>
                      <w:lang w:val="en-US" w:eastAsia="zh-CN"/>
                    </w:rPr>
                    <w:t>其他控制要求</w:t>
                  </w:r>
                </w:p>
                <w:p w14:paraId="31A78B18">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产生有废气</w:t>
                  </w:r>
                  <w:r>
                    <w:rPr>
                      <w:rFonts w:hint="eastAsia" w:ascii="Times New Roman" w:hAnsi="Times New Roman" w:eastAsia="宋体" w:cs="Times New Roman"/>
                      <w:b w:val="0"/>
                      <w:bCs w:val="0"/>
                      <w:color w:val="auto"/>
                      <w:sz w:val="21"/>
                      <w:szCs w:val="21"/>
                      <w:highlight w:val="none"/>
                      <w:vertAlign w:val="baseline"/>
                      <w:lang w:val="en-US" w:eastAsia="zh-CN"/>
                    </w:rPr>
                    <w:t>的</w:t>
                  </w:r>
                  <w:r>
                    <w:rPr>
                      <w:rFonts w:hint="default" w:ascii="Times New Roman" w:hAnsi="Times New Roman" w:eastAsia="宋体" w:cs="Times New Roman"/>
                      <w:b w:val="0"/>
                      <w:bCs w:val="0"/>
                      <w:color w:val="auto"/>
                      <w:sz w:val="21"/>
                      <w:szCs w:val="21"/>
                      <w:highlight w:val="none"/>
                      <w:vertAlign w:val="baseline"/>
                      <w:lang w:val="en-US" w:eastAsia="zh-CN"/>
                    </w:rPr>
                    <w:t>生产工艺和装置均设有收集系统和净化处理装置；所有产生VOCs的生产车间</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或生产设施</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971" w:type="pct"/>
                  <w:tcBorders>
                    <w:tl2br w:val="nil"/>
                    <w:tr2bl w:val="nil"/>
                  </w:tcBorders>
                  <w:vAlign w:val="center"/>
                </w:tcPr>
                <w:p w14:paraId="18FC9D36">
                  <w:pPr>
                    <w:keepNext w:val="0"/>
                    <w:keepLines w:val="0"/>
                    <w:pageBreakBefore w:val="0"/>
                    <w:widowControl/>
                    <w:numPr>
                      <w:ilvl w:val="0"/>
                      <w:numId w:val="6"/>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项目含</w:t>
                  </w:r>
                  <w:r>
                    <w:rPr>
                      <w:rFonts w:hint="eastAsia" w:cs="Times New Roman"/>
                      <w:b w:val="0"/>
                      <w:bCs w:val="0"/>
                      <w:color w:val="auto"/>
                      <w:sz w:val="21"/>
                      <w:szCs w:val="21"/>
                      <w:highlight w:val="none"/>
                      <w:vertAlign w:val="baseline"/>
                      <w:lang w:val="en-US" w:eastAsia="zh-CN"/>
                    </w:rPr>
                    <w:t>非甲烷总烃</w:t>
                  </w:r>
                  <w:r>
                    <w:rPr>
                      <w:rFonts w:hint="eastAsia" w:ascii="Times New Roman" w:hAnsi="Times New Roman" w:eastAsia="宋体" w:cs="Times New Roman"/>
                      <w:b w:val="0"/>
                      <w:bCs w:val="0"/>
                      <w:color w:val="auto"/>
                      <w:sz w:val="21"/>
                      <w:szCs w:val="21"/>
                      <w:highlight w:val="none"/>
                      <w:vertAlign w:val="baseline"/>
                      <w:lang w:val="en-US" w:eastAsia="zh-CN"/>
                    </w:rPr>
                    <w:t>的原辅料均放置在原辅料仓库。</w:t>
                  </w:r>
                </w:p>
                <w:p w14:paraId="4EF6F29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（2）项目</w:t>
                  </w:r>
                  <w:r>
                    <w:rPr>
                      <w:rFonts w:hint="eastAsia" w:cs="Times New Roman"/>
                      <w:b w:val="0"/>
                      <w:bCs w:val="0"/>
                      <w:color w:val="auto"/>
                      <w:sz w:val="21"/>
                      <w:szCs w:val="21"/>
                      <w:highlight w:val="none"/>
                      <w:vertAlign w:val="baseline"/>
                      <w:lang w:val="en-US" w:eastAsia="zh-CN"/>
                    </w:rPr>
                    <w:t>发泡工段、成型</w:t>
                  </w:r>
                  <w:r>
                    <w:rPr>
                      <w:rFonts w:hint="eastAsia" w:ascii="Times New Roman" w:hAnsi="Times New Roman" w:eastAsia="宋体" w:cs="Times New Roman"/>
                      <w:b w:val="0"/>
                      <w:bCs w:val="0"/>
                      <w:color w:val="auto"/>
                      <w:sz w:val="21"/>
                      <w:szCs w:val="21"/>
                      <w:highlight w:val="none"/>
                      <w:vertAlign w:val="baseline"/>
                      <w:lang w:val="en-US" w:eastAsia="zh-CN"/>
                    </w:rPr>
                    <w:t>过程中所产生</w:t>
                  </w:r>
                  <w:r>
                    <w:rPr>
                      <w:rFonts w:hint="eastAsia" w:cs="Times New Roman"/>
                      <w:b w:val="0"/>
                      <w:bCs w:val="0"/>
                      <w:color w:val="auto"/>
                      <w:sz w:val="21"/>
                      <w:szCs w:val="21"/>
                      <w:highlight w:val="none"/>
                      <w:vertAlign w:val="baseline"/>
                      <w:lang w:val="en-US" w:eastAsia="zh-CN"/>
                    </w:rPr>
                    <w:t>挥发性有机废气</w:t>
                  </w:r>
                  <w:r>
                    <w:rPr>
                      <w:rFonts w:hint="eastAsia" w:ascii="Times New Roman" w:hAnsi="Times New Roman" w:eastAsia="宋体" w:cs="Times New Roman"/>
                      <w:b w:val="0"/>
                      <w:bCs w:val="0"/>
                      <w:color w:val="auto"/>
                      <w:sz w:val="21"/>
                      <w:szCs w:val="21"/>
                      <w:highlight w:val="none"/>
                      <w:vertAlign w:val="baseline"/>
                      <w:lang w:val="en-US" w:eastAsia="zh-CN"/>
                    </w:rPr>
                    <w:t>经集气罩收集后通过“</w:t>
                  </w:r>
                  <w:r>
                    <w:rPr>
                      <w:rFonts w:hint="eastAsia" w:cs="Times New Roman"/>
                      <w:b w:val="0"/>
                      <w:bCs w:val="0"/>
                      <w:color w:val="auto"/>
                      <w:sz w:val="21"/>
                      <w:szCs w:val="21"/>
                      <w:highlight w:val="none"/>
                      <w:vertAlign w:val="baseline"/>
                      <w:lang w:val="en-US" w:eastAsia="zh-CN"/>
                    </w:rPr>
                    <w:t>集气罩+</w:t>
                  </w:r>
                  <w:r>
                    <w:rPr>
                      <w:rFonts w:hint="eastAsia" w:ascii="Times New Roman" w:hAnsi="Times New Roman" w:eastAsia="宋体" w:cs="Times New Roman"/>
                      <w:b w:val="0"/>
                      <w:bCs w:val="0"/>
                      <w:color w:val="auto"/>
                      <w:sz w:val="21"/>
                      <w:szCs w:val="21"/>
                      <w:highlight w:val="none"/>
                      <w:vertAlign w:val="baseline"/>
                      <w:lang w:val="en-US" w:eastAsia="zh-CN"/>
                    </w:rPr>
                    <w:t>活性炭吸附装置”</w:t>
                  </w:r>
                  <w:r>
                    <w:rPr>
                      <w:rFonts w:hint="eastAsia" w:cs="Times New Roman"/>
                      <w:b w:val="0"/>
                      <w:bCs w:val="0"/>
                      <w:color w:val="auto"/>
                      <w:sz w:val="21"/>
                      <w:szCs w:val="21"/>
                      <w:highlight w:val="none"/>
                      <w:vertAlign w:val="baseline"/>
                      <w:lang w:val="en-US" w:eastAsia="zh-CN"/>
                    </w:rPr>
                    <w:t>处理后通过</w:t>
                  </w:r>
                  <w:r>
                    <w:rPr>
                      <w:rFonts w:hint="eastAsia" w:ascii="Times New Roman" w:hAnsi="Times New Roman" w:eastAsia="宋体" w:cs="Times New Roman"/>
                      <w:b w:val="0"/>
                      <w:bCs w:val="0"/>
                      <w:color w:val="auto"/>
                      <w:sz w:val="21"/>
                      <w:szCs w:val="21"/>
                      <w:highlight w:val="none"/>
                      <w:vertAlign w:val="baseline"/>
                      <w:lang w:val="en-US" w:eastAsia="zh-CN"/>
                    </w:rPr>
                    <w:t>15</w:t>
                  </w:r>
                  <w:r>
                    <w:rPr>
                      <w:rFonts w:hint="eastAsia" w:cs="Times New Roman"/>
                      <w:b w:val="0"/>
                      <w:bCs w:val="0"/>
                      <w:color w:val="auto"/>
                      <w:sz w:val="21"/>
                      <w:szCs w:val="21"/>
                      <w:highlight w:val="none"/>
                      <w:vertAlign w:val="baseline"/>
                      <w:lang w:val="en-US" w:eastAsia="zh-CN"/>
                    </w:rPr>
                    <w:t>m高</w:t>
                  </w:r>
                  <w:r>
                    <w:rPr>
                      <w:rFonts w:hint="eastAsia" w:ascii="Times New Roman" w:hAnsi="Times New Roman" w:eastAsia="宋体" w:cs="Times New Roman"/>
                      <w:b w:val="0"/>
                      <w:bCs w:val="0"/>
                      <w:color w:val="auto"/>
                      <w:sz w:val="21"/>
                      <w:szCs w:val="21"/>
                      <w:highlight w:val="none"/>
                      <w:vertAlign w:val="baseline"/>
                      <w:lang w:val="en-US" w:eastAsia="zh-CN"/>
                    </w:rPr>
                    <w:t>排气筒</w:t>
                  </w:r>
                  <w:r>
                    <w:rPr>
                      <w:rFonts w:hint="eastAsia" w:cs="Times New Roman"/>
                      <w:b w:val="0"/>
                      <w:bCs w:val="0"/>
                      <w:color w:val="auto"/>
                      <w:sz w:val="21"/>
                      <w:szCs w:val="21"/>
                      <w:highlight w:val="none"/>
                      <w:vertAlign w:val="baseline"/>
                      <w:lang w:val="en-US" w:eastAsia="zh-CN"/>
                    </w:rPr>
                    <w:t>（DA001）</w:t>
                  </w:r>
                  <w:r>
                    <w:rPr>
                      <w:rFonts w:hint="eastAsia" w:ascii="Times New Roman" w:hAnsi="Times New Roman" w:eastAsia="宋体" w:cs="Times New Roman"/>
                      <w:b w:val="0"/>
                      <w:bCs w:val="0"/>
                      <w:color w:val="auto"/>
                      <w:sz w:val="21"/>
                      <w:szCs w:val="21"/>
                      <w:highlight w:val="none"/>
                      <w:vertAlign w:val="baseline"/>
                      <w:lang w:val="en-US" w:eastAsia="zh-CN"/>
                    </w:rPr>
                    <w:t>排放，更换的废活性炭</w:t>
                  </w:r>
                  <w:r>
                    <w:rPr>
                      <w:rFonts w:hint="eastAsia" w:ascii="Times New Roman" w:hAnsi="Times New Roman" w:cs="Times New Roman"/>
                      <w:color w:val="auto"/>
                      <w:sz w:val="21"/>
                      <w:szCs w:val="21"/>
                      <w:highlight w:val="none"/>
                      <w:lang w:val="en-US" w:eastAsia="zh-CN"/>
                    </w:rPr>
                    <w:t>属于危险废物</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桶</w:t>
                  </w:r>
                  <w:r>
                    <w:rPr>
                      <w:rFonts w:hint="default" w:ascii="Times New Roman" w:hAnsi="Times New Roman" w:cs="Times New Roman"/>
                      <w:color w:val="auto"/>
                      <w:sz w:val="21"/>
                      <w:szCs w:val="21"/>
                      <w:highlight w:val="none"/>
                    </w:rPr>
                    <w:t>装密闭暂存于</w:t>
                  </w:r>
                  <w:r>
                    <w:rPr>
                      <w:rFonts w:hint="eastAsia" w:ascii="Times New Roman" w:hAnsi="Times New Roman" w:cs="Times New Roman"/>
                      <w:color w:val="auto"/>
                      <w:sz w:val="21"/>
                      <w:szCs w:val="21"/>
                      <w:highlight w:val="none"/>
                      <w:lang w:eastAsia="zh-CN"/>
                    </w:rPr>
                    <w:t>危险废物贮存</w:t>
                  </w:r>
                  <w:r>
                    <w:rPr>
                      <w:rFonts w:hint="eastAsia" w:ascii="Times New Roman" w:hAnsi="Times New Roman" w:cs="Times New Roman"/>
                      <w:color w:val="auto"/>
                      <w:sz w:val="21"/>
                      <w:szCs w:val="21"/>
                      <w:highlight w:val="none"/>
                      <w:lang w:val="en-US" w:eastAsia="zh-CN"/>
                    </w:rPr>
                    <w:t>间</w:t>
                  </w:r>
                  <w:r>
                    <w:rPr>
                      <w:rFonts w:hint="default" w:ascii="Times New Roman" w:hAnsi="Times New Roman" w:cs="Times New Roman"/>
                      <w:color w:val="auto"/>
                      <w:sz w:val="21"/>
                      <w:szCs w:val="21"/>
                      <w:highlight w:val="none"/>
                    </w:rPr>
                    <w:t>内</w:t>
                  </w:r>
                  <w:r>
                    <w:rPr>
                      <w:rFonts w:hint="eastAsia" w:ascii="Times New Roman" w:hAnsi="Times New Roman" w:cs="Times New Roman"/>
                      <w:color w:val="auto"/>
                      <w:sz w:val="21"/>
                      <w:szCs w:val="21"/>
                      <w:highlight w:val="none"/>
                      <w:lang w:val="en-US" w:eastAsia="zh-CN"/>
                    </w:rPr>
                    <w:t>，委托有资质的单位定期处置</w:t>
                  </w:r>
                  <w:r>
                    <w:rPr>
                      <w:rFonts w:hint="default" w:ascii="Times New Roman" w:hAnsi="Times New Roman" w:cs="Times New Roman"/>
                      <w:color w:val="auto"/>
                      <w:sz w:val="21"/>
                      <w:szCs w:val="21"/>
                      <w:highlight w:val="none"/>
                      <w:lang w:eastAsia="zh-CN"/>
                    </w:rPr>
                    <w:t>。</w:t>
                  </w:r>
                </w:p>
              </w:tc>
              <w:tc>
                <w:tcPr>
                  <w:tcW w:w="266" w:type="pct"/>
                  <w:tcBorders>
                    <w:tl2br w:val="nil"/>
                    <w:tr2bl w:val="nil"/>
                  </w:tcBorders>
                  <w:vAlign w:val="center"/>
                </w:tcPr>
                <w:p w14:paraId="19AA0489">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479D5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2" w:type="pct"/>
                  <w:tcBorders>
                    <w:tl2br w:val="nil"/>
                    <w:tr2bl w:val="nil"/>
                  </w:tcBorders>
                  <w:vAlign w:val="center"/>
                </w:tcPr>
                <w:p w14:paraId="3ACC1DB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福建省重点行业挥发性有机物污染防治工作方案</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闽环保大气〔2017〕6号</w:t>
                  </w:r>
                  <w:r>
                    <w:rPr>
                      <w:rFonts w:hint="eastAsia" w:cs="Times New Roman"/>
                      <w:color w:val="auto"/>
                      <w:sz w:val="21"/>
                      <w:szCs w:val="21"/>
                      <w:highlight w:val="none"/>
                      <w:lang w:eastAsia="zh-CN"/>
                    </w:rPr>
                    <w:t>）</w:t>
                  </w:r>
                </w:p>
              </w:tc>
              <w:tc>
                <w:tcPr>
                  <w:tcW w:w="1790" w:type="pct"/>
                  <w:tcBorders>
                    <w:tl2br w:val="nil"/>
                    <w:tr2bl w:val="nil"/>
                  </w:tcBorders>
                  <w:vAlign w:val="center"/>
                </w:tcPr>
                <w:p w14:paraId="1073739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二、主要任务</w:t>
                  </w:r>
                </w:p>
                <w:p w14:paraId="17EF1B7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（一）严格环境准入</w:t>
                  </w:r>
                </w:p>
                <w:p w14:paraId="68506BE1">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6F600E6E">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（二）大力推进清洁生产</w:t>
                  </w:r>
                </w:p>
                <w:p w14:paraId="1BC3987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在重点行业大力倡导环境标志产品生产及使用，尤其是水性涂料的生产和使用，从源头控制VOCs排放。</w:t>
                  </w:r>
                </w:p>
                <w:p w14:paraId="77F4CC3F">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（三）加快推进重点行业VOCs专项整治</w:t>
                  </w:r>
                </w:p>
                <w:p w14:paraId="46F01B6C">
                  <w:pPr>
                    <w:keepNext w:val="0"/>
                    <w:keepLines w:val="0"/>
                    <w:pageBreakBefore w:val="0"/>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（2）加强化工企业污染综合整治</w:t>
                  </w:r>
                </w:p>
                <w:p w14:paraId="16B0E54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color w:val="auto"/>
                      <w:szCs w:val="21"/>
                      <w:highlight w:val="none"/>
                      <w:u w:val="none"/>
                    </w:rPr>
                    <w:t>提升有机化工（含有机化学原料、合成材料、日用化工、涂料、油墨、</w:t>
                  </w:r>
                  <w:r>
                    <w:rPr>
                      <w:rFonts w:hint="eastAsia"/>
                      <w:color w:val="auto"/>
                      <w:szCs w:val="21"/>
                      <w:highlight w:val="none"/>
                      <w:u w:val="none"/>
                      <w:lang w:eastAsia="zh-CN"/>
                    </w:rPr>
                    <w:t>胶黏剂</w:t>
                  </w:r>
                  <w:r>
                    <w:rPr>
                      <w:rFonts w:hint="default"/>
                      <w:color w:val="auto"/>
                      <w:szCs w:val="21"/>
                      <w:highlight w:val="none"/>
                      <w:u w:val="none"/>
                    </w:rPr>
                    <w:t>、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w:t>
                  </w:r>
                </w:p>
              </w:tc>
              <w:tc>
                <w:tcPr>
                  <w:tcW w:w="1971" w:type="pct"/>
                  <w:tcBorders>
                    <w:tl2br w:val="nil"/>
                    <w:tr2bl w:val="nil"/>
                  </w:tcBorders>
                  <w:vAlign w:val="center"/>
                </w:tcPr>
                <w:p w14:paraId="38642AB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eastAsia"/>
                      <w:color w:val="auto"/>
                      <w:szCs w:val="21"/>
                      <w:highlight w:val="none"/>
                      <w:u w:val="none"/>
                      <w:lang w:val="en-US" w:eastAsia="zh-CN"/>
                    </w:rPr>
                    <w:t>1.本项目从事</w:t>
                  </w:r>
                  <w:r>
                    <w:rPr>
                      <w:rFonts w:hint="eastAsia" w:cs="Times New Roman"/>
                      <w:color w:val="auto"/>
                      <w:sz w:val="21"/>
                      <w:szCs w:val="21"/>
                      <w:highlight w:val="none"/>
                      <w:u w:val="none"/>
                      <w:lang w:eastAsia="zh-CN"/>
                    </w:rPr>
                    <w:t>EPS包装泡沫、</w:t>
                  </w:r>
                  <w:r>
                    <w:rPr>
                      <w:rFonts w:hint="eastAsia" w:cs="Times New Roman"/>
                      <w:color w:val="auto"/>
                      <w:sz w:val="21"/>
                      <w:szCs w:val="21"/>
                      <w:highlight w:val="none"/>
                      <w:u w:val="none"/>
                      <w:lang w:val="en-US" w:eastAsia="zh-CN"/>
                    </w:rPr>
                    <w:t>EPP包装泡沫的</w:t>
                  </w:r>
                  <w:r>
                    <w:rPr>
                      <w:rFonts w:hint="default" w:ascii="Times New Roman" w:hAnsi="Times New Roman" w:eastAsia="宋体" w:cs="Times New Roman"/>
                      <w:color w:val="auto"/>
                      <w:spacing w:val="0"/>
                      <w:sz w:val="21"/>
                      <w:szCs w:val="21"/>
                      <w:highlight w:val="none"/>
                      <w:u w:val="none"/>
                      <w:lang w:val="en-US" w:eastAsia="zh-CN"/>
                    </w:rPr>
                    <w:t>生产</w:t>
                  </w:r>
                  <w:r>
                    <w:rPr>
                      <w:rFonts w:hint="eastAsia"/>
                      <w:color w:val="auto"/>
                      <w:sz w:val="21"/>
                      <w:szCs w:val="21"/>
                      <w:highlight w:val="none"/>
                      <w:u w:val="none"/>
                      <w:lang w:val="en-US" w:eastAsia="zh-CN"/>
                    </w:rPr>
                    <w:t>，属于泡沫制品制造业</w:t>
                  </w:r>
                  <w:r>
                    <w:rPr>
                      <w:rFonts w:hint="eastAsia"/>
                      <w:color w:val="auto"/>
                      <w:szCs w:val="21"/>
                      <w:highlight w:val="none"/>
                      <w:u w:val="none"/>
                      <w:lang w:val="en-US" w:eastAsia="zh-CN"/>
                    </w:rPr>
                    <w:t>，不属于文件中限制的</w:t>
                  </w:r>
                  <w:r>
                    <w:rPr>
                      <w:rFonts w:hint="default"/>
                      <w:color w:val="auto"/>
                      <w:szCs w:val="21"/>
                      <w:highlight w:val="none"/>
                      <w:u w:val="none"/>
                      <w:lang w:val="en-US" w:eastAsia="zh-CN"/>
                    </w:rPr>
                    <w:t>高VOCs排放建设项目</w:t>
                  </w:r>
                  <w:r>
                    <w:rPr>
                      <w:rFonts w:hint="eastAsia"/>
                      <w:color w:val="auto"/>
                      <w:szCs w:val="21"/>
                      <w:highlight w:val="none"/>
                      <w:u w:val="none"/>
                      <w:lang w:val="en-US" w:eastAsia="zh-CN"/>
                    </w:rPr>
                    <w:t>，本项目原辅材料为EPS、EPP等泡沫塑料颗粒，不涉及高</w:t>
                  </w:r>
                  <w:r>
                    <w:rPr>
                      <w:rFonts w:hint="default"/>
                      <w:color w:val="auto"/>
                      <w:szCs w:val="21"/>
                      <w:highlight w:val="none"/>
                      <w:u w:val="none"/>
                      <w:lang w:val="en-US" w:eastAsia="zh-CN"/>
                    </w:rPr>
                    <w:t>VOCs</w:t>
                  </w:r>
                  <w:r>
                    <w:rPr>
                      <w:rFonts w:hint="default"/>
                      <w:color w:val="auto"/>
                      <w:szCs w:val="21"/>
                      <w:highlight w:val="none"/>
                      <w:u w:val="none"/>
                    </w:rPr>
                    <w:t>含量原辅材料</w:t>
                  </w:r>
                  <w:r>
                    <w:rPr>
                      <w:rFonts w:hint="eastAsia"/>
                      <w:color w:val="auto"/>
                      <w:szCs w:val="21"/>
                      <w:highlight w:val="none"/>
                      <w:u w:val="none"/>
                      <w:lang w:eastAsia="zh-CN"/>
                    </w:rPr>
                    <w:t>且在采取有效的收集措施和治理措施后，通过排气筒达标排放。本项目不涉及</w:t>
                  </w:r>
                  <w:r>
                    <w:rPr>
                      <w:rFonts w:hint="default"/>
                      <w:color w:val="auto"/>
                      <w:szCs w:val="21"/>
                      <w:highlight w:val="none"/>
                      <w:u w:val="none"/>
                    </w:rPr>
                    <w:t>国家及地方明令禁止的落后工艺和设备。</w:t>
                  </w:r>
                </w:p>
                <w:p w14:paraId="2627F77D">
                  <w:pPr>
                    <w:pStyle w:val="37"/>
                    <w:widowControl/>
                    <w:numPr>
                      <w:ilvl w:val="0"/>
                      <w:numId w:val="0"/>
                    </w:numPr>
                    <w:adjustRightInd w:val="0"/>
                    <w:spacing w:line="340" w:lineRule="exact"/>
                    <w:jc w:val="both"/>
                    <w:rPr>
                      <w:rFonts w:hint="eastAsia"/>
                      <w:color w:val="auto"/>
                      <w:highlight w:val="none"/>
                    </w:rPr>
                  </w:pPr>
                  <w:r>
                    <w:rPr>
                      <w:rFonts w:hint="eastAsia"/>
                      <w:color w:val="auto"/>
                      <w:highlight w:val="none"/>
                      <w:lang w:val="en-US" w:eastAsia="zh-CN"/>
                    </w:rPr>
                    <w:t>2.</w:t>
                  </w:r>
                  <w:r>
                    <w:rPr>
                      <w:rFonts w:hint="eastAsia"/>
                      <w:color w:val="auto"/>
                      <w:highlight w:val="none"/>
                    </w:rPr>
                    <w:t>本项目使用低VOCs含量原辅材料，</w:t>
                  </w:r>
                  <w:r>
                    <w:rPr>
                      <w:rFonts w:hint="eastAsia"/>
                      <w:bCs/>
                      <w:color w:val="auto"/>
                      <w:highlight w:val="none"/>
                    </w:rPr>
                    <w:t>项目废气经集气装置收集后通过废气处理设施处理后达标排放</w:t>
                  </w:r>
                  <w:r>
                    <w:rPr>
                      <w:rFonts w:hint="eastAsia"/>
                      <w:color w:val="auto"/>
                      <w:highlight w:val="none"/>
                    </w:rPr>
                    <w:t>。</w:t>
                  </w:r>
                </w:p>
                <w:p w14:paraId="19CABAAF">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olor w:val="auto"/>
                      <w:highlight w:val="none"/>
                      <w:lang w:val="en-US" w:eastAsia="zh-CN"/>
                    </w:rPr>
                    <w:t>3.</w:t>
                  </w:r>
                  <w:r>
                    <w:rPr>
                      <w:rFonts w:hint="eastAsia"/>
                      <w:color w:val="auto"/>
                      <w:highlight w:val="none"/>
                    </w:rPr>
                    <w:t>本项目废气产生点设备上方设置集气罩，拟将产生的VOCs收集后通过1套“活性炭吸附装置”处理后排放</w:t>
                  </w:r>
                </w:p>
              </w:tc>
              <w:tc>
                <w:tcPr>
                  <w:tcW w:w="266" w:type="pct"/>
                  <w:tcBorders>
                    <w:tl2br w:val="nil"/>
                    <w:tr2bl w:val="nil"/>
                  </w:tcBorders>
                  <w:vAlign w:val="center"/>
                </w:tcPr>
                <w:p w14:paraId="0AFA5AE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03B6B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2" w:type="pct"/>
                  <w:vMerge w:val="restart"/>
                  <w:tcBorders>
                    <w:tl2br w:val="nil"/>
                    <w:tr2bl w:val="nil"/>
                  </w:tcBorders>
                  <w:vAlign w:val="center"/>
                </w:tcPr>
                <w:p w14:paraId="3C50FC8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highlight w:val="none"/>
                      <w:lang w:val="en-US" w:eastAsia="zh-CN"/>
                    </w:rPr>
                    <w:t>《挥发性有机物无组织排放控制标准》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GB37822-2019</w:t>
                  </w:r>
                  <w:r>
                    <w:rPr>
                      <w:rFonts w:hint="eastAsia" w:cs="Times New Roman"/>
                      <w:color w:val="auto"/>
                      <w:highlight w:val="none"/>
                      <w:lang w:val="en-US" w:eastAsia="zh-CN"/>
                    </w:rPr>
                    <w:t>）</w:t>
                  </w:r>
                </w:p>
              </w:tc>
              <w:tc>
                <w:tcPr>
                  <w:tcW w:w="1790" w:type="pct"/>
                  <w:tcBorders>
                    <w:tl2br w:val="nil"/>
                    <w:tr2bl w:val="nil"/>
                  </w:tcBorders>
                  <w:vAlign w:val="center"/>
                </w:tcPr>
                <w:p w14:paraId="2CFF3639">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5.1.1VOCs物料应储存于密闭的容器、包装袋、储罐、储库、料仓中。</w:t>
                  </w:r>
                </w:p>
                <w:p w14:paraId="44B3FD9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auto"/>
                      <w:szCs w:val="21"/>
                      <w:highlight w:val="none"/>
                      <w:u w:val="none"/>
                    </w:rPr>
                  </w:pPr>
                  <w:r>
                    <w:rPr>
                      <w:rFonts w:hint="default" w:ascii="Times New Roman" w:hAnsi="Times New Roman" w:eastAsia="宋体" w:cs="Times New Roman"/>
                      <w:color w:val="auto"/>
                      <w:highlight w:val="none"/>
                      <w:lang w:val="en-US" w:eastAsia="zh-CN"/>
                    </w:rPr>
                    <w:t>5.1.2盛装VOCs物料的容器或包装袋应存放于室内，或存放于设置有雨棚、遮阳和防渗设施的专用场地。盛装VOCs物料的容器或包装袋在非取用状态时应加盖、封口，保持密闭。</w:t>
                  </w:r>
                </w:p>
              </w:tc>
              <w:tc>
                <w:tcPr>
                  <w:tcW w:w="1971" w:type="pct"/>
                  <w:tcBorders>
                    <w:tl2br w:val="nil"/>
                    <w:tr2bl w:val="nil"/>
                  </w:tcBorders>
                  <w:vAlign w:val="center"/>
                </w:tcPr>
                <w:p w14:paraId="13176CD4">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auto"/>
                      <w:highlight w:val="none"/>
                      <w:lang w:val="en-US" w:eastAsia="zh-CN"/>
                    </w:rPr>
                  </w:pPr>
                  <w:r>
                    <w:rPr>
                      <w:rFonts w:hint="eastAsia"/>
                      <w:color w:val="auto"/>
                      <w:highlight w:val="none"/>
                      <w:lang w:val="en-US" w:eastAsia="zh-CN"/>
                    </w:rPr>
                    <w:t>项目属于泡沫塑料制造业，使用塑料颗粒作为原材料进行加工。塑料颗粒存放于现有化学品仓库，在常温下不会产生VOCs</w:t>
                  </w:r>
                </w:p>
              </w:tc>
              <w:tc>
                <w:tcPr>
                  <w:tcW w:w="266" w:type="pct"/>
                  <w:tcBorders>
                    <w:tl2br w:val="nil"/>
                    <w:tr2bl w:val="nil"/>
                  </w:tcBorders>
                  <w:vAlign w:val="center"/>
                </w:tcPr>
                <w:p w14:paraId="4022ADF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58580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2" w:type="pct"/>
                  <w:vMerge w:val="continue"/>
                  <w:tcBorders>
                    <w:tl2br w:val="nil"/>
                    <w:tr2bl w:val="nil"/>
                  </w:tcBorders>
                  <w:vAlign w:val="center"/>
                </w:tcPr>
                <w:p w14:paraId="389F432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1790" w:type="pct"/>
                  <w:tcBorders>
                    <w:tl2br w:val="nil"/>
                    <w:tr2bl w:val="nil"/>
                  </w:tcBorders>
                  <w:vAlign w:val="center"/>
                </w:tcPr>
                <w:p w14:paraId="74999520">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6.1.1液态VOC物料应采用密闭管道输送。采用非管道输送方式转移液态VOC物料时，应采用密闭容器、罐车。</w:t>
                  </w:r>
                </w:p>
                <w:p w14:paraId="47BACCD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6.1.2粉状、粒状VOCs物料应采用气力输送设备、管状带式输送机、螺旋输送机等密闭输送方式或者采用密闭的包装袋、容器或罐车进行物料转移。</w:t>
                  </w:r>
                </w:p>
              </w:tc>
              <w:tc>
                <w:tcPr>
                  <w:tcW w:w="1971" w:type="pct"/>
                  <w:tcBorders>
                    <w:tl2br w:val="nil"/>
                    <w:tr2bl w:val="nil"/>
                  </w:tcBorders>
                  <w:vAlign w:val="center"/>
                </w:tcPr>
                <w:p w14:paraId="3141BA49">
                  <w:pPr>
                    <w:pStyle w:val="38"/>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不</w:t>
                  </w:r>
                  <w:r>
                    <w:rPr>
                      <w:rFonts w:hint="eastAsia" w:ascii="Times New Roman" w:hAnsi="Times New Roman" w:eastAsia="宋体" w:cs="Times New Roman"/>
                      <w:color w:val="auto"/>
                      <w:highlight w:val="none"/>
                      <w:lang w:val="en-US" w:eastAsia="zh-CN"/>
                    </w:rPr>
                    <w:t>涉及液态</w:t>
                  </w:r>
                  <w:r>
                    <w:rPr>
                      <w:rFonts w:hint="eastAsia" w:cs="Times New Roman"/>
                      <w:color w:val="auto"/>
                      <w:kern w:val="2"/>
                      <w:sz w:val="21"/>
                      <w:szCs w:val="21"/>
                      <w:highlight w:val="none"/>
                      <w:lang w:val="en-US" w:eastAsia="zh-CN" w:bidi="ar-SA"/>
                    </w:rPr>
                    <w:t>非甲烷总烃</w:t>
                  </w:r>
                  <w:r>
                    <w:rPr>
                      <w:rFonts w:hint="eastAsia" w:ascii="Times New Roman" w:hAnsi="Times New Roman" w:eastAsia="宋体" w:cs="Times New Roman"/>
                      <w:color w:val="auto"/>
                      <w:highlight w:val="none"/>
                      <w:lang w:val="en-US" w:eastAsia="zh-CN"/>
                    </w:rPr>
                    <w:t>物料。</w:t>
                  </w:r>
                </w:p>
                <w:p w14:paraId="252DA4A3">
                  <w:pPr>
                    <w:pStyle w:val="38"/>
                    <w:jc w:val="center"/>
                    <w:rPr>
                      <w:rFonts w:hint="default"/>
                      <w:color w:val="auto"/>
                      <w:highlight w:val="none"/>
                      <w:lang w:val="en-US" w:eastAsia="zh-CN"/>
                    </w:rPr>
                  </w:pPr>
                  <w:r>
                    <w:rPr>
                      <w:rFonts w:hint="eastAsia" w:cs="Times New Roman"/>
                      <w:color w:val="auto"/>
                      <w:highlight w:val="none"/>
                      <w:lang w:val="en-US" w:eastAsia="zh-CN"/>
                    </w:rPr>
                    <w:t>颗粒状VOCs物料（塑料颗粒）采用密闭包装袋进厂运输、储存于原料仓库</w:t>
                  </w:r>
                </w:p>
              </w:tc>
              <w:tc>
                <w:tcPr>
                  <w:tcW w:w="266" w:type="pct"/>
                  <w:tcBorders>
                    <w:tl2br w:val="nil"/>
                    <w:tr2bl w:val="nil"/>
                  </w:tcBorders>
                  <w:vAlign w:val="center"/>
                </w:tcPr>
                <w:p w14:paraId="1066A707">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6C046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2" w:type="pct"/>
                  <w:vMerge w:val="continue"/>
                  <w:tcBorders>
                    <w:tl2br w:val="nil"/>
                    <w:tr2bl w:val="nil"/>
                  </w:tcBorders>
                  <w:vAlign w:val="center"/>
                </w:tcPr>
                <w:p w14:paraId="57133E0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1790" w:type="pct"/>
                  <w:tcBorders>
                    <w:tl2br w:val="nil"/>
                    <w:tr2bl w:val="nil"/>
                  </w:tcBorders>
                  <w:shd w:val="clear" w:color="auto" w:fill="auto"/>
                  <w:vAlign w:val="center"/>
                </w:tcPr>
                <w:p w14:paraId="6E3C02E0">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7.3.1企业应建立台账，记录含VOCs原辅材料和含VOCs产品的名称、使用量、回收量、废弃量、去向以及VOCs含量等信息。台账保存期限不少于3年。</w:t>
                  </w:r>
                </w:p>
                <w:p w14:paraId="4914082E">
                  <w:pPr>
                    <w:pStyle w:val="38"/>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7.3.3载有VOC物料的设备及其管道在开停工车、检维修和清洗时，应在退料阶段将残存物料退净，并用密闭容器盛装，退料过程废气应排至VOCs废气收集处理系统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清洗及吹扫过程排气应排至VOCs废气收集处理系统。</w:t>
                  </w:r>
                </w:p>
              </w:tc>
              <w:tc>
                <w:tcPr>
                  <w:tcW w:w="1971" w:type="pct"/>
                  <w:tcBorders>
                    <w:tl2br w:val="nil"/>
                    <w:tr2bl w:val="nil"/>
                  </w:tcBorders>
                  <w:vAlign w:val="center"/>
                </w:tcPr>
                <w:p w14:paraId="597626BB">
                  <w:pPr>
                    <w:pStyle w:val="38"/>
                    <w:jc w:val="both"/>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项目将严格按照要求制定</w:t>
                  </w:r>
                  <w:r>
                    <w:rPr>
                      <w:rFonts w:hint="default" w:ascii="Times New Roman" w:hAnsi="Times New Roman" w:eastAsia="宋体" w:cs="Times New Roman"/>
                      <w:color w:val="auto"/>
                      <w:highlight w:val="none"/>
                      <w:lang w:val="en-US" w:eastAsia="zh-CN"/>
                    </w:rPr>
                    <w:t>含</w:t>
                  </w:r>
                  <w:r>
                    <w:rPr>
                      <w:rFonts w:hint="eastAsia" w:cs="Times New Roman"/>
                      <w:color w:val="auto"/>
                      <w:kern w:val="2"/>
                      <w:sz w:val="21"/>
                      <w:szCs w:val="21"/>
                      <w:highlight w:val="none"/>
                      <w:lang w:val="en-US" w:eastAsia="zh-CN" w:bidi="ar-SA"/>
                    </w:rPr>
                    <w:t>非甲烷总烃</w:t>
                  </w:r>
                  <w:r>
                    <w:rPr>
                      <w:rFonts w:hint="default" w:ascii="Times New Roman" w:hAnsi="Times New Roman" w:eastAsia="宋体" w:cs="Times New Roman"/>
                      <w:color w:val="auto"/>
                      <w:highlight w:val="none"/>
                      <w:lang w:val="en-US" w:eastAsia="zh-CN"/>
                    </w:rPr>
                    <w:t>原辅材料</w:t>
                  </w:r>
                  <w:r>
                    <w:rPr>
                      <w:rFonts w:hint="eastAsia" w:ascii="Times New Roman" w:hAnsi="Times New Roman" w:eastAsia="宋体" w:cs="Times New Roman"/>
                      <w:color w:val="auto"/>
                      <w:highlight w:val="none"/>
                      <w:lang w:val="en-US" w:eastAsia="zh-CN"/>
                    </w:rPr>
                    <w:t>购买台账，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tc>
              <w:tc>
                <w:tcPr>
                  <w:tcW w:w="266" w:type="pct"/>
                  <w:tcBorders>
                    <w:tl2br w:val="nil"/>
                    <w:tr2bl w:val="nil"/>
                  </w:tcBorders>
                  <w:vAlign w:val="center"/>
                </w:tcPr>
                <w:p w14:paraId="7AB5471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35E37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2" w:type="pct"/>
                  <w:vMerge w:val="continue"/>
                  <w:vAlign w:val="center"/>
                </w:tcPr>
                <w:p w14:paraId="44F9066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1790" w:type="pct"/>
                  <w:shd w:val="clear" w:color="auto" w:fill="auto"/>
                  <w:vAlign w:val="center"/>
                </w:tcPr>
                <w:p w14:paraId="69E3E474">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10.1.2VOCs废气收集处理系统应与生产工艺设备同步运行。VOCs废气收集处理系统发生故障或检修时，对应的生产工艺设备应停止运行，待检修完毕后同步投入使用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生产工艺设备不能停止运行或不能及时停止运行的，应设置废气应急处理设施或采取其他替代措施。</w:t>
                  </w:r>
                </w:p>
                <w:p w14:paraId="51DB84FB">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10.2.1企业应考虑生产工艺、操作方式、废气性质、处理方法等因素，对VOCs废气进行分类收集。</w:t>
                  </w:r>
                </w:p>
                <w:p w14:paraId="30B21C4F">
                  <w:pPr>
                    <w:pStyle w:val="38"/>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10.4记录要求</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971" w:type="pct"/>
                  <w:vAlign w:val="center"/>
                </w:tcPr>
                <w:p w14:paraId="08C5ED38">
                  <w:pPr>
                    <w:pStyle w:val="38"/>
                    <w:jc w:val="both"/>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废气收集处理系统</w:t>
                  </w:r>
                  <w:r>
                    <w:rPr>
                      <w:rFonts w:hint="eastAsia" w:ascii="Times New Roman" w:hAnsi="Times New Roman" w:eastAsia="宋体" w:cs="Times New Roman"/>
                      <w:color w:val="auto"/>
                      <w:highlight w:val="none"/>
                      <w:lang w:val="en-US" w:eastAsia="zh-CN"/>
                    </w:rPr>
                    <w:t>将</w:t>
                  </w:r>
                  <w:r>
                    <w:rPr>
                      <w:rFonts w:hint="default" w:ascii="Times New Roman" w:hAnsi="Times New Roman" w:eastAsia="宋体" w:cs="Times New Roman"/>
                      <w:color w:val="auto"/>
                      <w:highlight w:val="none"/>
                      <w:lang w:val="en-US" w:eastAsia="zh-CN"/>
                    </w:rPr>
                    <w:t>与生产工艺设备同步运行。</w:t>
                  </w:r>
                  <w:r>
                    <w:rPr>
                      <w:rFonts w:hint="eastAsia" w:cs="Times New Roman"/>
                      <w:color w:val="auto"/>
                      <w:kern w:val="2"/>
                      <w:sz w:val="21"/>
                      <w:szCs w:val="21"/>
                      <w:highlight w:val="none"/>
                      <w:lang w:val="en-US" w:eastAsia="zh-CN" w:bidi="ar-SA"/>
                    </w:rPr>
                    <w:t>非甲烷总烃</w:t>
                  </w:r>
                  <w:r>
                    <w:rPr>
                      <w:rFonts w:hint="default" w:ascii="Times New Roman" w:hAnsi="Times New Roman" w:eastAsia="宋体" w:cs="Times New Roman"/>
                      <w:color w:val="auto"/>
                      <w:highlight w:val="none"/>
                      <w:lang w:val="en-US" w:eastAsia="zh-CN"/>
                    </w:rPr>
                    <w:t>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生产</w:t>
                  </w:r>
                  <w:r>
                    <w:rPr>
                      <w:rFonts w:hint="eastAsia" w:ascii="Times New Roman" w:hAnsi="Times New Roman" w:eastAsia="宋体" w:cs="Times New Roman"/>
                      <w:color w:val="auto"/>
                      <w:highlight w:val="none"/>
                      <w:lang w:val="en-US" w:eastAsia="zh-CN"/>
                    </w:rPr>
                    <w:t>废气拟收集后统一通过1套活性炭吸附装置处理后排放。项目将严格按照要求制定</w:t>
                  </w:r>
                  <w:r>
                    <w:rPr>
                      <w:rFonts w:hint="default" w:ascii="Times New Roman" w:hAnsi="Times New Roman" w:eastAsia="宋体" w:cs="Times New Roman"/>
                      <w:color w:val="auto"/>
                      <w:highlight w:val="none"/>
                      <w:lang w:val="en-US" w:eastAsia="zh-CN"/>
                    </w:rPr>
                    <w:t>废气收集系统、</w:t>
                  </w:r>
                  <w:r>
                    <w:rPr>
                      <w:rFonts w:hint="eastAsia" w:cs="Times New Roman"/>
                      <w:color w:val="auto"/>
                      <w:kern w:val="2"/>
                      <w:sz w:val="21"/>
                      <w:szCs w:val="21"/>
                      <w:highlight w:val="none"/>
                      <w:lang w:val="en-US" w:eastAsia="zh-CN" w:bidi="ar-SA"/>
                    </w:rPr>
                    <w:t>非甲烷总烃</w:t>
                  </w:r>
                  <w:r>
                    <w:rPr>
                      <w:rFonts w:hint="default" w:ascii="Times New Roman" w:hAnsi="Times New Roman" w:eastAsia="宋体" w:cs="Times New Roman"/>
                      <w:color w:val="auto"/>
                      <w:highlight w:val="none"/>
                      <w:lang w:val="en-US" w:eastAsia="zh-CN"/>
                    </w:rPr>
                    <w:t>处理设施</w:t>
                  </w:r>
                  <w:r>
                    <w:rPr>
                      <w:rFonts w:hint="eastAsia" w:ascii="Times New Roman" w:hAnsi="Times New Roman" w:eastAsia="宋体" w:cs="Times New Roman"/>
                      <w:color w:val="auto"/>
                      <w:highlight w:val="none"/>
                      <w:lang w:val="en-US" w:eastAsia="zh-CN"/>
                    </w:rPr>
                    <w:t>运行台账，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tc>
              <w:tc>
                <w:tcPr>
                  <w:tcW w:w="266" w:type="pct"/>
                  <w:vAlign w:val="center"/>
                </w:tcPr>
                <w:p w14:paraId="5E288F8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bl>
          <w:p w14:paraId="52CBDF25">
            <w:pPr>
              <w:spacing w:line="360" w:lineRule="auto"/>
              <w:ind w:firstLine="480" w:firstLineChars="200"/>
              <w:jc w:val="left"/>
              <w:rPr>
                <w:rFonts w:hint="eastAsia"/>
                <w:color w:val="auto"/>
                <w:highlight w:val="none"/>
                <w:vertAlign w:val="baseline"/>
                <w:lang w:eastAsia="zh-CN"/>
              </w:rPr>
            </w:pPr>
            <w:r>
              <w:rPr>
                <w:rFonts w:hint="eastAsia" w:ascii="Times New Roman" w:hAnsi="Times New Roman" w:eastAsia="宋体" w:cs="Times New Roman"/>
                <w:color w:val="auto"/>
                <w:kern w:val="2"/>
                <w:sz w:val="24"/>
                <w:szCs w:val="24"/>
                <w:highlight w:val="none"/>
                <w:lang w:val="en-US" w:eastAsia="zh-CN" w:bidi="ar"/>
              </w:rPr>
              <w:t>根据以上分析，项目产生挥发性有机物可以得到有效</w:t>
            </w:r>
            <w:r>
              <w:rPr>
                <w:rFonts w:hint="eastAsia" w:cs="Times New Roman"/>
                <w:color w:val="auto"/>
                <w:kern w:val="2"/>
                <w:sz w:val="24"/>
                <w:szCs w:val="24"/>
                <w:highlight w:val="none"/>
                <w:lang w:val="en-US" w:eastAsia="zh-CN" w:bidi="ar"/>
              </w:rPr>
              <w:t>地</w:t>
            </w:r>
            <w:r>
              <w:rPr>
                <w:rFonts w:hint="eastAsia" w:ascii="Times New Roman" w:hAnsi="Times New Roman" w:eastAsia="宋体" w:cs="Times New Roman"/>
                <w:color w:val="auto"/>
                <w:kern w:val="2"/>
                <w:sz w:val="24"/>
                <w:szCs w:val="24"/>
                <w:highlight w:val="none"/>
                <w:lang w:val="en-US" w:eastAsia="zh-CN" w:bidi="ar"/>
              </w:rPr>
              <w:t>控制，采取有效治理措施后，符合挥发性有机物污染防治相关政策的要求。</w:t>
            </w:r>
          </w:p>
        </w:tc>
      </w:tr>
    </w:tbl>
    <w:p w14:paraId="5F644830">
      <w:pPr>
        <w:rPr>
          <w:rFonts w:hint="eastAsia"/>
          <w:color w:val="auto"/>
          <w:highlight w:val="none"/>
          <w:lang w:eastAsia="zh-CN"/>
        </w:rPr>
      </w:pPr>
      <w:r>
        <w:rPr>
          <w:rFonts w:hint="eastAsia"/>
          <w:color w:val="auto"/>
          <w:highlight w:val="none"/>
          <w:lang w:eastAsia="zh-CN"/>
        </w:rPr>
        <w:br w:type="page"/>
      </w:r>
    </w:p>
    <w:p w14:paraId="118067D6">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u w:val="none"/>
          <w:lang w:val="en-US" w:eastAsia="zh-CN"/>
        </w:rPr>
      </w:pPr>
      <w:bookmarkStart w:id="13" w:name="_Toc2805"/>
      <w:bookmarkStart w:id="14" w:name="_Toc13040"/>
      <w:r>
        <w:rPr>
          <w:rFonts w:hint="default" w:ascii="Times New Roman" w:hAnsi="Times New Roman" w:eastAsia="黑体" w:cs="Times New Roman"/>
          <w:snapToGrid w:val="0"/>
          <w:color w:val="auto"/>
          <w:sz w:val="30"/>
          <w:szCs w:val="30"/>
          <w:highlight w:val="none"/>
          <w:u w:val="none"/>
          <w:lang w:val="en-US" w:eastAsia="zh-CN"/>
        </w:rPr>
        <w:t>二、建设项目工程分析</w:t>
      </w:r>
      <w:bookmarkEnd w:id="13"/>
      <w:bookmarkEnd w:id="14"/>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9100"/>
      </w:tblGrid>
      <w:tr w14:paraId="041C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2" w:hRule="atLeast"/>
        </w:trPr>
        <w:tc>
          <w:tcPr>
            <w:tcW w:w="241" w:type="pct"/>
            <w:vAlign w:val="center"/>
          </w:tcPr>
          <w:p w14:paraId="251E59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vertAlign w:val="baseline"/>
                <w:lang w:val="en-US" w:eastAsia="zh-CN"/>
              </w:rPr>
              <w:t>建设内容</w:t>
            </w:r>
          </w:p>
        </w:tc>
        <w:tc>
          <w:tcPr>
            <w:tcW w:w="4758" w:type="pct"/>
            <w:vAlign w:val="center"/>
          </w:tcPr>
          <w:p w14:paraId="622FDA2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highlight w:val="none"/>
                <w:u w:val="none"/>
                <w:lang w:val="en-US" w:eastAsia="zh-CN"/>
              </w:rPr>
            </w:pPr>
            <w:bookmarkStart w:id="15" w:name="_Toc2901"/>
            <w:bookmarkStart w:id="16" w:name="_Toc17663"/>
            <w:bookmarkStart w:id="17" w:name="_Toc9428"/>
            <w:bookmarkStart w:id="18" w:name="_Toc25587"/>
            <w:bookmarkStart w:id="19" w:name="_Toc2247"/>
            <w:r>
              <w:rPr>
                <w:rFonts w:hint="default" w:ascii="Times New Roman" w:hAnsi="Times New Roman" w:eastAsia="宋体" w:cs="Times New Roman"/>
                <w:color w:val="auto"/>
                <w:sz w:val="28"/>
                <w:szCs w:val="28"/>
                <w:highlight w:val="none"/>
                <w:u w:val="none"/>
                <w:lang w:val="en-US" w:eastAsia="zh-CN"/>
              </w:rPr>
              <w:t>2.1项目由来</w:t>
            </w:r>
            <w:bookmarkEnd w:id="15"/>
            <w:bookmarkEnd w:id="16"/>
            <w:bookmarkEnd w:id="17"/>
            <w:bookmarkEnd w:id="18"/>
            <w:bookmarkEnd w:id="19"/>
          </w:p>
          <w:p w14:paraId="57CE14F8">
            <w:pPr>
              <w:pStyle w:val="8"/>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福建恒润包装有限公司</w:t>
            </w:r>
            <w:r>
              <w:rPr>
                <w:rFonts w:hint="eastAsia" w:ascii="Times New Roman" w:hAnsi="Times New Roman" w:eastAsia="宋体" w:cs="Times New Roman"/>
                <w:color w:val="auto"/>
                <w:sz w:val="24"/>
                <w:szCs w:val="24"/>
                <w:highlight w:val="none"/>
                <w:u w:val="none"/>
                <w:lang w:val="en-US" w:eastAsia="zh-CN"/>
              </w:rPr>
              <w:t>成立于20</w:t>
            </w:r>
            <w:r>
              <w:rPr>
                <w:rFonts w:hint="eastAsia" w:cs="Times New Roman"/>
                <w:color w:val="auto"/>
                <w:sz w:val="24"/>
                <w:szCs w:val="24"/>
                <w:highlight w:val="none"/>
                <w:u w:val="none"/>
                <w:lang w:val="en-US" w:eastAsia="zh-CN"/>
              </w:rPr>
              <w:t>15</w:t>
            </w:r>
            <w:r>
              <w:rPr>
                <w:rFonts w:hint="eastAsia" w:ascii="Times New Roman" w:hAnsi="Times New Roman" w:eastAsia="宋体" w:cs="Times New Roman"/>
                <w:color w:val="auto"/>
                <w:sz w:val="24"/>
                <w:szCs w:val="24"/>
                <w:highlight w:val="none"/>
                <w:u w:val="none"/>
                <w:lang w:val="en-US" w:eastAsia="zh-CN"/>
              </w:rPr>
              <w:t>年</w:t>
            </w:r>
            <w:r>
              <w:rPr>
                <w:rFonts w:hint="eastAsia" w:cs="Times New Roman"/>
                <w:color w:val="auto"/>
                <w:sz w:val="24"/>
                <w:szCs w:val="24"/>
                <w:highlight w:val="none"/>
                <w:u w:val="none"/>
                <w:lang w:val="en-US" w:eastAsia="zh-CN"/>
              </w:rPr>
              <w:t>4</w:t>
            </w:r>
            <w:r>
              <w:rPr>
                <w:rFonts w:hint="eastAsia" w:ascii="Times New Roman" w:hAnsi="Times New Roman" w:eastAsia="宋体" w:cs="Times New Roman"/>
                <w:color w:val="auto"/>
                <w:sz w:val="24"/>
                <w:szCs w:val="24"/>
                <w:highlight w:val="none"/>
                <w:u w:val="none"/>
                <w:lang w:val="en-US" w:eastAsia="zh-CN"/>
              </w:rPr>
              <w:t>月</w:t>
            </w:r>
            <w:r>
              <w:rPr>
                <w:rFonts w:hint="eastAsia" w:cs="Times New Roman"/>
                <w:color w:val="auto"/>
                <w:sz w:val="24"/>
                <w:szCs w:val="24"/>
                <w:highlight w:val="none"/>
                <w:u w:val="none"/>
                <w:lang w:val="en-US" w:eastAsia="zh-CN"/>
              </w:rPr>
              <w:t>9</w:t>
            </w:r>
            <w:r>
              <w:rPr>
                <w:rFonts w:hint="eastAsia" w:ascii="Times New Roman" w:hAnsi="Times New Roman" w:eastAsia="宋体" w:cs="Times New Roman"/>
                <w:color w:val="auto"/>
                <w:sz w:val="24"/>
                <w:szCs w:val="24"/>
                <w:highlight w:val="none"/>
                <w:u w:val="none"/>
                <w:lang w:val="en-US" w:eastAsia="zh-CN"/>
              </w:rPr>
              <w:t>日，注册资本为</w:t>
            </w:r>
            <w:r>
              <w:rPr>
                <w:rFonts w:hint="eastAsia" w:cs="Times New Roman"/>
                <w:color w:val="auto"/>
                <w:sz w:val="24"/>
                <w:szCs w:val="24"/>
                <w:highlight w:val="none"/>
                <w:u w:val="none"/>
                <w:lang w:val="en-US" w:eastAsia="zh-CN"/>
              </w:rPr>
              <w:t>1000</w:t>
            </w:r>
            <w:r>
              <w:rPr>
                <w:rFonts w:hint="eastAsia" w:ascii="Times New Roman" w:hAnsi="Times New Roman" w:eastAsia="宋体" w:cs="Times New Roman"/>
                <w:color w:val="auto"/>
                <w:sz w:val="24"/>
                <w:szCs w:val="24"/>
                <w:highlight w:val="none"/>
                <w:u w:val="none"/>
                <w:lang w:val="en-US" w:eastAsia="zh-CN"/>
              </w:rPr>
              <w:t>万元，</w:t>
            </w:r>
            <w:r>
              <w:rPr>
                <w:rFonts w:hint="eastAsia" w:cs="Times New Roman"/>
                <w:color w:val="auto"/>
                <w:sz w:val="24"/>
                <w:szCs w:val="24"/>
                <w:highlight w:val="none"/>
                <w:u w:val="none"/>
                <w:lang w:val="en-US" w:eastAsia="zh-CN"/>
              </w:rPr>
              <w:t>注册地址福建省福州保税港区加工贸易区监管大楼附属楼2层211室076区间。</w:t>
            </w:r>
            <w:r>
              <w:rPr>
                <w:rFonts w:hint="eastAsia" w:ascii="Times New Roman" w:hAnsi="Times New Roman" w:eastAsia="宋体" w:cs="Times New Roman"/>
                <w:color w:val="auto"/>
                <w:sz w:val="24"/>
                <w:szCs w:val="24"/>
                <w:highlight w:val="none"/>
                <w:u w:val="none"/>
                <w:lang w:val="en-US" w:eastAsia="zh-CN"/>
              </w:rPr>
              <w:t>主要从事</w:t>
            </w:r>
            <w:r>
              <w:rPr>
                <w:rFonts w:hint="eastAsia" w:cs="Times New Roman"/>
                <w:color w:val="auto"/>
                <w:sz w:val="24"/>
                <w:szCs w:val="24"/>
                <w:highlight w:val="none"/>
                <w:u w:val="none"/>
                <w:lang w:val="en-US" w:eastAsia="zh-CN"/>
              </w:rPr>
              <w:t>包装材料、泡沫塑料、塑料制品生产、销售等相关业务。</w:t>
            </w:r>
            <w:r>
              <w:rPr>
                <w:rFonts w:hint="eastAsia" w:ascii="Times New Roman" w:hAnsi="Times New Roman" w:eastAsia="宋体" w:cs="Times New Roman"/>
                <w:color w:val="auto"/>
                <w:sz w:val="24"/>
                <w:szCs w:val="24"/>
                <w:highlight w:val="none"/>
                <w:u w:val="none"/>
                <w:lang w:val="en-US" w:eastAsia="zh-CN"/>
              </w:rPr>
              <w:t>统一社会信用代码为</w:t>
            </w:r>
            <w:r>
              <w:rPr>
                <w:rFonts w:hint="eastAsia" w:cs="Times New Roman"/>
                <w:color w:val="auto"/>
                <w:sz w:val="24"/>
                <w:szCs w:val="24"/>
                <w:highlight w:val="none"/>
                <w:u w:val="none"/>
                <w:lang w:val="en-US" w:eastAsia="zh-CN"/>
              </w:rPr>
              <w:t>91*******************55W</w:t>
            </w:r>
            <w:r>
              <w:rPr>
                <w:rFonts w:hint="default" w:ascii="Times New Roman" w:hAnsi="Times New Roman" w:eastAsia="宋体" w:cs="Times New Roman"/>
                <w:color w:val="auto"/>
                <w:sz w:val="24"/>
                <w:szCs w:val="24"/>
                <w:highlight w:val="none"/>
                <w:u w:val="none"/>
                <w:lang w:eastAsia="zh-CN"/>
              </w:rPr>
              <w:t>，</w:t>
            </w:r>
            <w:r>
              <w:rPr>
                <w:rFonts w:hint="eastAsia" w:cs="Times New Roman"/>
                <w:color w:val="auto"/>
                <w:sz w:val="24"/>
                <w:szCs w:val="24"/>
                <w:highlight w:val="none"/>
                <w:u w:val="none"/>
                <w:lang w:eastAsia="zh-CN"/>
              </w:rPr>
              <w:t>法人</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营业执照</w:t>
            </w:r>
            <w:r>
              <w:rPr>
                <w:rFonts w:hint="eastAsia" w:cs="Times New Roman"/>
                <w:color w:val="auto"/>
                <w:sz w:val="24"/>
                <w:szCs w:val="24"/>
                <w:highlight w:val="none"/>
                <w:u w:val="none"/>
                <w:lang w:val="en-US" w:eastAsia="zh-CN"/>
              </w:rPr>
              <w:t>详见</w:t>
            </w:r>
            <w:r>
              <w:rPr>
                <w:rFonts w:hint="eastAsia" w:cs="Times New Roman"/>
                <w:b/>
                <w:bCs/>
                <w:color w:val="auto"/>
                <w:sz w:val="24"/>
                <w:szCs w:val="24"/>
                <w:highlight w:val="none"/>
                <w:u w:val="none"/>
                <w:lang w:val="en-US" w:eastAsia="zh-CN"/>
              </w:rPr>
              <w:t>附件二</w:t>
            </w:r>
            <w:r>
              <w:rPr>
                <w:rFonts w:hint="eastAsia" w:ascii="Times New Roman" w:hAnsi="Times New Roman" w:cs="Times New Roman"/>
                <w:color w:val="auto"/>
                <w:sz w:val="24"/>
                <w:szCs w:val="24"/>
                <w:highlight w:val="none"/>
                <w:u w:val="none"/>
                <w:lang w:eastAsia="zh-CN"/>
              </w:rPr>
              <w:t>及</w:t>
            </w:r>
            <w:r>
              <w:rPr>
                <w:rFonts w:hint="default" w:ascii="Times New Roman" w:hAnsi="Times New Roman" w:cs="Times New Roman"/>
                <w:color w:val="auto"/>
                <w:sz w:val="24"/>
                <w:szCs w:val="24"/>
                <w:highlight w:val="none"/>
                <w:u w:val="none"/>
              </w:rPr>
              <w:t>法人身份证</w:t>
            </w:r>
            <w:r>
              <w:rPr>
                <w:rFonts w:hint="eastAsia" w:ascii="Times New Roman" w:hAnsi="Times New Roman" w:cs="Times New Roman"/>
                <w:color w:val="auto"/>
                <w:sz w:val="24"/>
                <w:szCs w:val="24"/>
                <w:highlight w:val="none"/>
                <w:u w:val="none"/>
                <w:lang w:eastAsia="zh-CN"/>
              </w:rPr>
              <w:t>复印件</w:t>
            </w:r>
            <w:r>
              <w:rPr>
                <w:rFonts w:hint="default" w:ascii="Times New Roman" w:hAnsi="Times New Roman" w:cs="Times New Roman"/>
                <w:b w:val="0"/>
                <w:bCs w:val="0"/>
                <w:color w:val="auto"/>
                <w:sz w:val="24"/>
                <w:szCs w:val="24"/>
                <w:highlight w:val="none"/>
                <w:u w:val="none"/>
              </w:rPr>
              <w:t>见</w:t>
            </w:r>
            <w:r>
              <w:rPr>
                <w:rFonts w:hint="default" w:ascii="Times New Roman" w:hAnsi="Times New Roman" w:cs="Times New Roman"/>
                <w:b/>
                <w:bCs/>
                <w:color w:val="auto"/>
                <w:sz w:val="24"/>
                <w:szCs w:val="24"/>
                <w:highlight w:val="none"/>
                <w:u w:val="none"/>
              </w:rPr>
              <w:t>附件</w:t>
            </w:r>
            <w:r>
              <w:rPr>
                <w:rFonts w:hint="eastAsia" w:cs="Times New Roman"/>
                <w:b/>
                <w:bCs/>
                <w:color w:val="auto"/>
                <w:sz w:val="24"/>
                <w:szCs w:val="24"/>
                <w:highlight w:val="none"/>
                <w:u w:val="none"/>
                <w:lang w:val="en-US" w:eastAsia="zh-CN"/>
              </w:rPr>
              <w:t>三</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w:t>
            </w:r>
          </w:p>
          <w:p w14:paraId="633E29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u w:val="none"/>
                <w:lang w:val="en-US" w:eastAsia="zh-CN"/>
              </w:rPr>
              <w:t>福建恒润包装有限公司</w:t>
            </w:r>
            <w:r>
              <w:rPr>
                <w:rFonts w:hint="eastAsia" w:cs="Times New Roman"/>
                <w:color w:val="auto"/>
                <w:sz w:val="24"/>
                <w:szCs w:val="24"/>
                <w:highlight w:val="none"/>
                <w:u w:val="none"/>
                <w:lang w:val="en-US" w:eastAsia="zh-CN"/>
              </w:rPr>
              <w:t>年产</w:t>
            </w:r>
            <w:r>
              <w:rPr>
                <w:rFonts w:hint="eastAsia" w:ascii="Times New Roman" w:hAnsi="Times New Roman" w:eastAsia="宋体" w:cs="Times New Roman"/>
                <w:color w:val="auto"/>
                <w:sz w:val="24"/>
                <w:szCs w:val="24"/>
                <w:highlight w:val="none"/>
                <w:u w:val="none"/>
                <w:lang w:val="en-US" w:eastAsia="zh-CN"/>
              </w:rPr>
              <w:t>1800吨EPS包装泡沫项目</w:t>
            </w:r>
            <w:r>
              <w:rPr>
                <w:rFonts w:hint="default" w:ascii="Times New Roman" w:hAnsi="Times New Roman" w:eastAsia="宋体" w:cs="Times New Roman"/>
                <w:color w:val="auto"/>
                <w:sz w:val="24"/>
                <w:szCs w:val="24"/>
                <w:highlight w:val="none"/>
                <w:u w:val="none"/>
                <w:lang w:val="en-US" w:eastAsia="zh-CN"/>
              </w:rPr>
              <w:t>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租赁福建力峰机械实业有限公司已建厂房，</w:t>
            </w:r>
            <w:r>
              <w:rPr>
                <w:rFonts w:hint="eastAsia" w:cs="Times New Roman"/>
                <w:color w:val="auto"/>
                <w:sz w:val="24"/>
                <w:szCs w:val="24"/>
                <w:lang w:val="en-US" w:eastAsia="zh-CN"/>
              </w:rPr>
              <w:t>厂区</w:t>
            </w:r>
            <w:r>
              <w:rPr>
                <w:rFonts w:hint="default" w:ascii="Times New Roman" w:hAnsi="Times New Roman" w:eastAsia="宋体" w:cs="Times New Roman"/>
                <w:color w:val="auto"/>
                <w:sz w:val="24"/>
                <w:szCs w:val="24"/>
                <w:lang w:val="en-US" w:eastAsia="zh-CN"/>
              </w:rPr>
              <w:t>总占地面积</w:t>
            </w:r>
            <w:r>
              <w:rPr>
                <w:rFonts w:hint="eastAsia" w:cs="Times New Roman"/>
                <w:color w:val="auto"/>
                <w:sz w:val="24"/>
                <w:szCs w:val="24"/>
                <w:lang w:val="en-US" w:eastAsia="zh-CN"/>
              </w:rPr>
              <w:t>15359.17</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厂房总</w:t>
            </w:r>
            <w:r>
              <w:rPr>
                <w:rFonts w:hint="default" w:ascii="Times New Roman" w:hAnsi="Times New Roman" w:eastAsia="宋体" w:cs="Times New Roman"/>
                <w:color w:val="auto"/>
                <w:sz w:val="24"/>
                <w:szCs w:val="24"/>
                <w:lang w:val="en-US" w:eastAsia="zh-CN"/>
              </w:rPr>
              <w:t>建筑面积</w:t>
            </w:r>
            <w:r>
              <w:rPr>
                <w:rFonts w:hint="eastAsia" w:cs="Times New Roman"/>
                <w:color w:val="auto"/>
                <w:sz w:val="24"/>
                <w:szCs w:val="24"/>
                <w:lang w:val="en-US" w:eastAsia="zh-CN"/>
              </w:rPr>
              <w:t>9131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vertAlign w:val="baseline"/>
                <w:lang w:val="en-US" w:eastAsia="zh-CN"/>
              </w:rPr>
              <w:t>作为生产场所</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kern w:val="2"/>
                <w:sz w:val="24"/>
                <w:szCs w:val="24"/>
                <w:highlight w:val="none"/>
                <w:lang w:val="en-US" w:eastAsia="zh-CN" w:bidi="ar-SA"/>
              </w:rPr>
              <w:t>现有项目于20</w:t>
            </w:r>
            <w:r>
              <w:rPr>
                <w:rFonts w:hint="eastAsia" w:ascii="Times New Roman" w:hAnsi="Times New Roman" w:eastAsia="宋体" w:cs="Times New Roman"/>
                <w:b w:val="0"/>
                <w:bCs w:val="0"/>
                <w:color w:val="auto"/>
                <w:kern w:val="2"/>
                <w:sz w:val="24"/>
                <w:szCs w:val="24"/>
                <w:highlight w:val="none"/>
                <w:lang w:val="en-US" w:eastAsia="zh-CN" w:bidi="ar-SA"/>
              </w:rPr>
              <w:t>15</w:t>
            </w:r>
            <w:r>
              <w:rPr>
                <w:rFonts w:hint="default" w:ascii="Times New Roman" w:hAnsi="Times New Roman" w:eastAsia="宋体" w:cs="Times New Roman"/>
                <w:b w:val="0"/>
                <w:bCs w:val="0"/>
                <w:color w:val="auto"/>
                <w:kern w:val="2"/>
                <w:sz w:val="24"/>
                <w:szCs w:val="24"/>
                <w:highlight w:val="none"/>
                <w:lang w:val="en-US" w:eastAsia="zh-CN" w:bidi="ar-SA"/>
              </w:rPr>
              <w:t>年</w:t>
            </w:r>
            <w:r>
              <w:rPr>
                <w:rFonts w:hint="eastAsia" w:ascii="Times New Roman" w:hAnsi="Times New Roman" w:eastAsia="宋体" w:cs="Times New Roman"/>
                <w:b w:val="0"/>
                <w:bCs w:val="0"/>
                <w:color w:val="auto"/>
                <w:kern w:val="2"/>
                <w:sz w:val="24"/>
                <w:szCs w:val="24"/>
                <w:highlight w:val="none"/>
                <w:lang w:val="en-US" w:eastAsia="zh-CN" w:bidi="ar-SA"/>
              </w:rPr>
              <w:t>12</w:t>
            </w:r>
            <w:r>
              <w:rPr>
                <w:rFonts w:hint="default" w:ascii="Times New Roman" w:hAnsi="Times New Roman" w:eastAsia="宋体" w:cs="Times New Roman"/>
                <w:b w:val="0"/>
                <w:bCs w:val="0"/>
                <w:color w:val="auto"/>
                <w:kern w:val="2"/>
                <w:sz w:val="24"/>
                <w:szCs w:val="24"/>
                <w:highlight w:val="none"/>
                <w:lang w:val="en-US" w:eastAsia="zh-CN" w:bidi="ar-SA"/>
              </w:rPr>
              <w:t>月</w:t>
            </w:r>
            <w:r>
              <w:rPr>
                <w:rFonts w:hint="eastAsia" w:ascii="Times New Roman" w:hAnsi="Times New Roman" w:eastAsia="宋体" w:cs="Times New Roman"/>
                <w:b w:val="0"/>
                <w:bCs w:val="0"/>
                <w:color w:val="auto"/>
                <w:kern w:val="2"/>
                <w:sz w:val="24"/>
                <w:szCs w:val="24"/>
                <w:highlight w:val="none"/>
                <w:lang w:val="en-US" w:eastAsia="zh-CN" w:bidi="ar-SA"/>
              </w:rPr>
              <w:t>投入试生产，</w:t>
            </w:r>
            <w:r>
              <w:rPr>
                <w:rFonts w:hint="default" w:ascii="Times New Roman" w:hAnsi="Times New Roman" w:eastAsia="宋体" w:cs="Times New Roman"/>
                <w:color w:val="auto"/>
                <w:sz w:val="24"/>
                <w:szCs w:val="24"/>
                <w:lang w:val="en-US" w:eastAsia="zh-CN"/>
              </w:rPr>
              <w:t>于2016年11月委托北京中企安信环境科技有限公司编制了《</w:t>
            </w:r>
            <w:r>
              <w:rPr>
                <w:rFonts w:hint="eastAsia" w:cs="Times New Roman"/>
                <w:color w:val="auto"/>
                <w:sz w:val="24"/>
                <w:szCs w:val="24"/>
                <w:lang w:val="en-US" w:eastAsia="zh-CN"/>
              </w:rPr>
              <w:t>福建恒润包装有限公司</w:t>
            </w:r>
            <w:r>
              <w:rPr>
                <w:rFonts w:hint="default" w:ascii="Times New Roman" w:hAnsi="Times New Roman" w:eastAsia="宋体" w:cs="Times New Roman"/>
                <w:color w:val="auto"/>
                <w:sz w:val="24"/>
                <w:szCs w:val="24"/>
                <w:lang w:val="en-US" w:eastAsia="zh-CN"/>
              </w:rPr>
              <w:t>年产1800吨EPS包装泡沫环境影响评价报告表》，并于</w:t>
            </w:r>
            <w:r>
              <w:rPr>
                <w:rFonts w:hint="eastAsia" w:ascii="Times New Roman" w:hAnsi="Times New Roman" w:eastAsia="宋体" w:cs="Times New Roman"/>
                <w:color w:val="auto"/>
                <w:sz w:val="24"/>
                <w:szCs w:val="24"/>
                <w:lang w:val="en-US" w:eastAsia="zh-CN"/>
              </w:rPr>
              <w:t>2017</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月取得</w:t>
            </w:r>
            <w:r>
              <w:rPr>
                <w:rFonts w:hint="eastAsia" w:ascii="Times New Roman" w:hAnsi="Times New Roman" w:eastAsia="宋体" w:cs="Times New Roman"/>
                <w:color w:val="auto"/>
                <w:sz w:val="24"/>
                <w:szCs w:val="24"/>
                <w:highlight w:val="none"/>
                <w:lang w:val="en-US" w:eastAsia="zh-CN"/>
              </w:rPr>
              <w:t>福清市</w:t>
            </w:r>
            <w:r>
              <w:rPr>
                <w:rFonts w:hint="eastAsia" w:cs="Times New Roman"/>
                <w:color w:val="auto"/>
                <w:sz w:val="24"/>
                <w:szCs w:val="24"/>
                <w:highlight w:val="none"/>
                <w:lang w:val="en-US" w:eastAsia="zh-CN"/>
              </w:rPr>
              <w:t>生态环境局</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审批意见</w:t>
            </w:r>
            <w:r>
              <w:rPr>
                <w:rFonts w:hint="default" w:ascii="Times New Roman" w:hAnsi="Times New Roman" w:eastAsia="宋体" w:cs="Times New Roman"/>
                <w:b w:val="0"/>
                <w:bCs w:val="0"/>
                <w:color w:val="auto"/>
                <w:kern w:val="2"/>
                <w:sz w:val="24"/>
                <w:szCs w:val="24"/>
                <w:highlight w:val="none"/>
                <w:lang w:val="en-US" w:eastAsia="zh-CN" w:bidi="ar-SA"/>
              </w:rPr>
              <w:t>（批复文</w:t>
            </w:r>
            <w:r>
              <w:rPr>
                <w:rFonts w:hint="eastAsia" w:ascii="Times New Roman" w:hAnsi="Times New Roman" w:eastAsia="宋体" w:cs="Times New Roman"/>
                <w:b w:val="0"/>
                <w:bCs w:val="0"/>
                <w:color w:val="auto"/>
                <w:kern w:val="2"/>
                <w:sz w:val="24"/>
                <w:szCs w:val="24"/>
                <w:highlight w:val="none"/>
                <w:lang w:val="en-US" w:eastAsia="zh-CN" w:bidi="ar-SA"/>
              </w:rPr>
              <w:t>号：</w:t>
            </w:r>
            <w:r>
              <w:rPr>
                <w:rFonts w:hint="eastAsia" w:cs="Times New Roman"/>
                <w:b w:val="0"/>
                <w:bCs w:val="0"/>
                <w:color w:val="auto"/>
                <w:kern w:val="2"/>
                <w:sz w:val="24"/>
                <w:szCs w:val="24"/>
                <w:highlight w:val="none"/>
                <w:lang w:val="en-US" w:eastAsia="zh-CN" w:bidi="ar-SA"/>
              </w:rPr>
              <w:t>融环评表</w:t>
            </w:r>
            <w:r>
              <w:rPr>
                <w:rFonts w:hint="eastAsia" w:ascii="宋体" w:hAnsi="宋体" w:eastAsia="宋体" w:cs="宋体"/>
                <w:b w:val="0"/>
                <w:bCs w:val="0"/>
                <w:color w:val="auto"/>
                <w:kern w:val="2"/>
                <w:sz w:val="24"/>
                <w:szCs w:val="24"/>
                <w:highlight w:val="none"/>
                <w:lang w:val="en-US" w:eastAsia="zh-CN" w:bidi="ar-SA"/>
              </w:rPr>
              <w:t>〔2017〕26号</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详见</w:t>
            </w:r>
            <w:r>
              <w:rPr>
                <w:rFonts w:hint="default" w:ascii="Times New Roman" w:hAnsi="Times New Roman" w:eastAsia="宋体" w:cs="Times New Roman"/>
                <w:b/>
                <w:bCs/>
                <w:color w:val="auto"/>
                <w:kern w:val="2"/>
                <w:sz w:val="24"/>
                <w:szCs w:val="24"/>
                <w:highlight w:val="none"/>
                <w:lang w:val="en-US" w:eastAsia="zh-CN" w:bidi="ar-SA"/>
              </w:rPr>
              <w:t>附件</w:t>
            </w:r>
            <w:r>
              <w:rPr>
                <w:rFonts w:hint="eastAsia" w:cs="Times New Roman"/>
                <w:b/>
                <w:bCs/>
                <w:color w:val="auto"/>
                <w:kern w:val="2"/>
                <w:sz w:val="24"/>
                <w:szCs w:val="24"/>
                <w:highlight w:val="none"/>
                <w:lang w:val="en-US" w:eastAsia="zh-CN" w:bidi="ar-SA"/>
              </w:rPr>
              <w:t>十</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。福清市环境监测站</w:t>
            </w:r>
            <w:r>
              <w:rPr>
                <w:rFonts w:hint="default" w:ascii="Times New Roman" w:hAnsi="Times New Roman" w:eastAsia="宋体" w:cs="Times New Roman"/>
                <w:b w:val="0"/>
                <w:bCs w:val="0"/>
                <w:color w:val="auto"/>
                <w:kern w:val="2"/>
                <w:sz w:val="24"/>
                <w:szCs w:val="24"/>
                <w:highlight w:val="none"/>
                <w:lang w:val="en-US" w:eastAsia="zh-CN" w:bidi="ar-SA"/>
              </w:rPr>
              <w:t>于20</w:t>
            </w:r>
            <w:r>
              <w:rPr>
                <w:rFonts w:hint="eastAsia" w:ascii="Times New Roman" w:hAnsi="Times New Roman" w:eastAsia="宋体" w:cs="Times New Roman"/>
                <w:b w:val="0"/>
                <w:bCs w:val="0"/>
                <w:color w:val="auto"/>
                <w:kern w:val="2"/>
                <w:sz w:val="24"/>
                <w:szCs w:val="24"/>
                <w:highlight w:val="none"/>
                <w:lang w:val="en-US" w:eastAsia="zh-CN" w:bidi="ar-SA"/>
              </w:rPr>
              <w:t>17</w:t>
            </w:r>
            <w:r>
              <w:rPr>
                <w:rFonts w:hint="default" w:ascii="Times New Roman" w:hAnsi="Times New Roman" w:eastAsia="宋体" w:cs="Times New Roman"/>
                <w:b w:val="0"/>
                <w:bCs w:val="0"/>
                <w:color w:val="auto"/>
                <w:kern w:val="2"/>
                <w:sz w:val="24"/>
                <w:szCs w:val="24"/>
                <w:highlight w:val="none"/>
                <w:lang w:val="en-US" w:eastAsia="zh-CN" w:bidi="ar-SA"/>
              </w:rPr>
              <w:t>年</w:t>
            </w:r>
            <w:r>
              <w:rPr>
                <w:rFonts w:hint="eastAsia" w:ascii="Times New Roman" w:hAnsi="Times New Roman" w:eastAsia="宋体" w:cs="Times New Roman"/>
                <w:b w:val="0"/>
                <w:bCs w:val="0"/>
                <w:color w:val="auto"/>
                <w:kern w:val="2"/>
                <w:sz w:val="24"/>
                <w:szCs w:val="24"/>
                <w:highlight w:val="none"/>
                <w:lang w:val="en-US" w:eastAsia="zh-CN" w:bidi="ar-SA"/>
              </w:rPr>
              <w:t>7月</w:t>
            </w:r>
            <w:r>
              <w:rPr>
                <w:rFonts w:hint="default" w:ascii="Times New Roman" w:hAnsi="Times New Roman" w:eastAsia="宋体" w:cs="Times New Roman"/>
                <w:b w:val="0"/>
                <w:bCs w:val="0"/>
                <w:color w:val="auto"/>
                <w:kern w:val="2"/>
                <w:sz w:val="24"/>
                <w:szCs w:val="24"/>
                <w:highlight w:val="none"/>
                <w:lang w:val="en-US" w:eastAsia="zh-CN" w:bidi="ar-SA"/>
              </w:rPr>
              <w:t>完成《</w:t>
            </w:r>
            <w:r>
              <w:rPr>
                <w:rFonts w:hint="eastAsia" w:ascii="Times New Roman" w:hAnsi="Times New Roman" w:eastAsia="宋体" w:cs="Times New Roman"/>
                <w:color w:val="auto"/>
                <w:sz w:val="24"/>
                <w:szCs w:val="24"/>
                <w:highlight w:val="none"/>
                <w:u w:val="none"/>
                <w:lang w:val="en-US" w:eastAsia="zh-CN"/>
              </w:rPr>
              <w:t>年产1800吨EPS包装泡沫项目</w:t>
            </w:r>
            <w:r>
              <w:rPr>
                <w:rFonts w:hint="default" w:ascii="Times New Roman" w:hAnsi="Times New Roman" w:eastAsia="宋体" w:cs="Times New Roman"/>
                <w:b w:val="0"/>
                <w:bCs w:val="0"/>
                <w:color w:val="auto"/>
                <w:kern w:val="2"/>
                <w:sz w:val="24"/>
                <w:szCs w:val="24"/>
                <w:highlight w:val="none"/>
                <w:lang w:val="en-US" w:eastAsia="zh-CN" w:bidi="ar-SA"/>
              </w:rPr>
              <w:t>竣工环境保护验收监测》</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建设单位项目竣工环境保护验收监测表</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十一</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于202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日在全国排污许可证管理信息平台获得固定污染源排污登记回执（</w:t>
            </w:r>
            <w:r>
              <w:rPr>
                <w:rFonts w:hint="eastAsia" w:cs="Times New Roman"/>
                <w:color w:val="auto"/>
                <w:sz w:val="24"/>
                <w:szCs w:val="24"/>
                <w:highlight w:val="none"/>
                <w:lang w:val="en-US" w:eastAsia="zh-CN"/>
              </w:rPr>
              <w:t>登记编号：91350181337537655W001X，</w:t>
            </w:r>
            <w:r>
              <w:rPr>
                <w:rFonts w:hint="default" w:ascii="Times New Roman" w:hAnsi="Times New Roman" w:eastAsia="宋体" w:cs="Times New Roman"/>
                <w:color w:val="auto"/>
                <w:sz w:val="24"/>
                <w:szCs w:val="24"/>
                <w:highlight w:val="none"/>
                <w:lang w:val="en-US" w:eastAsia="zh-CN"/>
              </w:rPr>
              <w:t>排污</w:t>
            </w:r>
            <w:r>
              <w:rPr>
                <w:rFonts w:hint="eastAsia" w:cs="Times New Roman"/>
                <w:color w:val="auto"/>
                <w:sz w:val="24"/>
                <w:szCs w:val="24"/>
                <w:highlight w:val="none"/>
                <w:lang w:val="en-US" w:eastAsia="zh-CN"/>
              </w:rPr>
              <w:t>登记回执</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十二</w:t>
            </w:r>
            <w:r>
              <w:rPr>
                <w:rFonts w:hint="default" w:ascii="Times New Roman" w:hAnsi="Times New Roman" w:eastAsia="宋体" w:cs="Times New Roman"/>
                <w:color w:val="auto"/>
                <w:sz w:val="24"/>
                <w:szCs w:val="24"/>
                <w:highlight w:val="none"/>
                <w:lang w:val="en-US" w:eastAsia="zh-CN"/>
              </w:rPr>
              <w:t>）。</w:t>
            </w:r>
          </w:p>
          <w:p w14:paraId="5F557EFE">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现因企业发展需求，企业拟投资</w:t>
            </w:r>
            <w:r>
              <w:rPr>
                <w:rFonts w:hint="default" w:ascii="Times New Roman" w:hAnsi="Times New Roman" w:cs="Times New Roman"/>
                <w:color w:val="auto"/>
                <w:sz w:val="24"/>
                <w:szCs w:val="24"/>
                <w:lang w:val="en-US" w:eastAsia="zh-CN"/>
              </w:rPr>
              <w:t>1146.31</w:t>
            </w:r>
            <w:r>
              <w:rPr>
                <w:rFonts w:hint="default" w:ascii="Times New Roman" w:hAnsi="Times New Roman" w:eastAsia="宋体" w:cs="Times New Roman"/>
                <w:color w:val="auto"/>
                <w:sz w:val="24"/>
                <w:szCs w:val="24"/>
                <w:highlight w:val="none"/>
                <w:lang w:val="en-US" w:eastAsia="zh-CN"/>
              </w:rPr>
              <w:t>万元</w:t>
            </w:r>
            <w:r>
              <w:rPr>
                <w:rFonts w:hint="default" w:ascii="Times New Roman" w:hAnsi="Times New Roman" w:eastAsia="宋体" w:cs="Times New Roman"/>
                <w:color w:val="auto"/>
                <w:sz w:val="24"/>
                <w:szCs w:val="24"/>
                <w:lang w:val="en-US" w:eastAsia="zh-CN"/>
              </w:rPr>
              <w:t>对</w:t>
            </w:r>
            <w:r>
              <w:rPr>
                <w:rFonts w:hint="default" w:ascii="Times New Roman" w:hAnsi="Times New Roman" w:cs="Times New Roman"/>
                <w:color w:val="auto"/>
                <w:sz w:val="24"/>
                <w:szCs w:val="24"/>
                <w:lang w:val="en-US" w:eastAsia="zh-CN"/>
              </w:rPr>
              <w:t>现有</w:t>
            </w:r>
            <w:r>
              <w:rPr>
                <w:rFonts w:hint="default" w:ascii="Times New Roman" w:hAnsi="Times New Roman" w:eastAsia="宋体" w:cs="Times New Roman"/>
                <w:color w:val="auto"/>
                <w:sz w:val="24"/>
                <w:szCs w:val="24"/>
                <w:lang w:val="en-US" w:eastAsia="zh-CN"/>
              </w:rPr>
              <w:t>厂址</w:t>
            </w:r>
            <w:r>
              <w:rPr>
                <w:rFonts w:hint="default" w:ascii="Times New Roman" w:hAnsi="Times New Roman" w:cs="Times New Roman"/>
                <w:color w:val="auto"/>
                <w:sz w:val="24"/>
                <w:szCs w:val="24"/>
                <w:lang w:val="en-US" w:eastAsia="zh-CN"/>
              </w:rPr>
              <w:t>内</w:t>
            </w:r>
            <w:r>
              <w:rPr>
                <w:rFonts w:hint="default" w:ascii="Times New Roman" w:hAnsi="Times New Roman" w:eastAsia="宋体" w:cs="Times New Roman"/>
                <w:color w:val="auto"/>
                <w:sz w:val="24"/>
                <w:szCs w:val="24"/>
                <w:lang w:val="en-US" w:eastAsia="zh-CN"/>
              </w:rPr>
              <w:t>进行产品产能的扩建，</w:t>
            </w:r>
            <w:r>
              <w:rPr>
                <w:rFonts w:hint="default" w:ascii="Times New Roman" w:hAnsi="Times New Roman" w:cs="Times New Roman"/>
                <w:color w:val="auto"/>
                <w:sz w:val="24"/>
                <w:szCs w:val="24"/>
                <w:lang w:val="en-US" w:eastAsia="zh-CN"/>
              </w:rPr>
              <w:t>新增用地面积6045m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合计租赁面积9131m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（共2座厂房）厂房主体已建设完成。本项目拟将1#</w:t>
            </w:r>
            <w:r>
              <w:rPr>
                <w:rFonts w:hint="default" w:ascii="Times New Roman" w:hAnsi="Times New Roman" w:cs="Times New Roman"/>
                <w:color w:val="auto"/>
                <w:sz w:val="24"/>
                <w:szCs w:val="24"/>
                <w:highlight w:val="none"/>
                <w:lang w:val="en-US" w:eastAsia="zh-CN"/>
              </w:rPr>
              <w:t>组装车间（3086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内东侧闲置区域</w:t>
            </w:r>
            <w:r>
              <w:rPr>
                <w:rFonts w:hint="default" w:ascii="Times New Roman" w:hAnsi="Times New Roman" w:cs="Times New Roman"/>
                <w:color w:val="auto"/>
                <w:sz w:val="24"/>
                <w:szCs w:val="24"/>
                <w:highlight w:val="none"/>
                <w:lang w:val="en-US" w:eastAsia="zh-CN"/>
              </w:rPr>
              <w:t>（1024m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，新增</w:t>
            </w:r>
            <w:r>
              <w:rPr>
                <w:rFonts w:hint="default" w:ascii="Times New Roman" w:hAnsi="Times New Roman" w:cs="Times New Roman"/>
                <w:color w:val="auto"/>
                <w:sz w:val="24"/>
                <w:szCs w:val="24"/>
                <w:highlight w:val="none"/>
                <w:lang w:val="en-US" w:eastAsia="zh-CN"/>
              </w:rPr>
              <w:t>24台</w:t>
            </w:r>
            <w:r>
              <w:rPr>
                <w:rFonts w:hint="default" w:ascii="Times New Roman" w:hAnsi="Times New Roman" w:eastAsia="宋体" w:cs="Times New Roman"/>
                <w:color w:val="auto"/>
                <w:sz w:val="24"/>
                <w:szCs w:val="24"/>
                <w:highlight w:val="none"/>
                <w:lang w:val="en-US" w:eastAsia="zh-CN"/>
              </w:rPr>
              <w:t>成型机、</w:t>
            </w:r>
            <w:r>
              <w:rPr>
                <w:rFonts w:hint="default" w:ascii="Times New Roman" w:hAnsi="Times New Roman" w:cs="Times New Roman"/>
                <w:color w:val="auto"/>
                <w:sz w:val="24"/>
                <w:szCs w:val="24"/>
                <w:highlight w:val="none"/>
                <w:lang w:val="en-US" w:eastAsia="zh-CN"/>
              </w:rPr>
              <w:t>1台</w:t>
            </w:r>
            <w:r>
              <w:rPr>
                <w:rFonts w:hint="default" w:ascii="Times New Roman" w:hAnsi="Times New Roman" w:eastAsia="宋体" w:cs="Times New Roman"/>
                <w:color w:val="auto"/>
                <w:sz w:val="24"/>
                <w:szCs w:val="24"/>
                <w:highlight w:val="none"/>
                <w:lang w:val="en-US" w:eastAsia="zh-CN"/>
              </w:rPr>
              <w:t>发料机</w:t>
            </w:r>
            <w:r>
              <w:rPr>
                <w:rFonts w:hint="default" w:ascii="Times New Roman" w:hAnsi="Times New Roman" w:cs="Times New Roman"/>
                <w:color w:val="auto"/>
                <w:sz w:val="24"/>
                <w:szCs w:val="24"/>
                <w:highlight w:val="none"/>
                <w:lang w:val="en-US" w:eastAsia="zh-CN"/>
              </w:rPr>
              <w:t>以及相关辅助设备</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2#金属配件车间（9131</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highlight w:val="none"/>
                <w:lang w:val="en-US" w:eastAsia="zh-CN"/>
              </w:rPr>
              <w:t>）作为仓库使用，冷却水</w:t>
            </w:r>
            <w:r>
              <w:rPr>
                <w:rFonts w:hint="default" w:ascii="Times New Roman" w:hAnsi="Times New Roman" w:eastAsia="宋体" w:cs="Times New Roman"/>
                <w:color w:val="auto"/>
                <w:sz w:val="24"/>
                <w:szCs w:val="24"/>
                <w:highlight w:val="none"/>
                <w:lang w:val="en-US" w:eastAsia="zh-CN"/>
              </w:rPr>
              <w:t>循环沉淀池、化粪池均依托现有项目。</w:t>
            </w:r>
            <w:r>
              <w:rPr>
                <w:rFonts w:hint="default" w:ascii="Times New Roman" w:hAnsi="Times New Roman" w:cs="Times New Roman"/>
                <w:color w:val="auto"/>
                <w:sz w:val="24"/>
                <w:szCs w:val="24"/>
                <w:highlight w:val="none"/>
                <w:lang w:val="en-US" w:eastAsia="zh-CN"/>
              </w:rPr>
              <w:t>原环评内容将产生少量废气无组织排放，本次扩建拟在1#车间西侧外新增一台活性炭吸附装置将废气收集</w:t>
            </w:r>
            <w:r>
              <w:rPr>
                <w:rFonts w:hint="eastAsia" w:ascii="Times New Roman" w:hAnsi="Times New Roman" w:cs="Times New Roman"/>
                <w:color w:val="auto"/>
                <w:sz w:val="24"/>
                <w:szCs w:val="24"/>
                <w:highlight w:val="none"/>
                <w:lang w:val="en-US" w:eastAsia="zh-CN"/>
              </w:rPr>
              <w:t>并处理后达标排放。由于现有项目未产生危险废物，本次扩建后新增活性炭处理设施所产生废活性炭，拟在1#厂房西侧外按照规范设置一间面积2-3m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危险废物贮存间。</w:t>
            </w:r>
          </w:p>
          <w:p w14:paraId="163186E8">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现有项目生产规模为年产EPS包装泡沫1800吨。本次扩建项目新增生产规模为年产EPS包装泡沫6000吨、EPP包装泡沫1200吨。扩建后全厂生产规模为年产EPS包装泡沫7800吨、EPP包装泡沫1200吨。</w:t>
            </w:r>
            <w:r>
              <w:rPr>
                <w:rFonts w:hint="default" w:ascii="Times New Roman" w:hAnsi="Times New Roman" w:eastAsia="宋体" w:cs="Times New Roman"/>
                <w:color w:val="auto"/>
                <w:sz w:val="24"/>
                <w:szCs w:val="24"/>
                <w:highlight w:val="none"/>
                <w:lang w:val="en-US" w:eastAsia="zh-CN"/>
              </w:rPr>
              <w:t>并于202</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lang w:val="en-US" w:eastAsia="zh-CN"/>
              </w:rPr>
              <w:t>日通过</w:t>
            </w:r>
            <w:r>
              <w:rPr>
                <w:rFonts w:hint="eastAsia" w:ascii="Times New Roman" w:hAnsi="Times New Roman"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工业和信息化局的备案（备案文号为：闽工信备</w:t>
            </w:r>
            <w:r>
              <w:rPr>
                <w:rFonts w:hint="eastAsia" w:ascii="Times New Roman" w:hAnsi="Times New Roman" w:cs="Times New Roman"/>
                <w:color w:val="auto"/>
                <w:sz w:val="24"/>
                <w:szCs w:val="24"/>
                <w:highlight w:val="none"/>
                <w:lang w:val="en-US" w:eastAsia="zh-CN"/>
              </w:rPr>
              <w:t>〔2026〕A</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val="en-US" w:eastAsia="zh-CN"/>
              </w:rPr>
              <w:t>（备案表详见</w:t>
            </w:r>
            <w:r>
              <w:rPr>
                <w:rFonts w:hint="eastAsia" w:ascii="Times New Roman" w:hAnsi="Times New Roman" w:eastAsia="宋体" w:cs="Times New Roman"/>
                <w:b/>
                <w:bCs/>
                <w:color w:val="auto"/>
                <w:sz w:val="24"/>
                <w:szCs w:val="24"/>
                <w:highlight w:val="none"/>
                <w:lang w:val="en-US" w:eastAsia="zh-CN"/>
              </w:rPr>
              <w:t>附件六</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14:paraId="0A611784">
            <w:pPr>
              <w:pStyle w:val="8"/>
              <w:spacing w:line="360" w:lineRule="auto"/>
              <w:ind w:firstLine="480" w:firstLineChars="200"/>
              <w:rPr>
                <w:rFonts w:hint="default" w:ascii="Times New Roman" w:hAnsi="Times New Roman" w:eastAsia="宋体" w:cs="Times New Roman"/>
                <w:b/>
                <w:bCs/>
                <w:color w:val="auto"/>
                <w:sz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根据《中华人民共和国环境保护法》（2015年）、《中华人民共和国环境影响评价法》（2018年修正）、《建设项目环境保护管理条例》（2017年）以及《建设项目环境影响评价分类管理名录（2021年）》等规定，</w:t>
            </w:r>
            <w:r>
              <w:rPr>
                <w:rFonts w:hint="eastAsia" w:cs="Times New Roman"/>
                <w:color w:val="auto"/>
                <w:sz w:val="24"/>
                <w:szCs w:val="24"/>
                <w:highlight w:val="none"/>
                <w:u w:val="none"/>
                <w:lang w:val="en-US" w:eastAsia="zh-CN"/>
              </w:rPr>
              <w:t>EPS包装泡沫、EPP包装泡沫的生产，涉及以合成树脂为主要原料，经发泡成型工艺加工制成内部具有微孔的塑料制品。</w:t>
            </w:r>
            <w:r>
              <w:rPr>
                <w:rFonts w:hint="default" w:ascii="Times New Roman" w:hAnsi="Times New Roman" w:eastAsia="宋体" w:cs="Times New Roman"/>
                <w:color w:val="auto"/>
                <w:sz w:val="24"/>
                <w:szCs w:val="24"/>
                <w:highlight w:val="none"/>
                <w:u w:val="none"/>
                <w:lang w:val="en-US" w:eastAsia="zh-CN"/>
              </w:rPr>
              <w:t>属于名录中“</w:t>
            </w:r>
            <w:r>
              <w:rPr>
                <w:rFonts w:hint="eastAsia" w:cs="Times New Roman"/>
                <w:color w:val="auto"/>
                <w:sz w:val="24"/>
                <w:szCs w:val="24"/>
                <w:highlight w:val="none"/>
                <w:u w:val="none"/>
                <w:lang w:val="en-US" w:eastAsia="zh-CN"/>
              </w:rPr>
              <w:t>二十六、橡胶和塑料制品业29—53塑料制品业292—其他（年用非溶剂型低VOCs含量涂料10吨以下的除外）</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本项目环评类别为环境影响报告表，详见表2-1。为此，</w:t>
            </w:r>
            <w:r>
              <w:rPr>
                <w:rFonts w:hint="eastAsia" w:ascii="Times New Roman" w:hAnsi="Times New Roman" w:eastAsia="宋体" w:cs="Times New Roman"/>
                <w:color w:val="auto"/>
                <w:sz w:val="24"/>
                <w:szCs w:val="24"/>
                <w:highlight w:val="none"/>
                <w:u w:val="none"/>
                <w:lang w:val="en-US" w:eastAsia="zh-CN"/>
              </w:rPr>
              <w:t>该公司于202</w:t>
            </w:r>
            <w:r>
              <w:rPr>
                <w:rFonts w:hint="eastAsia" w:cs="Times New Roman"/>
                <w:color w:val="auto"/>
                <w:sz w:val="24"/>
                <w:szCs w:val="24"/>
                <w:highlight w:val="none"/>
                <w:u w:val="none"/>
                <w:lang w:val="en-US" w:eastAsia="zh-CN"/>
              </w:rPr>
              <w:t>6</w:t>
            </w:r>
            <w:r>
              <w:rPr>
                <w:rFonts w:hint="eastAsia" w:ascii="Times New Roman" w:hAnsi="Times New Roman" w:eastAsia="宋体" w:cs="Times New Roman"/>
                <w:color w:val="auto"/>
                <w:sz w:val="24"/>
                <w:szCs w:val="24"/>
                <w:highlight w:val="none"/>
                <w:u w:val="none"/>
                <w:lang w:val="en-US" w:eastAsia="zh-CN"/>
              </w:rPr>
              <w:t>年</w:t>
            </w:r>
            <w:r>
              <w:rPr>
                <w:rFonts w:hint="eastAsia"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月委托福州朴诚至信环保科技有限公司编制《</w:t>
            </w:r>
            <w:r>
              <w:rPr>
                <w:rFonts w:hint="eastAsia" w:cs="Times New Roman"/>
                <w:color w:val="auto"/>
                <w:sz w:val="24"/>
                <w:szCs w:val="24"/>
                <w:highlight w:val="none"/>
                <w:u w:val="none"/>
                <w:lang w:val="en-US" w:eastAsia="zh-CN"/>
              </w:rPr>
              <w:t>福建恒润包装有限公司新增EPS包装泡沫6000吨、EPP包装泡沫1200吨项目</w:t>
            </w:r>
            <w:r>
              <w:rPr>
                <w:rFonts w:hint="eastAsia" w:ascii="Times New Roman" w:hAnsi="Times New Roman" w:eastAsia="宋体" w:cs="Times New Roman"/>
                <w:color w:val="auto"/>
                <w:sz w:val="24"/>
                <w:szCs w:val="24"/>
                <w:highlight w:val="none"/>
                <w:u w:val="none"/>
                <w:lang w:val="en-US" w:eastAsia="zh-CN"/>
              </w:rPr>
              <w:t>环</w:t>
            </w:r>
            <w:r>
              <w:rPr>
                <w:rFonts w:hint="eastAsia" w:ascii="Times New Roman" w:hAnsi="Times New Roman" w:eastAsia="宋体" w:cs="Times New Roman"/>
                <w:color w:val="auto"/>
                <w:sz w:val="24"/>
                <w:szCs w:val="24"/>
                <w:highlight w:val="none"/>
                <w:u w:val="none"/>
                <w:lang w:eastAsia="zh-CN"/>
              </w:rPr>
              <w:t>境影响报告表》（</w:t>
            </w:r>
            <w:r>
              <w:rPr>
                <w:rFonts w:hint="default" w:ascii="Times New Roman" w:hAnsi="Times New Roman" w:eastAsia="宋体" w:cs="Times New Roman"/>
                <w:b w:val="0"/>
                <w:bCs w:val="0"/>
                <w:color w:val="auto"/>
                <w:sz w:val="24"/>
                <w:szCs w:val="24"/>
                <w:highlight w:val="none"/>
                <w:u w:val="none"/>
              </w:rPr>
              <w:t>委托书详见</w:t>
            </w:r>
            <w:r>
              <w:rPr>
                <w:rFonts w:hint="default" w:ascii="Times New Roman" w:hAnsi="Times New Roman" w:eastAsia="宋体" w:cs="Times New Roman"/>
                <w:b/>
                <w:bCs/>
                <w:color w:val="auto"/>
                <w:sz w:val="24"/>
                <w:szCs w:val="24"/>
                <w:highlight w:val="none"/>
                <w:u w:val="none"/>
              </w:rPr>
              <w:t>附件一</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。本环评单位接受委托后，立即派技术人员踏勘现场和收集有关资料，按照</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建设项目环境影响报告表编制技术指南</w:t>
            </w:r>
            <w:r>
              <w:rPr>
                <w:rFonts w:hint="eastAsia"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污染影响类</w:t>
            </w:r>
            <w:r>
              <w:rPr>
                <w:rFonts w:hint="eastAsia" w:cs="Times New Roman"/>
                <w:color w:val="auto"/>
                <w:sz w:val="24"/>
                <w:szCs w:val="24"/>
                <w:highlight w:val="none"/>
                <w:u w:val="none"/>
                <w:lang w:eastAsia="zh-CN"/>
              </w:rPr>
              <w:t>）（试行）》</w:t>
            </w:r>
            <w:r>
              <w:rPr>
                <w:rFonts w:hint="default" w:ascii="Times New Roman" w:hAnsi="Times New Roman" w:eastAsia="宋体" w:cs="Times New Roman"/>
                <w:color w:val="auto"/>
                <w:sz w:val="24"/>
                <w:szCs w:val="24"/>
                <w:highlight w:val="none"/>
                <w:u w:val="none"/>
              </w:rPr>
              <w:t>及相关技术规范要求，</w:t>
            </w:r>
            <w:r>
              <w:rPr>
                <w:rFonts w:hint="default" w:ascii="Times New Roman" w:hAnsi="Times New Roman" w:eastAsia="宋体" w:cs="Times New Roman"/>
                <w:color w:val="auto"/>
                <w:kern w:val="0"/>
                <w:sz w:val="24"/>
                <w:szCs w:val="24"/>
                <w:highlight w:val="none"/>
                <w:u w:val="none"/>
              </w:rPr>
              <w:t>编制了本环境影响报告表，供建设单位上报</w:t>
            </w:r>
            <w:r>
              <w:rPr>
                <w:rFonts w:hint="default" w:ascii="Times New Roman" w:hAnsi="Times New Roman" w:eastAsia="宋体" w:cs="Times New Roman"/>
                <w:color w:val="auto"/>
                <w:kern w:val="0"/>
                <w:sz w:val="24"/>
                <w:szCs w:val="24"/>
                <w:highlight w:val="none"/>
                <w:u w:val="none"/>
                <w:lang w:eastAsia="zh-CN"/>
              </w:rPr>
              <w:t>生态环境行政主管部门</w:t>
            </w:r>
            <w:r>
              <w:rPr>
                <w:rFonts w:hint="default" w:ascii="Times New Roman" w:hAnsi="Times New Roman" w:eastAsia="宋体" w:cs="Times New Roman"/>
                <w:color w:val="auto"/>
                <w:kern w:val="0"/>
                <w:sz w:val="24"/>
                <w:szCs w:val="24"/>
                <w:highlight w:val="none"/>
                <w:u w:val="none"/>
              </w:rPr>
              <w:t>审批。</w:t>
            </w:r>
          </w:p>
          <w:p w14:paraId="7AB016C7">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rPr>
                <w:rFonts w:hint="default" w:ascii="Times New Roman" w:hAnsi="Times New Roman" w:eastAsia="宋体" w:cs="Times New Roman"/>
                <w:b/>
                <w:bCs/>
                <w:color w:val="auto"/>
                <w:sz w:val="24"/>
                <w:szCs w:val="24"/>
                <w:highlight w:val="none"/>
                <w:lang w:val="en-US" w:eastAsia="zh-CN"/>
              </w:rPr>
            </w:pPr>
            <w:bookmarkStart w:id="20" w:name="_Toc21531"/>
            <w:bookmarkStart w:id="21" w:name="_Toc1709"/>
            <w:bookmarkStart w:id="22" w:name="_Toc17739"/>
            <w:bookmarkStart w:id="23" w:name="_Toc2858"/>
            <w:bookmarkStart w:id="24" w:name="_Toc3189"/>
            <w:bookmarkStart w:id="25" w:name="_Toc8414"/>
            <w:r>
              <w:rPr>
                <w:rFonts w:hint="default" w:ascii="Times New Roman" w:hAnsi="Times New Roman" w:eastAsia="宋体" w:cs="Times New Roman"/>
                <w:b/>
                <w:bCs/>
                <w:color w:val="auto"/>
                <w:sz w:val="24"/>
                <w:szCs w:val="24"/>
                <w:highlight w:val="none"/>
              </w:rPr>
              <w:t>表2</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-1建设项目环境影响评价分类管理名录</w:t>
            </w:r>
            <w:bookmarkEnd w:id="20"/>
            <w:bookmarkEnd w:id="21"/>
            <w:bookmarkEnd w:id="22"/>
            <w:bookmarkEnd w:id="23"/>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摘录</w:t>
            </w:r>
            <w:r>
              <w:rPr>
                <w:rFonts w:hint="default" w:ascii="Times New Roman" w:hAnsi="Times New Roman" w:eastAsia="宋体" w:cs="Times New Roman"/>
                <w:b/>
                <w:bCs/>
                <w:color w:val="auto"/>
                <w:sz w:val="24"/>
                <w:szCs w:val="24"/>
                <w:highlight w:val="none"/>
                <w:lang w:eastAsia="zh-CN"/>
              </w:rPr>
              <w:t>）</w:t>
            </w:r>
            <w:bookmarkEnd w:id="24"/>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745"/>
              <w:gridCol w:w="3029"/>
              <w:gridCol w:w="2173"/>
              <w:gridCol w:w="1363"/>
            </w:tblGrid>
            <w:tr w14:paraId="2BD76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343" w:type="pct"/>
                  <w:gridSpan w:val="2"/>
                  <w:tcBorders>
                    <w:tl2br w:val="single" w:color="auto" w:sz="2" w:space="0"/>
                  </w:tcBorders>
                  <w:shd w:val="clear" w:color="auto" w:fill="auto"/>
                  <w:noWrap w:val="0"/>
                  <w:vAlign w:val="center"/>
                </w:tcPr>
                <w:p w14:paraId="0FC1E77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righ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环评类别</w:t>
                  </w:r>
                </w:p>
                <w:p w14:paraId="2296B5C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项目类别</w:t>
                  </w:r>
                </w:p>
              </w:tc>
              <w:tc>
                <w:tcPr>
                  <w:tcW w:w="1758" w:type="pct"/>
                  <w:tcBorders>
                    <w:tl2br w:val="nil"/>
                    <w:tr2bl w:val="nil"/>
                  </w:tcBorders>
                  <w:shd w:val="clear" w:color="auto" w:fill="auto"/>
                  <w:noWrap w:val="0"/>
                  <w:vAlign w:val="center"/>
                </w:tcPr>
                <w:p w14:paraId="3278102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报告书</w:t>
                  </w:r>
                </w:p>
              </w:tc>
              <w:tc>
                <w:tcPr>
                  <w:tcW w:w="1261" w:type="pct"/>
                  <w:tcBorders>
                    <w:tl2br w:val="nil"/>
                    <w:tr2bl w:val="nil"/>
                  </w:tcBorders>
                  <w:shd w:val="clear" w:color="auto" w:fill="BEBEBE"/>
                  <w:noWrap w:val="0"/>
                  <w:vAlign w:val="center"/>
                </w:tcPr>
                <w:p w14:paraId="18A5B9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报告表</w:t>
                  </w:r>
                </w:p>
              </w:tc>
              <w:tc>
                <w:tcPr>
                  <w:tcW w:w="635" w:type="pct"/>
                  <w:tcBorders>
                    <w:tl2br w:val="nil"/>
                    <w:tr2bl w:val="nil"/>
                  </w:tcBorders>
                  <w:noWrap w:val="0"/>
                  <w:vAlign w:val="center"/>
                </w:tcPr>
                <w:p w14:paraId="70F8DB5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登记表</w:t>
                  </w:r>
                </w:p>
              </w:tc>
            </w:tr>
            <w:tr w14:paraId="2D563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000" w:type="pct"/>
                  <w:gridSpan w:val="5"/>
                  <w:tcBorders>
                    <w:tl2br w:val="nil"/>
                    <w:tr2bl w:val="nil"/>
                  </w:tcBorders>
                  <w:shd w:val="clear" w:color="auto" w:fill="BEBEBE"/>
                  <w:noWrap w:val="0"/>
                  <w:vAlign w:val="center"/>
                </w:tcPr>
                <w:p w14:paraId="6C45D2F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val="0"/>
                      <w:bCs w:val="0"/>
                      <w:color w:val="auto"/>
                      <w:kern w:val="2"/>
                      <w:sz w:val="24"/>
                      <w:szCs w:val="24"/>
                      <w:highlight w:val="none"/>
                      <w:lang w:val="en-US" w:eastAsia="zh-CN" w:bidi="ar-SA"/>
                    </w:rPr>
                    <w:t>二十六、橡胶和塑料制品业29</w:t>
                  </w:r>
                </w:p>
              </w:tc>
            </w:tr>
            <w:tr w14:paraId="20CA8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331" w:type="pct"/>
                  <w:tcBorders>
                    <w:tl2br w:val="nil"/>
                    <w:tr2bl w:val="nil"/>
                  </w:tcBorders>
                  <w:shd w:val="clear" w:color="auto" w:fill="auto"/>
                  <w:noWrap w:val="0"/>
                  <w:vAlign w:val="center"/>
                </w:tcPr>
                <w:p w14:paraId="4F33F5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53</w:t>
                  </w:r>
                </w:p>
              </w:tc>
              <w:tc>
                <w:tcPr>
                  <w:tcW w:w="1012" w:type="pct"/>
                  <w:tcBorders>
                    <w:tl2br w:val="nil"/>
                    <w:tr2bl w:val="nil"/>
                  </w:tcBorders>
                  <w:shd w:val="clear" w:color="auto" w:fill="auto"/>
                  <w:noWrap w:val="0"/>
                  <w:vAlign w:val="center"/>
                </w:tcPr>
                <w:p w14:paraId="64967D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塑料制品业292</w:t>
                  </w:r>
                </w:p>
              </w:tc>
              <w:tc>
                <w:tcPr>
                  <w:tcW w:w="1758" w:type="pct"/>
                  <w:tcBorders>
                    <w:tl2br w:val="nil"/>
                    <w:tr2bl w:val="nil"/>
                  </w:tcBorders>
                  <w:shd w:val="clear" w:color="auto" w:fill="auto"/>
                  <w:noWrap w:val="0"/>
                  <w:vAlign w:val="center"/>
                </w:tcPr>
                <w:p w14:paraId="0AF5B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以再生塑料为原料生产的；有电镀工艺的；年用溶剂型胶粘剂10吨及以上的；年用溶剂型涂料（含稀释剂）10吨及以上的</w:t>
                  </w:r>
                </w:p>
              </w:tc>
              <w:tc>
                <w:tcPr>
                  <w:tcW w:w="1261" w:type="pct"/>
                  <w:tcBorders>
                    <w:tl2br w:val="nil"/>
                    <w:tr2bl w:val="nil"/>
                  </w:tcBorders>
                  <w:shd w:val="clear" w:color="auto" w:fill="BEBEBE"/>
                  <w:noWrap w:val="0"/>
                  <w:vAlign w:val="center"/>
                </w:tcPr>
                <w:p w14:paraId="0F91CD4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其他</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年用非溶剂型低VOCs含量涂料10吨以下的除外</w:t>
                  </w:r>
                  <w:r>
                    <w:rPr>
                      <w:rFonts w:hint="eastAsia" w:cs="Times New Roman"/>
                      <w:b w:val="0"/>
                      <w:bCs w:val="0"/>
                      <w:color w:val="auto"/>
                      <w:kern w:val="2"/>
                      <w:sz w:val="24"/>
                      <w:szCs w:val="24"/>
                      <w:highlight w:val="none"/>
                      <w:lang w:val="en-US" w:eastAsia="zh-CN" w:bidi="ar-SA"/>
                    </w:rPr>
                    <w:t>）</w:t>
                  </w:r>
                </w:p>
              </w:tc>
              <w:tc>
                <w:tcPr>
                  <w:tcW w:w="635" w:type="pct"/>
                  <w:tcBorders>
                    <w:tl2br w:val="nil"/>
                    <w:tr2bl w:val="nil"/>
                  </w:tcBorders>
                  <w:noWrap w:val="0"/>
                  <w:vAlign w:val="center"/>
                </w:tcPr>
                <w:p w14:paraId="06696FB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bl>
          <w:p w14:paraId="78EC04A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highlight w:val="none"/>
                <w:u w:val="none"/>
                <w:lang w:val="en-US" w:eastAsia="zh-CN"/>
              </w:rPr>
            </w:pPr>
            <w:bookmarkStart w:id="26" w:name="_Toc19519"/>
            <w:r>
              <w:rPr>
                <w:rFonts w:hint="eastAsia" w:ascii="Times New Roman" w:hAnsi="Times New Roman" w:eastAsia="宋体" w:cs="Times New Roman"/>
                <w:color w:val="auto"/>
                <w:sz w:val="28"/>
                <w:szCs w:val="28"/>
                <w:highlight w:val="none"/>
                <w:u w:val="none"/>
                <w:lang w:val="en-US" w:eastAsia="zh-CN"/>
              </w:rPr>
              <w:t>2.2</w:t>
            </w:r>
            <w:r>
              <w:rPr>
                <w:rFonts w:hint="eastAsia" w:ascii="Times New Roman" w:hAnsi="Times New Roman" w:cs="Times New Roman"/>
                <w:color w:val="auto"/>
                <w:sz w:val="28"/>
                <w:szCs w:val="28"/>
                <w:highlight w:val="none"/>
                <w:u w:val="none"/>
                <w:lang w:val="en-US" w:eastAsia="zh-CN"/>
              </w:rPr>
              <w:t>扩建项目</w:t>
            </w:r>
            <w:bookmarkEnd w:id="25"/>
            <w:r>
              <w:rPr>
                <w:rFonts w:hint="eastAsia" w:ascii="Times New Roman" w:hAnsi="Times New Roman" w:cs="Times New Roman"/>
                <w:color w:val="auto"/>
                <w:sz w:val="28"/>
                <w:szCs w:val="28"/>
                <w:highlight w:val="none"/>
                <w:u w:val="none"/>
                <w:lang w:val="en-US" w:eastAsia="zh-CN"/>
              </w:rPr>
              <w:t>概况</w:t>
            </w:r>
            <w:bookmarkEnd w:id="26"/>
          </w:p>
          <w:p w14:paraId="3D13756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27" w:name="_Toc9404"/>
            <w:bookmarkStart w:id="28" w:name="_Toc23839"/>
            <w:r>
              <w:rPr>
                <w:rFonts w:hint="default" w:ascii="Times New Roman" w:hAnsi="Times New Roman" w:eastAsia="宋体" w:cs="Times New Roman"/>
                <w:b/>
                <w:bCs/>
                <w:color w:val="auto"/>
                <w:sz w:val="24"/>
                <w:szCs w:val="24"/>
                <w:highlight w:val="none"/>
                <w:u w:val="none"/>
                <w:lang w:val="en-US" w:eastAsia="zh-CN"/>
              </w:rPr>
              <w:t>2.2.1企业基本情况</w:t>
            </w:r>
            <w:bookmarkEnd w:id="27"/>
            <w:bookmarkEnd w:id="28"/>
          </w:p>
          <w:p w14:paraId="2C870F9B">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left"/>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建设单位租赁福建力峰机械实业有限公司位于</w:t>
            </w:r>
            <w:r>
              <w:rPr>
                <w:rFonts w:hint="eastAsia" w:cs="Times New Roman"/>
                <w:color w:val="auto"/>
                <w:sz w:val="24"/>
                <w:szCs w:val="24"/>
                <w:highlight w:val="none"/>
                <w:u w:val="none"/>
                <w:lang w:val="en-US" w:eastAsia="zh-CN"/>
              </w:rPr>
              <w:t>江阴港城经济区福建力峰机械实业有限公司</w:t>
            </w:r>
            <w:r>
              <w:rPr>
                <w:rFonts w:hint="default" w:ascii="Times New Roman" w:hAnsi="Times New Roman" w:eastAsia="宋体" w:cs="Times New Roman"/>
                <w:color w:val="auto"/>
                <w:sz w:val="24"/>
                <w:szCs w:val="24"/>
                <w:highlight w:val="none"/>
                <w:u w:val="none"/>
                <w:lang w:val="en-US" w:eastAsia="zh-CN"/>
              </w:rPr>
              <w:t>（租赁福建力峰机械实业有限公司2号金属配件车间、1号组装车间）的1号、2号厂房作为生产场所</w:t>
            </w:r>
            <w:r>
              <w:rPr>
                <w:rFonts w:hint="default" w:ascii="Times New Roman" w:hAnsi="Times New Roman" w:eastAsia="宋体" w:cs="Times New Roman"/>
                <w:color w:val="auto"/>
                <w:sz w:val="24"/>
                <w:szCs w:val="24"/>
                <w:highlight w:val="none"/>
                <w:lang w:val="en-US" w:eastAsia="zh-CN"/>
              </w:rPr>
              <w:t>（厂房租赁合同详</w:t>
            </w:r>
            <w:r>
              <w:rPr>
                <w:rFonts w:hint="default" w:ascii="Times New Roman" w:hAnsi="Times New Roman" w:eastAsia="宋体" w:cs="Times New Roman"/>
                <w:color w:val="auto"/>
                <w:sz w:val="24"/>
                <w:szCs w:val="24"/>
                <w:highlight w:val="none"/>
                <w:lang w:eastAsia="zh-CN"/>
              </w:rPr>
              <w:t>见</w:t>
            </w:r>
            <w:r>
              <w:rPr>
                <w:rFonts w:hint="default" w:ascii="Times New Roman" w:hAnsi="Times New Roman" w:eastAsia="宋体" w:cs="Times New Roman"/>
                <w:b/>
                <w:bCs/>
                <w:color w:val="auto"/>
                <w:sz w:val="24"/>
                <w:szCs w:val="24"/>
                <w:highlight w:val="none"/>
                <w:lang w:eastAsia="zh-CN"/>
              </w:rPr>
              <w:t>附件</w:t>
            </w:r>
            <w:r>
              <w:rPr>
                <w:rFonts w:hint="default" w:ascii="Times New Roman" w:hAnsi="Times New Roman" w:eastAsia="宋体" w:cs="Times New Roman"/>
                <w:b/>
                <w:bCs/>
                <w:color w:val="auto"/>
                <w:sz w:val="24"/>
                <w:szCs w:val="24"/>
                <w:highlight w:val="none"/>
                <w:lang w:val="en-US" w:eastAsia="zh-CN"/>
              </w:rPr>
              <w:t>八</w:t>
            </w:r>
            <w:r>
              <w:rPr>
                <w:rFonts w:hint="default" w:ascii="Times New Roman" w:hAnsi="Times New Roman" w:eastAsia="宋体" w:cs="Times New Roman"/>
                <w:color w:val="auto"/>
                <w:sz w:val="24"/>
                <w:szCs w:val="24"/>
                <w:highlight w:val="none"/>
                <w:lang w:val="en-US" w:eastAsia="zh-CN"/>
              </w:rPr>
              <w:t>）（不动产权证详见</w:t>
            </w:r>
            <w:r>
              <w:rPr>
                <w:rFonts w:hint="default" w:ascii="Times New Roman" w:hAnsi="Times New Roman" w:eastAsia="宋体" w:cs="Times New Roman"/>
                <w:b/>
                <w:bCs/>
                <w:color w:val="auto"/>
                <w:sz w:val="24"/>
                <w:szCs w:val="24"/>
                <w:highlight w:val="none"/>
                <w:lang w:val="en-US" w:eastAsia="zh-CN"/>
              </w:rPr>
              <w:t>附件七</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本次评价范围：利用1号厂房原有项目（3068m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）闲置</w:t>
            </w:r>
            <w:r>
              <w:rPr>
                <w:rFonts w:hint="eastAsia"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en-US" w:eastAsia="zh-CN"/>
              </w:rPr>
              <w:t>作为本项目生产经营场所，2号厂房（6045m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作为成品仓库，无需分割。现有项目已建设冷却水循环处理设施、化粪池、一般固废贮存间等。现有项目于2017年3月通过环评审批（榕环评表〔2017〕26号），2017年7月完成竣工验收。由于还发布</w:t>
            </w:r>
            <w:r>
              <w:rPr>
                <w:rFonts w:hint="eastAsia" w:ascii="Times New Roman" w:hAnsi="Times New Roman" w:eastAsia="宋体" w:cs="Times New Roman"/>
                <w:color w:val="auto"/>
                <w:sz w:val="24"/>
                <w:szCs w:val="24"/>
                <w:highlight w:val="none"/>
                <w:lang w:val="en-US" w:eastAsia="zh-CN"/>
              </w:rPr>
              <w:t>VOCs污染防控相关政策（详见</w:t>
            </w:r>
            <w:r>
              <w:rPr>
                <w:rFonts w:hint="eastAsia" w:ascii="Times New Roman" w:hAnsi="Times New Roman" w:eastAsia="宋体" w:cs="Times New Roman"/>
                <w:b/>
                <w:bCs/>
                <w:color w:val="auto"/>
                <w:sz w:val="24"/>
                <w:szCs w:val="24"/>
                <w:highlight w:val="none"/>
                <w:lang w:val="en-US" w:eastAsia="zh-CN"/>
              </w:rPr>
              <w:t>表1.1-5挥发性有机物污染防治政策相关内容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。现有项目所产生的废气污染物VOCs未安装环保设备，无组织排放。</w:t>
            </w:r>
            <w:r>
              <w:rPr>
                <w:rFonts w:hint="eastAsia" w:ascii="Times New Roman" w:hAnsi="Times New Roman" w:eastAsia="宋体" w:cs="Times New Roman"/>
                <w:color w:val="auto"/>
                <w:sz w:val="24"/>
                <w:szCs w:val="24"/>
                <w:highlight w:val="none"/>
                <w:lang w:val="en-US" w:eastAsia="zh-CN"/>
              </w:rPr>
              <w:t>因此，现有项目未建设活性炭吸附装置，未产生危险废物无需建设危险废物贮存间。</w:t>
            </w:r>
            <w:r>
              <w:rPr>
                <w:rFonts w:hint="eastAsia" w:cs="Times New Roman"/>
                <w:color w:val="auto"/>
                <w:sz w:val="24"/>
                <w:szCs w:val="24"/>
                <w:highlight w:val="none"/>
                <w:lang w:val="en-US" w:eastAsia="zh-CN"/>
              </w:rPr>
              <w:t>本次拟建设三条生产线及配套设施，危险废物贮存间、活性炭处理设施等。</w:t>
            </w:r>
          </w:p>
          <w:p w14:paraId="43E1B15E">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left"/>
              <w:textAlignment w:val="auto"/>
              <w:rPr>
                <w:rFonts w:hint="default" w:ascii="宋体" w:hAnsi="宋体" w:cs="宋体"/>
                <w:i w:val="0"/>
                <w:iCs w:val="0"/>
                <w:caps w:val="0"/>
                <w:color w:val="auto"/>
                <w:spacing w:val="0"/>
                <w:sz w:val="24"/>
                <w:szCs w:val="24"/>
                <w:highlight w:val="none"/>
                <w:shd w:val="clear" w:color="auto" w:fill="FFFFFF"/>
                <w:vertAlign w:val="baseline"/>
                <w:lang w:val="en-US" w:eastAsia="zh-CN"/>
              </w:rPr>
            </w:pPr>
            <w:r>
              <w:rPr>
                <w:rFonts w:hint="eastAsia" w:cs="Times New Roman"/>
                <w:color w:val="auto"/>
                <w:sz w:val="24"/>
                <w:szCs w:val="24"/>
                <w:highlight w:val="none"/>
                <w:lang w:val="en-US" w:eastAsia="zh-CN"/>
              </w:rPr>
              <w:t>根据不动产权证（闽2020福清市不动产权第0013884号）可知，福建力峰机械实业有限公司位于</w:t>
            </w:r>
            <w:r>
              <w:rPr>
                <w:rFonts w:hint="eastAsia" w:cs="Times New Roman"/>
                <w:color w:val="auto"/>
                <w:sz w:val="24"/>
                <w:szCs w:val="24"/>
                <w:highlight w:val="none"/>
                <w:u w:val="none"/>
                <w:lang w:val="en-US" w:eastAsia="zh-CN"/>
              </w:rPr>
              <w:t>江阴港城经济区福建力峰机械实业有限公司，宗地面积15359.17m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，房屋建筑面积9131.1m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。所属用地为工业用地，建设1号组装车间，建筑面积3086.1m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；2号金属配件车间面积6045m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。以及配套消防泵房、配电房（500）、高空水塔。</w:t>
            </w:r>
            <w:r>
              <w:rPr>
                <w:rFonts w:hint="default" w:ascii="Times New Roman" w:hAnsi="Times New Roman" w:eastAsia="宋体" w:cs="Times New Roman"/>
                <w:color w:val="auto"/>
                <w:sz w:val="24"/>
                <w:szCs w:val="24"/>
                <w:highlight w:val="none"/>
                <w:lang w:val="en-US" w:eastAsia="zh-CN"/>
              </w:rPr>
              <w:t>（厂房租赁合同详</w:t>
            </w:r>
            <w:r>
              <w:rPr>
                <w:rFonts w:hint="default" w:ascii="Times New Roman" w:hAnsi="Times New Roman" w:eastAsia="宋体" w:cs="Times New Roman"/>
                <w:color w:val="auto"/>
                <w:sz w:val="24"/>
                <w:szCs w:val="24"/>
                <w:highlight w:val="none"/>
                <w:lang w:eastAsia="zh-CN"/>
              </w:rPr>
              <w:t>见</w:t>
            </w:r>
            <w:r>
              <w:rPr>
                <w:rFonts w:hint="default" w:ascii="Times New Roman" w:hAnsi="Times New Roman" w:eastAsia="宋体" w:cs="Times New Roman"/>
                <w:b/>
                <w:bCs/>
                <w:color w:val="auto"/>
                <w:sz w:val="24"/>
                <w:szCs w:val="24"/>
                <w:highlight w:val="none"/>
                <w:lang w:eastAsia="zh-CN"/>
              </w:rPr>
              <w:t>附件</w:t>
            </w:r>
            <w:r>
              <w:rPr>
                <w:rFonts w:hint="default" w:ascii="Times New Roman" w:hAnsi="Times New Roman" w:eastAsia="宋体" w:cs="Times New Roman"/>
                <w:b/>
                <w:bCs/>
                <w:color w:val="auto"/>
                <w:sz w:val="24"/>
                <w:szCs w:val="24"/>
                <w:highlight w:val="none"/>
                <w:lang w:val="en-US" w:eastAsia="zh-CN"/>
              </w:rPr>
              <w:t>八</w:t>
            </w:r>
            <w:r>
              <w:rPr>
                <w:rFonts w:hint="default" w:ascii="Times New Roman" w:hAnsi="Times New Roman" w:eastAsia="宋体" w:cs="Times New Roman"/>
                <w:color w:val="auto"/>
                <w:sz w:val="24"/>
                <w:szCs w:val="24"/>
                <w:highlight w:val="none"/>
                <w:lang w:val="en-US" w:eastAsia="zh-CN"/>
              </w:rPr>
              <w:t>）（不动产权证详见</w:t>
            </w:r>
            <w:r>
              <w:rPr>
                <w:rFonts w:hint="default" w:ascii="Times New Roman" w:hAnsi="Times New Roman" w:eastAsia="宋体" w:cs="Times New Roman"/>
                <w:b/>
                <w:bCs/>
                <w:color w:val="auto"/>
                <w:sz w:val="24"/>
                <w:szCs w:val="24"/>
                <w:highlight w:val="none"/>
                <w:lang w:val="en-US" w:eastAsia="zh-CN"/>
              </w:rPr>
              <w:t>附件七</w:t>
            </w:r>
            <w:r>
              <w:rPr>
                <w:rFonts w:hint="default" w:ascii="Times New Roman" w:hAnsi="Times New Roman" w:eastAsia="宋体" w:cs="Times New Roman"/>
                <w:color w:val="auto"/>
                <w:sz w:val="24"/>
                <w:szCs w:val="24"/>
                <w:highlight w:val="none"/>
                <w:lang w:val="en-US" w:eastAsia="zh-CN"/>
              </w:rPr>
              <w:t>）</w:t>
            </w:r>
          </w:p>
          <w:p w14:paraId="3E6C3B2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29" w:name="_Toc29283"/>
            <w:bookmarkStart w:id="30" w:name="_Toc1338"/>
            <w:r>
              <w:rPr>
                <w:rFonts w:hint="default" w:ascii="Times New Roman" w:hAnsi="Times New Roman" w:eastAsia="宋体" w:cs="Times New Roman"/>
                <w:b/>
                <w:bCs/>
                <w:color w:val="auto"/>
                <w:sz w:val="24"/>
                <w:szCs w:val="24"/>
                <w:highlight w:val="none"/>
                <w:u w:val="none"/>
                <w:lang w:val="en-US" w:eastAsia="zh-CN"/>
              </w:rPr>
              <w:t>2.2.</w:t>
            </w:r>
            <w:r>
              <w:rPr>
                <w:rFonts w:hint="eastAsia" w:ascii="Times New Roman" w:hAnsi="Times New Roman" w:eastAsia="宋体" w:cs="Times New Roman"/>
                <w:b/>
                <w:bCs/>
                <w:color w:val="auto"/>
                <w:sz w:val="24"/>
                <w:szCs w:val="24"/>
                <w:highlight w:val="none"/>
                <w:u w:val="none"/>
                <w:lang w:val="en-US" w:eastAsia="zh-CN"/>
              </w:rPr>
              <w:t>2项目基本情况</w:t>
            </w:r>
            <w:bookmarkEnd w:id="29"/>
            <w:bookmarkEnd w:id="30"/>
          </w:p>
          <w:p w14:paraId="08698F58">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（1）项目名称：</w:t>
            </w:r>
            <w:r>
              <w:rPr>
                <w:rFonts w:hint="eastAsia" w:cs="Times New Roman"/>
                <w:color w:val="auto"/>
                <w:sz w:val="24"/>
                <w:szCs w:val="24"/>
                <w:highlight w:val="none"/>
                <w:u w:val="none"/>
                <w:lang w:eastAsia="zh-CN"/>
              </w:rPr>
              <w:t>福建恒润包装有限公司新增EPS包装泡沫6000吨、EPP包装泡沫1200吨项目</w:t>
            </w:r>
          </w:p>
          <w:p w14:paraId="3C33C5DC">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（2）建设单位：</w:t>
            </w:r>
            <w:r>
              <w:rPr>
                <w:rFonts w:hint="eastAsia" w:cs="Times New Roman"/>
                <w:color w:val="auto"/>
                <w:sz w:val="24"/>
                <w:szCs w:val="24"/>
                <w:highlight w:val="none"/>
                <w:u w:val="none"/>
                <w:lang w:eastAsia="zh-CN"/>
              </w:rPr>
              <w:t>福建恒润包装有限公司</w:t>
            </w:r>
          </w:p>
          <w:p w14:paraId="1EF06C28">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（3）建设地点：</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p>
          <w:p w14:paraId="7E51690C">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（4）建设性质：</w:t>
            </w:r>
            <w:r>
              <w:rPr>
                <w:rFonts w:hint="eastAsia" w:cs="Times New Roman"/>
                <w:color w:val="auto"/>
                <w:sz w:val="24"/>
                <w:szCs w:val="24"/>
                <w:highlight w:val="none"/>
                <w:lang w:val="en-US" w:eastAsia="zh-CN"/>
              </w:rPr>
              <w:t>扩</w:t>
            </w:r>
            <w:r>
              <w:rPr>
                <w:rFonts w:hint="eastAsia" w:ascii="Times New Roman" w:hAnsi="Times New Roman" w:eastAsia="宋体" w:cs="Times New Roman"/>
                <w:color w:val="auto"/>
                <w:sz w:val="24"/>
                <w:szCs w:val="24"/>
                <w:highlight w:val="none"/>
                <w:lang w:val="en-US" w:eastAsia="zh-CN"/>
              </w:rPr>
              <w:t>建</w:t>
            </w:r>
          </w:p>
          <w:p w14:paraId="448FBD25">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（5）总投资：</w:t>
            </w:r>
            <w:r>
              <w:rPr>
                <w:rFonts w:hint="eastAsia" w:cs="Times New Roman"/>
                <w:color w:val="auto"/>
                <w:sz w:val="24"/>
                <w:szCs w:val="24"/>
                <w:highlight w:val="none"/>
                <w:lang w:val="en-US" w:eastAsia="zh-CN"/>
              </w:rPr>
              <w:t>1146.31</w:t>
            </w:r>
            <w:r>
              <w:rPr>
                <w:rFonts w:hint="eastAsia" w:ascii="Times New Roman" w:hAnsi="Times New Roman" w:eastAsia="宋体" w:cs="Times New Roman"/>
                <w:color w:val="auto"/>
                <w:sz w:val="24"/>
                <w:szCs w:val="24"/>
                <w:highlight w:val="none"/>
                <w:lang w:val="en-US" w:eastAsia="zh-CN"/>
              </w:rPr>
              <w:t>万元，其中环保投资</w:t>
            </w:r>
            <w:r>
              <w:rPr>
                <w:rFonts w:hint="eastAsia" w:cs="Times New Roman"/>
                <w:color w:val="auto"/>
                <w:sz w:val="24"/>
                <w:szCs w:val="24"/>
                <w:highlight w:val="none"/>
                <w:lang w:val="en-US" w:eastAsia="zh-CN"/>
              </w:rPr>
              <w:t>30</w:t>
            </w:r>
            <w:r>
              <w:rPr>
                <w:rFonts w:hint="eastAsia" w:ascii="Times New Roman" w:hAnsi="Times New Roman" w:eastAsia="宋体" w:cs="Times New Roman"/>
                <w:color w:val="auto"/>
                <w:sz w:val="24"/>
                <w:szCs w:val="24"/>
                <w:highlight w:val="none"/>
                <w:lang w:val="en-US" w:eastAsia="zh-CN"/>
              </w:rPr>
              <w:t>万元</w:t>
            </w:r>
          </w:p>
          <w:p w14:paraId="3A3047F8">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w:t>
            </w:r>
            <w:r>
              <w:rPr>
                <w:rFonts w:hint="eastAsia" w:cs="Times New Roman"/>
                <w:color w:val="auto"/>
                <w:sz w:val="24"/>
                <w:szCs w:val="24"/>
                <w:highlight w:val="none"/>
                <w:lang w:val="en-US" w:eastAsia="zh-CN"/>
              </w:rPr>
              <w:t>工程</w:t>
            </w:r>
            <w:r>
              <w:rPr>
                <w:rFonts w:hint="eastAsia" w:ascii="Times New Roman" w:hAnsi="Times New Roman" w:eastAsia="宋体" w:cs="Times New Roman"/>
                <w:color w:val="auto"/>
                <w:sz w:val="24"/>
                <w:szCs w:val="24"/>
                <w:highlight w:val="none"/>
                <w:lang w:val="en-US" w:eastAsia="zh-CN"/>
              </w:rPr>
              <w:t>规模：</w:t>
            </w:r>
            <w:r>
              <w:rPr>
                <w:rFonts w:hint="eastAsia" w:cs="Times New Roman"/>
                <w:color w:val="auto"/>
                <w:sz w:val="24"/>
                <w:szCs w:val="24"/>
                <w:highlight w:val="none"/>
                <w:lang w:val="en-US" w:eastAsia="zh-CN"/>
              </w:rPr>
              <w:t>主要建筑面积9131m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，本次扩建新增建筑面积6045m</w:t>
            </w:r>
            <w:r>
              <w:rPr>
                <w:rFonts w:hint="eastAsia" w:cs="Times New Roman"/>
                <w:color w:val="auto"/>
                <w:sz w:val="24"/>
                <w:szCs w:val="24"/>
                <w:highlight w:val="none"/>
                <w:vertAlign w:val="superscript"/>
                <w:lang w:val="en-US" w:eastAsia="zh-CN"/>
              </w:rPr>
              <w:t>2</w:t>
            </w:r>
          </w:p>
          <w:p w14:paraId="4520A0AF">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r>
              <w:rPr>
                <w:rFonts w:hint="eastAsia" w:cs="Times New Roman"/>
                <w:color w:val="auto"/>
                <w:sz w:val="24"/>
                <w:szCs w:val="24"/>
                <w:highlight w:val="none"/>
                <w:lang w:val="en-US" w:eastAsia="zh-CN"/>
              </w:rPr>
              <w:t>工程规模</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本次拟新增EPS包装泡沫生产线、EPP包装泡沫生产线各1条，新增年产EPS包装泡沫6000吨、EPP包装泡沫1200吨。项目建设完成后，全厂生产规模为年产EPS包装泡沫7800吨、EPP包装泡沫1200吨。</w:t>
            </w:r>
          </w:p>
          <w:p w14:paraId="63920DA6">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（8）工作制度：年生产3</w:t>
            </w:r>
            <w:r>
              <w:rPr>
                <w:rFonts w:hint="eastAsia" w:cs="Times New Roman"/>
                <w:color w:val="auto"/>
                <w:sz w:val="24"/>
                <w:szCs w:val="24"/>
                <w:highlight w:val="none"/>
                <w:u w:val="none"/>
                <w:vertAlign w:val="baseline"/>
                <w:lang w:val="en-US" w:eastAsia="zh-CN"/>
              </w:rPr>
              <w:t>30</w:t>
            </w:r>
            <w:r>
              <w:rPr>
                <w:rFonts w:hint="eastAsia" w:ascii="Times New Roman" w:hAnsi="Times New Roman" w:eastAsia="宋体" w:cs="Times New Roman"/>
                <w:color w:val="auto"/>
                <w:sz w:val="24"/>
                <w:szCs w:val="24"/>
                <w:highlight w:val="none"/>
                <w:u w:val="none"/>
                <w:vertAlign w:val="baseline"/>
                <w:lang w:val="en-US" w:eastAsia="zh-CN"/>
              </w:rPr>
              <w:t>天，</w:t>
            </w:r>
            <w:r>
              <w:rPr>
                <w:rFonts w:hint="eastAsia" w:cs="Times New Roman"/>
                <w:color w:val="auto"/>
                <w:sz w:val="24"/>
                <w:szCs w:val="24"/>
                <w:highlight w:val="none"/>
                <w:u w:val="none"/>
                <w:vertAlign w:val="baseline"/>
                <w:lang w:val="en-US" w:eastAsia="zh-CN"/>
              </w:rPr>
              <w:t>两班制</w:t>
            </w:r>
            <w:r>
              <w:rPr>
                <w:rFonts w:hint="eastAsia" w:ascii="Times New Roman" w:hAnsi="Times New Roman" w:eastAsia="宋体" w:cs="Times New Roman"/>
                <w:color w:val="auto"/>
                <w:sz w:val="24"/>
                <w:szCs w:val="24"/>
                <w:highlight w:val="none"/>
                <w:u w:val="none"/>
                <w:vertAlign w:val="baseline"/>
                <w:lang w:val="en-US" w:eastAsia="zh-CN"/>
              </w:rPr>
              <w:t>，每班</w:t>
            </w:r>
            <w:r>
              <w:rPr>
                <w:rFonts w:hint="eastAsia" w:cs="Times New Roman"/>
                <w:color w:val="auto"/>
                <w:sz w:val="24"/>
                <w:szCs w:val="24"/>
                <w:highlight w:val="none"/>
                <w:u w:val="none"/>
                <w:vertAlign w:val="baseline"/>
                <w:lang w:val="en-US" w:eastAsia="zh-CN"/>
              </w:rPr>
              <w:t>12</w:t>
            </w:r>
            <w:r>
              <w:rPr>
                <w:rFonts w:hint="eastAsia" w:ascii="Times New Roman" w:hAnsi="Times New Roman" w:eastAsia="宋体" w:cs="Times New Roman"/>
                <w:color w:val="auto"/>
                <w:sz w:val="24"/>
                <w:szCs w:val="24"/>
                <w:highlight w:val="none"/>
                <w:u w:val="none"/>
                <w:vertAlign w:val="baseline"/>
                <w:lang w:val="en-US" w:eastAsia="zh-CN"/>
              </w:rPr>
              <w:t>小时；</w:t>
            </w:r>
          </w:p>
          <w:p w14:paraId="25ABF615">
            <w:pPr>
              <w:pStyle w:val="82"/>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（9）劳动定员：</w:t>
            </w:r>
            <w:r>
              <w:rPr>
                <w:rFonts w:hint="default" w:ascii="Times New Roman" w:hAnsi="Times New Roman" w:eastAsia="宋体" w:cs="Times New Roman"/>
                <w:color w:val="auto"/>
                <w:highlight w:val="none"/>
                <w:lang w:val="en-US" w:eastAsia="zh-CN"/>
              </w:rPr>
              <w:t>扩建</w:t>
            </w:r>
            <w:r>
              <w:rPr>
                <w:rFonts w:hint="eastAsia" w:cs="Times New Roman"/>
                <w:color w:val="auto"/>
                <w:highlight w:val="none"/>
                <w:lang w:val="en-US" w:eastAsia="zh-CN"/>
              </w:rPr>
              <w:t>项目新增</w:t>
            </w:r>
            <w:r>
              <w:rPr>
                <w:rFonts w:hint="default" w:ascii="Times New Roman" w:hAnsi="Times New Roman" w:eastAsia="宋体" w:cs="Times New Roman"/>
                <w:color w:val="auto"/>
                <w:highlight w:val="none"/>
                <w:lang w:val="en-US" w:eastAsia="zh-CN"/>
              </w:rPr>
              <w:t>职工</w:t>
            </w:r>
            <w:r>
              <w:rPr>
                <w:rFonts w:hint="eastAsia" w:cs="Times New Roman"/>
                <w:color w:val="auto"/>
                <w:highlight w:val="none"/>
                <w:lang w:val="en-US" w:eastAsia="zh-CN"/>
              </w:rPr>
              <w:t>10人</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全厂合计职工人数8</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人</w:t>
            </w:r>
            <w:r>
              <w:rPr>
                <w:rFonts w:hint="default" w:ascii="Times New Roman" w:hAnsi="Times New Roman" w:eastAsia="宋体" w:cs="Times New Roman"/>
                <w:color w:val="auto"/>
                <w:lang w:val="en-US" w:eastAsia="zh-CN"/>
              </w:rPr>
              <w:t>（</w:t>
            </w:r>
            <w:r>
              <w:rPr>
                <w:rFonts w:hint="eastAsia" w:cs="Times New Roman"/>
                <w:color w:val="auto"/>
                <w:lang w:val="en-US" w:eastAsia="zh-CN"/>
              </w:rPr>
              <w:t>均不在厂内食宿</w:t>
            </w:r>
            <w:r>
              <w:rPr>
                <w:rFonts w:hint="default" w:ascii="Times New Roman" w:hAnsi="Times New Roman" w:eastAsia="宋体" w:cs="Times New Roman"/>
                <w:color w:val="auto"/>
                <w:highlight w:val="none"/>
              </w:rPr>
              <w:t>）</w:t>
            </w:r>
          </w:p>
          <w:p w14:paraId="4175C1D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31" w:name="_Toc18841"/>
            <w:bookmarkStart w:id="32" w:name="_Toc23142"/>
            <w:r>
              <w:rPr>
                <w:rFonts w:hint="default" w:ascii="Times New Roman" w:hAnsi="Times New Roman" w:eastAsia="宋体" w:cs="Times New Roman"/>
                <w:b/>
                <w:bCs/>
                <w:color w:val="auto"/>
                <w:sz w:val="24"/>
                <w:szCs w:val="24"/>
                <w:highlight w:val="none"/>
                <w:u w:val="none"/>
                <w:lang w:val="en-US" w:eastAsia="zh-CN"/>
              </w:rPr>
              <w:t>2.2.</w:t>
            </w:r>
            <w:r>
              <w:rPr>
                <w:rFonts w:hint="default" w:cs="Times New Roman"/>
                <w:b/>
                <w:bCs/>
                <w:color w:val="auto"/>
                <w:sz w:val="24"/>
                <w:szCs w:val="24"/>
                <w:highlight w:val="none"/>
                <w:u w:val="none"/>
                <w:lang w:val="en-US" w:eastAsia="zh-CN"/>
              </w:rPr>
              <w:t>3</w:t>
            </w:r>
            <w:r>
              <w:rPr>
                <w:rFonts w:hint="eastAsia" w:ascii="Times New Roman" w:hAnsi="Times New Roman" w:eastAsia="宋体" w:cs="Times New Roman"/>
                <w:b/>
                <w:bCs/>
                <w:color w:val="auto"/>
                <w:sz w:val="24"/>
                <w:szCs w:val="24"/>
                <w:highlight w:val="none"/>
                <w:u w:val="none"/>
                <w:lang w:val="en-US" w:eastAsia="zh-CN"/>
              </w:rPr>
              <w:t>项目工程组成及建设内容</w:t>
            </w:r>
            <w:bookmarkEnd w:id="31"/>
            <w:bookmarkEnd w:id="32"/>
          </w:p>
          <w:p w14:paraId="2AA979CB">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color w:val="auto"/>
                <w:sz w:val="24"/>
                <w:szCs w:val="24"/>
                <w:highlight w:val="none"/>
                <w:lang w:val="en-US" w:eastAsia="zh-CN"/>
              </w:rPr>
              <w:t>扩建</w:t>
            </w:r>
            <w:r>
              <w:rPr>
                <w:rFonts w:hint="eastAsia" w:ascii="Times New Roman" w:hAnsi="Times New Roman" w:eastAsia="宋体" w:cs="Times New Roman"/>
                <w:color w:val="auto"/>
                <w:sz w:val="24"/>
                <w:szCs w:val="24"/>
                <w:highlight w:val="none"/>
                <w:lang w:val="en-US" w:eastAsia="zh-CN"/>
              </w:rPr>
              <w:t>项目工程组成及建设内容详见表2.2-1。</w:t>
            </w:r>
          </w:p>
          <w:p w14:paraId="64DE6D39">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auto"/>
                <w:sz w:val="24"/>
                <w:szCs w:val="24"/>
                <w:highlight w:val="none"/>
                <w:lang w:val="en-US" w:eastAsia="zh-CN"/>
              </w:rPr>
            </w:pPr>
          </w:p>
          <w:p w14:paraId="67D288CB">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auto"/>
                <w:sz w:val="24"/>
                <w:szCs w:val="24"/>
                <w:highlight w:val="none"/>
                <w:lang w:val="en-US" w:eastAsia="zh-CN"/>
              </w:rPr>
            </w:pPr>
          </w:p>
          <w:p w14:paraId="7B90496A">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表2.2-1</w:t>
            </w:r>
            <w:r>
              <w:rPr>
                <w:rFonts w:hint="eastAsia" w:cs="Times New Roman"/>
                <w:b/>
                <w:bCs/>
                <w:color w:val="auto"/>
                <w:sz w:val="24"/>
                <w:szCs w:val="24"/>
                <w:highlight w:val="none"/>
                <w:lang w:val="en-US" w:eastAsia="zh-CN"/>
              </w:rPr>
              <w:t>扩建</w:t>
            </w:r>
            <w:r>
              <w:rPr>
                <w:rFonts w:hint="default" w:ascii="Times New Roman" w:hAnsi="Times New Roman" w:eastAsia="宋体" w:cs="Times New Roman"/>
                <w:b/>
                <w:bCs/>
                <w:color w:val="auto"/>
                <w:sz w:val="24"/>
                <w:szCs w:val="24"/>
                <w:highlight w:val="none"/>
                <w:lang w:val="en-US" w:eastAsia="zh-CN"/>
              </w:rPr>
              <w:t>项目工程组成及建设内容一览表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08"/>
              <w:gridCol w:w="2082"/>
              <w:gridCol w:w="2093"/>
              <w:gridCol w:w="2125"/>
              <w:gridCol w:w="728"/>
            </w:tblGrid>
            <w:tr w14:paraId="7E0D8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18" w:type="pct"/>
                  <w:tcBorders>
                    <w:tl2br w:val="nil"/>
                    <w:tr2bl w:val="nil"/>
                  </w:tcBorders>
                  <w:vAlign w:val="center"/>
                </w:tcPr>
                <w:p w14:paraId="56F86E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工程类别</w:t>
                  </w:r>
                </w:p>
              </w:tc>
              <w:tc>
                <w:tcPr>
                  <w:tcW w:w="623" w:type="pct"/>
                  <w:tcBorders>
                    <w:tl2br w:val="nil"/>
                    <w:tr2bl w:val="nil"/>
                  </w:tcBorders>
                  <w:vAlign w:val="center"/>
                </w:tcPr>
                <w:p w14:paraId="122E21C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w:t>
                  </w:r>
                </w:p>
                <w:p w14:paraId="581762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组成</w:t>
                  </w:r>
                </w:p>
              </w:tc>
              <w:tc>
                <w:tcPr>
                  <w:tcW w:w="1172" w:type="pct"/>
                  <w:tcBorders>
                    <w:tl2br w:val="nil"/>
                    <w:tr2bl w:val="nil"/>
                  </w:tcBorders>
                  <w:vAlign w:val="center"/>
                </w:tcPr>
                <w:p w14:paraId="36E0E8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现有</w:t>
                  </w:r>
                  <w:r>
                    <w:rPr>
                      <w:rFonts w:hint="eastAsia" w:ascii="Times New Roman" w:hAnsi="Times New Roman" w:eastAsia="宋体" w:cs="Times New Roman"/>
                      <w:color w:val="auto"/>
                      <w:sz w:val="21"/>
                      <w:szCs w:val="21"/>
                      <w:highlight w:val="none"/>
                      <w:vertAlign w:val="baseline"/>
                      <w:lang w:val="en-US" w:eastAsia="zh-CN"/>
                    </w:rPr>
                    <w:t>工程规模和内容</w:t>
                  </w:r>
                </w:p>
              </w:tc>
              <w:tc>
                <w:tcPr>
                  <w:tcW w:w="1178" w:type="pct"/>
                  <w:tcBorders>
                    <w:tl2br w:val="nil"/>
                    <w:tr2bl w:val="nil"/>
                  </w:tcBorders>
                  <w:vAlign w:val="center"/>
                </w:tcPr>
                <w:p w14:paraId="0E5B6A6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本项目扩建内容</w:t>
                  </w:r>
                </w:p>
              </w:tc>
              <w:tc>
                <w:tcPr>
                  <w:tcW w:w="1196" w:type="pct"/>
                  <w:tcBorders>
                    <w:tl2br w:val="nil"/>
                    <w:tr2bl w:val="nil"/>
                  </w:tcBorders>
                  <w:vAlign w:val="center"/>
                </w:tcPr>
                <w:p w14:paraId="1D5ED6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扩建完成后建设内容</w:t>
                  </w:r>
                </w:p>
              </w:tc>
              <w:tc>
                <w:tcPr>
                  <w:tcW w:w="409" w:type="pct"/>
                  <w:tcBorders>
                    <w:tl2br w:val="nil"/>
                    <w:tr2bl w:val="nil"/>
                  </w:tcBorders>
                  <w:vAlign w:val="center"/>
                </w:tcPr>
                <w:p w14:paraId="6F5A8A6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备注</w:t>
                  </w:r>
                </w:p>
              </w:tc>
            </w:tr>
            <w:tr w14:paraId="790AD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418" w:type="pct"/>
                  <w:vMerge w:val="restart"/>
                  <w:tcBorders>
                    <w:tl2br w:val="nil"/>
                    <w:tr2bl w:val="nil"/>
                  </w:tcBorders>
                  <w:vAlign w:val="center"/>
                </w:tcPr>
                <w:p w14:paraId="0987798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主体工程</w:t>
                  </w:r>
                </w:p>
              </w:tc>
              <w:tc>
                <w:tcPr>
                  <w:tcW w:w="623" w:type="pct"/>
                  <w:tcBorders>
                    <w:tl2br w:val="nil"/>
                    <w:tr2bl w:val="nil"/>
                  </w:tcBorders>
                  <w:vAlign w:val="center"/>
                </w:tcPr>
                <w:p w14:paraId="27474FE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发泡房</w:t>
                  </w:r>
                </w:p>
              </w:tc>
              <w:tc>
                <w:tcPr>
                  <w:tcW w:w="1172" w:type="pct"/>
                  <w:tcBorders>
                    <w:tl2br w:val="nil"/>
                    <w:tr2bl w:val="nil"/>
                  </w:tcBorders>
                  <w:vAlign w:val="center"/>
                </w:tcPr>
                <w:p w14:paraId="4B5088B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位于1#厂房西侧建设一间发泡房，购置发料机2台</w:t>
                  </w:r>
                </w:p>
              </w:tc>
              <w:tc>
                <w:tcPr>
                  <w:tcW w:w="1178" w:type="pct"/>
                  <w:tcBorders>
                    <w:tl2br w:val="nil"/>
                    <w:tr2bl w:val="nil"/>
                  </w:tcBorders>
                  <w:vAlign w:val="center"/>
                </w:tcPr>
                <w:p w14:paraId="087A17F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依托位于1#厂房西侧已建设的一间发泡间，新增1台发料机</w:t>
                  </w:r>
                </w:p>
              </w:tc>
              <w:tc>
                <w:tcPr>
                  <w:tcW w:w="1196" w:type="pct"/>
                  <w:tcBorders>
                    <w:tl2br w:val="nil"/>
                    <w:tr2bl w:val="nil"/>
                  </w:tcBorders>
                  <w:vAlign w:val="center"/>
                </w:tcPr>
                <w:p w14:paraId="343A2A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位于1#厂房西侧设置一间发泡房，共建设发料机3台</w:t>
                  </w:r>
                </w:p>
              </w:tc>
              <w:tc>
                <w:tcPr>
                  <w:tcW w:w="409" w:type="pct"/>
                  <w:tcBorders>
                    <w:tl2br w:val="nil"/>
                    <w:tr2bl w:val="nil"/>
                  </w:tcBorders>
                  <w:shd w:val="clear" w:color="auto" w:fill="auto"/>
                  <w:vAlign w:val="center"/>
                </w:tcPr>
                <w:p w14:paraId="6B08F4A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依托现有</w:t>
                  </w:r>
                </w:p>
              </w:tc>
            </w:tr>
            <w:tr w14:paraId="7C0ED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418" w:type="pct"/>
                  <w:vMerge w:val="continue"/>
                  <w:tcBorders>
                    <w:tl2br w:val="nil"/>
                    <w:tr2bl w:val="nil"/>
                  </w:tcBorders>
                  <w:vAlign w:val="center"/>
                </w:tcPr>
                <w:p w14:paraId="3476199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vAlign w:val="center"/>
                </w:tcPr>
                <w:p w14:paraId="2712774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成型区</w:t>
                  </w:r>
                </w:p>
              </w:tc>
              <w:tc>
                <w:tcPr>
                  <w:tcW w:w="1172" w:type="pct"/>
                  <w:tcBorders>
                    <w:tl2br w:val="nil"/>
                    <w:tr2bl w:val="nil"/>
                  </w:tcBorders>
                  <w:vAlign w:val="center"/>
                </w:tcPr>
                <w:p w14:paraId="478D334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位于1#厂房北侧成型区内建设成型生产线，购置成型机10台</w:t>
                  </w:r>
                </w:p>
              </w:tc>
              <w:tc>
                <w:tcPr>
                  <w:tcW w:w="1178" w:type="pct"/>
                  <w:tcBorders>
                    <w:tl2br w:val="nil"/>
                    <w:tr2bl w:val="nil"/>
                  </w:tcBorders>
                  <w:vAlign w:val="center"/>
                </w:tcPr>
                <w:p w14:paraId="6D86BCC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位于1#厂房南侧成型区内建设成型生产线，购置成型机24台</w:t>
                  </w:r>
                </w:p>
              </w:tc>
              <w:tc>
                <w:tcPr>
                  <w:tcW w:w="1196" w:type="pct"/>
                  <w:tcBorders>
                    <w:tl2br w:val="nil"/>
                    <w:tr2bl w:val="nil"/>
                  </w:tcBorders>
                  <w:vAlign w:val="center"/>
                </w:tcPr>
                <w:p w14:paraId="67281D8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位于1#厂房南北侧成型区内共建设2条成型生产线，共设有成型机34台</w:t>
                  </w:r>
                </w:p>
              </w:tc>
              <w:tc>
                <w:tcPr>
                  <w:tcW w:w="409" w:type="pct"/>
                  <w:tcBorders>
                    <w:tl2br w:val="nil"/>
                    <w:tr2bl w:val="nil"/>
                  </w:tcBorders>
                  <w:shd w:val="clear" w:color="auto" w:fill="auto"/>
                  <w:vAlign w:val="center"/>
                </w:tcPr>
                <w:p w14:paraId="349DFB5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本次新增</w:t>
                  </w:r>
                </w:p>
              </w:tc>
            </w:tr>
            <w:tr w14:paraId="290D1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418" w:type="pct"/>
                  <w:vMerge w:val="continue"/>
                  <w:tcBorders>
                    <w:tl2br w:val="nil"/>
                    <w:tr2bl w:val="nil"/>
                  </w:tcBorders>
                  <w:vAlign w:val="center"/>
                </w:tcPr>
                <w:p w14:paraId="3BBE7D8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vAlign w:val="center"/>
                </w:tcPr>
                <w:p w14:paraId="30FEC86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烘干房</w:t>
                  </w:r>
                </w:p>
              </w:tc>
              <w:tc>
                <w:tcPr>
                  <w:tcW w:w="1172" w:type="pct"/>
                  <w:tcBorders>
                    <w:tl2br w:val="nil"/>
                    <w:tr2bl w:val="nil"/>
                  </w:tcBorders>
                  <w:vAlign w:val="center"/>
                </w:tcPr>
                <w:p w14:paraId="64CF3E7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位于1#厂房中部设置一间烘房内，建设1条烘干生产线</w:t>
                  </w:r>
                </w:p>
              </w:tc>
              <w:tc>
                <w:tcPr>
                  <w:tcW w:w="1178" w:type="pct"/>
                  <w:tcBorders>
                    <w:tl2br w:val="nil"/>
                    <w:tr2bl w:val="nil"/>
                  </w:tcBorders>
                  <w:vAlign w:val="center"/>
                </w:tcPr>
                <w:p w14:paraId="0AA7C89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依托位于1#厂房中部设置一间烘房内，新建设1条烘干生产线</w:t>
                  </w:r>
                </w:p>
              </w:tc>
              <w:tc>
                <w:tcPr>
                  <w:tcW w:w="1196" w:type="pct"/>
                  <w:tcBorders>
                    <w:tl2br w:val="nil"/>
                    <w:tr2bl w:val="nil"/>
                  </w:tcBorders>
                  <w:vAlign w:val="center"/>
                </w:tcPr>
                <w:p w14:paraId="7FF129B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位于1#厂房中部设置一间烘房内，共建设3条烘干生产线</w:t>
                  </w:r>
                </w:p>
              </w:tc>
              <w:tc>
                <w:tcPr>
                  <w:tcW w:w="409" w:type="pct"/>
                  <w:tcBorders>
                    <w:tl2br w:val="nil"/>
                    <w:tr2bl w:val="nil"/>
                  </w:tcBorders>
                  <w:shd w:val="clear" w:color="auto" w:fill="auto"/>
                  <w:vAlign w:val="center"/>
                </w:tcPr>
                <w:p w14:paraId="7C0BC08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本次新增</w:t>
                  </w:r>
                </w:p>
              </w:tc>
            </w:tr>
            <w:tr w14:paraId="5008B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18" w:type="pct"/>
                  <w:vMerge w:val="continue"/>
                  <w:tcBorders>
                    <w:tl2br w:val="nil"/>
                    <w:tr2bl w:val="nil"/>
                  </w:tcBorders>
                  <w:vAlign w:val="center"/>
                </w:tcPr>
                <w:p w14:paraId="463C6FC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vAlign w:val="center"/>
                </w:tcPr>
                <w:p w14:paraId="1DEA838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生产设备</w:t>
                  </w:r>
                </w:p>
              </w:tc>
              <w:tc>
                <w:tcPr>
                  <w:tcW w:w="1172" w:type="pct"/>
                  <w:tcBorders>
                    <w:tl2br w:val="nil"/>
                    <w:tr2bl w:val="nil"/>
                  </w:tcBorders>
                  <w:vAlign w:val="center"/>
                </w:tcPr>
                <w:p w14:paraId="49AEE6A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购置设备总数合计25台，建设一条EPS包装泡沫生产线</w:t>
                  </w:r>
                </w:p>
              </w:tc>
              <w:tc>
                <w:tcPr>
                  <w:tcW w:w="1178" w:type="pct"/>
                  <w:tcBorders>
                    <w:tl2br w:val="nil"/>
                    <w:tr2bl w:val="nil"/>
                  </w:tcBorders>
                  <w:vAlign w:val="center"/>
                </w:tcPr>
                <w:p w14:paraId="1673466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扩建新增设备总数62台，建设3条包装泡沫生产线</w:t>
                  </w:r>
                </w:p>
              </w:tc>
              <w:tc>
                <w:tcPr>
                  <w:tcW w:w="1196" w:type="pct"/>
                  <w:tcBorders>
                    <w:tl2br w:val="nil"/>
                    <w:tr2bl w:val="nil"/>
                  </w:tcBorders>
                  <w:vAlign w:val="center"/>
                </w:tcPr>
                <w:p w14:paraId="01B2642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建设后全厂设备总数87台。共有5条包装泡沫生产线</w:t>
                  </w:r>
                </w:p>
              </w:tc>
              <w:tc>
                <w:tcPr>
                  <w:tcW w:w="409" w:type="pct"/>
                  <w:tcBorders>
                    <w:tl2br w:val="nil"/>
                    <w:tr2bl w:val="nil"/>
                  </w:tcBorders>
                  <w:vAlign w:val="center"/>
                </w:tcPr>
                <w:p w14:paraId="5C4EDE6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本次新增</w:t>
                  </w:r>
                </w:p>
              </w:tc>
            </w:tr>
            <w:tr w14:paraId="2ECA9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restart"/>
                  <w:tcBorders>
                    <w:tl2br w:val="nil"/>
                    <w:tr2bl w:val="nil"/>
                  </w:tcBorders>
                  <w:vAlign w:val="center"/>
                </w:tcPr>
                <w:p w14:paraId="305CC0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辅助工程</w:t>
                  </w:r>
                </w:p>
              </w:tc>
              <w:tc>
                <w:tcPr>
                  <w:tcW w:w="623" w:type="pct"/>
                  <w:tcBorders>
                    <w:tl2br w:val="nil"/>
                    <w:tr2bl w:val="nil"/>
                  </w:tcBorders>
                  <w:vAlign w:val="center"/>
                </w:tcPr>
                <w:p w14:paraId="79D6EA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olor w:val="auto"/>
                      <w:lang w:val="en-US" w:eastAsia="zh-CN"/>
                    </w:rPr>
                  </w:pPr>
                  <w:r>
                    <w:rPr>
                      <w:rFonts w:hint="eastAsia" w:cs="Times New Roman"/>
                      <w:color w:val="auto"/>
                      <w:sz w:val="21"/>
                      <w:szCs w:val="21"/>
                      <w:highlight w:val="none"/>
                      <w:vertAlign w:val="baseline"/>
                      <w:lang w:val="en-US" w:eastAsia="zh-CN"/>
                    </w:rPr>
                    <w:t>空压机房</w:t>
                  </w:r>
                </w:p>
              </w:tc>
              <w:tc>
                <w:tcPr>
                  <w:tcW w:w="1172" w:type="pct"/>
                  <w:tcBorders>
                    <w:tl2br w:val="nil"/>
                    <w:tr2bl w:val="nil"/>
                  </w:tcBorders>
                  <w:vAlign w:val="center"/>
                </w:tcPr>
                <w:p w14:paraId="5C8931F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位于项目西北侧建设一间空压机房</w:t>
                  </w:r>
                </w:p>
              </w:tc>
              <w:tc>
                <w:tcPr>
                  <w:tcW w:w="1178" w:type="pct"/>
                  <w:tcBorders>
                    <w:tl2br w:val="nil"/>
                    <w:tr2bl w:val="nil"/>
                  </w:tcBorders>
                  <w:vAlign w:val="center"/>
                </w:tcPr>
                <w:p w14:paraId="7F5828B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1196" w:type="pct"/>
                  <w:tcBorders>
                    <w:tl2br w:val="nil"/>
                    <w:tr2bl w:val="nil"/>
                  </w:tcBorders>
                  <w:vAlign w:val="center"/>
                </w:tcPr>
                <w:p w14:paraId="7A6B69D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位于项目西北侧建设一间空压机房</w:t>
                  </w:r>
                </w:p>
              </w:tc>
              <w:tc>
                <w:tcPr>
                  <w:tcW w:w="409" w:type="pct"/>
                  <w:tcBorders>
                    <w:tl2br w:val="nil"/>
                    <w:tr2bl w:val="nil"/>
                  </w:tcBorders>
                  <w:vAlign w:val="center"/>
                </w:tcPr>
                <w:p w14:paraId="4118DA7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075AD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tcBorders>
                    <w:tl2br w:val="nil"/>
                    <w:tr2bl w:val="nil"/>
                  </w:tcBorders>
                  <w:vAlign w:val="center"/>
                </w:tcPr>
                <w:p w14:paraId="758FFA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vAlign w:val="center"/>
                </w:tcPr>
                <w:p w14:paraId="00F82B3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olor w:val="auto"/>
                      <w:lang w:val="en-US" w:eastAsia="zh-CN"/>
                    </w:rPr>
                  </w:pPr>
                  <w:r>
                    <w:rPr>
                      <w:rFonts w:hint="eastAsia" w:cs="Times New Roman"/>
                      <w:color w:val="auto"/>
                      <w:sz w:val="21"/>
                      <w:szCs w:val="21"/>
                      <w:highlight w:val="none"/>
                      <w:vertAlign w:val="baseline"/>
                      <w:lang w:val="en-US" w:eastAsia="zh-CN"/>
                    </w:rPr>
                    <w:t>原料区</w:t>
                  </w:r>
                </w:p>
              </w:tc>
              <w:tc>
                <w:tcPr>
                  <w:tcW w:w="1172" w:type="pct"/>
                  <w:tcBorders>
                    <w:tl2br w:val="nil"/>
                    <w:tr2bl w:val="nil"/>
                  </w:tcBorders>
                  <w:vAlign w:val="center"/>
                </w:tcPr>
                <w:p w14:paraId="20D813E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位于1#组装车间（生产车间内）西南角</w:t>
                  </w:r>
                </w:p>
              </w:tc>
              <w:tc>
                <w:tcPr>
                  <w:tcW w:w="1178" w:type="pct"/>
                  <w:tcBorders>
                    <w:tl2br w:val="nil"/>
                    <w:tr2bl w:val="nil"/>
                  </w:tcBorders>
                  <w:vAlign w:val="center"/>
                </w:tcPr>
                <w:p w14:paraId="226F7FC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1196" w:type="pct"/>
                  <w:tcBorders>
                    <w:tl2br w:val="nil"/>
                    <w:tr2bl w:val="nil"/>
                  </w:tcBorders>
                  <w:vAlign w:val="center"/>
                </w:tcPr>
                <w:p w14:paraId="5FB47C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位于1#组装车间（生产车间内）西南角</w:t>
                  </w:r>
                </w:p>
              </w:tc>
              <w:tc>
                <w:tcPr>
                  <w:tcW w:w="409" w:type="pct"/>
                  <w:tcBorders>
                    <w:tl2br w:val="nil"/>
                    <w:tr2bl w:val="nil"/>
                  </w:tcBorders>
                  <w:vAlign w:val="center"/>
                </w:tcPr>
                <w:p w14:paraId="1274A29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67CB6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tcBorders>
                    <w:tl2br w:val="nil"/>
                    <w:tr2bl w:val="nil"/>
                  </w:tcBorders>
                  <w:vAlign w:val="center"/>
                </w:tcPr>
                <w:p w14:paraId="39B766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shd w:val="clear" w:color="auto" w:fill="auto"/>
                  <w:vAlign w:val="center"/>
                </w:tcPr>
                <w:p w14:paraId="1560A04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成品仓库</w:t>
                  </w:r>
                </w:p>
              </w:tc>
              <w:tc>
                <w:tcPr>
                  <w:tcW w:w="1172" w:type="pct"/>
                  <w:tcBorders>
                    <w:tl2br w:val="nil"/>
                    <w:tr2bl w:val="nil"/>
                  </w:tcBorders>
                  <w:shd w:val="clear" w:color="auto" w:fill="auto"/>
                  <w:vAlign w:val="center"/>
                </w:tcPr>
                <w:p w14:paraId="3CD42E2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位于1#组装车间（生产车间内）东侧一角作为成品存放区</w:t>
                  </w:r>
                </w:p>
              </w:tc>
              <w:tc>
                <w:tcPr>
                  <w:tcW w:w="1178" w:type="pct"/>
                  <w:tcBorders>
                    <w:tl2br w:val="nil"/>
                    <w:tr2bl w:val="nil"/>
                  </w:tcBorders>
                  <w:shd w:val="clear" w:color="auto" w:fill="auto"/>
                  <w:vAlign w:val="center"/>
                </w:tcPr>
                <w:p w14:paraId="5E9309B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新增2#金属配件车间作为成品仓库，面积6045m</w:t>
                  </w:r>
                  <w:r>
                    <w:rPr>
                      <w:rFonts w:hint="eastAsia" w:cs="Times New Roman"/>
                      <w:color w:val="auto"/>
                      <w:sz w:val="21"/>
                      <w:szCs w:val="21"/>
                      <w:highlight w:val="none"/>
                      <w:vertAlign w:val="superscript"/>
                      <w:lang w:val="en-US" w:eastAsia="zh-CN"/>
                    </w:rPr>
                    <w:t>2</w:t>
                  </w:r>
                </w:p>
              </w:tc>
              <w:tc>
                <w:tcPr>
                  <w:tcW w:w="1196" w:type="pct"/>
                  <w:tcBorders>
                    <w:tl2br w:val="nil"/>
                    <w:tr2bl w:val="nil"/>
                  </w:tcBorders>
                  <w:shd w:val="clear" w:color="auto" w:fill="auto"/>
                  <w:vAlign w:val="center"/>
                </w:tcPr>
                <w:p w14:paraId="095610F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成品仓库位于新增2#厂房作为成品仓库，面积6045m</w:t>
                  </w:r>
                  <w:r>
                    <w:rPr>
                      <w:rFonts w:hint="eastAsia" w:cs="Times New Roman"/>
                      <w:color w:val="auto"/>
                      <w:sz w:val="21"/>
                      <w:szCs w:val="21"/>
                      <w:highlight w:val="none"/>
                      <w:vertAlign w:val="superscript"/>
                      <w:lang w:val="en-US" w:eastAsia="zh-CN"/>
                    </w:rPr>
                    <w:t>2</w:t>
                  </w:r>
                </w:p>
              </w:tc>
              <w:tc>
                <w:tcPr>
                  <w:tcW w:w="409" w:type="pct"/>
                  <w:tcBorders>
                    <w:tl2br w:val="nil"/>
                    <w:tr2bl w:val="nil"/>
                  </w:tcBorders>
                  <w:shd w:val="clear" w:color="auto" w:fill="auto"/>
                  <w:vAlign w:val="center"/>
                </w:tcPr>
                <w:p w14:paraId="413BAD7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本次新增</w:t>
                  </w:r>
                </w:p>
              </w:tc>
            </w:tr>
            <w:tr w14:paraId="1B9EB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restart"/>
                  <w:tcBorders>
                    <w:tl2br w:val="nil"/>
                    <w:tr2bl w:val="nil"/>
                  </w:tcBorders>
                  <w:vAlign w:val="center"/>
                </w:tcPr>
                <w:p w14:paraId="0426A1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公用工程</w:t>
                  </w:r>
                </w:p>
              </w:tc>
              <w:tc>
                <w:tcPr>
                  <w:tcW w:w="623" w:type="pct"/>
                  <w:tcBorders>
                    <w:tl2br w:val="nil"/>
                    <w:tr2bl w:val="nil"/>
                  </w:tcBorders>
                  <w:shd w:val="clear" w:color="auto" w:fill="auto"/>
                  <w:vAlign w:val="center"/>
                </w:tcPr>
                <w:p w14:paraId="49021727">
                  <w:pPr>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供水</w:t>
                  </w:r>
                </w:p>
              </w:tc>
              <w:tc>
                <w:tcPr>
                  <w:tcW w:w="1172" w:type="pct"/>
                  <w:tcBorders>
                    <w:tl2br w:val="nil"/>
                    <w:tr2bl w:val="nil"/>
                  </w:tcBorders>
                  <w:vAlign w:val="center"/>
                </w:tcPr>
                <w:p w14:paraId="78DF3D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市政供水管网供给</w:t>
                  </w:r>
                </w:p>
              </w:tc>
              <w:tc>
                <w:tcPr>
                  <w:tcW w:w="1178" w:type="pct"/>
                  <w:tcBorders>
                    <w:tl2br w:val="nil"/>
                    <w:tr2bl w:val="nil"/>
                  </w:tcBorders>
                  <w:vAlign w:val="center"/>
                </w:tcPr>
                <w:p w14:paraId="3B7C0DB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olor w:val="auto"/>
                      <w:szCs w:val="21"/>
                      <w:highlight w:val="none"/>
                    </w:rPr>
                  </w:pPr>
                  <w:r>
                    <w:rPr>
                      <w:rFonts w:hint="eastAsia" w:cs="Times New Roman"/>
                      <w:color w:val="auto"/>
                      <w:sz w:val="21"/>
                      <w:szCs w:val="21"/>
                      <w:highlight w:val="none"/>
                      <w:vertAlign w:val="baseline"/>
                      <w:lang w:val="en-US" w:eastAsia="zh-CN"/>
                    </w:rPr>
                    <w:t>利用现有项目，无新增</w:t>
                  </w:r>
                </w:p>
              </w:tc>
              <w:tc>
                <w:tcPr>
                  <w:tcW w:w="1196" w:type="pct"/>
                  <w:tcBorders>
                    <w:tl2br w:val="nil"/>
                    <w:tr2bl w:val="nil"/>
                  </w:tcBorders>
                  <w:shd w:val="clear" w:color="auto" w:fill="auto"/>
                  <w:vAlign w:val="center"/>
                </w:tcPr>
                <w:p w14:paraId="2D6E67A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市政供水管网供给</w:t>
                  </w:r>
                </w:p>
              </w:tc>
              <w:tc>
                <w:tcPr>
                  <w:tcW w:w="409" w:type="pct"/>
                  <w:tcBorders>
                    <w:tl2br w:val="nil"/>
                    <w:tr2bl w:val="nil"/>
                  </w:tcBorders>
                  <w:shd w:val="clear" w:color="auto" w:fill="auto"/>
                  <w:vAlign w:val="center"/>
                </w:tcPr>
                <w:p w14:paraId="3458103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3F97B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18" w:type="pct"/>
                  <w:vMerge w:val="continue"/>
                  <w:tcBorders>
                    <w:tl2br w:val="nil"/>
                    <w:tr2bl w:val="nil"/>
                  </w:tcBorders>
                  <w:vAlign w:val="center"/>
                </w:tcPr>
                <w:p w14:paraId="19634C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shd w:val="clear" w:color="auto" w:fill="auto"/>
                  <w:vAlign w:val="center"/>
                </w:tcPr>
                <w:p w14:paraId="39282D1C">
                  <w:pPr>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供电</w:t>
                  </w:r>
                </w:p>
              </w:tc>
              <w:tc>
                <w:tcPr>
                  <w:tcW w:w="1172" w:type="pct"/>
                  <w:tcBorders>
                    <w:tl2br w:val="nil"/>
                    <w:tr2bl w:val="nil"/>
                  </w:tcBorders>
                  <w:vAlign w:val="center"/>
                </w:tcPr>
                <w:p w14:paraId="3C03B7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市政供电</w:t>
                  </w:r>
                </w:p>
              </w:tc>
              <w:tc>
                <w:tcPr>
                  <w:tcW w:w="1178" w:type="pct"/>
                  <w:tcBorders>
                    <w:tl2br w:val="nil"/>
                    <w:tr2bl w:val="nil"/>
                  </w:tcBorders>
                  <w:shd w:val="clear" w:color="auto" w:fill="auto"/>
                  <w:vAlign w:val="center"/>
                </w:tcPr>
                <w:p w14:paraId="75D31A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1196" w:type="pct"/>
                  <w:tcBorders>
                    <w:tl2br w:val="nil"/>
                    <w:tr2bl w:val="nil"/>
                  </w:tcBorders>
                  <w:shd w:val="clear" w:color="auto" w:fill="auto"/>
                  <w:vAlign w:val="center"/>
                </w:tcPr>
                <w:p w14:paraId="2871D72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市政供电</w:t>
                  </w:r>
                </w:p>
              </w:tc>
              <w:tc>
                <w:tcPr>
                  <w:tcW w:w="409" w:type="pct"/>
                  <w:tcBorders>
                    <w:tl2br w:val="nil"/>
                    <w:tr2bl w:val="nil"/>
                  </w:tcBorders>
                  <w:shd w:val="clear" w:color="auto" w:fill="auto"/>
                  <w:vAlign w:val="center"/>
                </w:tcPr>
                <w:p w14:paraId="209EBCE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22869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18" w:type="pct"/>
                  <w:vMerge w:val="continue"/>
                  <w:tcBorders>
                    <w:tl2br w:val="nil"/>
                    <w:tr2bl w:val="nil"/>
                  </w:tcBorders>
                  <w:vAlign w:val="center"/>
                </w:tcPr>
                <w:p w14:paraId="5511B0F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shd w:val="clear" w:color="auto" w:fill="auto"/>
                  <w:vAlign w:val="center"/>
                </w:tcPr>
                <w:p w14:paraId="4A041062">
                  <w:pPr>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供气</w:t>
                  </w:r>
                </w:p>
              </w:tc>
              <w:tc>
                <w:tcPr>
                  <w:tcW w:w="1172" w:type="pct"/>
                  <w:tcBorders>
                    <w:tl2br w:val="nil"/>
                    <w:tr2bl w:val="nil"/>
                  </w:tcBorders>
                  <w:vAlign w:val="center"/>
                </w:tcPr>
                <w:p w14:paraId="2D180B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olor w:val="auto"/>
                      <w:lang w:val="en-US" w:eastAsia="zh-CN"/>
                    </w:rPr>
                  </w:pPr>
                  <w:r>
                    <w:rPr>
                      <w:rFonts w:hint="eastAsia" w:cs="Times New Roman"/>
                      <w:color w:val="auto"/>
                      <w:sz w:val="21"/>
                      <w:szCs w:val="21"/>
                      <w:highlight w:val="none"/>
                      <w:vertAlign w:val="baseline"/>
                      <w:lang w:val="en-US" w:eastAsia="zh-CN"/>
                    </w:rPr>
                    <w:t>蒸汽由国电福州发电有限公司供应，年供应1300吨，以管道方式输送，正常流量为3t/h</w:t>
                  </w:r>
                </w:p>
              </w:tc>
              <w:tc>
                <w:tcPr>
                  <w:tcW w:w="1178" w:type="pct"/>
                  <w:tcBorders>
                    <w:tl2br w:val="nil"/>
                    <w:tr2bl w:val="nil"/>
                  </w:tcBorders>
                  <w:vAlign w:val="center"/>
                </w:tcPr>
                <w:p w14:paraId="6956722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与现有项目相同</w:t>
                  </w:r>
                </w:p>
              </w:tc>
              <w:tc>
                <w:tcPr>
                  <w:tcW w:w="1196" w:type="pct"/>
                  <w:tcBorders>
                    <w:tl2br w:val="nil"/>
                    <w:tr2bl w:val="nil"/>
                  </w:tcBorders>
                  <w:shd w:val="clear" w:color="auto" w:fill="auto"/>
                  <w:vAlign w:val="center"/>
                </w:tcPr>
                <w:p w14:paraId="61588D7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1"/>
                      <w:highlight w:val="none"/>
                      <w:vertAlign w:val="baseline"/>
                      <w:lang w:val="en-US" w:eastAsia="zh-CN"/>
                    </w:rPr>
                    <w:t>蒸汽由国电福州发电有限公司供应，年供应93000吨，以管道方式输送，正常流量为3t/h</w:t>
                  </w:r>
                </w:p>
              </w:tc>
              <w:tc>
                <w:tcPr>
                  <w:tcW w:w="409" w:type="pct"/>
                  <w:tcBorders>
                    <w:tl2br w:val="nil"/>
                    <w:tr2bl w:val="nil"/>
                  </w:tcBorders>
                  <w:shd w:val="clear" w:color="auto" w:fill="auto"/>
                  <w:vAlign w:val="center"/>
                </w:tcPr>
                <w:p w14:paraId="4B71B45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新增用量</w:t>
                  </w:r>
                </w:p>
              </w:tc>
            </w:tr>
            <w:tr w14:paraId="4E9EC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8" w:type="pct"/>
                  <w:vMerge w:val="restart"/>
                  <w:tcBorders>
                    <w:tl2br w:val="nil"/>
                    <w:tr2bl w:val="nil"/>
                  </w:tcBorders>
                  <w:vAlign w:val="center"/>
                </w:tcPr>
                <w:p w14:paraId="625B72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环保工程</w:t>
                  </w:r>
                </w:p>
              </w:tc>
              <w:tc>
                <w:tcPr>
                  <w:tcW w:w="623" w:type="pct"/>
                  <w:tcBorders>
                    <w:tl2br w:val="nil"/>
                    <w:tr2bl w:val="nil"/>
                  </w:tcBorders>
                  <w:vAlign w:val="center"/>
                </w:tcPr>
                <w:p w14:paraId="6DFC32D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生活污水化粪池</w:t>
                  </w:r>
                </w:p>
              </w:tc>
              <w:tc>
                <w:tcPr>
                  <w:tcW w:w="1172" w:type="pct"/>
                  <w:tcBorders>
                    <w:tl2br w:val="nil"/>
                    <w:tr2bl w:val="nil"/>
                  </w:tcBorders>
                  <w:vAlign w:val="center"/>
                </w:tcPr>
                <w:p w14:paraId="4BFD9C25">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依托厂区内已建设化粪池（40m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1178" w:type="pct"/>
                  <w:tcBorders>
                    <w:tl2br w:val="nil"/>
                    <w:tr2bl w:val="nil"/>
                  </w:tcBorders>
                  <w:vAlign w:val="center"/>
                </w:tcPr>
                <w:p w14:paraId="39F0393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u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1196" w:type="pct"/>
                  <w:tcBorders>
                    <w:tl2br w:val="nil"/>
                    <w:tr2bl w:val="nil"/>
                  </w:tcBorders>
                  <w:vAlign w:val="center"/>
                </w:tcPr>
                <w:p w14:paraId="73B0101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依托厂区内已建设化粪池（40m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409" w:type="pct"/>
                  <w:tcBorders>
                    <w:tl2br w:val="nil"/>
                    <w:tr2bl w:val="nil"/>
                  </w:tcBorders>
                  <w:vAlign w:val="center"/>
                </w:tcPr>
                <w:p w14:paraId="01E715B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57A15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418" w:type="pct"/>
                  <w:vMerge w:val="continue"/>
                  <w:tcBorders>
                    <w:tl2br w:val="nil"/>
                    <w:tr2bl w:val="nil"/>
                  </w:tcBorders>
                  <w:vAlign w:val="center"/>
                </w:tcPr>
                <w:p w14:paraId="389D17F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shd w:val="clear" w:color="auto" w:fill="auto"/>
                  <w:vAlign w:val="center"/>
                </w:tcPr>
                <w:p w14:paraId="707845E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冷却水循环沉淀池</w:t>
                  </w:r>
                </w:p>
              </w:tc>
              <w:tc>
                <w:tcPr>
                  <w:tcW w:w="1172" w:type="pct"/>
                  <w:tcBorders>
                    <w:tl2br w:val="nil"/>
                    <w:tr2bl w:val="nil"/>
                  </w:tcBorders>
                  <w:shd w:val="clear" w:color="auto" w:fill="auto"/>
                  <w:vAlign w:val="center"/>
                </w:tcPr>
                <w:p w14:paraId="0503060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冷却水循环沉淀池（长×宽×高：17m×4m×3m）</w:t>
                  </w:r>
                </w:p>
              </w:tc>
              <w:tc>
                <w:tcPr>
                  <w:tcW w:w="1178" w:type="pct"/>
                  <w:tcBorders>
                    <w:tl2br w:val="nil"/>
                    <w:tr2bl w:val="nil"/>
                  </w:tcBorders>
                  <w:shd w:val="clear" w:color="auto" w:fill="auto"/>
                  <w:vAlign w:val="center"/>
                </w:tcPr>
                <w:p w14:paraId="4D1B652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u w:val="none"/>
                      <w:vertAlign w:val="baseline"/>
                      <w:lang w:val="en-US" w:eastAsia="zh-CN" w:bidi="ar-SA"/>
                    </w:rPr>
                  </w:pPr>
                  <w:r>
                    <w:rPr>
                      <w:rFonts w:hint="eastAsia" w:cs="Times New Roman"/>
                      <w:color w:val="auto"/>
                      <w:sz w:val="21"/>
                      <w:szCs w:val="21"/>
                      <w:highlight w:val="none"/>
                      <w:vertAlign w:val="baseline"/>
                      <w:lang w:val="en-US" w:eastAsia="zh-CN"/>
                    </w:rPr>
                    <w:t>利用现有项目，无新增</w:t>
                  </w:r>
                </w:p>
              </w:tc>
              <w:tc>
                <w:tcPr>
                  <w:tcW w:w="1196" w:type="pct"/>
                  <w:tcBorders>
                    <w:tl2br w:val="nil"/>
                    <w:tr2bl w:val="nil"/>
                  </w:tcBorders>
                  <w:shd w:val="clear" w:color="auto" w:fill="auto"/>
                  <w:vAlign w:val="center"/>
                </w:tcPr>
                <w:p w14:paraId="1F0301A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冷却水循环沉淀池（长×宽×高：17m×4m×3m）</w:t>
                  </w:r>
                </w:p>
              </w:tc>
              <w:tc>
                <w:tcPr>
                  <w:tcW w:w="409" w:type="pct"/>
                  <w:tcBorders>
                    <w:tl2br w:val="nil"/>
                    <w:tr2bl w:val="nil"/>
                  </w:tcBorders>
                  <w:shd w:val="clear" w:color="auto" w:fill="auto"/>
                  <w:vAlign w:val="center"/>
                </w:tcPr>
                <w:p w14:paraId="4790079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依托现有</w:t>
                  </w:r>
                </w:p>
              </w:tc>
            </w:tr>
            <w:tr w14:paraId="207C1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418" w:type="pct"/>
                  <w:vMerge w:val="continue"/>
                  <w:tcBorders>
                    <w:tl2br w:val="nil"/>
                    <w:tr2bl w:val="nil"/>
                  </w:tcBorders>
                  <w:vAlign w:val="center"/>
                </w:tcPr>
                <w:p w14:paraId="7963969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vAlign w:val="center"/>
                </w:tcPr>
                <w:p w14:paraId="5A44EB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活性炭吸附装置</w:t>
                  </w:r>
                </w:p>
              </w:tc>
              <w:tc>
                <w:tcPr>
                  <w:tcW w:w="1172" w:type="pct"/>
                  <w:tcBorders>
                    <w:tl2br w:val="nil"/>
                    <w:tr2bl w:val="nil"/>
                  </w:tcBorders>
                  <w:vAlign w:val="center"/>
                </w:tcPr>
                <w:p w14:paraId="4109FC7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1178" w:type="pct"/>
                  <w:tcBorders>
                    <w:tl2br w:val="nil"/>
                    <w:tr2bl w:val="nil"/>
                  </w:tcBorders>
                  <w:vAlign w:val="center"/>
                </w:tcPr>
                <w:p w14:paraId="405E032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新增一台活性炭吸附装置，</w:t>
                  </w:r>
                  <w:r>
                    <w:rPr>
                      <w:rFonts w:hint="eastAsia" w:cs="Times New Roman"/>
                      <w:color w:val="auto"/>
                      <w:sz w:val="21"/>
                      <w:szCs w:val="21"/>
                      <w:highlight w:val="none"/>
                      <w:vertAlign w:val="baseline"/>
                      <w:lang w:val="en-US" w:eastAsia="zh-CN"/>
                    </w:rPr>
                    <w:t>加强车间内通风排气，确保废气排放达标</w:t>
                  </w:r>
                </w:p>
              </w:tc>
              <w:tc>
                <w:tcPr>
                  <w:tcW w:w="1196" w:type="pct"/>
                  <w:tcBorders>
                    <w:tl2br w:val="nil"/>
                    <w:tr2bl w:val="nil"/>
                  </w:tcBorders>
                  <w:vAlign w:val="center"/>
                </w:tcPr>
                <w:p w14:paraId="5D66AF8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highlight w:val="none"/>
                      <w:lang w:val="en-US" w:eastAsia="zh-CN"/>
                    </w:rPr>
                    <w:t>新增一台活性炭吸附装置</w:t>
                  </w:r>
                  <w:r>
                    <w:rPr>
                      <w:rFonts w:hint="eastAsia" w:cs="Times New Roman"/>
                      <w:color w:val="auto"/>
                      <w:sz w:val="21"/>
                      <w:szCs w:val="21"/>
                      <w:highlight w:val="none"/>
                      <w:vertAlign w:val="baseline"/>
                      <w:lang w:val="en-US" w:eastAsia="zh-CN"/>
                    </w:rPr>
                    <w:t>加强车间内通风排气，确保废气排放达标</w:t>
                  </w:r>
                </w:p>
              </w:tc>
              <w:tc>
                <w:tcPr>
                  <w:tcW w:w="409" w:type="pct"/>
                  <w:tcBorders>
                    <w:tl2br w:val="nil"/>
                    <w:tr2bl w:val="nil"/>
                  </w:tcBorders>
                  <w:vAlign w:val="center"/>
                </w:tcPr>
                <w:p w14:paraId="6146586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本次新增</w:t>
                  </w:r>
                </w:p>
              </w:tc>
            </w:tr>
            <w:tr w14:paraId="30328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8" w:type="pct"/>
                  <w:vMerge w:val="continue"/>
                  <w:tcBorders>
                    <w:tl2br w:val="nil"/>
                    <w:tr2bl w:val="nil"/>
                  </w:tcBorders>
                  <w:vAlign w:val="center"/>
                </w:tcPr>
                <w:p w14:paraId="1571C4D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bookmarkStart w:id="33" w:name="_Toc24491"/>
                </w:p>
              </w:tc>
              <w:tc>
                <w:tcPr>
                  <w:tcW w:w="623" w:type="pct"/>
                  <w:tcBorders>
                    <w:tl2br w:val="nil"/>
                    <w:tr2bl w:val="nil"/>
                  </w:tcBorders>
                  <w:vAlign w:val="center"/>
                </w:tcPr>
                <w:p w14:paraId="7030F6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一般固体废物贮存区</w:t>
                  </w:r>
                </w:p>
              </w:tc>
              <w:tc>
                <w:tcPr>
                  <w:tcW w:w="1172" w:type="pct"/>
                  <w:tcBorders>
                    <w:tl2br w:val="nil"/>
                    <w:tr2bl w:val="nil"/>
                  </w:tcBorders>
                  <w:vAlign w:val="center"/>
                </w:tcPr>
                <w:p w14:paraId="0CCB418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厂区北侧设置一般固体废物贮存区</w:t>
                  </w:r>
                </w:p>
              </w:tc>
              <w:tc>
                <w:tcPr>
                  <w:tcW w:w="1178" w:type="pct"/>
                  <w:tcBorders>
                    <w:tl2br w:val="nil"/>
                    <w:tr2bl w:val="nil"/>
                  </w:tcBorders>
                  <w:vAlign w:val="center"/>
                </w:tcPr>
                <w:p w14:paraId="2ED3398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highlight w:val="none"/>
                      <w:lang w:val="en-US" w:eastAsia="zh-CN"/>
                    </w:rPr>
                  </w:pPr>
                  <w:r>
                    <w:rPr>
                      <w:rFonts w:hint="eastAsia" w:cs="Times New Roman"/>
                      <w:color w:val="auto"/>
                      <w:sz w:val="21"/>
                      <w:szCs w:val="21"/>
                      <w:highlight w:val="none"/>
                      <w:vertAlign w:val="baseline"/>
                      <w:lang w:val="en-US" w:eastAsia="zh-CN"/>
                    </w:rPr>
                    <w:t>利用现有项目，无新增</w:t>
                  </w:r>
                </w:p>
              </w:tc>
              <w:tc>
                <w:tcPr>
                  <w:tcW w:w="1196" w:type="pct"/>
                  <w:tcBorders>
                    <w:tl2br w:val="nil"/>
                    <w:tr2bl w:val="nil"/>
                  </w:tcBorders>
                  <w:vAlign w:val="center"/>
                </w:tcPr>
                <w:p w14:paraId="6F9E21E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highlight w:val="none"/>
                      <w:lang w:val="en-US" w:eastAsia="zh-CN"/>
                    </w:rPr>
                  </w:pPr>
                  <w:r>
                    <w:rPr>
                      <w:rFonts w:hint="eastAsia" w:cs="Times New Roman"/>
                      <w:color w:val="auto"/>
                      <w:sz w:val="21"/>
                      <w:szCs w:val="21"/>
                      <w:highlight w:val="none"/>
                      <w:vertAlign w:val="baseline"/>
                      <w:lang w:val="en-US" w:eastAsia="zh-CN"/>
                    </w:rPr>
                    <w:t>厂区北侧设置一般固体废物贮存区</w:t>
                  </w:r>
                </w:p>
              </w:tc>
              <w:tc>
                <w:tcPr>
                  <w:tcW w:w="409" w:type="pct"/>
                  <w:tcBorders>
                    <w:tl2br w:val="nil"/>
                    <w:tr2bl w:val="nil"/>
                  </w:tcBorders>
                  <w:vAlign w:val="center"/>
                </w:tcPr>
                <w:p w14:paraId="0B4A64A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07374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418" w:type="pct"/>
                  <w:vMerge w:val="continue"/>
                  <w:tcBorders>
                    <w:tl2br w:val="nil"/>
                    <w:tr2bl w:val="nil"/>
                  </w:tcBorders>
                  <w:vAlign w:val="center"/>
                </w:tcPr>
                <w:p w14:paraId="2399EB6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3" w:type="pct"/>
                  <w:tcBorders>
                    <w:tl2br w:val="nil"/>
                    <w:tr2bl w:val="nil"/>
                  </w:tcBorders>
                  <w:vAlign w:val="center"/>
                </w:tcPr>
                <w:p w14:paraId="5F23D58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危险废物贮存间</w:t>
                  </w:r>
                </w:p>
              </w:tc>
              <w:tc>
                <w:tcPr>
                  <w:tcW w:w="1172" w:type="pct"/>
                  <w:tcBorders>
                    <w:tl2br w:val="nil"/>
                    <w:tr2bl w:val="nil"/>
                  </w:tcBorders>
                  <w:vAlign w:val="center"/>
                </w:tcPr>
                <w:p w14:paraId="4ACBEF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1178" w:type="pct"/>
                  <w:tcBorders>
                    <w:tl2br w:val="nil"/>
                    <w:tr2bl w:val="nil"/>
                  </w:tcBorders>
                  <w:vAlign w:val="center"/>
                </w:tcPr>
                <w:p w14:paraId="298B92C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本项目拟在1#车间西侧外按规范建设一间约2-3m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的危险废物贮存间</w:t>
                  </w:r>
                </w:p>
              </w:tc>
              <w:tc>
                <w:tcPr>
                  <w:tcW w:w="1196" w:type="pct"/>
                  <w:tcBorders>
                    <w:tl2br w:val="nil"/>
                    <w:tr2bl w:val="nil"/>
                  </w:tcBorders>
                  <w:vAlign w:val="center"/>
                </w:tcPr>
                <w:p w14:paraId="737AF63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本项目拟在1#车间西侧外按规范建设一间约2-3m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的危险废物贮存间</w:t>
                  </w:r>
                </w:p>
              </w:tc>
              <w:tc>
                <w:tcPr>
                  <w:tcW w:w="409" w:type="pct"/>
                  <w:tcBorders>
                    <w:tl2br w:val="nil"/>
                    <w:tr2bl w:val="nil"/>
                  </w:tcBorders>
                  <w:vAlign w:val="center"/>
                </w:tcPr>
                <w:p w14:paraId="414B4DF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本次新增</w:t>
                  </w:r>
                </w:p>
              </w:tc>
            </w:tr>
          </w:tbl>
          <w:p w14:paraId="1DA07D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34" w:name="_Toc6490"/>
            <w:r>
              <w:rPr>
                <w:rFonts w:hint="default" w:ascii="Times New Roman" w:hAnsi="Times New Roman" w:eastAsia="宋体" w:cs="Times New Roman"/>
                <w:b/>
                <w:bCs/>
                <w:color w:val="auto"/>
                <w:sz w:val="24"/>
                <w:szCs w:val="24"/>
                <w:highlight w:val="none"/>
                <w:u w:val="none"/>
                <w:lang w:val="en-US" w:eastAsia="zh-CN"/>
              </w:rPr>
              <w:t>2.2.</w:t>
            </w:r>
            <w:r>
              <w:rPr>
                <w:rFonts w:hint="default" w:cs="Times New Roman"/>
                <w:b/>
                <w:bCs/>
                <w:color w:val="auto"/>
                <w:sz w:val="24"/>
                <w:szCs w:val="24"/>
                <w:highlight w:val="none"/>
                <w:u w:val="none"/>
                <w:lang w:val="en-US" w:eastAsia="zh-CN"/>
              </w:rPr>
              <w:t>4</w:t>
            </w:r>
            <w:bookmarkEnd w:id="33"/>
            <w:r>
              <w:rPr>
                <w:rFonts w:hint="eastAsia" w:cs="Times New Roman"/>
                <w:b/>
                <w:bCs/>
                <w:color w:val="auto"/>
                <w:sz w:val="24"/>
                <w:szCs w:val="24"/>
                <w:highlight w:val="none"/>
                <w:u w:val="none"/>
                <w:lang w:val="en-US" w:eastAsia="zh-CN"/>
              </w:rPr>
              <w:t>项目产品方案</w:t>
            </w:r>
            <w:bookmarkEnd w:id="34"/>
          </w:p>
          <w:p w14:paraId="7619F16B">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b/>
                <w:bCs/>
                <w:color w:val="auto"/>
                <w:sz w:val="24"/>
                <w:szCs w:val="24"/>
                <w:highlight w:val="none"/>
                <w:u w:val="none"/>
                <w:lang w:val="en-US" w:eastAsia="zh-CN"/>
              </w:rPr>
            </w:pPr>
            <w:r>
              <w:rPr>
                <w:rFonts w:hint="eastAsia" w:cs="Times New Roman"/>
                <w:color w:val="auto"/>
                <w:sz w:val="24"/>
                <w:szCs w:val="24"/>
                <w:highlight w:val="none"/>
                <w:lang w:val="en-US" w:eastAsia="zh-CN"/>
              </w:rPr>
              <w:t>根据建设单位提供资料，项目现有工程和扩建后工程具体产品方案及产量情况详见表2.2-2。</w:t>
            </w:r>
          </w:p>
          <w:p w14:paraId="5B158D61">
            <w:pPr>
              <w:pStyle w:val="14"/>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t>表2.2-2项目主要产品方案</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741"/>
              <w:gridCol w:w="728"/>
              <w:gridCol w:w="1299"/>
              <w:gridCol w:w="1422"/>
              <w:gridCol w:w="1376"/>
              <w:gridCol w:w="1739"/>
            </w:tblGrid>
            <w:tr w14:paraId="341A5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323" w:type="pct"/>
                  <w:tcBorders>
                    <w:tl2br w:val="nil"/>
                    <w:tr2bl w:val="nil"/>
                  </w:tcBorders>
                  <w:vAlign w:val="center"/>
                </w:tcPr>
                <w:p w14:paraId="0D3C6F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序号</w:t>
                  </w:r>
                </w:p>
              </w:tc>
              <w:tc>
                <w:tcPr>
                  <w:tcW w:w="980" w:type="pct"/>
                  <w:tcBorders>
                    <w:tl2br w:val="nil"/>
                    <w:tr2bl w:val="nil"/>
                  </w:tcBorders>
                  <w:vAlign w:val="center"/>
                </w:tcPr>
                <w:p w14:paraId="2D6714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产品名称</w:t>
                  </w:r>
                </w:p>
              </w:tc>
              <w:tc>
                <w:tcPr>
                  <w:tcW w:w="409" w:type="pct"/>
                  <w:tcBorders>
                    <w:tl2br w:val="nil"/>
                    <w:tr2bl w:val="nil"/>
                  </w:tcBorders>
                  <w:shd w:val="clear" w:color="auto" w:fill="auto"/>
                  <w:vAlign w:val="center"/>
                </w:tcPr>
                <w:p w14:paraId="2440F4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单位</w:t>
                  </w:r>
                </w:p>
              </w:tc>
              <w:tc>
                <w:tcPr>
                  <w:tcW w:w="731" w:type="pct"/>
                  <w:tcBorders>
                    <w:tl2br w:val="nil"/>
                    <w:tr2bl w:val="nil"/>
                  </w:tcBorders>
                  <w:shd w:val="clear" w:color="auto" w:fill="auto"/>
                  <w:vAlign w:val="center"/>
                </w:tcPr>
                <w:p w14:paraId="400213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现有产品产能</w:t>
                  </w:r>
                </w:p>
              </w:tc>
              <w:tc>
                <w:tcPr>
                  <w:tcW w:w="800" w:type="pct"/>
                  <w:tcBorders>
                    <w:tl2br w:val="nil"/>
                    <w:tr2bl w:val="nil"/>
                  </w:tcBorders>
                  <w:shd w:val="clear" w:color="auto" w:fill="auto"/>
                  <w:vAlign w:val="center"/>
                </w:tcPr>
                <w:p w14:paraId="4AFDDE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本次扩建项目产品产能</w:t>
                  </w:r>
                </w:p>
              </w:tc>
              <w:tc>
                <w:tcPr>
                  <w:tcW w:w="774" w:type="pct"/>
                  <w:tcBorders>
                    <w:tl2br w:val="nil"/>
                    <w:tr2bl w:val="nil"/>
                  </w:tcBorders>
                  <w:shd w:val="clear" w:color="auto" w:fill="auto"/>
                  <w:vAlign w:val="center"/>
                </w:tcPr>
                <w:p w14:paraId="366783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扩建后全厂产品产能</w:t>
                  </w:r>
                </w:p>
              </w:tc>
              <w:tc>
                <w:tcPr>
                  <w:tcW w:w="979" w:type="pct"/>
                  <w:tcBorders>
                    <w:tl2br w:val="nil"/>
                    <w:tr2bl w:val="nil"/>
                  </w:tcBorders>
                  <w:shd w:val="clear" w:color="auto" w:fill="auto"/>
                  <w:vAlign w:val="center"/>
                </w:tcPr>
                <w:p w14:paraId="290563A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产品用途</w:t>
                  </w:r>
                </w:p>
              </w:tc>
            </w:tr>
            <w:tr w14:paraId="50DB8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323" w:type="pct"/>
                  <w:tcBorders>
                    <w:tl2br w:val="nil"/>
                    <w:tr2bl w:val="nil"/>
                  </w:tcBorders>
                  <w:vAlign w:val="center"/>
                </w:tcPr>
                <w:p w14:paraId="31AB1F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980" w:type="pct"/>
                  <w:tcBorders>
                    <w:tl2br w:val="nil"/>
                    <w:tr2bl w:val="nil"/>
                  </w:tcBorders>
                  <w:vAlign w:val="center"/>
                </w:tcPr>
                <w:p w14:paraId="5B9A5FC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EPS包装泡沫</w:t>
                  </w:r>
                </w:p>
              </w:tc>
              <w:tc>
                <w:tcPr>
                  <w:tcW w:w="409" w:type="pct"/>
                  <w:tcBorders>
                    <w:tl2br w:val="nil"/>
                    <w:tr2bl w:val="nil"/>
                  </w:tcBorders>
                  <w:shd w:val="clear" w:color="auto" w:fill="auto"/>
                  <w:vAlign w:val="center"/>
                </w:tcPr>
                <w:p w14:paraId="5F0299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t/a</w:t>
                  </w:r>
                </w:p>
              </w:tc>
              <w:tc>
                <w:tcPr>
                  <w:tcW w:w="731" w:type="pct"/>
                  <w:tcBorders>
                    <w:tl2br w:val="nil"/>
                    <w:tr2bl w:val="nil"/>
                  </w:tcBorders>
                  <w:vAlign w:val="center"/>
                </w:tcPr>
                <w:p w14:paraId="02B6725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1800</w:t>
                  </w:r>
                </w:p>
              </w:tc>
              <w:tc>
                <w:tcPr>
                  <w:tcW w:w="800" w:type="pct"/>
                  <w:tcBorders>
                    <w:tl2br w:val="nil"/>
                    <w:tr2bl w:val="nil"/>
                  </w:tcBorders>
                  <w:vAlign w:val="center"/>
                </w:tcPr>
                <w:p w14:paraId="2C95601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6000</w:t>
                  </w:r>
                </w:p>
              </w:tc>
              <w:tc>
                <w:tcPr>
                  <w:tcW w:w="774" w:type="pct"/>
                  <w:tcBorders>
                    <w:tl2br w:val="nil"/>
                    <w:tr2bl w:val="nil"/>
                  </w:tcBorders>
                  <w:vAlign w:val="center"/>
                </w:tcPr>
                <w:p w14:paraId="3F55281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7800</w:t>
                  </w:r>
                </w:p>
              </w:tc>
              <w:tc>
                <w:tcPr>
                  <w:tcW w:w="979" w:type="pct"/>
                  <w:tcBorders>
                    <w:tl2br w:val="nil"/>
                    <w:tr2bl w:val="nil"/>
                  </w:tcBorders>
                  <w:vAlign w:val="center"/>
                </w:tcPr>
                <w:p w14:paraId="0084B1D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保温、包装防护</w:t>
                  </w:r>
                </w:p>
              </w:tc>
            </w:tr>
            <w:tr w14:paraId="11778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23" w:type="pct"/>
                  <w:tcBorders>
                    <w:tl2br w:val="nil"/>
                    <w:tr2bl w:val="nil"/>
                  </w:tcBorders>
                  <w:vAlign w:val="center"/>
                </w:tcPr>
                <w:p w14:paraId="3EA146C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bookmarkStart w:id="35" w:name="_Toc30151"/>
                  <w:r>
                    <w:rPr>
                      <w:rFonts w:hint="eastAsia" w:cs="Times New Roman"/>
                      <w:color w:val="auto"/>
                      <w:sz w:val="21"/>
                      <w:szCs w:val="21"/>
                      <w:highlight w:val="none"/>
                      <w:vertAlign w:val="baseline"/>
                      <w:lang w:val="en-US" w:eastAsia="zh-CN"/>
                    </w:rPr>
                    <w:t>3</w:t>
                  </w:r>
                </w:p>
              </w:tc>
              <w:tc>
                <w:tcPr>
                  <w:tcW w:w="980" w:type="pct"/>
                  <w:tcBorders>
                    <w:tl2br w:val="nil"/>
                    <w:tr2bl w:val="nil"/>
                  </w:tcBorders>
                  <w:vAlign w:val="center"/>
                </w:tcPr>
                <w:p w14:paraId="135D3F5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EPP包装泡沫</w:t>
                  </w:r>
                </w:p>
              </w:tc>
              <w:tc>
                <w:tcPr>
                  <w:tcW w:w="409" w:type="pct"/>
                  <w:tcBorders>
                    <w:tl2br w:val="nil"/>
                    <w:tr2bl w:val="nil"/>
                  </w:tcBorders>
                  <w:shd w:val="clear" w:color="auto" w:fill="auto"/>
                  <w:vAlign w:val="center"/>
                </w:tcPr>
                <w:p w14:paraId="0A0F062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t/a</w:t>
                  </w:r>
                </w:p>
              </w:tc>
              <w:tc>
                <w:tcPr>
                  <w:tcW w:w="731" w:type="pct"/>
                  <w:tcBorders>
                    <w:tl2br w:val="nil"/>
                    <w:tr2bl w:val="nil"/>
                  </w:tcBorders>
                  <w:vAlign w:val="center"/>
                </w:tcPr>
                <w:p w14:paraId="5D2D04E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00" w:type="pct"/>
                  <w:tcBorders>
                    <w:tl2br w:val="nil"/>
                    <w:tr2bl w:val="nil"/>
                  </w:tcBorders>
                  <w:vAlign w:val="center"/>
                </w:tcPr>
                <w:p w14:paraId="7D51F8D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1200</w:t>
                  </w:r>
                </w:p>
              </w:tc>
              <w:tc>
                <w:tcPr>
                  <w:tcW w:w="774" w:type="pct"/>
                  <w:tcBorders>
                    <w:tl2br w:val="nil"/>
                    <w:tr2bl w:val="nil"/>
                  </w:tcBorders>
                  <w:vAlign w:val="center"/>
                </w:tcPr>
                <w:p w14:paraId="7BB56D5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1200</w:t>
                  </w:r>
                </w:p>
              </w:tc>
              <w:tc>
                <w:tcPr>
                  <w:tcW w:w="979" w:type="pct"/>
                  <w:tcBorders>
                    <w:tl2br w:val="nil"/>
                    <w:tr2bl w:val="nil"/>
                  </w:tcBorders>
                  <w:vAlign w:val="center"/>
                </w:tcPr>
                <w:p w14:paraId="64AB7A2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保温、包装防护</w:t>
                  </w:r>
                </w:p>
              </w:tc>
            </w:tr>
            <w:bookmarkEnd w:id="35"/>
          </w:tbl>
          <w:p w14:paraId="722F6E9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p>
          <w:p w14:paraId="1F6F85F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36" w:name="_Toc27715"/>
            <w:r>
              <w:rPr>
                <w:rFonts w:hint="default" w:ascii="Times New Roman" w:hAnsi="Times New Roman" w:eastAsia="宋体" w:cs="Times New Roman"/>
                <w:b/>
                <w:bCs/>
                <w:color w:val="auto"/>
                <w:sz w:val="24"/>
                <w:szCs w:val="24"/>
                <w:highlight w:val="none"/>
                <w:u w:val="none"/>
                <w:lang w:val="en-US" w:eastAsia="zh-CN"/>
              </w:rPr>
              <w:t>2.2.</w:t>
            </w:r>
            <w:r>
              <w:rPr>
                <w:rFonts w:hint="eastAsia" w:cs="Times New Roman"/>
                <w:b/>
                <w:bCs/>
                <w:color w:val="auto"/>
                <w:sz w:val="24"/>
                <w:szCs w:val="24"/>
                <w:highlight w:val="none"/>
                <w:u w:val="none"/>
                <w:lang w:val="en-US" w:eastAsia="zh-CN"/>
              </w:rPr>
              <w:t>5</w:t>
            </w:r>
            <w:r>
              <w:rPr>
                <w:rFonts w:hint="eastAsia" w:ascii="Times New Roman" w:hAnsi="Times New Roman" w:eastAsia="宋体" w:cs="Times New Roman"/>
                <w:b/>
                <w:bCs/>
                <w:color w:val="auto"/>
                <w:sz w:val="24"/>
                <w:szCs w:val="24"/>
                <w:highlight w:val="none"/>
                <w:u w:val="none"/>
                <w:lang w:val="en-US" w:eastAsia="zh-CN"/>
              </w:rPr>
              <w:t>项目主要原辅材料及能源消耗</w:t>
            </w:r>
            <w:bookmarkEnd w:id="36"/>
          </w:p>
          <w:p w14:paraId="4A62DA2D">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项目</w:t>
            </w:r>
            <w:r>
              <w:rPr>
                <w:rFonts w:hint="eastAsia" w:ascii="Times New Roman" w:hAnsi="Times New Roman" w:cs="Times New Roman"/>
                <w:b w:val="0"/>
                <w:bCs w:val="0"/>
                <w:color w:val="auto"/>
                <w:sz w:val="24"/>
                <w:szCs w:val="24"/>
                <w:highlight w:val="none"/>
                <w:u w:val="none"/>
                <w:lang w:val="en-US" w:eastAsia="zh-CN"/>
              </w:rPr>
              <w:t>的主要原辅材料及用量情况详见表2.2-3。</w:t>
            </w:r>
          </w:p>
          <w:p w14:paraId="18B84C1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表2.2-</w:t>
            </w:r>
            <w:r>
              <w:rPr>
                <w:rFonts w:hint="eastAsia" w:cs="Times New Roman"/>
                <w:b/>
                <w:bCs/>
                <w:color w:val="auto"/>
                <w:sz w:val="24"/>
                <w:szCs w:val="24"/>
                <w:highlight w:val="none"/>
                <w:u w:val="none"/>
                <w:lang w:val="en-US" w:eastAsia="zh-CN"/>
              </w:rPr>
              <w:t>3</w:t>
            </w:r>
            <w:r>
              <w:rPr>
                <w:rFonts w:hint="eastAsia" w:ascii="Times New Roman" w:hAnsi="Times New Roman" w:eastAsia="宋体" w:cs="Times New Roman"/>
                <w:b/>
                <w:bCs/>
                <w:color w:val="auto"/>
                <w:sz w:val="24"/>
                <w:szCs w:val="24"/>
                <w:highlight w:val="none"/>
                <w:u w:val="none"/>
                <w:lang w:val="en-US" w:eastAsia="zh-CN"/>
              </w:rPr>
              <w:t>主要原辅材料及用量一览表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1246"/>
              <w:gridCol w:w="1140"/>
              <w:gridCol w:w="919"/>
              <w:gridCol w:w="930"/>
              <w:gridCol w:w="900"/>
              <w:gridCol w:w="1155"/>
              <w:gridCol w:w="645"/>
              <w:gridCol w:w="690"/>
              <w:gridCol w:w="864"/>
            </w:tblGrid>
            <w:tr w14:paraId="7B8DB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20" w:type="pct"/>
                  <w:tcBorders>
                    <w:tl2br w:val="nil"/>
                    <w:tr2bl w:val="nil"/>
                  </w:tcBorders>
                  <w:noWrap w:val="0"/>
                  <w:vAlign w:val="center"/>
                </w:tcPr>
                <w:p w14:paraId="505D59D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序号</w:t>
                  </w:r>
                </w:p>
              </w:tc>
              <w:tc>
                <w:tcPr>
                  <w:tcW w:w="701" w:type="pct"/>
                  <w:tcBorders>
                    <w:tl2br w:val="nil"/>
                    <w:tr2bl w:val="nil"/>
                  </w:tcBorders>
                  <w:noWrap w:val="0"/>
                  <w:vAlign w:val="center"/>
                </w:tcPr>
                <w:p w14:paraId="40ABDA5B">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原辅材料及能源名称</w:t>
                  </w:r>
                </w:p>
              </w:tc>
              <w:tc>
                <w:tcPr>
                  <w:tcW w:w="641" w:type="pct"/>
                  <w:tcBorders>
                    <w:tl2br w:val="nil"/>
                    <w:tr2bl w:val="nil"/>
                  </w:tcBorders>
                  <w:noWrap w:val="0"/>
                  <w:vAlign w:val="center"/>
                </w:tcPr>
                <w:p w14:paraId="6E78174F">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主要成分</w:t>
                  </w:r>
                </w:p>
              </w:tc>
              <w:tc>
                <w:tcPr>
                  <w:tcW w:w="517" w:type="pct"/>
                  <w:tcBorders>
                    <w:tl2br w:val="nil"/>
                    <w:tr2bl w:val="nil"/>
                  </w:tcBorders>
                  <w:noWrap w:val="0"/>
                  <w:vAlign w:val="center"/>
                </w:tcPr>
                <w:p w14:paraId="2F77E8F0">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现有项目用量</w:t>
                  </w:r>
                </w:p>
                <w:p w14:paraId="7A4753AE">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523" w:type="pct"/>
                  <w:tcBorders>
                    <w:tl2br w:val="nil"/>
                    <w:tr2bl w:val="nil"/>
                  </w:tcBorders>
                  <w:noWrap w:val="0"/>
                  <w:vAlign w:val="center"/>
                </w:tcPr>
                <w:p w14:paraId="26A9E6D5">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本次扩建项目用量</w:t>
                  </w:r>
                </w:p>
                <w:p w14:paraId="163881B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506" w:type="pct"/>
                  <w:tcBorders>
                    <w:tl2br w:val="nil"/>
                    <w:tr2bl w:val="nil"/>
                  </w:tcBorders>
                  <w:noWrap w:val="0"/>
                  <w:vAlign w:val="center"/>
                </w:tcPr>
                <w:p w14:paraId="56196D27">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扩建后全厂用量</w:t>
                  </w:r>
                </w:p>
                <w:p w14:paraId="2F614F6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650" w:type="pct"/>
                  <w:tcBorders>
                    <w:tl2br w:val="nil"/>
                    <w:tr2bl w:val="nil"/>
                  </w:tcBorders>
                  <w:noWrap w:val="0"/>
                  <w:vAlign w:val="center"/>
                </w:tcPr>
                <w:p w14:paraId="4CB22C0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扩建后全厂最大储存量</w:t>
                  </w:r>
                </w:p>
                <w:p w14:paraId="640906B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w:t>
                  </w:r>
                </w:p>
              </w:tc>
              <w:tc>
                <w:tcPr>
                  <w:tcW w:w="363" w:type="pct"/>
                  <w:tcBorders>
                    <w:tl2br w:val="nil"/>
                    <w:tr2bl w:val="nil"/>
                  </w:tcBorders>
                  <w:noWrap w:val="0"/>
                  <w:vAlign w:val="center"/>
                </w:tcPr>
                <w:p w14:paraId="01F1699B">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物理形态</w:t>
                  </w:r>
                </w:p>
              </w:tc>
              <w:tc>
                <w:tcPr>
                  <w:tcW w:w="388" w:type="pct"/>
                  <w:tcBorders>
                    <w:tl2br w:val="nil"/>
                    <w:tr2bl w:val="nil"/>
                  </w:tcBorders>
                  <w:noWrap w:val="0"/>
                  <w:vAlign w:val="center"/>
                </w:tcPr>
                <w:p w14:paraId="69351322">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包装形式</w:t>
                  </w:r>
                </w:p>
              </w:tc>
              <w:tc>
                <w:tcPr>
                  <w:tcW w:w="486" w:type="pct"/>
                  <w:tcBorders>
                    <w:tl2br w:val="nil"/>
                    <w:tr2bl w:val="nil"/>
                  </w:tcBorders>
                  <w:noWrap w:val="0"/>
                  <w:vAlign w:val="center"/>
                </w:tcPr>
                <w:p w14:paraId="712CFA1F">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储存位置</w:t>
                  </w:r>
                </w:p>
              </w:tc>
            </w:tr>
            <w:tr w14:paraId="3366A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220" w:type="pct"/>
                  <w:tcBorders>
                    <w:tl2br w:val="nil"/>
                    <w:tr2bl w:val="nil"/>
                  </w:tcBorders>
                  <w:noWrap w:val="0"/>
                  <w:vAlign w:val="center"/>
                </w:tcPr>
                <w:p w14:paraId="1349CC6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701" w:type="pct"/>
                  <w:tcBorders>
                    <w:tl2br w:val="nil"/>
                    <w:tr2bl w:val="nil"/>
                  </w:tcBorders>
                  <w:shd w:val="clear" w:color="auto" w:fill="auto"/>
                  <w:noWrap w:val="0"/>
                  <w:vAlign w:val="center"/>
                </w:tcPr>
                <w:p w14:paraId="124F566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sz w:val="21"/>
                    </w:rPr>
                    <mc:AlternateContent>
                      <mc:Choice Requires="wps">
                        <w:drawing>
                          <wp:anchor distT="0" distB="0" distL="114300" distR="114300" simplePos="0" relativeHeight="251698176" behindDoc="0" locked="0" layoutInCell="1" allowOverlap="1">
                            <wp:simplePos x="0" y="0"/>
                            <wp:positionH relativeFrom="column">
                              <wp:posOffset>5080</wp:posOffset>
                            </wp:positionH>
                            <wp:positionV relativeFrom="paragraph">
                              <wp:posOffset>-198755</wp:posOffset>
                            </wp:positionV>
                            <wp:extent cx="5238115" cy="4295775"/>
                            <wp:effectExtent l="6350" t="6350" r="13335" b="22225"/>
                            <wp:wrapNone/>
                            <wp:docPr id="243" name="矩形 243"/>
                            <wp:cNvGraphicFramePr/>
                            <a:graphic xmlns:a="http://schemas.openxmlformats.org/drawingml/2006/main">
                              <a:graphicData uri="http://schemas.microsoft.com/office/word/2010/wordprocessingShape">
                                <wps:wsp>
                                  <wps:cNvSpPr/>
                                  <wps:spPr>
                                    <a:xfrm>
                                      <a:off x="0" y="0"/>
                                      <a:ext cx="5238115" cy="42957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15.65pt;height:338.25pt;width:412.45pt;z-index:251698176;v-text-anchor:middle;mso-width-relative:page;mso-height-relative:page;" fillcolor="#FFFFFF [3212]" filled="t" stroked="t" coordsize="21600,21600" o:gfxdata="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5ivCtgAAAAIAQAADwAAAAAAAAABACAAAAAiAAAAZHJzL2Rvd25y&#10;ZXYueG1sUEsBAhQAFAAAAAgAh07iQHpMiP5wAgAA+QQAAA4AAAAAAAAAAQAgAAAAJwEAAGRycy9l&#10;Mm9Eb2MueG1sUEsFBgAAAAAGAAYAWQEAAAkGAAAAAA==&#10;">
                            <v:fill on="t" focussize="0,0"/>
                            <v:stroke weight="1pt" color="#FFFFFF [3212]" miterlimit="8" joinstyle="miter"/>
                            <v:imagedata o:title=""/>
                            <o:lock v:ext="edit" aspectratio="f"/>
                          </v:rect>
                        </w:pict>
                      </mc:Fallback>
                    </mc:AlternateContent>
                  </w:r>
                  <w:r>
                    <w:rPr>
                      <w:rFonts w:hint="default" w:ascii="Times New Roman" w:hAnsi="Times New Roman" w:eastAsia="宋体" w:cs="Times New Roman"/>
                      <w:color w:val="auto"/>
                      <w:sz w:val="21"/>
                      <w:szCs w:val="21"/>
                      <w:highlight w:val="none"/>
                      <w:vertAlign w:val="baseline"/>
                      <w:lang w:val="en-US" w:eastAsia="zh-CN"/>
                    </w:rPr>
                    <w:t>EPS</w:t>
                  </w:r>
                </w:p>
                <w:p w14:paraId="0DF672EE">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（可发性聚苯乙烯）</w:t>
                  </w:r>
                </w:p>
              </w:tc>
              <w:tc>
                <w:tcPr>
                  <w:tcW w:w="641" w:type="pct"/>
                  <w:tcBorders>
                    <w:tl2br w:val="nil"/>
                    <w:tr2bl w:val="nil"/>
                  </w:tcBorders>
                  <w:noWrap w:val="0"/>
                  <w:vAlign w:val="center"/>
                </w:tcPr>
                <w:p w14:paraId="513A112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聚苯乙烯：93-96%；戊烷：4-7%</w:t>
                  </w:r>
                </w:p>
              </w:tc>
              <w:tc>
                <w:tcPr>
                  <w:tcW w:w="517" w:type="pct"/>
                  <w:tcBorders>
                    <w:tl2br w:val="nil"/>
                    <w:tr2bl w:val="nil"/>
                  </w:tcBorders>
                  <w:noWrap w:val="0"/>
                  <w:vAlign w:val="center"/>
                </w:tcPr>
                <w:p w14:paraId="15A39F7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1880</w:t>
                  </w:r>
                </w:p>
              </w:tc>
              <w:tc>
                <w:tcPr>
                  <w:tcW w:w="523" w:type="pct"/>
                  <w:tcBorders>
                    <w:tl2br w:val="nil"/>
                    <w:tr2bl w:val="nil"/>
                  </w:tcBorders>
                  <w:noWrap w:val="0"/>
                  <w:vAlign w:val="center"/>
                </w:tcPr>
                <w:p w14:paraId="3C9B6DE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6120</w:t>
                  </w:r>
                </w:p>
              </w:tc>
              <w:tc>
                <w:tcPr>
                  <w:tcW w:w="506" w:type="pct"/>
                  <w:tcBorders>
                    <w:tl2br w:val="nil"/>
                    <w:tr2bl w:val="nil"/>
                  </w:tcBorders>
                  <w:noWrap w:val="0"/>
                  <w:vAlign w:val="center"/>
                </w:tcPr>
                <w:p w14:paraId="4E7DDBBD">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8000</w:t>
                  </w:r>
                </w:p>
              </w:tc>
              <w:tc>
                <w:tcPr>
                  <w:tcW w:w="650" w:type="pct"/>
                  <w:tcBorders>
                    <w:tl2br w:val="nil"/>
                    <w:tr2bl w:val="nil"/>
                  </w:tcBorders>
                  <w:noWrap w:val="0"/>
                  <w:vAlign w:val="center"/>
                </w:tcPr>
                <w:p w14:paraId="24C79B3F">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w:t>
                  </w:r>
                </w:p>
              </w:tc>
              <w:tc>
                <w:tcPr>
                  <w:tcW w:w="363" w:type="pct"/>
                  <w:tcBorders>
                    <w:tl2br w:val="nil"/>
                    <w:tr2bl w:val="nil"/>
                  </w:tcBorders>
                  <w:noWrap w:val="0"/>
                  <w:vAlign w:val="center"/>
                </w:tcPr>
                <w:p w14:paraId="40C7C3F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固体</w:t>
                  </w:r>
                </w:p>
              </w:tc>
              <w:tc>
                <w:tcPr>
                  <w:tcW w:w="388" w:type="pct"/>
                  <w:tcBorders>
                    <w:tl2br w:val="nil"/>
                    <w:tr2bl w:val="nil"/>
                  </w:tcBorders>
                  <w:noWrap w:val="0"/>
                  <w:vAlign w:val="center"/>
                </w:tcPr>
                <w:p w14:paraId="1F9044D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袋装</w:t>
                  </w:r>
                </w:p>
              </w:tc>
              <w:tc>
                <w:tcPr>
                  <w:tcW w:w="486" w:type="pct"/>
                  <w:tcBorders>
                    <w:tl2br w:val="nil"/>
                    <w:tr2bl w:val="nil"/>
                  </w:tcBorders>
                  <w:noWrap w:val="0"/>
                  <w:vAlign w:val="center"/>
                </w:tcPr>
                <w:p w14:paraId="5AA3757D">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原料仓库</w:t>
                  </w:r>
                </w:p>
              </w:tc>
            </w:tr>
            <w:tr w14:paraId="3BBDF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220" w:type="pct"/>
                  <w:tcBorders>
                    <w:tl2br w:val="nil"/>
                    <w:tr2bl w:val="nil"/>
                  </w:tcBorders>
                  <w:shd w:val="clear" w:color="auto" w:fill="auto"/>
                  <w:noWrap w:val="0"/>
                  <w:vAlign w:val="center"/>
                </w:tcPr>
                <w:p w14:paraId="41993628">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2</w:t>
                  </w:r>
                </w:p>
              </w:tc>
              <w:tc>
                <w:tcPr>
                  <w:tcW w:w="701" w:type="pct"/>
                  <w:tcBorders>
                    <w:tl2br w:val="nil"/>
                    <w:tr2bl w:val="nil"/>
                  </w:tcBorders>
                  <w:shd w:val="clear" w:color="auto" w:fill="auto"/>
                  <w:noWrap w:val="0"/>
                  <w:vAlign w:val="center"/>
                </w:tcPr>
                <w:p w14:paraId="74B804C2">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EPP</w:t>
                  </w:r>
                </w:p>
                <w:p w14:paraId="5069F6F6">
                  <w:pPr>
                    <w:pStyle w:val="11"/>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（发泡聚丙烯）</w:t>
                  </w:r>
                </w:p>
              </w:tc>
              <w:tc>
                <w:tcPr>
                  <w:tcW w:w="641" w:type="pct"/>
                  <w:tcBorders>
                    <w:tl2br w:val="nil"/>
                    <w:tr2bl w:val="nil"/>
                  </w:tcBorders>
                  <w:shd w:val="clear" w:color="auto" w:fill="auto"/>
                  <w:noWrap w:val="0"/>
                  <w:vAlign w:val="center"/>
                </w:tcPr>
                <w:p w14:paraId="685B0E8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聚丙烯：94.82%；色母：5.18%</w:t>
                  </w:r>
                </w:p>
              </w:tc>
              <w:tc>
                <w:tcPr>
                  <w:tcW w:w="517" w:type="pct"/>
                  <w:tcBorders>
                    <w:tl2br w:val="nil"/>
                    <w:tr2bl w:val="nil"/>
                  </w:tcBorders>
                  <w:shd w:val="clear" w:color="auto" w:fill="auto"/>
                  <w:noWrap w:val="0"/>
                  <w:vAlign w:val="center"/>
                </w:tcPr>
                <w:p w14:paraId="1F3534E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523" w:type="pct"/>
                  <w:tcBorders>
                    <w:tl2br w:val="nil"/>
                    <w:tr2bl w:val="nil"/>
                  </w:tcBorders>
                  <w:shd w:val="clear" w:color="auto" w:fill="auto"/>
                  <w:noWrap w:val="0"/>
                  <w:vAlign w:val="center"/>
                </w:tcPr>
                <w:p w14:paraId="2228BBED">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cs="Times New Roman"/>
                      <w:b w:val="0"/>
                      <w:bCs w:val="0"/>
                      <w:color w:val="auto"/>
                      <w:sz w:val="21"/>
                      <w:szCs w:val="21"/>
                      <w:highlight w:val="none"/>
                      <w:lang w:val="en-US" w:eastAsia="zh-CN"/>
                    </w:rPr>
                    <w:t>240</w:t>
                  </w:r>
                </w:p>
              </w:tc>
              <w:tc>
                <w:tcPr>
                  <w:tcW w:w="506" w:type="pct"/>
                  <w:tcBorders>
                    <w:tl2br w:val="nil"/>
                    <w:tr2bl w:val="nil"/>
                  </w:tcBorders>
                  <w:shd w:val="clear" w:color="auto" w:fill="auto"/>
                  <w:noWrap w:val="0"/>
                  <w:vAlign w:val="center"/>
                </w:tcPr>
                <w:p w14:paraId="662D66A4">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r>
                    <w:rPr>
                      <w:rFonts w:hint="eastAsia" w:ascii="Times New Roman" w:hAnsi="Times New Roman" w:cs="Times New Roman"/>
                      <w:b w:val="0"/>
                      <w:bCs w:val="0"/>
                      <w:color w:val="auto"/>
                      <w:kern w:val="2"/>
                      <w:sz w:val="21"/>
                      <w:szCs w:val="21"/>
                      <w:highlight w:val="none"/>
                      <w:lang w:val="en-US" w:eastAsia="zh-CN" w:bidi="ar-SA"/>
                    </w:rPr>
                    <w:t>24</w:t>
                  </w:r>
                  <w:r>
                    <w:rPr>
                      <w:rFonts w:hint="default" w:ascii="Times New Roman" w:hAnsi="Times New Roman" w:eastAsia="宋体" w:cs="Times New Roman"/>
                      <w:b w:val="0"/>
                      <w:bCs w:val="0"/>
                      <w:color w:val="auto"/>
                      <w:kern w:val="2"/>
                      <w:sz w:val="21"/>
                      <w:szCs w:val="21"/>
                      <w:highlight w:val="none"/>
                      <w:lang w:val="en-US" w:eastAsia="zh-CN" w:bidi="ar-SA"/>
                    </w:rPr>
                    <w:t>0</w:t>
                  </w:r>
                </w:p>
              </w:tc>
              <w:tc>
                <w:tcPr>
                  <w:tcW w:w="650" w:type="pct"/>
                  <w:tcBorders>
                    <w:tl2br w:val="nil"/>
                    <w:tr2bl w:val="nil"/>
                  </w:tcBorders>
                  <w:shd w:val="clear" w:color="auto" w:fill="auto"/>
                  <w:noWrap w:val="0"/>
                  <w:vAlign w:val="center"/>
                </w:tcPr>
                <w:p w14:paraId="4E0EC3A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50</w:t>
                  </w:r>
                </w:p>
              </w:tc>
              <w:tc>
                <w:tcPr>
                  <w:tcW w:w="363" w:type="pct"/>
                  <w:tcBorders>
                    <w:tl2br w:val="nil"/>
                    <w:tr2bl w:val="nil"/>
                  </w:tcBorders>
                  <w:shd w:val="clear" w:color="auto" w:fill="auto"/>
                  <w:noWrap w:val="0"/>
                  <w:vAlign w:val="center"/>
                </w:tcPr>
                <w:p w14:paraId="73A13EF7">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固体</w:t>
                  </w:r>
                </w:p>
              </w:tc>
              <w:tc>
                <w:tcPr>
                  <w:tcW w:w="388" w:type="pct"/>
                  <w:tcBorders>
                    <w:tl2br w:val="nil"/>
                    <w:tr2bl w:val="nil"/>
                  </w:tcBorders>
                  <w:shd w:val="clear" w:color="auto" w:fill="auto"/>
                  <w:noWrap w:val="0"/>
                  <w:vAlign w:val="center"/>
                </w:tcPr>
                <w:p w14:paraId="6D9FB36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袋装</w:t>
                  </w:r>
                </w:p>
              </w:tc>
              <w:tc>
                <w:tcPr>
                  <w:tcW w:w="486" w:type="pct"/>
                  <w:tcBorders>
                    <w:tl2br w:val="nil"/>
                    <w:tr2bl w:val="nil"/>
                  </w:tcBorders>
                  <w:shd w:val="clear" w:color="auto" w:fill="auto"/>
                  <w:noWrap w:val="0"/>
                  <w:vAlign w:val="center"/>
                </w:tcPr>
                <w:p w14:paraId="43A02C53">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原料仓库</w:t>
                  </w:r>
                </w:p>
              </w:tc>
            </w:tr>
            <w:tr w14:paraId="7A2EA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20" w:type="pct"/>
                  <w:tcBorders>
                    <w:tl2br w:val="nil"/>
                    <w:tr2bl w:val="nil"/>
                  </w:tcBorders>
                  <w:shd w:val="clear" w:color="auto" w:fill="auto"/>
                  <w:noWrap w:val="0"/>
                  <w:vAlign w:val="center"/>
                </w:tcPr>
                <w:p w14:paraId="6059D6DD">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3</w:t>
                  </w:r>
                </w:p>
              </w:tc>
              <w:tc>
                <w:tcPr>
                  <w:tcW w:w="701" w:type="pct"/>
                  <w:tcBorders>
                    <w:tl2br w:val="nil"/>
                    <w:tr2bl w:val="nil"/>
                  </w:tcBorders>
                  <w:shd w:val="clear" w:color="auto" w:fill="auto"/>
                  <w:noWrap w:val="0"/>
                  <w:vAlign w:val="center"/>
                </w:tcPr>
                <w:p w14:paraId="295190E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液压油</w:t>
                  </w:r>
                </w:p>
              </w:tc>
              <w:tc>
                <w:tcPr>
                  <w:tcW w:w="641" w:type="pct"/>
                  <w:tcBorders>
                    <w:tl2br w:val="nil"/>
                    <w:tr2bl w:val="nil"/>
                  </w:tcBorders>
                  <w:shd w:val="clear" w:color="auto" w:fill="auto"/>
                  <w:noWrap w:val="0"/>
                  <w:vAlign w:val="center"/>
                </w:tcPr>
                <w:p w14:paraId="0959549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517" w:type="pct"/>
                  <w:tcBorders>
                    <w:tl2br w:val="nil"/>
                    <w:tr2bl w:val="nil"/>
                  </w:tcBorders>
                  <w:shd w:val="clear" w:color="auto" w:fill="auto"/>
                  <w:noWrap w:val="0"/>
                  <w:vAlign w:val="center"/>
                </w:tcPr>
                <w:p w14:paraId="6DF4DE57">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523" w:type="pct"/>
                  <w:tcBorders>
                    <w:tl2br w:val="nil"/>
                    <w:tr2bl w:val="nil"/>
                  </w:tcBorders>
                  <w:shd w:val="clear" w:color="auto" w:fill="auto"/>
                  <w:noWrap w:val="0"/>
                  <w:vAlign w:val="center"/>
                </w:tcPr>
                <w:p w14:paraId="1C4B74A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0.5</w:t>
                  </w:r>
                </w:p>
              </w:tc>
              <w:tc>
                <w:tcPr>
                  <w:tcW w:w="506" w:type="pct"/>
                  <w:tcBorders>
                    <w:tl2br w:val="nil"/>
                    <w:tr2bl w:val="nil"/>
                  </w:tcBorders>
                  <w:shd w:val="clear" w:color="auto" w:fill="auto"/>
                  <w:noWrap w:val="0"/>
                  <w:vAlign w:val="center"/>
                </w:tcPr>
                <w:p w14:paraId="211BC84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650" w:type="pct"/>
                  <w:tcBorders>
                    <w:tl2br w:val="nil"/>
                    <w:tr2bl w:val="nil"/>
                  </w:tcBorders>
                  <w:shd w:val="clear" w:color="auto" w:fill="auto"/>
                  <w:noWrap w:val="0"/>
                  <w:vAlign w:val="center"/>
                </w:tcPr>
                <w:p w14:paraId="5BAAC7C5">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0.5</w:t>
                  </w:r>
                </w:p>
              </w:tc>
              <w:tc>
                <w:tcPr>
                  <w:tcW w:w="363" w:type="pct"/>
                  <w:tcBorders>
                    <w:tl2br w:val="nil"/>
                    <w:tr2bl w:val="nil"/>
                  </w:tcBorders>
                  <w:shd w:val="clear" w:color="auto" w:fill="auto"/>
                  <w:noWrap w:val="0"/>
                  <w:vAlign w:val="center"/>
                </w:tcPr>
                <w:p w14:paraId="27DA6864">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液体</w:t>
                  </w:r>
                </w:p>
              </w:tc>
              <w:tc>
                <w:tcPr>
                  <w:tcW w:w="388" w:type="pct"/>
                  <w:tcBorders>
                    <w:tl2br w:val="nil"/>
                    <w:tr2bl w:val="nil"/>
                  </w:tcBorders>
                  <w:shd w:val="clear" w:color="auto" w:fill="auto"/>
                  <w:noWrap w:val="0"/>
                  <w:vAlign w:val="center"/>
                </w:tcPr>
                <w:p w14:paraId="4675A6DE">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桶装</w:t>
                  </w:r>
                </w:p>
              </w:tc>
              <w:tc>
                <w:tcPr>
                  <w:tcW w:w="486" w:type="pct"/>
                  <w:tcBorders>
                    <w:tl2br w:val="nil"/>
                    <w:tr2bl w:val="nil"/>
                  </w:tcBorders>
                  <w:shd w:val="clear" w:color="auto" w:fill="auto"/>
                  <w:noWrap w:val="0"/>
                  <w:vAlign w:val="center"/>
                </w:tcPr>
                <w:p w14:paraId="5EC1228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化学品仓库</w:t>
                  </w:r>
                </w:p>
              </w:tc>
            </w:tr>
            <w:tr w14:paraId="4539C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220" w:type="pct"/>
                  <w:tcBorders>
                    <w:tl2br w:val="nil"/>
                    <w:tr2bl w:val="nil"/>
                  </w:tcBorders>
                  <w:noWrap w:val="0"/>
                  <w:vAlign w:val="center"/>
                </w:tcPr>
                <w:p w14:paraId="520E815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w:t>
                  </w:r>
                </w:p>
              </w:tc>
              <w:tc>
                <w:tcPr>
                  <w:tcW w:w="701" w:type="pct"/>
                  <w:tcBorders>
                    <w:tl2br w:val="nil"/>
                    <w:tr2bl w:val="nil"/>
                  </w:tcBorders>
                  <w:noWrap w:val="0"/>
                  <w:vAlign w:val="center"/>
                </w:tcPr>
                <w:p w14:paraId="4A53DE94">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生产用电</w:t>
                  </w:r>
                </w:p>
              </w:tc>
              <w:tc>
                <w:tcPr>
                  <w:tcW w:w="641" w:type="pct"/>
                  <w:tcBorders>
                    <w:tl2br w:val="nil"/>
                    <w:tr2bl w:val="nil"/>
                  </w:tcBorders>
                  <w:noWrap w:val="0"/>
                  <w:vAlign w:val="center"/>
                </w:tcPr>
                <w:p w14:paraId="28A0D8E8">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517" w:type="pct"/>
                  <w:tcBorders>
                    <w:tl2br w:val="nil"/>
                    <w:tr2bl w:val="nil"/>
                  </w:tcBorders>
                  <w:noWrap w:val="0"/>
                  <w:vAlign w:val="center"/>
                </w:tcPr>
                <w:p w14:paraId="2949BDC6">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50万kwh/a</w:t>
                  </w:r>
                </w:p>
              </w:tc>
              <w:tc>
                <w:tcPr>
                  <w:tcW w:w="523" w:type="pct"/>
                  <w:tcBorders>
                    <w:tl2br w:val="nil"/>
                    <w:tr2bl w:val="nil"/>
                  </w:tcBorders>
                  <w:noWrap w:val="0"/>
                  <w:vAlign w:val="center"/>
                </w:tcPr>
                <w:p w14:paraId="1CD2C7AD">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300万</w:t>
                  </w:r>
                  <w:r>
                    <w:rPr>
                      <w:rFonts w:hint="default" w:ascii="Times New Roman" w:hAnsi="Times New Roman" w:eastAsia="宋体" w:cs="Times New Roman"/>
                      <w:b w:val="0"/>
                      <w:bCs w:val="0"/>
                      <w:color w:val="auto"/>
                      <w:sz w:val="21"/>
                      <w:szCs w:val="21"/>
                      <w:highlight w:val="none"/>
                      <w:lang w:val="en-US" w:eastAsia="zh-CN"/>
                    </w:rPr>
                    <w:t>kwh/a</w:t>
                  </w:r>
                </w:p>
              </w:tc>
              <w:tc>
                <w:tcPr>
                  <w:tcW w:w="506" w:type="pct"/>
                  <w:tcBorders>
                    <w:tl2br w:val="nil"/>
                    <w:tr2bl w:val="nil"/>
                  </w:tcBorders>
                  <w:noWrap w:val="0"/>
                  <w:vAlign w:val="center"/>
                </w:tcPr>
                <w:p w14:paraId="01D40A1C">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350万</w:t>
                  </w:r>
                  <w:r>
                    <w:rPr>
                      <w:rFonts w:hint="default" w:ascii="Times New Roman" w:hAnsi="Times New Roman" w:eastAsia="宋体" w:cs="Times New Roman"/>
                      <w:b w:val="0"/>
                      <w:bCs w:val="0"/>
                      <w:color w:val="auto"/>
                      <w:sz w:val="21"/>
                      <w:szCs w:val="21"/>
                      <w:highlight w:val="none"/>
                      <w:lang w:val="en-US" w:eastAsia="zh-CN"/>
                    </w:rPr>
                    <w:t>kwh/a</w:t>
                  </w:r>
                </w:p>
              </w:tc>
              <w:tc>
                <w:tcPr>
                  <w:tcW w:w="1888" w:type="pct"/>
                  <w:gridSpan w:val="4"/>
                  <w:tcBorders>
                    <w:tl2br w:val="nil"/>
                    <w:tr2bl w:val="nil"/>
                  </w:tcBorders>
                  <w:noWrap w:val="0"/>
                  <w:vAlign w:val="center"/>
                </w:tcPr>
                <w:p w14:paraId="6753B60A">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所在地供电所供给</w:t>
                  </w:r>
                </w:p>
              </w:tc>
            </w:tr>
            <w:tr w14:paraId="46651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20" w:type="pct"/>
                  <w:tcBorders>
                    <w:tl2br w:val="nil"/>
                    <w:tr2bl w:val="nil"/>
                  </w:tcBorders>
                  <w:noWrap w:val="0"/>
                  <w:vAlign w:val="center"/>
                </w:tcPr>
                <w:p w14:paraId="598AD06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w:t>
                  </w:r>
                </w:p>
              </w:tc>
              <w:tc>
                <w:tcPr>
                  <w:tcW w:w="701" w:type="pct"/>
                  <w:tcBorders>
                    <w:tl2br w:val="nil"/>
                    <w:tr2bl w:val="nil"/>
                  </w:tcBorders>
                  <w:noWrap w:val="0"/>
                  <w:vAlign w:val="center"/>
                </w:tcPr>
                <w:p w14:paraId="698C45F0">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生产用水</w:t>
                  </w:r>
                </w:p>
              </w:tc>
              <w:tc>
                <w:tcPr>
                  <w:tcW w:w="641" w:type="pct"/>
                  <w:tcBorders>
                    <w:tl2br w:val="nil"/>
                    <w:tr2bl w:val="nil"/>
                  </w:tcBorders>
                  <w:noWrap w:val="0"/>
                  <w:vAlign w:val="center"/>
                </w:tcPr>
                <w:p w14:paraId="73943D7C">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517" w:type="pct"/>
                  <w:tcBorders>
                    <w:tl2br w:val="nil"/>
                    <w:tr2bl w:val="nil"/>
                  </w:tcBorders>
                  <w:noWrap w:val="0"/>
                  <w:vAlign w:val="center"/>
                </w:tcPr>
                <w:p w14:paraId="4E90AF38">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1485t</w:t>
                  </w:r>
                </w:p>
              </w:tc>
              <w:tc>
                <w:tcPr>
                  <w:tcW w:w="523" w:type="pct"/>
                  <w:tcBorders>
                    <w:tl2br w:val="nil"/>
                    <w:tr2bl w:val="nil"/>
                  </w:tcBorders>
                  <w:noWrap w:val="0"/>
                  <w:vAlign w:val="center"/>
                </w:tcPr>
                <w:p w14:paraId="5E1576AD">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9450t</w:t>
                  </w:r>
                </w:p>
              </w:tc>
              <w:tc>
                <w:tcPr>
                  <w:tcW w:w="506" w:type="pct"/>
                  <w:tcBorders>
                    <w:tl2br w:val="nil"/>
                    <w:tr2bl w:val="nil"/>
                  </w:tcBorders>
                  <w:noWrap w:val="0"/>
                  <w:vAlign w:val="center"/>
                </w:tcPr>
                <w:p w14:paraId="53A45009">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10935t</w:t>
                  </w:r>
                </w:p>
              </w:tc>
              <w:tc>
                <w:tcPr>
                  <w:tcW w:w="1888" w:type="pct"/>
                  <w:gridSpan w:val="4"/>
                  <w:tcBorders>
                    <w:tl2br w:val="nil"/>
                    <w:tr2bl w:val="nil"/>
                  </w:tcBorders>
                  <w:noWrap w:val="0"/>
                  <w:vAlign w:val="center"/>
                </w:tcPr>
                <w:p w14:paraId="3710E8C4">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市政供水管网供给</w:t>
                  </w:r>
                </w:p>
              </w:tc>
            </w:tr>
            <w:tr w14:paraId="25FD5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20" w:type="pct"/>
                  <w:tcBorders>
                    <w:tl2br w:val="nil"/>
                    <w:tr2bl w:val="nil"/>
                  </w:tcBorders>
                  <w:noWrap w:val="0"/>
                  <w:vAlign w:val="center"/>
                </w:tcPr>
                <w:p w14:paraId="23365E0B">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w:t>
                  </w:r>
                </w:p>
              </w:tc>
              <w:tc>
                <w:tcPr>
                  <w:tcW w:w="701" w:type="pct"/>
                  <w:tcBorders>
                    <w:tl2br w:val="nil"/>
                    <w:tr2bl w:val="nil"/>
                  </w:tcBorders>
                  <w:noWrap w:val="0"/>
                  <w:vAlign w:val="center"/>
                </w:tcPr>
                <w:p w14:paraId="6C12B623">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蒸汽</w:t>
                  </w:r>
                </w:p>
              </w:tc>
              <w:tc>
                <w:tcPr>
                  <w:tcW w:w="641" w:type="pct"/>
                  <w:tcBorders>
                    <w:tl2br w:val="nil"/>
                    <w:tr2bl w:val="nil"/>
                  </w:tcBorders>
                  <w:noWrap w:val="0"/>
                  <w:vAlign w:val="center"/>
                </w:tcPr>
                <w:p w14:paraId="206BC540">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517" w:type="pct"/>
                  <w:tcBorders>
                    <w:tl2br w:val="nil"/>
                    <w:tr2bl w:val="nil"/>
                  </w:tcBorders>
                  <w:noWrap w:val="0"/>
                  <w:vAlign w:val="center"/>
                </w:tcPr>
                <w:p w14:paraId="1C0782DA">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23760t</w:t>
                  </w:r>
                </w:p>
              </w:tc>
              <w:tc>
                <w:tcPr>
                  <w:tcW w:w="523" w:type="pct"/>
                  <w:tcBorders>
                    <w:tl2br w:val="nil"/>
                    <w:tr2bl w:val="nil"/>
                  </w:tcBorders>
                  <w:noWrap w:val="0"/>
                  <w:vAlign w:val="center"/>
                </w:tcPr>
                <w:p w14:paraId="262C9BA9">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vertAlign w:val="baseline"/>
                      <w:lang w:val="en-US" w:eastAsia="zh-CN"/>
                    </w:rPr>
                    <w:t>93000t</w:t>
                  </w:r>
                </w:p>
              </w:tc>
              <w:tc>
                <w:tcPr>
                  <w:tcW w:w="506" w:type="pct"/>
                  <w:tcBorders>
                    <w:tl2br w:val="nil"/>
                    <w:tr2bl w:val="nil"/>
                  </w:tcBorders>
                  <w:noWrap w:val="0"/>
                  <w:vAlign w:val="center"/>
                </w:tcPr>
                <w:p w14:paraId="7CEAB5BB">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116760t</w:t>
                  </w:r>
                </w:p>
              </w:tc>
              <w:tc>
                <w:tcPr>
                  <w:tcW w:w="1888" w:type="pct"/>
                  <w:gridSpan w:val="4"/>
                  <w:tcBorders>
                    <w:tl2br w:val="nil"/>
                    <w:tr2bl w:val="nil"/>
                  </w:tcBorders>
                  <w:noWrap w:val="0"/>
                  <w:vAlign w:val="center"/>
                </w:tcPr>
                <w:p w14:paraId="213807AF">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国电福州发电有限公司供应，供气协议详见</w:t>
                  </w:r>
                  <w:r>
                    <w:rPr>
                      <w:rFonts w:hint="default" w:ascii="Times New Roman" w:hAnsi="Times New Roman" w:eastAsia="宋体" w:cs="Times New Roman"/>
                      <w:b/>
                      <w:bCs/>
                      <w:color w:val="auto"/>
                      <w:sz w:val="21"/>
                      <w:szCs w:val="21"/>
                      <w:highlight w:val="none"/>
                      <w:lang w:val="en-US" w:eastAsia="zh-CN"/>
                    </w:rPr>
                    <w:t>附件</w:t>
                  </w:r>
                  <w:r>
                    <w:rPr>
                      <w:rFonts w:hint="eastAsia" w:ascii="Times New Roman" w:hAnsi="Times New Roman" w:eastAsia="宋体" w:cs="Times New Roman"/>
                      <w:b/>
                      <w:bCs/>
                      <w:color w:val="auto"/>
                      <w:sz w:val="21"/>
                      <w:szCs w:val="21"/>
                      <w:highlight w:val="none"/>
                      <w:lang w:val="en-US" w:eastAsia="zh-CN"/>
                    </w:rPr>
                    <w:t>十</w:t>
                  </w:r>
                  <w:r>
                    <w:rPr>
                      <w:rFonts w:hint="eastAsia" w:ascii="Times New Roman" w:hAnsi="Times New Roman" w:cs="Times New Roman"/>
                      <w:b/>
                      <w:bCs/>
                      <w:color w:val="auto"/>
                      <w:sz w:val="21"/>
                      <w:szCs w:val="21"/>
                      <w:highlight w:val="none"/>
                      <w:lang w:val="en-US" w:eastAsia="zh-CN"/>
                    </w:rPr>
                    <w:t>三</w:t>
                  </w:r>
                </w:p>
              </w:tc>
            </w:tr>
          </w:tbl>
          <w:p w14:paraId="58AF6DB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表2.2-</w:t>
            </w:r>
            <w:r>
              <w:rPr>
                <w:rFonts w:hint="eastAsia" w:cs="Times New Roman"/>
                <w:b/>
                <w:bCs/>
                <w:color w:val="auto"/>
                <w:sz w:val="24"/>
                <w:szCs w:val="24"/>
                <w:highlight w:val="none"/>
                <w:u w:val="none"/>
                <w:lang w:val="en-US" w:eastAsia="zh-CN"/>
              </w:rPr>
              <w:t>4</w:t>
            </w:r>
            <w:r>
              <w:rPr>
                <w:rFonts w:hint="eastAsia" w:ascii="Times New Roman" w:hAnsi="Times New Roman" w:eastAsia="宋体" w:cs="Times New Roman"/>
                <w:b/>
                <w:bCs/>
                <w:color w:val="auto"/>
                <w:sz w:val="24"/>
                <w:szCs w:val="24"/>
                <w:highlight w:val="none"/>
                <w:u w:val="none"/>
                <w:lang w:val="en-US" w:eastAsia="zh-CN"/>
              </w:rPr>
              <w:t>原辅材料</w:t>
            </w:r>
            <w:r>
              <w:rPr>
                <w:rFonts w:hint="eastAsia" w:ascii="Times New Roman" w:hAnsi="Times New Roman" w:cs="Times New Roman"/>
                <w:b/>
                <w:bCs/>
                <w:color w:val="auto"/>
                <w:sz w:val="24"/>
                <w:szCs w:val="24"/>
                <w:highlight w:val="none"/>
                <w:u w:val="none"/>
                <w:lang w:val="en-US" w:eastAsia="zh-CN"/>
              </w:rPr>
              <w:t>理化性质表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593"/>
              <w:gridCol w:w="6709"/>
            </w:tblGrid>
            <w:tr w14:paraId="7773B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25" w:type="pct"/>
                  <w:tcBorders>
                    <w:tl2br w:val="nil"/>
                    <w:tr2bl w:val="nil"/>
                  </w:tcBorders>
                  <w:vAlign w:val="center"/>
                </w:tcPr>
                <w:p w14:paraId="123507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896" w:type="pct"/>
                  <w:tcBorders>
                    <w:tl2br w:val="nil"/>
                    <w:tr2bl w:val="nil"/>
                  </w:tcBorders>
                  <w:vAlign w:val="center"/>
                </w:tcPr>
                <w:p w14:paraId="563325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原辅材料名称</w:t>
                  </w:r>
                </w:p>
              </w:tc>
              <w:tc>
                <w:tcPr>
                  <w:tcW w:w="3777" w:type="pct"/>
                  <w:tcBorders>
                    <w:tl2br w:val="nil"/>
                    <w:tr2bl w:val="nil"/>
                  </w:tcBorders>
                  <w:vAlign w:val="center"/>
                </w:tcPr>
                <w:p w14:paraId="58A0BE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理化性质</w:t>
                  </w:r>
                </w:p>
              </w:tc>
            </w:tr>
            <w:tr w14:paraId="1BF46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325" w:type="pct"/>
                  <w:tcBorders>
                    <w:tl2br w:val="nil"/>
                    <w:tr2bl w:val="nil"/>
                  </w:tcBorders>
                  <w:shd w:val="clear" w:color="auto" w:fill="auto"/>
                  <w:vAlign w:val="center"/>
                </w:tcPr>
                <w:p w14:paraId="629CB007">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c>
                <w:tcPr>
                  <w:tcW w:w="896" w:type="pct"/>
                  <w:tcBorders>
                    <w:tl2br w:val="nil"/>
                    <w:tr2bl w:val="nil"/>
                  </w:tcBorders>
                  <w:shd w:val="clear" w:color="auto" w:fill="auto"/>
                  <w:vAlign w:val="center"/>
                </w:tcPr>
                <w:p w14:paraId="347E094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-18415</wp:posOffset>
                            </wp:positionH>
                            <wp:positionV relativeFrom="paragraph">
                              <wp:posOffset>-429260</wp:posOffset>
                            </wp:positionV>
                            <wp:extent cx="5180965" cy="3943350"/>
                            <wp:effectExtent l="6350" t="6350" r="13335" b="12700"/>
                            <wp:wrapNone/>
                            <wp:docPr id="244" name="矩形 244"/>
                            <wp:cNvGraphicFramePr/>
                            <a:graphic xmlns:a="http://schemas.openxmlformats.org/drawingml/2006/main">
                              <a:graphicData uri="http://schemas.microsoft.com/office/word/2010/wordprocessingShape">
                                <wps:wsp>
                                  <wps:cNvSpPr/>
                                  <wps:spPr>
                                    <a:xfrm>
                                      <a:off x="0" y="0"/>
                                      <a:ext cx="5180965" cy="39433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pt;margin-top:-33.8pt;height:310.5pt;width:407.95pt;z-index:251699200;v-text-anchor:middle;mso-width-relative:page;mso-height-relative:page;" fillcolor="#FFFFFF [3212]" filled="t" stroked="t" coordsize="21600,21600" o:gfxdata="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iXyj32QAAAAoBAAAPAAAAAAAAAAEAIAAAACIAAABkcnMvZG93&#10;bnJldi54bWxQSwECFAAUAAAACACHTuJAY+RD0HECAAD5BAAADgAAAAAAAAABACAAAAAoAQAAZHJz&#10;L2Uyb0RvYy54bWxQSwUGAAAAAAYABgBZAQAACwYAAAAA&#10;">
                            <v:fill on="t" focussize="0,0"/>
                            <v:stroke weight="1pt" color="#FFFFFF [3212]" miterlimit="8" joinstyle="miter"/>
                            <v:imagedata o:title=""/>
                            <o:lock v:ext="edit" aspectratio="f"/>
                          </v:rect>
                        </w:pict>
                      </mc:Fallback>
                    </mc:AlternateContent>
                  </w:r>
                  <w:r>
                    <w:rPr>
                      <w:rFonts w:hint="default" w:ascii="Times New Roman" w:hAnsi="Times New Roman" w:eastAsia="宋体" w:cs="Times New Roman"/>
                      <w:color w:val="auto"/>
                      <w:sz w:val="21"/>
                      <w:szCs w:val="21"/>
                      <w:highlight w:val="none"/>
                      <w:vertAlign w:val="baseline"/>
                      <w:lang w:val="en-US" w:eastAsia="zh-CN"/>
                    </w:rPr>
                    <w:t>EPS</w:t>
                  </w:r>
                </w:p>
                <w:p w14:paraId="2E089727">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（可发性聚苯乙烯）</w:t>
                  </w:r>
                </w:p>
              </w:tc>
              <w:tc>
                <w:tcPr>
                  <w:tcW w:w="3777" w:type="pct"/>
                  <w:tcBorders>
                    <w:tl2br w:val="nil"/>
                    <w:tr2bl w:val="nil"/>
                  </w:tcBorders>
                  <w:vAlign w:val="center"/>
                </w:tcPr>
                <w:p w14:paraId="74FA36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EPS可发性聚苯乙烯为具有一定粒度的白色或无色透明珠体，</w:t>
                  </w:r>
                  <w:r>
                    <w:rPr>
                      <w:rFonts w:hint="eastAsia" w:ascii="Times New Roman" w:hAnsi="Times New Roman" w:eastAsia="宋体" w:cs="Times New Roman"/>
                      <w:color w:val="auto"/>
                      <w:sz w:val="21"/>
                      <w:szCs w:val="21"/>
                      <w:highlight w:val="none"/>
                      <w:vertAlign w:val="baseline"/>
                      <w:lang w:val="en-US" w:eastAsia="zh-CN"/>
                    </w:rPr>
                    <w:t>粒径</w:t>
                  </w:r>
                  <w:r>
                    <w:rPr>
                      <w:rFonts w:hint="eastAsia" w:cs="Times New Roman"/>
                      <w:color w:val="auto"/>
                      <w:sz w:val="21"/>
                      <w:szCs w:val="21"/>
                      <w:highlight w:val="none"/>
                      <w:vertAlign w:val="baseline"/>
                      <w:lang w:val="en-US" w:eastAsia="zh-CN"/>
                    </w:rPr>
                    <w:t>范围</w:t>
                  </w:r>
                  <w:r>
                    <w:rPr>
                      <w:rFonts w:hint="eastAsia" w:ascii="Times New Roman" w:hAnsi="Times New Roman" w:eastAsia="宋体" w:cs="Times New Roman"/>
                      <w:color w:val="auto"/>
                      <w:sz w:val="21"/>
                      <w:szCs w:val="21"/>
                      <w:highlight w:val="none"/>
                      <w:vertAlign w:val="baseline"/>
                      <w:lang w:val="en-US" w:eastAsia="zh-CN"/>
                    </w:rPr>
                    <w:t>0.25</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2.5mm，</w:t>
                  </w:r>
                  <w:r>
                    <w:rPr>
                      <w:rFonts w:hint="default" w:ascii="Times New Roman" w:hAnsi="Times New Roman" w:eastAsia="宋体" w:cs="Times New Roman"/>
                      <w:color w:val="auto"/>
                      <w:sz w:val="21"/>
                      <w:szCs w:val="21"/>
                      <w:highlight w:val="none"/>
                      <w:vertAlign w:val="baseline"/>
                      <w:lang w:val="en-US" w:eastAsia="zh-CN"/>
                    </w:rPr>
                    <w:t>相对密度1.05～1.06。可任意着色，化学性能良好。含有低沸点烃类发泡剂的可发性聚苯乙烯，在受热至90～110℃时，体积可增大5～50倍，成为具有隔热、隔声、防震、耐水、耐酸、耐碱等特性的泡沫塑料。聚苯乙烯泡沫塑料的性能，与微孔结构关系很大</w:t>
                  </w:r>
                  <w:r>
                    <w:rPr>
                      <w:rFonts w:hint="eastAsia" w:cs="Times New Roman"/>
                      <w:color w:val="auto"/>
                      <w:sz w:val="21"/>
                      <w:szCs w:val="21"/>
                      <w:highlight w:val="none"/>
                      <w:vertAlign w:val="baseline"/>
                      <w:lang w:val="en-US" w:eastAsia="zh-CN"/>
                    </w:rPr>
                    <w:t>且</w:t>
                  </w:r>
                  <w:r>
                    <w:rPr>
                      <w:rFonts w:hint="default" w:ascii="Times New Roman" w:hAnsi="Times New Roman" w:eastAsia="宋体" w:cs="Times New Roman"/>
                      <w:color w:val="auto"/>
                      <w:sz w:val="21"/>
                      <w:szCs w:val="21"/>
                      <w:highlight w:val="none"/>
                      <w:vertAlign w:val="baseline"/>
                      <w:lang w:val="en-US" w:eastAsia="zh-CN"/>
                    </w:rPr>
                    <w:t>与改性剂和助剂有关，如加入阻燃剂六溴环十二烷，则制得的泡沫塑料具有阻燃性能。（详见</w:t>
                  </w:r>
                  <w:r>
                    <w:rPr>
                      <w:rFonts w:hint="default" w:ascii="Times New Roman" w:hAnsi="Times New Roman" w:eastAsia="宋体" w:cs="Times New Roman"/>
                      <w:b/>
                      <w:bCs/>
                      <w:color w:val="auto"/>
                      <w:sz w:val="21"/>
                      <w:szCs w:val="21"/>
                      <w:highlight w:val="none"/>
                      <w:vertAlign w:val="baseline"/>
                      <w:lang w:val="en-US" w:eastAsia="zh-CN"/>
                    </w:rPr>
                    <w:t>附件十</w:t>
                  </w:r>
                  <w:r>
                    <w:rPr>
                      <w:rFonts w:hint="eastAsia" w:cs="Times New Roman"/>
                      <w:b/>
                      <w:bCs/>
                      <w:color w:val="auto"/>
                      <w:sz w:val="21"/>
                      <w:szCs w:val="21"/>
                      <w:highlight w:val="none"/>
                      <w:vertAlign w:val="baseline"/>
                      <w:lang w:val="en-US" w:eastAsia="zh-CN"/>
                    </w:rPr>
                    <w:t>四</w:t>
                  </w:r>
                  <w:r>
                    <w:rPr>
                      <w:rFonts w:hint="default" w:ascii="Times New Roman" w:hAnsi="Times New Roman" w:eastAsia="宋体" w:cs="Times New Roman"/>
                      <w:b/>
                      <w:bCs/>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w:t>
                  </w:r>
                </w:p>
              </w:tc>
            </w:tr>
            <w:tr w14:paraId="25A57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325" w:type="pct"/>
                  <w:tcBorders>
                    <w:tl2br w:val="nil"/>
                    <w:tr2bl w:val="nil"/>
                  </w:tcBorders>
                  <w:shd w:val="clear" w:color="auto" w:fill="auto"/>
                  <w:vAlign w:val="center"/>
                </w:tcPr>
                <w:p w14:paraId="03C4347C">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896" w:type="pct"/>
                  <w:tcBorders>
                    <w:tl2br w:val="nil"/>
                    <w:tr2bl w:val="nil"/>
                  </w:tcBorders>
                  <w:shd w:val="clear" w:color="auto" w:fill="auto"/>
                  <w:vAlign w:val="center"/>
                </w:tcPr>
                <w:p w14:paraId="36448EBE">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EPP</w:t>
                  </w:r>
                </w:p>
                <w:p w14:paraId="7369D949">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（发泡聚丙烯）</w:t>
                  </w:r>
                </w:p>
              </w:tc>
              <w:tc>
                <w:tcPr>
                  <w:tcW w:w="3777" w:type="pct"/>
                  <w:tcBorders>
                    <w:tl2br w:val="nil"/>
                    <w:tr2bl w:val="nil"/>
                  </w:tcBorders>
                  <w:shd w:val="clear" w:color="auto" w:fill="auto"/>
                  <w:vAlign w:val="center"/>
                </w:tcPr>
                <w:p w14:paraId="51F804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aps w:val="0"/>
                      <w:color w:val="auto"/>
                      <w:spacing w:val="0"/>
                      <w:sz w:val="21"/>
                      <w:szCs w:val="21"/>
                      <w:shd w:val="clear" w:fill="FFFFFF"/>
                    </w:rPr>
                    <w:t>聚丙烯塑料发泡材料（Expandedpolypropylene，简称EPP）是由固体和气体组成的闭孔泡沫材料，外观呈黑色、粉红色或白色颗粒状，粒径范围2～7mm。其固相成分占比2%～10%，密度为17～100kg/m³，可承受-40℃～110℃温度范围且具有缓冲性能，加热后可消解实现100%回收利用。</w:t>
                  </w:r>
                  <w:r>
                    <w:rPr>
                      <w:rFonts w:hint="default" w:ascii="Times New Roman" w:hAnsi="Times New Roman" w:eastAsia="宋体" w:cs="Times New Roman"/>
                      <w:color w:val="auto"/>
                      <w:sz w:val="21"/>
                      <w:szCs w:val="21"/>
                      <w:highlight w:val="none"/>
                      <w:vertAlign w:val="baseline"/>
                      <w:lang w:val="en-US" w:eastAsia="zh-CN"/>
                    </w:rPr>
                    <w:t>（详见</w:t>
                  </w:r>
                  <w:r>
                    <w:rPr>
                      <w:rFonts w:hint="default" w:ascii="Times New Roman" w:hAnsi="Times New Roman" w:eastAsia="宋体" w:cs="Times New Roman"/>
                      <w:b/>
                      <w:bCs/>
                      <w:color w:val="auto"/>
                      <w:sz w:val="21"/>
                      <w:szCs w:val="21"/>
                      <w:highlight w:val="none"/>
                      <w:vertAlign w:val="baseline"/>
                      <w:lang w:val="en-US" w:eastAsia="zh-CN"/>
                    </w:rPr>
                    <w:t>附件十</w:t>
                  </w:r>
                  <w:r>
                    <w:rPr>
                      <w:rFonts w:hint="eastAsia" w:cs="Times New Roman"/>
                      <w:b/>
                      <w:bCs/>
                      <w:color w:val="auto"/>
                      <w:sz w:val="21"/>
                      <w:szCs w:val="21"/>
                      <w:highlight w:val="none"/>
                      <w:vertAlign w:val="baseline"/>
                      <w:lang w:val="en-US" w:eastAsia="zh-CN"/>
                    </w:rPr>
                    <w:t>四</w:t>
                  </w:r>
                  <w:r>
                    <w:rPr>
                      <w:rFonts w:hint="default" w:ascii="Times New Roman" w:hAnsi="Times New Roman" w:eastAsia="宋体" w:cs="Times New Roman"/>
                      <w:b/>
                      <w:bCs/>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r>
            <w:tr w14:paraId="47B2C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325" w:type="pct"/>
                  <w:tcBorders>
                    <w:tl2br w:val="nil"/>
                    <w:tr2bl w:val="nil"/>
                  </w:tcBorders>
                  <w:shd w:val="clear" w:color="auto" w:fill="auto"/>
                  <w:vAlign w:val="center"/>
                </w:tcPr>
                <w:p w14:paraId="5256F7C8">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w:t>
                  </w:r>
                </w:p>
              </w:tc>
              <w:tc>
                <w:tcPr>
                  <w:tcW w:w="896" w:type="pct"/>
                  <w:tcBorders>
                    <w:tl2br w:val="nil"/>
                    <w:tr2bl w:val="nil"/>
                  </w:tcBorders>
                  <w:shd w:val="clear" w:color="auto" w:fill="auto"/>
                  <w:vAlign w:val="center"/>
                </w:tcPr>
                <w:p w14:paraId="09E2C77A">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液压油</w:t>
                  </w:r>
                </w:p>
              </w:tc>
              <w:tc>
                <w:tcPr>
                  <w:tcW w:w="3777" w:type="pct"/>
                  <w:tcBorders>
                    <w:tl2br w:val="nil"/>
                    <w:tr2bl w:val="nil"/>
                  </w:tcBorders>
                  <w:shd w:val="clear" w:color="auto" w:fill="auto"/>
                  <w:vAlign w:val="center"/>
                </w:tcPr>
                <w:p w14:paraId="5B89AF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新的液压油通常呈淡黄色，清澈透明。带有轻度矿物油味，密度通常在0.85～0.9g/m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之间。在金属摩擦（如泵、马达、油缸）之间形成强韧的油膜，防止金属直接接触，减少磨损。在与水接触并混合后，能迅速分离的能力。</w:t>
                  </w:r>
                </w:p>
              </w:tc>
            </w:tr>
          </w:tbl>
          <w:p w14:paraId="70CD31B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37" w:name="_Toc8874"/>
            <w:r>
              <w:rPr>
                <w:rFonts w:hint="default" w:ascii="Times New Roman" w:hAnsi="Times New Roman" w:eastAsia="宋体" w:cs="Times New Roman"/>
                <w:b/>
                <w:bCs/>
                <w:color w:val="auto"/>
                <w:sz w:val="24"/>
                <w:szCs w:val="24"/>
                <w:highlight w:val="none"/>
                <w:u w:val="none"/>
                <w:lang w:val="en-US" w:eastAsia="zh-CN"/>
              </w:rPr>
              <w:t>2.2.</w:t>
            </w:r>
            <w:r>
              <w:rPr>
                <w:rFonts w:hint="eastAsia" w:cs="Times New Roman"/>
                <w:b/>
                <w:bCs/>
                <w:color w:val="auto"/>
                <w:sz w:val="24"/>
                <w:szCs w:val="24"/>
                <w:highlight w:val="none"/>
                <w:u w:val="none"/>
                <w:lang w:val="en-US" w:eastAsia="zh-CN"/>
              </w:rPr>
              <w:t>6</w:t>
            </w:r>
            <w:r>
              <w:rPr>
                <w:rFonts w:hint="eastAsia" w:ascii="Times New Roman" w:hAnsi="Times New Roman" w:eastAsia="宋体" w:cs="Times New Roman"/>
                <w:b/>
                <w:bCs/>
                <w:color w:val="auto"/>
                <w:sz w:val="24"/>
                <w:szCs w:val="24"/>
                <w:highlight w:val="none"/>
                <w:u w:val="none"/>
                <w:lang w:val="en-US" w:eastAsia="zh-CN"/>
              </w:rPr>
              <w:t>主要生产设备</w:t>
            </w:r>
            <w:bookmarkEnd w:id="37"/>
          </w:p>
          <w:p w14:paraId="08D71843">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现有项目和本次扩建后主要生产设备一览表详见表2.2-5。</w:t>
            </w:r>
          </w:p>
          <w:p w14:paraId="25129C83">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表2.2-</w:t>
            </w:r>
            <w:r>
              <w:rPr>
                <w:rFonts w:hint="eastAsia" w:cs="Times New Roman"/>
                <w:b/>
                <w:bCs/>
                <w:color w:val="auto"/>
                <w:sz w:val="24"/>
                <w:szCs w:val="24"/>
                <w:highlight w:val="none"/>
                <w:u w:val="none"/>
                <w:lang w:val="en-US" w:eastAsia="zh-CN"/>
              </w:rPr>
              <w:t>5</w:t>
            </w:r>
            <w:r>
              <w:rPr>
                <w:rFonts w:hint="default" w:ascii="Times New Roman" w:hAnsi="Times New Roman" w:eastAsia="宋体" w:cs="Times New Roman"/>
                <w:b/>
                <w:bCs/>
                <w:color w:val="auto"/>
                <w:sz w:val="24"/>
                <w:szCs w:val="24"/>
                <w:highlight w:val="none"/>
                <w:u w:val="none"/>
                <w:lang w:val="en-US" w:eastAsia="zh-CN"/>
              </w:rPr>
              <w:t>主要生产设备一览表</w:t>
            </w:r>
          </w:p>
          <w:tbl>
            <w:tblPr>
              <w:tblStyle w:val="24"/>
              <w:tblW w:w="49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10"/>
              <w:gridCol w:w="1850"/>
              <w:gridCol w:w="1050"/>
              <w:gridCol w:w="1155"/>
              <w:gridCol w:w="1530"/>
              <w:gridCol w:w="1531"/>
            </w:tblGrid>
            <w:tr w14:paraId="1E956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58" w:type="pct"/>
                  <w:tcBorders>
                    <w:tl2br w:val="nil"/>
                    <w:tr2bl w:val="nil"/>
                  </w:tcBorders>
                  <w:vAlign w:val="center"/>
                </w:tcPr>
                <w:p w14:paraId="1F55A0F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序号</w:t>
                  </w:r>
                </w:p>
              </w:tc>
              <w:tc>
                <w:tcPr>
                  <w:tcW w:w="626" w:type="pct"/>
                  <w:tcBorders>
                    <w:tl2br w:val="nil"/>
                    <w:tr2bl w:val="nil"/>
                  </w:tcBorders>
                  <w:vAlign w:val="center"/>
                </w:tcPr>
                <w:p w14:paraId="65C36355">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设备名称</w:t>
                  </w:r>
                </w:p>
              </w:tc>
              <w:tc>
                <w:tcPr>
                  <w:tcW w:w="1043" w:type="pct"/>
                  <w:tcBorders>
                    <w:tl2br w:val="nil"/>
                    <w:tr2bl w:val="nil"/>
                  </w:tcBorders>
                  <w:vAlign w:val="center"/>
                </w:tcPr>
                <w:p w14:paraId="4356779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功率/型号</w:t>
                  </w:r>
                </w:p>
              </w:tc>
              <w:tc>
                <w:tcPr>
                  <w:tcW w:w="592" w:type="pct"/>
                  <w:tcBorders>
                    <w:tl2br w:val="nil"/>
                    <w:tr2bl w:val="nil"/>
                  </w:tcBorders>
                  <w:vAlign w:val="center"/>
                </w:tcPr>
                <w:p w14:paraId="13EFD27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现有设备数量</w:t>
                  </w:r>
                </w:p>
                <w:p w14:paraId="7B56C3E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（台）</w:t>
                  </w:r>
                </w:p>
              </w:tc>
              <w:tc>
                <w:tcPr>
                  <w:tcW w:w="651" w:type="pct"/>
                  <w:tcBorders>
                    <w:tl2br w:val="nil"/>
                    <w:tr2bl w:val="nil"/>
                  </w:tcBorders>
                  <w:vAlign w:val="center"/>
                </w:tcPr>
                <w:p w14:paraId="0AC1C415">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本次扩建项目数量</w:t>
                  </w:r>
                </w:p>
                <w:p w14:paraId="4397B1C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（台）</w:t>
                  </w:r>
                </w:p>
              </w:tc>
              <w:tc>
                <w:tcPr>
                  <w:tcW w:w="863" w:type="pct"/>
                  <w:tcBorders>
                    <w:tl2br w:val="nil"/>
                    <w:tr2bl w:val="nil"/>
                  </w:tcBorders>
                  <w:vAlign w:val="center"/>
                </w:tcPr>
                <w:p w14:paraId="0E4D3A9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项目建成后全厂设备数量（台）</w:t>
                  </w:r>
                </w:p>
              </w:tc>
              <w:tc>
                <w:tcPr>
                  <w:tcW w:w="863" w:type="pct"/>
                  <w:tcBorders>
                    <w:tl2br w:val="nil"/>
                    <w:tr2bl w:val="nil"/>
                  </w:tcBorders>
                  <w:vAlign w:val="center"/>
                </w:tcPr>
                <w:p w14:paraId="6F54A7B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工序/用途</w:t>
                  </w:r>
                </w:p>
              </w:tc>
            </w:tr>
            <w:tr w14:paraId="489D9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restart"/>
                  <w:tcBorders>
                    <w:tl2br w:val="nil"/>
                    <w:tr2bl w:val="nil"/>
                  </w:tcBorders>
                  <w:shd w:val="clear" w:color="auto" w:fill="auto"/>
                  <w:vAlign w:val="center"/>
                </w:tcPr>
                <w:p w14:paraId="3896413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26" w:type="pct"/>
                  <w:vMerge w:val="restart"/>
                  <w:tcBorders>
                    <w:tl2br w:val="nil"/>
                    <w:tr2bl w:val="nil"/>
                  </w:tcBorders>
                  <w:shd w:val="clear" w:color="auto" w:fill="auto"/>
                  <w:vAlign w:val="center"/>
                </w:tcPr>
                <w:p w14:paraId="7BB3AE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-14605</wp:posOffset>
                            </wp:positionH>
                            <wp:positionV relativeFrom="paragraph">
                              <wp:posOffset>8890</wp:posOffset>
                            </wp:positionV>
                            <wp:extent cx="5104765" cy="3019425"/>
                            <wp:effectExtent l="6350" t="6350" r="13335" b="22225"/>
                            <wp:wrapNone/>
                            <wp:docPr id="245" name="矩形 245"/>
                            <wp:cNvGraphicFramePr/>
                            <a:graphic xmlns:a="http://schemas.openxmlformats.org/drawingml/2006/main">
                              <a:graphicData uri="http://schemas.microsoft.com/office/word/2010/wordprocessingShape">
                                <wps:wsp>
                                  <wps:cNvSpPr/>
                                  <wps:spPr>
                                    <a:xfrm>
                                      <a:off x="0" y="0"/>
                                      <a:ext cx="5104765" cy="30194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pt;margin-top:0.7pt;height:237.75pt;width:401.95pt;z-index:251700224;v-text-anchor:middle;mso-width-relative:page;mso-height-relative:page;" fillcolor="#FFFFFF [3212]" filled="t" stroked="t" coordsize="21600,21600" o:gfxdata="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t5mQjXAAAACAEAAA8AAAAAAAAAAQAgAAAAIgAAAGRycy9kb3ducmV2&#10;LnhtbFBLAQIUABQAAAAIAIdO4kDXCzHvbwIAAPkEAAAOAAAAAAAAAAEAIAAAACYBAABkcnMvZTJv&#10;RG9jLnhtbFBLBQYAAAAABgAGAFkBAAAHBgAAAAA=&#10;">
                            <v:fill on="t" focussize="0,0"/>
                            <v:stroke weight="1pt" color="#FFFFFF [3212]" miterlimit="8" joinstyle="miter"/>
                            <v:imagedata o:title=""/>
                            <o:lock v:ext="edit" aspectratio="f"/>
                          </v:rect>
                        </w:pict>
                      </mc:Fallback>
                    </mc:AlternateContent>
                  </w:r>
                  <w:r>
                    <w:rPr>
                      <w:rFonts w:hint="default" w:ascii="Times New Roman" w:hAnsi="Times New Roman" w:eastAsia="宋体" w:cs="Times New Roman"/>
                      <w:color w:val="auto"/>
                      <w:sz w:val="21"/>
                      <w:szCs w:val="21"/>
                      <w:highlight w:val="none"/>
                      <w:vertAlign w:val="baseline"/>
                      <w:lang w:val="en-US" w:eastAsia="zh-CN"/>
                    </w:rPr>
                    <w:t>发料机</w:t>
                  </w:r>
                </w:p>
              </w:tc>
              <w:tc>
                <w:tcPr>
                  <w:tcW w:w="1043" w:type="pct"/>
                  <w:tcBorders>
                    <w:tl2br w:val="nil"/>
                    <w:tr2bl w:val="nil"/>
                  </w:tcBorders>
                  <w:shd w:val="clear" w:color="auto" w:fill="auto"/>
                  <w:vAlign w:val="center"/>
                </w:tcPr>
                <w:p w14:paraId="520C64D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110型</w:t>
                  </w:r>
                </w:p>
              </w:tc>
              <w:tc>
                <w:tcPr>
                  <w:tcW w:w="592" w:type="pct"/>
                  <w:tcBorders>
                    <w:tl2br w:val="nil"/>
                    <w:tr2bl w:val="nil"/>
                  </w:tcBorders>
                  <w:shd w:val="clear" w:color="auto" w:fill="auto"/>
                  <w:vAlign w:val="center"/>
                </w:tcPr>
                <w:p w14:paraId="40964A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vAlign w:val="center"/>
                </w:tcPr>
                <w:p w14:paraId="09D573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w:t>
                  </w:r>
                </w:p>
              </w:tc>
              <w:tc>
                <w:tcPr>
                  <w:tcW w:w="863" w:type="pct"/>
                  <w:tcBorders>
                    <w:tl2br w:val="nil"/>
                    <w:tr2bl w:val="nil"/>
                  </w:tcBorders>
                  <w:vAlign w:val="center"/>
                </w:tcPr>
                <w:p w14:paraId="4582C5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vMerge w:val="restart"/>
                  <w:tcBorders>
                    <w:tl2br w:val="nil"/>
                    <w:tr2bl w:val="nil"/>
                  </w:tcBorders>
                  <w:vAlign w:val="center"/>
                </w:tcPr>
                <w:p w14:paraId="313C0C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预发（将原料进行发泡）</w:t>
                  </w:r>
                </w:p>
              </w:tc>
            </w:tr>
            <w:tr w14:paraId="516DD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07ECD1B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626" w:type="pct"/>
                  <w:vMerge w:val="continue"/>
                  <w:tcBorders>
                    <w:tl2br w:val="nil"/>
                    <w:tr2bl w:val="nil"/>
                  </w:tcBorders>
                  <w:shd w:val="clear" w:color="auto" w:fill="auto"/>
                  <w:vAlign w:val="center"/>
                </w:tcPr>
                <w:p w14:paraId="59EC51B3">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p>
              </w:tc>
              <w:tc>
                <w:tcPr>
                  <w:tcW w:w="1043" w:type="pct"/>
                  <w:tcBorders>
                    <w:tl2br w:val="nil"/>
                    <w:tr2bl w:val="nil"/>
                  </w:tcBorders>
                  <w:shd w:val="clear" w:color="auto" w:fill="auto"/>
                  <w:vAlign w:val="center"/>
                </w:tcPr>
                <w:p w14:paraId="522F34D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130型</w:t>
                  </w:r>
                </w:p>
              </w:tc>
              <w:tc>
                <w:tcPr>
                  <w:tcW w:w="592" w:type="pct"/>
                  <w:tcBorders>
                    <w:tl2br w:val="nil"/>
                    <w:tr2bl w:val="nil"/>
                  </w:tcBorders>
                  <w:shd w:val="clear" w:color="auto" w:fill="auto"/>
                  <w:vAlign w:val="center"/>
                </w:tcPr>
                <w:p w14:paraId="05FEB3F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vAlign w:val="center"/>
                </w:tcPr>
                <w:p w14:paraId="7D1FE455">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2</w:t>
                  </w:r>
                </w:p>
              </w:tc>
              <w:tc>
                <w:tcPr>
                  <w:tcW w:w="863" w:type="pct"/>
                  <w:tcBorders>
                    <w:tl2br w:val="nil"/>
                    <w:tr2bl w:val="nil"/>
                  </w:tcBorders>
                  <w:vAlign w:val="center"/>
                </w:tcPr>
                <w:p w14:paraId="4AF138C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2</w:t>
                  </w:r>
                </w:p>
              </w:tc>
              <w:tc>
                <w:tcPr>
                  <w:tcW w:w="863" w:type="pct"/>
                  <w:vMerge w:val="continue"/>
                  <w:tcBorders>
                    <w:tl2br w:val="nil"/>
                    <w:tr2bl w:val="nil"/>
                  </w:tcBorders>
                  <w:vAlign w:val="center"/>
                </w:tcPr>
                <w:p w14:paraId="4397CE4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2FC33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50470F4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626" w:type="pct"/>
                  <w:vMerge w:val="continue"/>
                  <w:tcBorders>
                    <w:tl2br w:val="nil"/>
                    <w:tr2bl w:val="nil"/>
                  </w:tcBorders>
                  <w:shd w:val="clear" w:color="auto" w:fill="auto"/>
                  <w:vAlign w:val="center"/>
                </w:tcPr>
                <w:p w14:paraId="3A9C4AD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43" w:type="pct"/>
                  <w:tcBorders>
                    <w:tl2br w:val="nil"/>
                    <w:tr2bl w:val="nil"/>
                  </w:tcBorders>
                  <w:shd w:val="clear" w:color="auto" w:fill="auto"/>
                  <w:vAlign w:val="center"/>
                </w:tcPr>
                <w:p w14:paraId="59C2287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PSF-90型</w:t>
                  </w:r>
                </w:p>
              </w:tc>
              <w:tc>
                <w:tcPr>
                  <w:tcW w:w="592" w:type="pct"/>
                  <w:tcBorders>
                    <w:tl2br w:val="nil"/>
                    <w:tr2bl w:val="nil"/>
                  </w:tcBorders>
                  <w:shd w:val="clear" w:color="auto" w:fill="auto"/>
                  <w:vAlign w:val="center"/>
                </w:tcPr>
                <w:p w14:paraId="408A01E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vAlign w:val="center"/>
                </w:tcPr>
                <w:p w14:paraId="564FDAB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863" w:type="pct"/>
                  <w:tcBorders>
                    <w:tl2br w:val="nil"/>
                    <w:tr2bl w:val="nil"/>
                  </w:tcBorders>
                  <w:vAlign w:val="center"/>
                </w:tcPr>
                <w:p w14:paraId="055A00B5">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vAlign w:val="center"/>
                </w:tcPr>
                <w:p w14:paraId="21FF484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1C270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tcBorders>
                    <w:tl2br w:val="nil"/>
                    <w:tr2bl w:val="nil"/>
                  </w:tcBorders>
                  <w:vAlign w:val="center"/>
                </w:tcPr>
                <w:p w14:paraId="5408839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626" w:type="pct"/>
                  <w:tcBorders>
                    <w:tl2br w:val="nil"/>
                    <w:tr2bl w:val="nil"/>
                  </w:tcBorders>
                  <w:shd w:val="clear" w:color="auto" w:fill="auto"/>
                  <w:vAlign w:val="center"/>
                </w:tcPr>
                <w:p w14:paraId="3379DC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成型机</w:t>
                  </w:r>
                </w:p>
              </w:tc>
              <w:tc>
                <w:tcPr>
                  <w:tcW w:w="1043" w:type="pct"/>
                  <w:tcBorders>
                    <w:tl2br w:val="nil"/>
                    <w:tr2bl w:val="nil"/>
                  </w:tcBorders>
                  <w:shd w:val="clear" w:color="auto" w:fill="auto"/>
                  <w:vAlign w:val="center"/>
                </w:tcPr>
                <w:p w14:paraId="4FA8EA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PMA140120</w:t>
                  </w:r>
                </w:p>
              </w:tc>
              <w:tc>
                <w:tcPr>
                  <w:tcW w:w="592" w:type="pct"/>
                  <w:tcBorders>
                    <w:tl2br w:val="nil"/>
                    <w:tr2bl w:val="nil"/>
                  </w:tcBorders>
                  <w:shd w:val="clear" w:color="auto" w:fill="auto"/>
                  <w:vAlign w:val="center"/>
                </w:tcPr>
                <w:p w14:paraId="739E23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c>
                <w:tcPr>
                  <w:tcW w:w="651" w:type="pct"/>
                  <w:tcBorders>
                    <w:tl2br w:val="nil"/>
                    <w:tr2bl w:val="nil"/>
                  </w:tcBorders>
                  <w:vAlign w:val="center"/>
                </w:tcPr>
                <w:p w14:paraId="0BF101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w:t>
                  </w:r>
                </w:p>
              </w:tc>
              <w:tc>
                <w:tcPr>
                  <w:tcW w:w="863" w:type="pct"/>
                  <w:tcBorders>
                    <w:tl2br w:val="nil"/>
                    <w:tr2bl w:val="nil"/>
                  </w:tcBorders>
                  <w:vAlign w:val="center"/>
                </w:tcPr>
                <w:p w14:paraId="155180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w:t>
                  </w:r>
                </w:p>
              </w:tc>
              <w:tc>
                <w:tcPr>
                  <w:tcW w:w="863" w:type="pct"/>
                  <w:tcBorders>
                    <w:tl2br w:val="nil"/>
                    <w:tr2bl w:val="nil"/>
                  </w:tcBorders>
                  <w:vAlign w:val="center"/>
                </w:tcPr>
                <w:p w14:paraId="142F67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成型（将预发熟化后的产品进行成型）</w:t>
                  </w:r>
                </w:p>
              </w:tc>
            </w:tr>
            <w:tr w14:paraId="07C51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tcBorders>
                    <w:tl2br w:val="nil"/>
                    <w:tr2bl w:val="nil"/>
                  </w:tcBorders>
                  <w:shd w:val="clear" w:color="auto" w:fill="auto"/>
                  <w:vAlign w:val="center"/>
                </w:tcPr>
                <w:p w14:paraId="18B530E6">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u w:val="none"/>
                      <w:vertAlign w:val="baseline"/>
                      <w:lang w:val="en-US" w:eastAsia="zh-CN"/>
                    </w:rPr>
                    <w:t>3</w:t>
                  </w:r>
                </w:p>
              </w:tc>
              <w:tc>
                <w:tcPr>
                  <w:tcW w:w="626" w:type="pct"/>
                  <w:tcBorders>
                    <w:tl2br w:val="nil"/>
                    <w:tr2bl w:val="nil"/>
                  </w:tcBorders>
                  <w:shd w:val="clear" w:color="auto" w:fill="auto"/>
                  <w:vAlign w:val="center"/>
                </w:tcPr>
                <w:p w14:paraId="619A59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压缩机</w:t>
                  </w:r>
                </w:p>
              </w:tc>
              <w:tc>
                <w:tcPr>
                  <w:tcW w:w="1043" w:type="pct"/>
                  <w:tcBorders>
                    <w:tl2br w:val="nil"/>
                    <w:tr2bl w:val="nil"/>
                  </w:tcBorders>
                  <w:shd w:val="clear" w:color="auto" w:fill="auto"/>
                  <w:vAlign w:val="center"/>
                </w:tcPr>
                <w:p w14:paraId="7C4160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HVG-120Y-11</w:t>
                  </w:r>
                </w:p>
              </w:tc>
              <w:tc>
                <w:tcPr>
                  <w:tcW w:w="592" w:type="pct"/>
                  <w:tcBorders>
                    <w:tl2br w:val="nil"/>
                    <w:tr2bl w:val="nil"/>
                  </w:tcBorders>
                  <w:shd w:val="clear" w:color="auto" w:fill="auto"/>
                  <w:vAlign w:val="center"/>
                </w:tcPr>
                <w:p w14:paraId="670DBF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651" w:type="pct"/>
                  <w:tcBorders>
                    <w:tl2br w:val="nil"/>
                    <w:tr2bl w:val="nil"/>
                  </w:tcBorders>
                  <w:vAlign w:val="center"/>
                </w:tcPr>
                <w:p w14:paraId="6E038D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tcBorders>
                    <w:tl2br w:val="nil"/>
                    <w:tr2bl w:val="nil"/>
                  </w:tcBorders>
                  <w:vAlign w:val="center"/>
                </w:tcPr>
                <w:p w14:paraId="4FC36C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restart"/>
                  <w:tcBorders>
                    <w:tl2br w:val="nil"/>
                    <w:tr2bl w:val="nil"/>
                  </w:tcBorders>
                  <w:vAlign w:val="center"/>
                </w:tcPr>
                <w:p w14:paraId="744BD6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压缩空气</w:t>
                  </w:r>
                </w:p>
              </w:tc>
            </w:tr>
            <w:tr w14:paraId="3C22A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restart"/>
                  <w:tcBorders>
                    <w:tl2br w:val="nil"/>
                    <w:tr2bl w:val="nil"/>
                  </w:tcBorders>
                  <w:vAlign w:val="center"/>
                </w:tcPr>
                <w:p w14:paraId="0C2BBAE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4</w:t>
                  </w:r>
                </w:p>
              </w:tc>
              <w:tc>
                <w:tcPr>
                  <w:tcW w:w="626" w:type="pct"/>
                  <w:vMerge w:val="restart"/>
                  <w:tcBorders>
                    <w:tl2br w:val="nil"/>
                    <w:tr2bl w:val="nil"/>
                  </w:tcBorders>
                  <w:shd w:val="clear" w:color="auto" w:fill="auto"/>
                  <w:vAlign w:val="center"/>
                </w:tcPr>
                <w:p w14:paraId="35FF26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螺杆式空气压缩机</w:t>
                  </w:r>
                </w:p>
              </w:tc>
              <w:tc>
                <w:tcPr>
                  <w:tcW w:w="1043" w:type="pct"/>
                  <w:tcBorders>
                    <w:tl2br w:val="nil"/>
                    <w:tr2bl w:val="nil"/>
                  </w:tcBorders>
                  <w:shd w:val="clear" w:color="auto" w:fill="auto"/>
                  <w:vAlign w:val="center"/>
                </w:tcPr>
                <w:p w14:paraId="2DC534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CRRC37PM-08</w:t>
                  </w:r>
                </w:p>
              </w:tc>
              <w:tc>
                <w:tcPr>
                  <w:tcW w:w="592" w:type="pct"/>
                  <w:tcBorders>
                    <w:tl2br w:val="nil"/>
                    <w:tr2bl w:val="nil"/>
                  </w:tcBorders>
                  <w:shd w:val="clear" w:color="auto" w:fill="auto"/>
                  <w:vAlign w:val="center"/>
                </w:tcPr>
                <w:p w14:paraId="69821B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tcBorders>
                    <w:tl2br w:val="nil"/>
                    <w:tr2bl w:val="nil"/>
                  </w:tcBorders>
                  <w:shd w:val="clear" w:color="auto" w:fill="auto"/>
                  <w:vAlign w:val="center"/>
                </w:tcPr>
                <w:p w14:paraId="121CF7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863" w:type="pct"/>
                  <w:tcBorders>
                    <w:tl2br w:val="nil"/>
                    <w:tr2bl w:val="nil"/>
                  </w:tcBorders>
                  <w:shd w:val="clear" w:color="auto" w:fill="auto"/>
                  <w:vAlign w:val="center"/>
                </w:tcPr>
                <w:p w14:paraId="64C86F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continue"/>
                  <w:tcBorders>
                    <w:tl2br w:val="nil"/>
                    <w:tr2bl w:val="nil"/>
                  </w:tcBorders>
                  <w:shd w:val="clear" w:color="auto" w:fill="auto"/>
                  <w:vAlign w:val="center"/>
                </w:tcPr>
                <w:p w14:paraId="4A878C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4D6C5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vAlign w:val="center"/>
                </w:tcPr>
                <w:p w14:paraId="703F7F5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rPr>
                  </w:pPr>
                </w:p>
              </w:tc>
              <w:tc>
                <w:tcPr>
                  <w:tcW w:w="626" w:type="pct"/>
                  <w:vMerge w:val="continue"/>
                  <w:tcBorders>
                    <w:tl2br w:val="nil"/>
                    <w:tr2bl w:val="nil"/>
                  </w:tcBorders>
                  <w:shd w:val="clear" w:color="auto" w:fill="auto"/>
                  <w:vAlign w:val="center"/>
                </w:tcPr>
                <w:p w14:paraId="7DE5F3D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rPr>
                  </w:pPr>
                </w:p>
              </w:tc>
              <w:tc>
                <w:tcPr>
                  <w:tcW w:w="1043" w:type="pct"/>
                  <w:tcBorders>
                    <w:tl2br w:val="nil"/>
                    <w:tr2bl w:val="nil"/>
                  </w:tcBorders>
                  <w:shd w:val="clear" w:color="auto" w:fill="auto"/>
                  <w:vAlign w:val="center"/>
                </w:tcPr>
                <w:p w14:paraId="0F1D77F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CRRC75PM11-04</w:t>
                  </w:r>
                </w:p>
              </w:tc>
              <w:tc>
                <w:tcPr>
                  <w:tcW w:w="592" w:type="pct"/>
                  <w:tcBorders>
                    <w:tl2br w:val="nil"/>
                    <w:tr2bl w:val="nil"/>
                  </w:tcBorders>
                  <w:shd w:val="clear" w:color="auto" w:fill="auto"/>
                  <w:vAlign w:val="center"/>
                </w:tcPr>
                <w:p w14:paraId="2F2E0B6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7FE1400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w:t>
                  </w:r>
                </w:p>
              </w:tc>
              <w:tc>
                <w:tcPr>
                  <w:tcW w:w="863" w:type="pct"/>
                  <w:tcBorders>
                    <w:tl2br w:val="nil"/>
                    <w:tr2bl w:val="nil"/>
                  </w:tcBorders>
                  <w:shd w:val="clear" w:color="auto" w:fill="auto"/>
                  <w:vAlign w:val="center"/>
                </w:tcPr>
                <w:p w14:paraId="3ABBFB0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2B30428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74FE0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restart"/>
                  <w:tcBorders>
                    <w:tl2br w:val="nil"/>
                    <w:tr2bl w:val="nil"/>
                  </w:tcBorders>
                  <w:vAlign w:val="center"/>
                </w:tcPr>
                <w:p w14:paraId="061796A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5</w:t>
                  </w:r>
                </w:p>
              </w:tc>
              <w:tc>
                <w:tcPr>
                  <w:tcW w:w="626" w:type="pct"/>
                  <w:vMerge w:val="restart"/>
                  <w:tcBorders>
                    <w:tl2br w:val="nil"/>
                    <w:tr2bl w:val="nil"/>
                  </w:tcBorders>
                  <w:shd w:val="clear" w:color="auto" w:fill="auto"/>
                  <w:vAlign w:val="center"/>
                </w:tcPr>
                <w:p w14:paraId="678E17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离心式水泵</w:t>
                  </w:r>
                </w:p>
              </w:tc>
              <w:tc>
                <w:tcPr>
                  <w:tcW w:w="1043" w:type="pct"/>
                  <w:tcBorders>
                    <w:tl2br w:val="nil"/>
                    <w:tr2bl w:val="nil"/>
                  </w:tcBorders>
                  <w:shd w:val="clear" w:color="auto" w:fill="auto"/>
                  <w:vAlign w:val="center"/>
                </w:tcPr>
                <w:p w14:paraId="4E2E8F4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80KQW50-32</w:t>
                  </w:r>
                </w:p>
              </w:tc>
              <w:tc>
                <w:tcPr>
                  <w:tcW w:w="592" w:type="pct"/>
                  <w:tcBorders>
                    <w:tl2br w:val="nil"/>
                    <w:tr2bl w:val="nil"/>
                  </w:tcBorders>
                  <w:shd w:val="clear" w:color="auto" w:fill="auto"/>
                  <w:vAlign w:val="center"/>
                </w:tcPr>
                <w:p w14:paraId="504863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24130A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04D4F9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vMerge w:val="restart"/>
                  <w:tcBorders>
                    <w:tl2br w:val="nil"/>
                    <w:tr2bl w:val="nil"/>
                  </w:tcBorders>
                  <w:shd w:val="clear" w:color="auto" w:fill="auto"/>
                  <w:vAlign w:val="center"/>
                </w:tcPr>
                <w:p w14:paraId="534299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循环水系统</w:t>
                  </w:r>
                </w:p>
              </w:tc>
            </w:tr>
            <w:tr w14:paraId="7ADDA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vAlign w:val="center"/>
                </w:tcPr>
                <w:p w14:paraId="63470E6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rPr>
                  </w:pPr>
                </w:p>
              </w:tc>
              <w:tc>
                <w:tcPr>
                  <w:tcW w:w="626" w:type="pct"/>
                  <w:vMerge w:val="continue"/>
                  <w:tcBorders>
                    <w:tl2br w:val="nil"/>
                    <w:tr2bl w:val="nil"/>
                  </w:tcBorders>
                  <w:shd w:val="clear" w:color="auto" w:fill="auto"/>
                  <w:vAlign w:val="center"/>
                </w:tcPr>
                <w:p w14:paraId="2D432B2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rPr>
                  </w:pPr>
                </w:p>
              </w:tc>
              <w:tc>
                <w:tcPr>
                  <w:tcW w:w="1043" w:type="pct"/>
                  <w:tcBorders>
                    <w:tl2br w:val="nil"/>
                    <w:tr2bl w:val="nil"/>
                  </w:tcBorders>
                  <w:shd w:val="clear" w:color="auto" w:fill="auto"/>
                  <w:vAlign w:val="center"/>
                </w:tcPr>
                <w:p w14:paraId="0F9019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80KQW50-33</w:t>
                  </w:r>
                </w:p>
              </w:tc>
              <w:tc>
                <w:tcPr>
                  <w:tcW w:w="592" w:type="pct"/>
                  <w:tcBorders>
                    <w:tl2br w:val="nil"/>
                    <w:tr2bl w:val="nil"/>
                  </w:tcBorders>
                  <w:shd w:val="clear" w:color="auto" w:fill="auto"/>
                  <w:vAlign w:val="center"/>
                </w:tcPr>
                <w:p w14:paraId="6798E5F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18B4B70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4E5208C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863" w:type="pct"/>
                  <w:vMerge w:val="continue"/>
                  <w:tcBorders>
                    <w:tl2br w:val="nil"/>
                    <w:tr2bl w:val="nil"/>
                  </w:tcBorders>
                  <w:shd w:val="clear" w:color="auto" w:fill="auto"/>
                  <w:vAlign w:val="center"/>
                </w:tcPr>
                <w:p w14:paraId="0B015A9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581B3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4CFC36A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26" w:type="pct"/>
                  <w:vMerge w:val="continue"/>
                  <w:tcBorders>
                    <w:tl2br w:val="nil"/>
                    <w:tr2bl w:val="nil"/>
                  </w:tcBorders>
                  <w:shd w:val="clear" w:color="auto" w:fill="auto"/>
                  <w:vAlign w:val="center"/>
                </w:tcPr>
                <w:p w14:paraId="6CC86AB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43" w:type="pct"/>
                  <w:tcBorders>
                    <w:tl2br w:val="nil"/>
                    <w:tr2bl w:val="nil"/>
                  </w:tcBorders>
                  <w:shd w:val="clear" w:color="auto" w:fill="auto"/>
                  <w:vAlign w:val="center"/>
                </w:tcPr>
                <w:p w14:paraId="6006785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80KQW50-33</w:t>
                  </w:r>
                </w:p>
              </w:tc>
              <w:tc>
                <w:tcPr>
                  <w:tcW w:w="592" w:type="pct"/>
                  <w:tcBorders>
                    <w:tl2br w:val="nil"/>
                    <w:tr2bl w:val="nil"/>
                  </w:tcBorders>
                  <w:shd w:val="clear" w:color="auto" w:fill="auto"/>
                  <w:vAlign w:val="center"/>
                </w:tcPr>
                <w:p w14:paraId="444F77C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45356AA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59CE07E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863" w:type="pct"/>
                  <w:vMerge w:val="continue"/>
                  <w:tcBorders>
                    <w:tl2br w:val="nil"/>
                    <w:tr2bl w:val="nil"/>
                  </w:tcBorders>
                  <w:shd w:val="clear" w:color="auto" w:fill="auto"/>
                  <w:vAlign w:val="center"/>
                </w:tcPr>
                <w:p w14:paraId="6CE59E4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6C134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6594907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26" w:type="pct"/>
                  <w:vMerge w:val="continue"/>
                  <w:tcBorders>
                    <w:tl2br w:val="nil"/>
                    <w:tr2bl w:val="nil"/>
                  </w:tcBorders>
                  <w:shd w:val="clear" w:color="auto" w:fill="auto"/>
                  <w:vAlign w:val="center"/>
                </w:tcPr>
                <w:p w14:paraId="3DE7AB2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43" w:type="pct"/>
                  <w:tcBorders>
                    <w:tl2br w:val="nil"/>
                    <w:tr2bl w:val="nil"/>
                  </w:tcBorders>
                  <w:shd w:val="clear" w:color="auto" w:fill="auto"/>
                  <w:vAlign w:val="center"/>
                </w:tcPr>
                <w:p w14:paraId="4D9FE01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sz w:val="21"/>
                    </w:rPr>
                    <mc:AlternateContent>
                      <mc:Choice Requires="wps">
                        <w:drawing>
                          <wp:anchor distT="0" distB="0" distL="114300" distR="114300" simplePos="0" relativeHeight="251701248" behindDoc="0" locked="0" layoutInCell="1" allowOverlap="1">
                            <wp:simplePos x="0" y="0"/>
                            <wp:positionH relativeFrom="column">
                              <wp:posOffset>-19050</wp:posOffset>
                            </wp:positionH>
                            <wp:positionV relativeFrom="paragraph">
                              <wp:posOffset>4445</wp:posOffset>
                            </wp:positionV>
                            <wp:extent cx="4438650" cy="4704715"/>
                            <wp:effectExtent l="6350" t="6350" r="12700" b="13335"/>
                            <wp:wrapNone/>
                            <wp:docPr id="246" name="矩形 246"/>
                            <wp:cNvGraphicFramePr/>
                            <a:graphic xmlns:a="http://schemas.openxmlformats.org/drawingml/2006/main">
                              <a:graphicData uri="http://schemas.microsoft.com/office/word/2010/wordprocessingShape">
                                <wps:wsp>
                                  <wps:cNvSpPr/>
                                  <wps:spPr>
                                    <a:xfrm>
                                      <a:off x="0" y="0"/>
                                      <a:ext cx="4438650" cy="470471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0.35pt;height:370.45pt;width:349.5pt;z-index:251701248;v-text-anchor:middle;mso-width-relative:page;mso-height-relative:page;" fillcolor="#FFFFFF [3212]" filled="t" stroked="t" coordsize="21600,21600" o:gfxdata="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obSI3VAAAABwEAAA8AAAAAAAAAAQAgAAAAIgAAAGRycy9kb3ducmV2Lnht&#10;bFBLAQIUABQAAAAIAIdO4kCxj2NXbgIAAPkEAAAOAAAAAAAAAAEAIAAAACQBAABkcnMvZTJvRG9j&#10;LnhtbFBLBQYAAAAABgAGAFkBAAAEBgAAAAA=&#10;">
                            <v:fill on="t" focussize="0,0"/>
                            <v:stroke weight="1pt" color="#FFFFFF [3212]" miterlimit="8" joinstyle="miter"/>
                            <v:imagedata o:title=""/>
                            <o:lock v:ext="edit" aspectratio="f"/>
                          </v:rect>
                        </w:pict>
                      </mc:Fallback>
                    </mc:AlternateContent>
                  </w:r>
                  <w:r>
                    <w:rPr>
                      <w:rFonts w:hint="default" w:ascii="Times New Roman" w:hAnsi="Times New Roman" w:eastAsia="宋体" w:cs="Times New Roman"/>
                      <w:i w:val="0"/>
                      <w:iCs w:val="0"/>
                      <w:color w:val="auto"/>
                      <w:kern w:val="0"/>
                      <w:sz w:val="21"/>
                      <w:szCs w:val="21"/>
                      <w:u w:val="none"/>
                      <w:lang w:val="en-US" w:eastAsia="zh-CN" w:bidi="ar"/>
                    </w:rPr>
                    <w:t>YES-132S1-2</w:t>
                  </w:r>
                </w:p>
              </w:tc>
              <w:tc>
                <w:tcPr>
                  <w:tcW w:w="592" w:type="pct"/>
                  <w:tcBorders>
                    <w:tl2br w:val="nil"/>
                    <w:tr2bl w:val="nil"/>
                  </w:tcBorders>
                  <w:shd w:val="clear" w:color="auto" w:fill="auto"/>
                  <w:vAlign w:val="center"/>
                </w:tcPr>
                <w:p w14:paraId="3B274B6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5BD3566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4"/>
                      <w:szCs w:val="24"/>
                      <w:highlight w:val="none"/>
                      <w:u w:val="none"/>
                      <w:vertAlign w:val="baseline"/>
                      <w:lang w:val="en-US" w:eastAsia="zh-CN"/>
                    </w:rPr>
                    <w:t>1</w:t>
                  </w:r>
                </w:p>
              </w:tc>
              <w:tc>
                <w:tcPr>
                  <w:tcW w:w="863" w:type="pct"/>
                  <w:tcBorders>
                    <w:tl2br w:val="nil"/>
                    <w:tr2bl w:val="nil"/>
                  </w:tcBorders>
                  <w:shd w:val="clear" w:color="auto" w:fill="auto"/>
                  <w:vAlign w:val="center"/>
                </w:tcPr>
                <w:p w14:paraId="481EB99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863" w:type="pct"/>
                  <w:vMerge w:val="continue"/>
                  <w:tcBorders>
                    <w:tl2br w:val="nil"/>
                    <w:tr2bl w:val="nil"/>
                  </w:tcBorders>
                  <w:shd w:val="clear" w:color="auto" w:fill="auto"/>
                  <w:vAlign w:val="center"/>
                </w:tcPr>
                <w:p w14:paraId="6EBD123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06AB2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0F74DC1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626" w:type="pct"/>
                  <w:vMerge w:val="continue"/>
                  <w:tcBorders>
                    <w:tl2br w:val="nil"/>
                    <w:tr2bl w:val="nil"/>
                  </w:tcBorders>
                  <w:shd w:val="clear" w:color="auto" w:fill="auto"/>
                  <w:vAlign w:val="center"/>
                </w:tcPr>
                <w:p w14:paraId="5A75AEE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43" w:type="pct"/>
                  <w:tcBorders>
                    <w:tl2br w:val="nil"/>
                    <w:tr2bl w:val="nil"/>
                  </w:tcBorders>
                  <w:shd w:val="clear" w:color="auto" w:fill="auto"/>
                  <w:vAlign w:val="center"/>
                </w:tcPr>
                <w:p w14:paraId="66AB5D5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YES-160M1-2</w:t>
                  </w:r>
                </w:p>
              </w:tc>
              <w:tc>
                <w:tcPr>
                  <w:tcW w:w="592" w:type="pct"/>
                  <w:tcBorders>
                    <w:tl2br w:val="nil"/>
                    <w:tr2bl w:val="nil"/>
                  </w:tcBorders>
                  <w:shd w:val="clear" w:color="auto" w:fill="auto"/>
                  <w:vAlign w:val="center"/>
                </w:tcPr>
                <w:p w14:paraId="4424CAE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7640E2F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5BFB2BA4">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863" w:type="pct"/>
                  <w:vMerge w:val="continue"/>
                  <w:tcBorders>
                    <w:tl2br w:val="nil"/>
                    <w:tr2bl w:val="nil"/>
                  </w:tcBorders>
                  <w:shd w:val="clear" w:color="auto" w:fill="auto"/>
                  <w:vAlign w:val="center"/>
                </w:tcPr>
                <w:p w14:paraId="1B05148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0C401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restart"/>
                  <w:tcBorders>
                    <w:tl2br w:val="nil"/>
                    <w:tr2bl w:val="nil"/>
                  </w:tcBorders>
                  <w:shd w:val="clear" w:color="auto" w:fill="auto"/>
                  <w:vAlign w:val="center"/>
                </w:tcPr>
                <w:p w14:paraId="51E5E2E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626" w:type="pct"/>
                  <w:vMerge w:val="restart"/>
                  <w:tcBorders>
                    <w:tl2br w:val="nil"/>
                    <w:tr2bl w:val="nil"/>
                  </w:tcBorders>
                  <w:shd w:val="clear" w:color="auto" w:fill="auto"/>
                  <w:vAlign w:val="center"/>
                </w:tcPr>
                <w:p w14:paraId="199D80F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真空泵</w:t>
                  </w:r>
                </w:p>
              </w:tc>
              <w:tc>
                <w:tcPr>
                  <w:tcW w:w="1043" w:type="pct"/>
                  <w:tcBorders>
                    <w:tl2br w:val="nil"/>
                    <w:tr2bl w:val="nil"/>
                  </w:tcBorders>
                  <w:shd w:val="clear" w:color="auto" w:fill="auto"/>
                  <w:vAlign w:val="center"/>
                </w:tcPr>
                <w:p w14:paraId="2552FA5F">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2BY-6161</w:t>
                  </w:r>
                </w:p>
              </w:tc>
              <w:tc>
                <w:tcPr>
                  <w:tcW w:w="592" w:type="pct"/>
                  <w:tcBorders>
                    <w:tl2br w:val="nil"/>
                    <w:tr2bl w:val="nil"/>
                  </w:tcBorders>
                  <w:shd w:val="clear" w:color="auto" w:fill="auto"/>
                  <w:vAlign w:val="center"/>
                </w:tcPr>
                <w:p w14:paraId="7A8B6DE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6E36286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5DAF2CB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782B437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u w:val="none"/>
                      <w:vertAlign w:val="baseline"/>
                      <w:lang w:val="en-US" w:eastAsia="zh-CN"/>
                    </w:rPr>
                  </w:pPr>
                </w:p>
              </w:tc>
            </w:tr>
            <w:tr w14:paraId="19B86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6CE7AC0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626" w:type="pct"/>
                  <w:vMerge w:val="continue"/>
                  <w:tcBorders>
                    <w:tl2br w:val="nil"/>
                    <w:tr2bl w:val="nil"/>
                  </w:tcBorders>
                  <w:shd w:val="clear" w:color="auto" w:fill="auto"/>
                  <w:vAlign w:val="center"/>
                </w:tcPr>
                <w:p w14:paraId="58B83B5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43" w:type="pct"/>
                  <w:tcBorders>
                    <w:tl2br w:val="nil"/>
                    <w:tr2bl w:val="nil"/>
                  </w:tcBorders>
                  <w:shd w:val="clear" w:color="auto" w:fill="auto"/>
                  <w:vAlign w:val="center"/>
                </w:tcPr>
                <w:p w14:paraId="70955DED">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AEH3-BG160M</w:t>
                  </w:r>
                </w:p>
              </w:tc>
              <w:tc>
                <w:tcPr>
                  <w:tcW w:w="592" w:type="pct"/>
                  <w:tcBorders>
                    <w:tl2br w:val="nil"/>
                    <w:tr2bl w:val="nil"/>
                  </w:tcBorders>
                  <w:shd w:val="clear" w:color="auto" w:fill="auto"/>
                  <w:vAlign w:val="center"/>
                </w:tcPr>
                <w:p w14:paraId="04CD905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7588851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00AB721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773D3C6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u w:val="none"/>
                      <w:vertAlign w:val="baseline"/>
                      <w:lang w:val="en-US" w:eastAsia="zh-CN"/>
                    </w:rPr>
                  </w:pPr>
                </w:p>
              </w:tc>
            </w:tr>
            <w:tr w14:paraId="03034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40AB53D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626" w:type="pct"/>
                  <w:vMerge w:val="continue"/>
                  <w:tcBorders>
                    <w:tl2br w:val="nil"/>
                    <w:tr2bl w:val="nil"/>
                  </w:tcBorders>
                  <w:shd w:val="clear" w:color="auto" w:fill="auto"/>
                  <w:vAlign w:val="center"/>
                </w:tcPr>
                <w:p w14:paraId="1DAD53F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43" w:type="pct"/>
                  <w:tcBorders>
                    <w:tl2br w:val="nil"/>
                    <w:tr2bl w:val="nil"/>
                  </w:tcBorders>
                  <w:shd w:val="clear" w:color="auto" w:fill="auto"/>
                  <w:vAlign w:val="center"/>
                </w:tcPr>
                <w:p w14:paraId="525321C4">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45</w:t>
                  </w:r>
                  <w:r>
                    <w:rPr>
                      <w:rFonts w:hint="eastAsia" w:ascii="宋体" w:hAnsi="宋体" w:cs="宋体"/>
                      <w:i w:val="0"/>
                      <w:iCs w:val="0"/>
                      <w:color w:val="auto"/>
                      <w:kern w:val="0"/>
                      <w:sz w:val="22"/>
                      <w:szCs w:val="22"/>
                      <w:u w:val="none"/>
                      <w:lang w:val="en-US" w:eastAsia="zh-CN" w:bidi="ar"/>
                    </w:rPr>
                    <w:t>kW</w:t>
                  </w:r>
                </w:p>
              </w:tc>
              <w:tc>
                <w:tcPr>
                  <w:tcW w:w="592" w:type="pct"/>
                  <w:tcBorders>
                    <w:tl2br w:val="nil"/>
                    <w:tr2bl w:val="nil"/>
                  </w:tcBorders>
                  <w:shd w:val="clear" w:color="auto" w:fill="auto"/>
                  <w:vAlign w:val="center"/>
                </w:tcPr>
                <w:p w14:paraId="2DACDEE4">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1FDAD20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3889EA3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12AC9A96">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u w:val="none"/>
                      <w:vertAlign w:val="baseline"/>
                      <w:lang w:val="en-US" w:eastAsia="zh-CN"/>
                    </w:rPr>
                  </w:pPr>
                </w:p>
              </w:tc>
            </w:tr>
            <w:tr w14:paraId="76804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0A432B7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626" w:type="pct"/>
                  <w:vMerge w:val="continue"/>
                  <w:tcBorders>
                    <w:tl2br w:val="nil"/>
                    <w:tr2bl w:val="nil"/>
                  </w:tcBorders>
                  <w:shd w:val="clear" w:color="auto" w:fill="auto"/>
                  <w:vAlign w:val="center"/>
                </w:tcPr>
                <w:p w14:paraId="6890BE36">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43" w:type="pct"/>
                  <w:tcBorders>
                    <w:tl2br w:val="nil"/>
                    <w:tr2bl w:val="nil"/>
                  </w:tcBorders>
                  <w:shd w:val="clear" w:color="auto" w:fill="auto"/>
                  <w:vAlign w:val="center"/>
                </w:tcPr>
                <w:p w14:paraId="0C0FE079">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55</w:t>
                  </w:r>
                  <w:r>
                    <w:rPr>
                      <w:rFonts w:hint="eastAsia" w:ascii="宋体" w:hAnsi="宋体" w:cs="宋体"/>
                      <w:i w:val="0"/>
                      <w:iCs w:val="0"/>
                      <w:color w:val="auto"/>
                      <w:kern w:val="0"/>
                      <w:sz w:val="22"/>
                      <w:szCs w:val="22"/>
                      <w:u w:val="none"/>
                      <w:lang w:val="en-US" w:eastAsia="zh-CN" w:bidi="ar"/>
                    </w:rPr>
                    <w:t>kW</w:t>
                  </w:r>
                </w:p>
              </w:tc>
              <w:tc>
                <w:tcPr>
                  <w:tcW w:w="592" w:type="pct"/>
                  <w:tcBorders>
                    <w:tl2br w:val="nil"/>
                    <w:tr2bl w:val="nil"/>
                  </w:tcBorders>
                  <w:shd w:val="clear" w:color="auto" w:fill="auto"/>
                  <w:vAlign w:val="center"/>
                </w:tcPr>
                <w:p w14:paraId="0CAC7A4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38FBB4F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39FF5BB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3DA7CAA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u w:val="none"/>
                      <w:vertAlign w:val="baseline"/>
                      <w:lang w:val="en-US" w:eastAsia="zh-CN"/>
                    </w:rPr>
                  </w:pPr>
                </w:p>
              </w:tc>
            </w:tr>
            <w:tr w14:paraId="7DBE8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tcBorders>
                    <w:tl2br w:val="nil"/>
                    <w:tr2bl w:val="nil"/>
                  </w:tcBorders>
                  <w:shd w:val="clear" w:color="auto" w:fill="auto"/>
                  <w:vAlign w:val="center"/>
                </w:tcPr>
                <w:p w14:paraId="2A75D53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6</w:t>
                  </w:r>
                </w:p>
              </w:tc>
              <w:tc>
                <w:tcPr>
                  <w:tcW w:w="626" w:type="pct"/>
                  <w:tcBorders>
                    <w:tl2br w:val="nil"/>
                    <w:tr2bl w:val="nil"/>
                  </w:tcBorders>
                  <w:shd w:val="clear" w:color="auto" w:fill="auto"/>
                  <w:vAlign w:val="center"/>
                </w:tcPr>
                <w:p w14:paraId="12B7D1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烘干机</w:t>
                  </w:r>
                </w:p>
              </w:tc>
              <w:tc>
                <w:tcPr>
                  <w:tcW w:w="1043" w:type="pct"/>
                  <w:tcBorders>
                    <w:tl2br w:val="nil"/>
                    <w:tr2bl w:val="nil"/>
                  </w:tcBorders>
                  <w:shd w:val="clear" w:color="auto" w:fill="auto"/>
                  <w:vAlign w:val="center"/>
                </w:tcPr>
                <w:p w14:paraId="50791F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JB/T10391</w:t>
                  </w:r>
                </w:p>
              </w:tc>
              <w:tc>
                <w:tcPr>
                  <w:tcW w:w="592" w:type="pct"/>
                  <w:tcBorders>
                    <w:tl2br w:val="nil"/>
                    <w:tr2bl w:val="nil"/>
                  </w:tcBorders>
                  <w:shd w:val="clear" w:color="auto" w:fill="auto"/>
                  <w:vAlign w:val="center"/>
                </w:tcPr>
                <w:p w14:paraId="54968A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651" w:type="pct"/>
                  <w:tcBorders>
                    <w:tl2br w:val="nil"/>
                    <w:tr2bl w:val="nil"/>
                  </w:tcBorders>
                  <w:shd w:val="clear" w:color="auto" w:fill="auto"/>
                  <w:vAlign w:val="center"/>
                </w:tcPr>
                <w:p w14:paraId="11069D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863" w:type="pct"/>
                  <w:tcBorders>
                    <w:tl2br w:val="nil"/>
                    <w:tr2bl w:val="nil"/>
                  </w:tcBorders>
                  <w:shd w:val="clear" w:color="auto" w:fill="auto"/>
                  <w:vAlign w:val="center"/>
                </w:tcPr>
                <w:p w14:paraId="60FCF3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863" w:type="pct"/>
                  <w:vMerge w:val="restart"/>
                  <w:tcBorders>
                    <w:tl2br w:val="nil"/>
                    <w:tr2bl w:val="nil"/>
                  </w:tcBorders>
                  <w:shd w:val="clear" w:color="auto" w:fill="auto"/>
                  <w:vAlign w:val="center"/>
                </w:tcPr>
                <w:p w14:paraId="768859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烘干（将成型后产品表面水分进行烘干）</w:t>
                  </w:r>
                </w:p>
              </w:tc>
            </w:tr>
            <w:tr w14:paraId="7E108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8" w:type="pct"/>
                  <w:tcBorders>
                    <w:tl2br w:val="nil"/>
                    <w:tr2bl w:val="nil"/>
                  </w:tcBorders>
                  <w:shd w:val="clear" w:color="auto" w:fill="auto"/>
                  <w:vAlign w:val="center"/>
                </w:tcPr>
                <w:p w14:paraId="46A91E0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7</w:t>
                  </w:r>
                </w:p>
              </w:tc>
              <w:tc>
                <w:tcPr>
                  <w:tcW w:w="626" w:type="pct"/>
                  <w:tcBorders>
                    <w:tl2br w:val="nil"/>
                    <w:tr2bl w:val="nil"/>
                  </w:tcBorders>
                  <w:shd w:val="clear" w:color="auto" w:fill="auto"/>
                  <w:vAlign w:val="center"/>
                </w:tcPr>
                <w:p w14:paraId="68D1DB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干燥机</w:t>
                  </w:r>
                </w:p>
              </w:tc>
              <w:tc>
                <w:tcPr>
                  <w:tcW w:w="1043" w:type="pct"/>
                  <w:tcBorders>
                    <w:tl2br w:val="nil"/>
                    <w:tr2bl w:val="nil"/>
                  </w:tcBorders>
                  <w:shd w:val="clear" w:color="auto" w:fill="auto"/>
                  <w:vAlign w:val="center"/>
                </w:tcPr>
                <w:p w14:paraId="57FEAE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HN-25NF</w:t>
                  </w:r>
                </w:p>
              </w:tc>
              <w:tc>
                <w:tcPr>
                  <w:tcW w:w="592" w:type="pct"/>
                  <w:tcBorders>
                    <w:tl2br w:val="nil"/>
                    <w:tr2bl w:val="nil"/>
                  </w:tcBorders>
                  <w:shd w:val="clear" w:color="auto" w:fill="auto"/>
                  <w:vAlign w:val="center"/>
                </w:tcPr>
                <w:p w14:paraId="28006D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651" w:type="pct"/>
                  <w:tcBorders>
                    <w:tl2br w:val="nil"/>
                    <w:tr2bl w:val="nil"/>
                  </w:tcBorders>
                  <w:shd w:val="clear" w:color="auto" w:fill="auto"/>
                  <w:vAlign w:val="center"/>
                </w:tcPr>
                <w:p w14:paraId="251A29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863" w:type="pct"/>
                  <w:tcBorders>
                    <w:tl2br w:val="nil"/>
                    <w:tr2bl w:val="nil"/>
                  </w:tcBorders>
                  <w:shd w:val="clear" w:color="auto" w:fill="auto"/>
                  <w:vAlign w:val="center"/>
                </w:tcPr>
                <w:p w14:paraId="7EDF73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863" w:type="pct"/>
                  <w:vMerge w:val="continue"/>
                  <w:tcBorders>
                    <w:tl2br w:val="nil"/>
                    <w:tr2bl w:val="nil"/>
                  </w:tcBorders>
                  <w:shd w:val="clear" w:color="auto" w:fill="auto"/>
                  <w:vAlign w:val="center"/>
                </w:tcPr>
                <w:p w14:paraId="3A6674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236C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tcBorders>
                    <w:tl2br w:val="nil"/>
                    <w:tr2bl w:val="nil"/>
                  </w:tcBorders>
                  <w:vAlign w:val="center"/>
                </w:tcPr>
                <w:p w14:paraId="7ED4BD4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8</w:t>
                  </w:r>
                </w:p>
              </w:tc>
              <w:tc>
                <w:tcPr>
                  <w:tcW w:w="626" w:type="pct"/>
                  <w:tcBorders>
                    <w:tl2br w:val="nil"/>
                    <w:tr2bl w:val="nil"/>
                  </w:tcBorders>
                  <w:shd w:val="clear" w:color="auto" w:fill="auto"/>
                  <w:vAlign w:val="center"/>
                </w:tcPr>
                <w:p w14:paraId="0BA3A7B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190机模框</w:t>
                  </w:r>
                </w:p>
              </w:tc>
              <w:tc>
                <w:tcPr>
                  <w:tcW w:w="1043" w:type="pct"/>
                  <w:tcBorders>
                    <w:tl2br w:val="nil"/>
                    <w:tr2bl w:val="nil"/>
                  </w:tcBorders>
                  <w:shd w:val="clear" w:color="auto" w:fill="auto"/>
                  <w:vAlign w:val="center"/>
                </w:tcPr>
                <w:p w14:paraId="0ACF6D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190</w:t>
                  </w:r>
                </w:p>
              </w:tc>
              <w:tc>
                <w:tcPr>
                  <w:tcW w:w="592" w:type="pct"/>
                  <w:tcBorders>
                    <w:tl2br w:val="nil"/>
                    <w:tr2bl w:val="nil"/>
                  </w:tcBorders>
                  <w:shd w:val="clear" w:color="auto" w:fill="auto"/>
                  <w:vAlign w:val="center"/>
                </w:tcPr>
                <w:p w14:paraId="498423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651" w:type="pct"/>
                  <w:tcBorders>
                    <w:tl2br w:val="nil"/>
                    <w:tr2bl w:val="nil"/>
                  </w:tcBorders>
                  <w:shd w:val="clear" w:color="auto" w:fill="auto"/>
                  <w:vAlign w:val="center"/>
                </w:tcPr>
                <w:p w14:paraId="0FD0C7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863" w:type="pct"/>
                  <w:tcBorders>
                    <w:tl2br w:val="nil"/>
                    <w:tr2bl w:val="nil"/>
                  </w:tcBorders>
                  <w:shd w:val="clear" w:color="auto" w:fill="auto"/>
                  <w:vAlign w:val="center"/>
                </w:tcPr>
                <w:p w14:paraId="2A530A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863" w:type="pct"/>
                  <w:vMerge w:val="restart"/>
                  <w:tcBorders>
                    <w:tl2br w:val="nil"/>
                    <w:tr2bl w:val="nil"/>
                  </w:tcBorders>
                  <w:shd w:val="clear" w:color="auto" w:fill="auto"/>
                  <w:vAlign w:val="center"/>
                </w:tcPr>
                <w:p w14:paraId="3F1F98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辅助系统</w:t>
                  </w:r>
                </w:p>
              </w:tc>
            </w:tr>
            <w:tr w14:paraId="3D6EC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tcBorders>
                    <w:tl2br w:val="nil"/>
                    <w:tr2bl w:val="nil"/>
                  </w:tcBorders>
                  <w:shd w:val="clear" w:color="auto" w:fill="auto"/>
                  <w:vAlign w:val="center"/>
                </w:tcPr>
                <w:p w14:paraId="6A65D6D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u w:val="none"/>
                      <w:vertAlign w:val="baseline"/>
                      <w:lang w:val="en-US" w:eastAsia="zh-CN"/>
                    </w:rPr>
                    <w:t>9</w:t>
                  </w:r>
                </w:p>
              </w:tc>
              <w:tc>
                <w:tcPr>
                  <w:tcW w:w="626" w:type="pct"/>
                  <w:tcBorders>
                    <w:tl2br w:val="nil"/>
                    <w:tr2bl w:val="nil"/>
                  </w:tcBorders>
                  <w:shd w:val="clear" w:color="auto" w:fill="auto"/>
                  <w:vAlign w:val="center"/>
                </w:tcPr>
                <w:p w14:paraId="2EC173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悬挂链</w:t>
                  </w:r>
                </w:p>
              </w:tc>
              <w:tc>
                <w:tcPr>
                  <w:tcW w:w="1043" w:type="pct"/>
                  <w:tcBorders>
                    <w:tl2br w:val="nil"/>
                    <w:tr2bl w:val="nil"/>
                  </w:tcBorders>
                  <w:shd w:val="clear" w:color="auto" w:fill="auto"/>
                  <w:vAlign w:val="center"/>
                </w:tcPr>
                <w:p w14:paraId="5022CF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4.4</w:t>
                  </w:r>
                  <w:r>
                    <w:rPr>
                      <w:rFonts w:hint="eastAsia" w:cs="Times New Roman"/>
                      <w:color w:val="auto"/>
                      <w:sz w:val="21"/>
                      <w:szCs w:val="21"/>
                      <w:highlight w:val="none"/>
                      <w:vertAlign w:val="baseline"/>
                      <w:lang w:val="en-US" w:eastAsia="zh-CN"/>
                    </w:rPr>
                    <w:t>kW</w:t>
                  </w:r>
                </w:p>
              </w:tc>
              <w:tc>
                <w:tcPr>
                  <w:tcW w:w="592" w:type="pct"/>
                  <w:tcBorders>
                    <w:tl2br w:val="nil"/>
                    <w:tr2bl w:val="nil"/>
                  </w:tcBorders>
                  <w:shd w:val="clear" w:color="auto" w:fill="auto"/>
                  <w:vAlign w:val="center"/>
                </w:tcPr>
                <w:p w14:paraId="06B9FF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1（套）</w:t>
                  </w:r>
                </w:p>
              </w:tc>
              <w:tc>
                <w:tcPr>
                  <w:tcW w:w="651" w:type="pct"/>
                  <w:tcBorders>
                    <w:tl2br w:val="nil"/>
                    <w:tr2bl w:val="nil"/>
                  </w:tcBorders>
                  <w:shd w:val="clear" w:color="auto" w:fill="auto"/>
                  <w:vAlign w:val="center"/>
                </w:tcPr>
                <w:p w14:paraId="78DB6C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1（套）</w:t>
                  </w:r>
                </w:p>
              </w:tc>
              <w:tc>
                <w:tcPr>
                  <w:tcW w:w="863" w:type="pct"/>
                  <w:tcBorders>
                    <w:tl2br w:val="nil"/>
                    <w:tr2bl w:val="nil"/>
                  </w:tcBorders>
                  <w:shd w:val="clear" w:color="auto" w:fill="auto"/>
                  <w:vAlign w:val="center"/>
                </w:tcPr>
                <w:p w14:paraId="1036A4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2（套）</w:t>
                  </w:r>
                </w:p>
              </w:tc>
              <w:tc>
                <w:tcPr>
                  <w:tcW w:w="863" w:type="pct"/>
                  <w:vMerge w:val="continue"/>
                  <w:tcBorders>
                    <w:tl2br w:val="nil"/>
                    <w:tr2bl w:val="nil"/>
                  </w:tcBorders>
                  <w:shd w:val="clear" w:color="auto" w:fill="auto"/>
                  <w:vAlign w:val="center"/>
                </w:tcPr>
                <w:p w14:paraId="78CCD8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8905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restart"/>
                  <w:tcBorders>
                    <w:tl2br w:val="nil"/>
                    <w:tr2bl w:val="nil"/>
                  </w:tcBorders>
                  <w:vAlign w:val="center"/>
                </w:tcPr>
                <w:p w14:paraId="1B356184">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10</w:t>
                  </w:r>
                </w:p>
              </w:tc>
              <w:tc>
                <w:tcPr>
                  <w:tcW w:w="626" w:type="pct"/>
                  <w:vMerge w:val="restart"/>
                  <w:tcBorders>
                    <w:tl2br w:val="nil"/>
                    <w:tr2bl w:val="nil"/>
                  </w:tcBorders>
                  <w:shd w:val="clear" w:color="auto" w:fill="auto"/>
                  <w:vAlign w:val="center"/>
                </w:tcPr>
                <w:p w14:paraId="5968C3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蓄能罐</w:t>
                  </w:r>
                  <w:r>
                    <w:rPr>
                      <w:rFonts w:hint="eastAsia" w:cs="Times New Roman"/>
                      <w:color w:val="auto"/>
                      <w:sz w:val="21"/>
                      <w:szCs w:val="21"/>
                      <w:highlight w:val="none"/>
                      <w:vertAlign w:val="baseline"/>
                      <w:lang w:val="en-US" w:eastAsia="zh-CN"/>
                    </w:rPr>
                    <w:t>（空气）</w:t>
                  </w:r>
                </w:p>
              </w:tc>
              <w:tc>
                <w:tcPr>
                  <w:tcW w:w="1043" w:type="pct"/>
                  <w:tcBorders>
                    <w:tl2br w:val="nil"/>
                    <w:tr2bl w:val="nil"/>
                  </w:tcBorders>
                  <w:shd w:val="clear" w:color="auto" w:fill="auto"/>
                  <w:vAlign w:val="center"/>
                </w:tcPr>
                <w:p w14:paraId="6A4BDC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容17闽A4342(20)</w:t>
                  </w:r>
                </w:p>
              </w:tc>
              <w:tc>
                <w:tcPr>
                  <w:tcW w:w="592" w:type="pct"/>
                  <w:tcBorders>
                    <w:tl2br w:val="nil"/>
                    <w:tr2bl w:val="nil"/>
                  </w:tcBorders>
                  <w:shd w:val="clear" w:color="auto" w:fill="auto"/>
                  <w:vAlign w:val="center"/>
                </w:tcPr>
                <w:p w14:paraId="13A797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tcBorders>
                    <w:tl2br w:val="nil"/>
                    <w:tr2bl w:val="nil"/>
                  </w:tcBorders>
                  <w:shd w:val="clear" w:color="auto" w:fill="auto"/>
                  <w:vAlign w:val="center"/>
                </w:tcPr>
                <w:p w14:paraId="77179F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tcBorders>
                    <w:tl2br w:val="nil"/>
                    <w:tr2bl w:val="nil"/>
                  </w:tcBorders>
                  <w:shd w:val="clear" w:color="auto" w:fill="auto"/>
                  <w:vAlign w:val="center"/>
                </w:tcPr>
                <w:p w14:paraId="7D0CD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863" w:type="pct"/>
                  <w:vMerge w:val="continue"/>
                  <w:tcBorders>
                    <w:tl2br w:val="nil"/>
                    <w:tr2bl w:val="nil"/>
                  </w:tcBorders>
                  <w:shd w:val="clear" w:color="auto" w:fill="auto"/>
                  <w:vAlign w:val="center"/>
                </w:tcPr>
                <w:p w14:paraId="5AD660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7AC1D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vAlign w:val="center"/>
                </w:tcPr>
                <w:p w14:paraId="1797CC2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626" w:type="pct"/>
                  <w:vMerge w:val="continue"/>
                  <w:shd w:val="clear" w:color="auto" w:fill="auto"/>
                  <w:vAlign w:val="center"/>
                </w:tcPr>
                <w:p w14:paraId="670D2E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43" w:type="pct"/>
                  <w:shd w:val="clear" w:color="auto" w:fill="auto"/>
                  <w:vAlign w:val="center"/>
                </w:tcPr>
                <w:p w14:paraId="770AB2D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容17闽A4341(20)</w:t>
                  </w:r>
                </w:p>
              </w:tc>
              <w:tc>
                <w:tcPr>
                  <w:tcW w:w="592" w:type="pct"/>
                  <w:shd w:val="clear" w:color="auto" w:fill="auto"/>
                  <w:vAlign w:val="center"/>
                </w:tcPr>
                <w:p w14:paraId="529B86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shd w:val="clear" w:color="auto" w:fill="auto"/>
                  <w:vAlign w:val="center"/>
                </w:tcPr>
                <w:p w14:paraId="4B8678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shd w:val="clear" w:color="auto" w:fill="auto"/>
                  <w:vAlign w:val="center"/>
                </w:tcPr>
                <w:p w14:paraId="68C398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continue"/>
                  <w:shd w:val="clear" w:color="auto" w:fill="auto"/>
                  <w:vAlign w:val="center"/>
                </w:tcPr>
                <w:p w14:paraId="60DFF6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3935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Align w:val="center"/>
                </w:tcPr>
                <w:p w14:paraId="29A9A4C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bookmarkStart w:id="38" w:name="_Toc26666"/>
                  <w:r>
                    <w:rPr>
                      <w:rFonts w:hint="default" w:ascii="Times New Roman" w:hAnsi="Times New Roman" w:eastAsia="宋体" w:cs="Times New Roman"/>
                      <w:color w:val="auto"/>
                      <w:sz w:val="21"/>
                      <w:szCs w:val="21"/>
                      <w:highlight w:val="none"/>
                      <w:u w:val="none"/>
                      <w:vertAlign w:val="baseline"/>
                      <w:lang w:val="en-US" w:eastAsia="zh-CN"/>
                    </w:rPr>
                    <w:t>11</w:t>
                  </w:r>
                </w:p>
              </w:tc>
              <w:tc>
                <w:tcPr>
                  <w:tcW w:w="626" w:type="pct"/>
                  <w:shd w:val="clear" w:color="auto" w:fill="auto"/>
                  <w:vAlign w:val="center"/>
                </w:tcPr>
                <w:p w14:paraId="1A2D6D0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储气罐</w:t>
                  </w:r>
                  <w:r>
                    <w:rPr>
                      <w:rFonts w:hint="eastAsia"/>
                      <w:color w:val="auto"/>
                      <w:lang w:eastAsia="zh-CN"/>
                    </w:rPr>
                    <w:t>（</w:t>
                  </w:r>
                  <w:r>
                    <w:rPr>
                      <w:rFonts w:hint="eastAsia"/>
                      <w:color w:val="auto"/>
                      <w:lang w:val="en-US" w:eastAsia="zh-CN"/>
                    </w:rPr>
                    <w:t>蒸汽</w:t>
                  </w:r>
                  <w:r>
                    <w:rPr>
                      <w:rFonts w:hint="eastAsia"/>
                      <w:color w:val="auto"/>
                      <w:lang w:eastAsia="zh-CN"/>
                    </w:rPr>
                    <w:t>）</w:t>
                  </w:r>
                </w:p>
              </w:tc>
              <w:tc>
                <w:tcPr>
                  <w:tcW w:w="1043" w:type="pct"/>
                  <w:shd w:val="clear" w:color="auto" w:fill="auto"/>
                  <w:vAlign w:val="center"/>
                </w:tcPr>
                <w:p w14:paraId="3AF749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容17闽A4343(20)</w:t>
                  </w:r>
                </w:p>
              </w:tc>
              <w:tc>
                <w:tcPr>
                  <w:tcW w:w="592" w:type="pct"/>
                  <w:shd w:val="clear" w:color="auto" w:fill="auto"/>
                  <w:vAlign w:val="center"/>
                </w:tcPr>
                <w:p w14:paraId="7E5787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vAlign w:val="center"/>
                </w:tcPr>
                <w:p w14:paraId="33CD89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vAlign w:val="center"/>
                </w:tcPr>
                <w:p w14:paraId="2ABFD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continue"/>
                  <w:vAlign w:val="center"/>
                </w:tcPr>
                <w:p w14:paraId="2AEBE0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7F91E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Align w:val="center"/>
                </w:tcPr>
                <w:p w14:paraId="53792CF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12</w:t>
                  </w:r>
                </w:p>
              </w:tc>
              <w:tc>
                <w:tcPr>
                  <w:tcW w:w="626" w:type="pct"/>
                  <w:shd w:val="clear" w:color="auto" w:fill="auto"/>
                  <w:vAlign w:val="center"/>
                </w:tcPr>
                <w:p w14:paraId="1A504C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真空控制系统组</w:t>
                  </w:r>
                </w:p>
              </w:tc>
              <w:tc>
                <w:tcPr>
                  <w:tcW w:w="1043" w:type="pct"/>
                  <w:shd w:val="clear" w:color="auto" w:fill="auto"/>
                  <w:vAlign w:val="center"/>
                </w:tcPr>
                <w:p w14:paraId="27E3BA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ME160M</w:t>
                  </w:r>
                </w:p>
              </w:tc>
              <w:tc>
                <w:tcPr>
                  <w:tcW w:w="592" w:type="pct"/>
                  <w:shd w:val="clear" w:color="auto" w:fill="auto"/>
                  <w:vAlign w:val="center"/>
                </w:tcPr>
                <w:p w14:paraId="1FEF59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vAlign w:val="center"/>
                </w:tcPr>
                <w:p w14:paraId="7BE338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vAlign w:val="center"/>
                </w:tcPr>
                <w:p w14:paraId="41C76D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continue"/>
                  <w:vAlign w:val="center"/>
                </w:tcPr>
                <w:p w14:paraId="56CE74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4B70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Align w:val="center"/>
                </w:tcPr>
                <w:p w14:paraId="2721C36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13</w:t>
                  </w:r>
                </w:p>
              </w:tc>
              <w:tc>
                <w:tcPr>
                  <w:tcW w:w="626" w:type="pct"/>
                  <w:shd w:val="clear" w:color="auto" w:fill="auto"/>
                  <w:vAlign w:val="center"/>
                </w:tcPr>
                <w:p w14:paraId="04F55A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冷却塔</w:t>
                  </w:r>
                </w:p>
              </w:tc>
              <w:tc>
                <w:tcPr>
                  <w:tcW w:w="1043" w:type="pct"/>
                  <w:shd w:val="clear" w:color="auto" w:fill="auto"/>
                  <w:vAlign w:val="center"/>
                </w:tcPr>
                <w:p w14:paraId="204624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592" w:type="pct"/>
                  <w:shd w:val="clear" w:color="auto" w:fill="auto"/>
                  <w:vAlign w:val="center"/>
                </w:tcPr>
                <w:p w14:paraId="4C6BEE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651" w:type="pct"/>
                  <w:vAlign w:val="center"/>
                </w:tcPr>
                <w:p w14:paraId="0705FA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vAlign w:val="center"/>
                </w:tcPr>
                <w:p w14:paraId="380C5B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863" w:type="pct"/>
                  <w:vAlign w:val="center"/>
                </w:tcPr>
                <w:p w14:paraId="397E65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循环水冷却</w:t>
                  </w:r>
                </w:p>
              </w:tc>
            </w:tr>
            <w:tr w14:paraId="2BF41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28" w:type="pct"/>
                  <w:gridSpan w:val="3"/>
                  <w:vAlign w:val="center"/>
                </w:tcPr>
                <w:p w14:paraId="22C6EA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592" w:type="pct"/>
                  <w:shd w:val="clear" w:color="auto" w:fill="auto"/>
                  <w:vAlign w:val="center"/>
                </w:tcPr>
                <w:p w14:paraId="3666D3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r>
                    <w:rPr>
                      <w:rFonts w:hint="eastAsia" w:cs="Times New Roman"/>
                      <w:color w:val="auto"/>
                      <w:sz w:val="21"/>
                      <w:szCs w:val="21"/>
                      <w:highlight w:val="none"/>
                      <w:vertAlign w:val="baseline"/>
                      <w:lang w:val="en-US" w:eastAsia="zh-CN"/>
                    </w:rPr>
                    <w:t>5</w:t>
                  </w:r>
                </w:p>
              </w:tc>
              <w:tc>
                <w:tcPr>
                  <w:tcW w:w="651" w:type="pct"/>
                  <w:vAlign w:val="center"/>
                </w:tcPr>
                <w:p w14:paraId="1DD741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55</w:t>
                  </w:r>
                </w:p>
              </w:tc>
              <w:tc>
                <w:tcPr>
                  <w:tcW w:w="863" w:type="pct"/>
                  <w:vAlign w:val="center"/>
                </w:tcPr>
                <w:p w14:paraId="4A1772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80</w:t>
                  </w:r>
                </w:p>
              </w:tc>
              <w:tc>
                <w:tcPr>
                  <w:tcW w:w="863" w:type="pct"/>
                  <w:vAlign w:val="center"/>
                </w:tcPr>
                <w:p w14:paraId="260B12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bookmarkEnd w:id="38"/>
          </w:tbl>
          <w:p w14:paraId="17959F0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39" w:name="_Toc5824"/>
            <w:bookmarkStart w:id="40" w:name="_Toc31186"/>
            <w:r>
              <w:rPr>
                <w:rFonts w:hint="eastAsia" w:ascii="Times New Roman" w:hAnsi="Times New Roman" w:eastAsia="宋体" w:cs="Times New Roman"/>
                <w:b/>
                <w:bCs/>
                <w:color w:val="auto"/>
                <w:sz w:val="24"/>
                <w:szCs w:val="24"/>
                <w:highlight w:val="none"/>
                <w:u w:val="none"/>
                <w:lang w:val="en-US" w:eastAsia="zh-CN"/>
              </w:rPr>
              <w:t>2.2.7项目水平衡</w:t>
            </w:r>
            <w:bookmarkEnd w:id="39"/>
            <w:bookmarkEnd w:id="40"/>
          </w:p>
          <w:p w14:paraId="1982E783">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auto"/>
                <w:sz w:val="24"/>
                <w:highlight w:val="none"/>
              </w:rPr>
            </w:pPr>
            <w:bookmarkStart w:id="41" w:name="_Toc81"/>
            <w:r>
              <w:rPr>
                <w:rFonts w:hint="eastAsia"/>
                <w:b w:val="0"/>
                <w:bCs/>
                <w:color w:val="auto"/>
                <w:sz w:val="24"/>
                <w:highlight w:val="none"/>
              </w:rPr>
              <w:t>（1）生活污水</w:t>
            </w:r>
            <w:bookmarkEnd w:id="41"/>
          </w:p>
          <w:p w14:paraId="6ABC94B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color w:val="auto"/>
                <w:kern w:val="0"/>
                <w:sz w:val="24"/>
                <w:highlight w:val="none"/>
                <w:lang w:bidi="ar"/>
              </w:rPr>
            </w:pPr>
            <w:r>
              <w:rPr>
                <w:rFonts w:hint="eastAsia"/>
                <w:color w:val="auto"/>
                <w:sz w:val="24"/>
                <w:highlight w:val="none"/>
              </w:rPr>
              <w:t>根据</w:t>
            </w:r>
            <w:r>
              <w:rPr>
                <w:color w:val="auto"/>
                <w:sz w:val="24"/>
                <w:highlight w:val="none"/>
              </w:rPr>
              <w:t>《建筑给水排水设计标准》</w:t>
            </w:r>
            <w:r>
              <w:rPr>
                <w:rFonts w:hint="eastAsia"/>
                <w:color w:val="auto"/>
                <w:sz w:val="24"/>
                <w:highlight w:val="none"/>
                <w:lang w:eastAsia="zh-CN"/>
              </w:rPr>
              <w:t>（</w:t>
            </w:r>
            <w:r>
              <w:rPr>
                <w:color w:val="auto"/>
                <w:sz w:val="24"/>
                <w:highlight w:val="none"/>
              </w:rPr>
              <w:t>GB50015-2019</w:t>
            </w:r>
            <w:r>
              <w:rPr>
                <w:rFonts w:hint="eastAsia"/>
                <w:color w:val="auto"/>
                <w:sz w:val="24"/>
                <w:highlight w:val="none"/>
                <w:lang w:eastAsia="zh-CN"/>
              </w:rPr>
              <w:t>）</w:t>
            </w:r>
            <w:r>
              <w:rPr>
                <w:color w:val="auto"/>
                <w:sz w:val="24"/>
                <w:highlight w:val="none"/>
              </w:rPr>
              <w:t>，本项目</w:t>
            </w:r>
            <w:r>
              <w:rPr>
                <w:rFonts w:hint="eastAsia"/>
                <w:color w:val="auto"/>
                <w:sz w:val="24"/>
                <w:highlight w:val="none"/>
              </w:rPr>
              <w:t>不</w:t>
            </w:r>
            <w:r>
              <w:rPr>
                <w:color w:val="auto"/>
                <w:sz w:val="24"/>
                <w:highlight w:val="none"/>
              </w:rPr>
              <w:t>住宿员工用水量按</w:t>
            </w:r>
            <w:r>
              <w:rPr>
                <w:rFonts w:hint="eastAsia"/>
                <w:color w:val="auto"/>
                <w:sz w:val="24"/>
                <w:highlight w:val="none"/>
              </w:rPr>
              <w:t>50</w:t>
            </w:r>
            <w:r>
              <w:rPr>
                <w:color w:val="auto"/>
                <w:sz w:val="24"/>
                <w:highlight w:val="none"/>
              </w:rPr>
              <w:t>L/人·d计</w:t>
            </w:r>
            <w:r>
              <w:rPr>
                <w:color w:val="auto"/>
                <w:kern w:val="0"/>
                <w:sz w:val="24"/>
                <w:highlight w:val="none"/>
                <w:lang w:bidi="ar"/>
              </w:rPr>
              <w:t>，项目职工人数</w:t>
            </w:r>
            <w:r>
              <w:rPr>
                <w:rFonts w:hint="eastAsia"/>
                <w:color w:val="auto"/>
                <w:kern w:val="0"/>
                <w:sz w:val="24"/>
                <w:highlight w:val="none"/>
                <w:lang w:val="en-US" w:eastAsia="zh-CN" w:bidi="ar"/>
              </w:rPr>
              <w:t>80</w:t>
            </w:r>
            <w:r>
              <w:rPr>
                <w:color w:val="auto"/>
                <w:kern w:val="0"/>
                <w:sz w:val="24"/>
                <w:highlight w:val="none"/>
                <w:lang w:bidi="ar"/>
              </w:rPr>
              <w:t>人，均不住厂，则生活用水量约</w:t>
            </w:r>
            <w:r>
              <w:rPr>
                <w:rFonts w:hint="eastAsia"/>
                <w:color w:val="auto"/>
                <w:kern w:val="0"/>
                <w:sz w:val="24"/>
                <w:highlight w:val="none"/>
                <w:lang w:val="en-US" w:eastAsia="zh-CN" w:bidi="ar"/>
              </w:rPr>
              <w:t>4</w:t>
            </w:r>
            <w:r>
              <w:rPr>
                <w:color w:val="auto"/>
                <w:kern w:val="0"/>
                <w:sz w:val="24"/>
                <w:highlight w:val="none"/>
                <w:lang w:bidi="ar"/>
              </w:rPr>
              <w:t>t/d（</w:t>
            </w:r>
            <w:r>
              <w:rPr>
                <w:rFonts w:hint="eastAsia"/>
                <w:color w:val="auto"/>
                <w:kern w:val="0"/>
                <w:sz w:val="24"/>
                <w:highlight w:val="none"/>
                <w:lang w:val="en-US" w:eastAsia="zh-CN" w:bidi="ar"/>
              </w:rPr>
              <w:t>1320</w:t>
            </w:r>
            <w:r>
              <w:rPr>
                <w:color w:val="auto"/>
                <w:kern w:val="0"/>
                <w:sz w:val="24"/>
                <w:highlight w:val="none"/>
                <w:lang w:bidi="ar"/>
              </w:rPr>
              <w:t>t/a），项目废水排放系数按照0.8计算，则废水产生量为</w:t>
            </w:r>
            <w:r>
              <w:rPr>
                <w:rFonts w:hint="eastAsia"/>
                <w:color w:val="auto"/>
                <w:kern w:val="0"/>
                <w:sz w:val="24"/>
                <w:highlight w:val="none"/>
                <w:lang w:val="en-US" w:eastAsia="zh-CN" w:bidi="ar"/>
              </w:rPr>
              <w:t>3.2</w:t>
            </w:r>
            <w:r>
              <w:rPr>
                <w:color w:val="auto"/>
                <w:kern w:val="0"/>
                <w:sz w:val="24"/>
                <w:highlight w:val="none"/>
                <w:lang w:bidi="ar"/>
              </w:rPr>
              <w:t>t/d（</w:t>
            </w:r>
            <w:r>
              <w:rPr>
                <w:rFonts w:hint="eastAsia"/>
                <w:color w:val="auto"/>
                <w:kern w:val="0"/>
                <w:sz w:val="24"/>
                <w:highlight w:val="none"/>
                <w:lang w:val="en-US" w:eastAsia="zh-CN" w:bidi="ar"/>
              </w:rPr>
              <w:t>1056</w:t>
            </w:r>
            <w:r>
              <w:rPr>
                <w:color w:val="auto"/>
                <w:kern w:val="0"/>
                <w:sz w:val="24"/>
                <w:highlight w:val="none"/>
                <w:lang w:bidi="ar"/>
              </w:rPr>
              <w:t>t/a）</w:t>
            </w:r>
            <w:r>
              <w:rPr>
                <w:rFonts w:hint="eastAsia"/>
                <w:color w:val="auto"/>
                <w:kern w:val="0"/>
                <w:sz w:val="24"/>
                <w:highlight w:val="none"/>
                <w:lang w:eastAsia="zh-CN" w:bidi="ar"/>
              </w:rPr>
              <w:t>，</w:t>
            </w:r>
            <w:r>
              <w:rPr>
                <w:rFonts w:hint="eastAsia"/>
                <w:color w:val="auto"/>
                <w:kern w:val="0"/>
                <w:sz w:val="24"/>
                <w:highlight w:val="none"/>
                <w:lang w:val="en-US" w:eastAsia="zh-CN" w:bidi="ar"/>
              </w:rPr>
              <w:t>生活污水依托厂内已建的化粪池处理后进入市政污水管网纳入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color w:val="auto"/>
                <w:kern w:val="0"/>
                <w:sz w:val="24"/>
                <w:highlight w:val="none"/>
                <w:lang w:val="en-US" w:eastAsia="zh-CN" w:bidi="ar"/>
              </w:rPr>
              <w:t>集中处理</w:t>
            </w:r>
            <w:r>
              <w:rPr>
                <w:rFonts w:hint="eastAsia"/>
                <w:color w:val="auto"/>
                <w:kern w:val="0"/>
                <w:sz w:val="24"/>
                <w:highlight w:val="none"/>
                <w:lang w:bidi="ar"/>
              </w:rPr>
              <w:t>。</w:t>
            </w:r>
          </w:p>
          <w:p w14:paraId="2936A55F">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eastAsia="宋体"/>
                <w:b w:val="0"/>
                <w:bCs/>
                <w:color w:val="auto"/>
                <w:sz w:val="24"/>
                <w:highlight w:val="none"/>
                <w:lang w:val="en-US" w:eastAsia="zh-CN"/>
              </w:rPr>
            </w:pPr>
            <w:bookmarkStart w:id="42" w:name="_Toc27624"/>
            <w:bookmarkStart w:id="43" w:name="_Toc11791"/>
            <w:r>
              <w:rPr>
                <w:rFonts w:hint="eastAsia"/>
                <w:b w:val="0"/>
                <w:bCs/>
                <w:color w:val="auto"/>
                <w:sz w:val="24"/>
                <w:highlight w:val="none"/>
              </w:rPr>
              <w:t>（2）</w:t>
            </w:r>
            <w:r>
              <w:rPr>
                <w:rFonts w:hint="eastAsia"/>
                <w:b w:val="0"/>
                <w:bCs/>
                <w:color w:val="auto"/>
                <w:sz w:val="24"/>
                <w:highlight w:val="none"/>
                <w:lang w:val="en-US" w:eastAsia="zh-CN"/>
              </w:rPr>
              <w:t>模具</w:t>
            </w:r>
            <w:r>
              <w:rPr>
                <w:rFonts w:hint="eastAsia"/>
                <w:b w:val="0"/>
                <w:bCs/>
                <w:color w:val="auto"/>
                <w:sz w:val="24"/>
                <w:highlight w:val="none"/>
              </w:rPr>
              <w:t>冷却水</w:t>
            </w:r>
            <w:bookmarkEnd w:id="42"/>
            <w:r>
              <w:rPr>
                <w:rFonts w:hint="eastAsia"/>
                <w:b w:val="0"/>
                <w:bCs/>
                <w:color w:val="auto"/>
                <w:sz w:val="24"/>
                <w:highlight w:val="none"/>
                <w:lang w:val="en-US" w:eastAsia="zh-CN"/>
              </w:rPr>
              <w:t>及蒸气冷凝水</w:t>
            </w:r>
          </w:p>
          <w:p w14:paraId="48A0E192">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color w:val="auto"/>
                <w:sz w:val="24"/>
                <w:highlight w:val="none"/>
              </w:rPr>
            </w:pPr>
            <w:r>
              <w:rPr>
                <w:rFonts w:hint="eastAsia"/>
                <w:color w:val="auto"/>
                <w:sz w:val="24"/>
                <w:highlight w:val="none"/>
              </w:rPr>
              <w:t>项目生产废水主要是模具冷却水及蒸汽冷凝水，生产废水经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olor w:val="auto"/>
                <w:sz w:val="24"/>
                <w:highlight w:val="none"/>
              </w:rPr>
              <w:t>处理后回用于模具冷却，</w:t>
            </w:r>
            <w:r>
              <w:rPr>
                <w:rFonts w:hint="eastAsia"/>
                <w:color w:val="auto"/>
                <w:sz w:val="24"/>
                <w:highlight w:val="none"/>
                <w:lang w:val="en-US" w:eastAsia="zh-CN"/>
              </w:rPr>
              <w:t>根据业主提供实现情况，现有项目年产1800吨包装泡沫时</w:t>
            </w:r>
            <w:r>
              <w:rPr>
                <w:rFonts w:hint="eastAsia"/>
                <w:color w:val="auto"/>
                <w:sz w:val="24"/>
                <w:highlight w:val="none"/>
              </w:rPr>
              <w:t>冷却用水需要补充新鲜用水1.0t</w:t>
            </w:r>
            <w:r>
              <w:rPr>
                <w:rFonts w:hint="eastAsia"/>
                <w:color w:val="auto"/>
                <w:sz w:val="24"/>
                <w:highlight w:val="none"/>
                <w:lang w:val="en-US" w:eastAsia="zh-CN"/>
              </w:rPr>
              <w:t>/</w:t>
            </w:r>
            <w:r>
              <w:rPr>
                <w:rFonts w:hint="eastAsia"/>
                <w:color w:val="auto"/>
                <w:sz w:val="24"/>
                <w:highlight w:val="none"/>
              </w:rPr>
              <w:t>d(330t</w:t>
            </w:r>
            <w:r>
              <w:rPr>
                <w:rFonts w:hint="eastAsia"/>
                <w:color w:val="auto"/>
                <w:sz w:val="24"/>
                <w:highlight w:val="none"/>
                <w:lang w:val="en-US" w:eastAsia="zh-CN"/>
              </w:rPr>
              <w:t>/</w:t>
            </w:r>
            <w:r>
              <w:rPr>
                <w:rFonts w:hint="eastAsia"/>
                <w:color w:val="auto"/>
                <w:sz w:val="24"/>
                <w:highlight w:val="none"/>
              </w:rPr>
              <w:t>a</w:t>
            </w:r>
            <w:r>
              <w:rPr>
                <w:rFonts w:hint="eastAsia"/>
                <w:color w:val="auto"/>
                <w:sz w:val="24"/>
                <w:highlight w:val="none"/>
                <w:lang w:eastAsia="zh-CN"/>
              </w:rPr>
              <w:t>）</w:t>
            </w:r>
            <w:r>
              <w:rPr>
                <w:rFonts w:hint="eastAsia"/>
                <w:color w:val="auto"/>
                <w:sz w:val="24"/>
                <w:highlight w:val="none"/>
              </w:rPr>
              <w:t>，</w:t>
            </w:r>
            <w:r>
              <w:rPr>
                <w:rFonts w:hint="eastAsia"/>
                <w:color w:val="auto"/>
                <w:sz w:val="24"/>
                <w:highlight w:val="none"/>
                <w:lang w:val="en-US" w:eastAsia="zh-CN"/>
              </w:rPr>
              <w:t>本次扩建工程新增EPS包装泡沫6000吨、EPP包装泡沫900吨、EPP包装泡沫1200吨，冷却水所需补充新鲜用水量为1t/d÷1800t×（6000+900+1200）t=4.5t/d（1485t/a）。结合现有项目用水量，本项目建成后全厂年生产EPS包装泡沫7800吨、EPP包装泡沫900吨、EPP包装泡沫1200吨，全厂冷却水需补充新鲜用水1t/d÷1800t×（7800+900+1200）t=5.5t/d（1815t/a），</w:t>
            </w:r>
            <w:r>
              <w:rPr>
                <w:rFonts w:hint="eastAsia"/>
                <w:color w:val="auto"/>
                <w:sz w:val="24"/>
                <w:highlight w:val="none"/>
              </w:rPr>
              <w:t>生产废水循环使用，不外排。</w:t>
            </w:r>
          </w:p>
          <w:p w14:paraId="1301CA7C">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val="0"/>
                <w:bCs/>
                <w:color w:val="auto"/>
                <w:sz w:val="24"/>
                <w:highlight w:val="none"/>
                <w:lang w:val="en-US" w:eastAsia="zh-CN"/>
              </w:rPr>
              <w:t>项目水平衡图详见图2.1-1。</w:t>
            </w:r>
            <w:bookmarkEnd w:id="43"/>
          </w:p>
        </w:tc>
      </w:tr>
    </w:tbl>
    <w:p w14:paraId="039AD3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4"/>
          <w:szCs w:val="24"/>
          <w:highlight w:val="none"/>
          <w:vertAlign w:val="baseline"/>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9102"/>
      </w:tblGrid>
      <w:tr w14:paraId="0AFA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7" w:hRule="atLeast"/>
        </w:trPr>
        <w:tc>
          <w:tcPr>
            <w:tcW w:w="241" w:type="pct"/>
            <w:vAlign w:val="center"/>
          </w:tcPr>
          <w:p w14:paraId="5C2A6CB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4"/>
                <w:szCs w:val="24"/>
              </w:rPr>
            </w:pPr>
          </w:p>
        </w:tc>
        <w:tc>
          <w:tcPr>
            <w:tcW w:w="4758" w:type="pct"/>
            <w:vAlign w:val="top"/>
          </w:tcPr>
          <w:p w14:paraId="0EA95ACA">
            <w:pPr>
              <w:pStyle w:val="40"/>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drawing>
                <wp:inline distT="0" distB="0" distL="114300" distR="114300">
                  <wp:extent cx="5698490" cy="8535670"/>
                  <wp:effectExtent l="0" t="0" r="16510" b="17780"/>
                  <wp:docPr id="38" name="F360BE8B-6686-4F3D-AEAF-501FE73E4058-1" descr="C:/Users/AA/AppData/Local/Temp/大松水平衡(6).png大松水平衡(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360BE8B-6686-4F3D-AEAF-501FE73E4058-1" descr="C:/Users/AA/AppData/Local/Temp/大松水平衡(6).png大松水平衡(6)"/>
                          <pic:cNvPicPr>
                            <a:picLocks noChangeAspect="1"/>
                          </pic:cNvPicPr>
                        </pic:nvPicPr>
                        <pic:blipFill>
                          <a:blip r:embed="rId16"/>
                          <a:stretch>
                            <a:fillRect/>
                          </a:stretch>
                        </pic:blipFill>
                        <pic:spPr>
                          <a:xfrm>
                            <a:off x="0" y="0"/>
                            <a:ext cx="5698490" cy="8535670"/>
                          </a:xfrm>
                          <a:prstGeom prst="rect">
                            <a:avLst/>
                          </a:prstGeom>
                        </pic:spPr>
                      </pic:pic>
                    </a:graphicData>
                  </a:graphic>
                </wp:inline>
              </w:drawing>
            </w:r>
          </w:p>
          <w:p w14:paraId="70453CE8">
            <w:pPr>
              <w:pStyle w:val="40"/>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color w:val="auto"/>
                <w:sz w:val="24"/>
                <w:szCs w:val="24"/>
                <w:highlight w:val="none"/>
                <w:lang w:val="en-US" w:eastAsia="zh-CN"/>
              </w:rPr>
            </w:pPr>
            <w:bookmarkStart w:id="44" w:name="_Toc7512"/>
            <w:r>
              <w:rPr>
                <w:rFonts w:hint="default" w:ascii="Times New Roman" w:hAnsi="Times New Roman" w:eastAsia="宋体" w:cs="Times New Roman"/>
                <w:b/>
                <w:bCs w:val="0"/>
                <w:color w:val="auto"/>
                <w:sz w:val="24"/>
                <w:szCs w:val="24"/>
                <w:highlight w:val="none"/>
                <w:lang w:val="en-US" w:eastAsia="zh-CN"/>
              </w:rPr>
              <w:t>图2.1-1项目水平衡图（单位：t/d）</w:t>
            </w:r>
            <w:bookmarkEnd w:id="44"/>
          </w:p>
          <w:p w14:paraId="72873BC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45" w:name="_Toc18061"/>
            <w:bookmarkStart w:id="46" w:name="_Toc13719"/>
            <w:r>
              <w:rPr>
                <w:rFonts w:hint="eastAsia" w:ascii="Times New Roman" w:hAnsi="Times New Roman" w:eastAsia="宋体" w:cs="Times New Roman"/>
                <w:b/>
                <w:bCs/>
                <w:color w:val="auto"/>
                <w:sz w:val="24"/>
                <w:szCs w:val="24"/>
                <w:highlight w:val="none"/>
                <w:u w:val="none"/>
                <w:lang w:val="en-US" w:eastAsia="zh-CN"/>
              </w:rPr>
              <w:t>2.2.8项目平面布置合理性分析</w:t>
            </w:r>
            <w:bookmarkEnd w:id="45"/>
            <w:bookmarkEnd w:id="46"/>
          </w:p>
          <w:p w14:paraId="75C180D5">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lang w:val="en-US" w:eastAsia="zh-CN"/>
              </w:rPr>
              <w:t>本次扩建项目</w:t>
            </w:r>
            <w:r>
              <w:rPr>
                <w:rFonts w:hint="eastAsia" w:cs="Times New Roman"/>
                <w:color w:val="auto"/>
                <w:sz w:val="24"/>
                <w:szCs w:val="24"/>
                <w:highlight w:val="none"/>
                <w:lang w:val="en-US" w:eastAsia="zh-CN"/>
              </w:rPr>
              <w:t>拟建设于1#组装车间</w:t>
            </w:r>
            <w:r>
              <w:rPr>
                <w:rFonts w:hint="eastAsia" w:ascii="Times New Roman" w:hAnsi="Times New Roman" w:eastAsia="宋体" w:cs="Times New Roman"/>
                <w:color w:val="auto"/>
                <w:sz w:val="24"/>
                <w:szCs w:val="24"/>
                <w:highlight w:val="none"/>
                <w:lang w:val="en-US" w:eastAsia="zh-CN"/>
              </w:rPr>
              <w:t>内东侧闲置区域</w:t>
            </w:r>
            <w:r>
              <w:rPr>
                <w:rFonts w:hint="eastAsia" w:cs="Times New Roman"/>
                <w:color w:val="auto"/>
                <w:sz w:val="24"/>
                <w:szCs w:val="24"/>
                <w:highlight w:val="none"/>
                <w:lang w:val="en-US" w:eastAsia="zh-CN"/>
              </w:rPr>
              <w:t>（1024m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，新增成型机、发料机、烘干机、干燥机等设备。扩建3条生产线（</w:t>
            </w:r>
            <w:r>
              <w:rPr>
                <w:rFonts w:hint="eastAsia" w:cs="Times New Roman"/>
                <w:color w:val="auto"/>
                <w:sz w:val="24"/>
                <w:szCs w:val="24"/>
                <w:u w:val="none"/>
                <w:lang w:eastAsia="zh-CN"/>
              </w:rPr>
              <w:t>EPS包装泡沫</w:t>
            </w:r>
            <w:r>
              <w:rPr>
                <w:rFonts w:hint="eastAsia" w:cs="Times New Roman"/>
                <w:color w:val="auto"/>
                <w:sz w:val="24"/>
                <w:szCs w:val="24"/>
                <w:u w:val="none"/>
                <w:lang w:val="en-US" w:eastAsia="zh-CN"/>
              </w:rPr>
              <w:t>生产线</w:t>
            </w:r>
            <w:r>
              <w:rPr>
                <w:rFonts w:hint="eastAsia" w:cs="Times New Roman"/>
                <w:color w:val="auto"/>
                <w:sz w:val="24"/>
                <w:szCs w:val="24"/>
                <w:u w:val="none"/>
                <w:lang w:eastAsia="zh-CN"/>
              </w:rPr>
              <w:t>、EPP包装泡</w:t>
            </w:r>
            <w:r>
              <w:rPr>
                <w:rFonts w:hint="eastAsia" w:cs="Times New Roman"/>
                <w:color w:val="auto"/>
                <w:sz w:val="24"/>
                <w:szCs w:val="24"/>
                <w:u w:val="none"/>
                <w:lang w:val="en-US" w:eastAsia="zh-CN"/>
              </w:rPr>
              <w:t>生产线</w:t>
            </w:r>
            <w:r>
              <w:rPr>
                <w:rFonts w:hint="eastAsia" w:ascii="Times New Roman" w:hAnsi="Times New Roman" w:eastAsia="宋体" w:cs="Times New Roman"/>
                <w:color w:val="auto"/>
                <w:sz w:val="24"/>
                <w:szCs w:val="24"/>
                <w:highlight w:val="none"/>
                <w:lang w:val="en-US" w:eastAsia="zh-CN"/>
              </w:rPr>
              <w:t>），本项目新增设备均建设在租赁厂房内，</w:t>
            </w:r>
            <w:r>
              <w:rPr>
                <w:rFonts w:hint="eastAsia" w:cs="Times New Roman"/>
                <w:color w:val="auto"/>
                <w:sz w:val="24"/>
                <w:szCs w:val="24"/>
                <w:highlight w:val="none"/>
                <w:lang w:val="en-US" w:eastAsia="zh-CN"/>
              </w:rPr>
              <w:t>2#金属配件车间（6045m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）作为仓库使用，冷却水</w:t>
            </w:r>
            <w:r>
              <w:rPr>
                <w:rFonts w:hint="eastAsia" w:ascii="Times New Roman" w:hAnsi="Times New Roman" w:eastAsia="宋体" w:cs="Times New Roman"/>
                <w:color w:val="auto"/>
                <w:sz w:val="24"/>
                <w:szCs w:val="24"/>
                <w:highlight w:val="none"/>
                <w:lang w:val="en-US" w:eastAsia="zh-CN"/>
              </w:rPr>
              <w:t>循环沉淀池、化粪池、均依托现有项目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原环评内容将产生少量废气无组织排放，本次扩建拟在1#车间西侧外新增一台活性炭吸附装置将废气收集并处理后达标排放。由于现有项目未产生危险废物，本次扩建后新增活性炭处理设施所产生废活性炭，拟在1#厂房西侧外按照规范设置一间面积2-3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危险废物贮存间。</w:t>
            </w:r>
            <w:r>
              <w:rPr>
                <w:rFonts w:hint="eastAsia" w:cs="Times New Roman"/>
                <w:color w:val="auto"/>
                <w:sz w:val="24"/>
                <w:szCs w:val="24"/>
                <w:highlight w:val="none"/>
                <w:lang w:val="en-US" w:eastAsia="zh-CN"/>
              </w:rPr>
              <w:t>生活污水通过污水管网流入厂区内化粪池处理后纳入市政污水管网。</w:t>
            </w:r>
            <w:r>
              <w:rPr>
                <w:rFonts w:hint="default" w:ascii="Times New Roman" w:hAnsi="Times New Roman" w:eastAsia="宋体" w:cs="Times New Roman"/>
                <w:color w:val="auto"/>
                <w:sz w:val="24"/>
                <w:szCs w:val="24"/>
                <w:highlight w:val="none"/>
              </w:rPr>
              <w:t>各功能分区明确，生产车间内平面布置基本上根据生产工艺需要和物料流向，各工序布置间距较近，便于生产操作，同时也避免物料来回运输消耗能源，</w:t>
            </w:r>
            <w:r>
              <w:rPr>
                <w:color w:val="auto"/>
                <w:sz w:val="24"/>
                <w:highlight w:val="none"/>
              </w:rPr>
              <w:t>在满足生产条件要求的前提下，充分利用厂区空间进行设备布置，布局紧凑，生产流程比较流畅，布局基本合理。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项目平面布置</w:t>
            </w:r>
            <w:r>
              <w:rPr>
                <w:rFonts w:hint="eastAsia" w:ascii="Times New Roman" w:hAnsi="Times New Roman" w:eastAsia="宋体" w:cs="Times New Roman"/>
                <w:color w:val="auto"/>
                <w:sz w:val="24"/>
                <w:szCs w:val="24"/>
                <w:highlight w:val="none"/>
                <w:lang w:val="en-US" w:eastAsia="zh-CN"/>
              </w:rPr>
              <w:t>图</w:t>
            </w:r>
            <w:r>
              <w:rPr>
                <w:rFonts w:hint="eastAsia" w:cs="Times New Roman"/>
                <w:color w:val="auto"/>
                <w:sz w:val="24"/>
                <w:szCs w:val="24"/>
                <w:highlight w:val="none"/>
                <w:lang w:val="en-US" w:eastAsia="zh-CN"/>
              </w:rPr>
              <w:t>详见</w:t>
            </w:r>
            <w:r>
              <w:rPr>
                <w:rFonts w:hint="eastAsia" w:cs="Times New Roman"/>
                <w:b/>
                <w:bCs/>
                <w:color w:val="auto"/>
                <w:sz w:val="24"/>
                <w:szCs w:val="24"/>
                <w:highlight w:val="none"/>
                <w:lang w:val="en-US" w:eastAsia="zh-CN"/>
              </w:rPr>
              <w:t>附图八</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p>
          <w:p w14:paraId="1DCD3659">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u w:val="none"/>
                <w:lang w:val="en-US" w:eastAsia="zh-CN" w:bidi="ar-SA"/>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当地</w:t>
            </w:r>
            <w:r>
              <w:rPr>
                <w:rFonts w:hint="default" w:ascii="Times New Roman" w:hAnsi="Times New Roman" w:eastAsia="宋体" w:cs="Times New Roman"/>
                <w:color w:val="auto"/>
                <w:sz w:val="24"/>
                <w:szCs w:val="24"/>
                <w:highlight w:val="none"/>
                <w:lang w:eastAsia="zh-CN"/>
              </w:rPr>
              <w:t>常年主导风向为</w:t>
            </w:r>
            <w:r>
              <w:rPr>
                <w:rFonts w:hint="eastAsia" w:ascii="Times New Roman" w:hAnsi="Times New Roman" w:eastAsia="宋体" w:cs="Times New Roman"/>
                <w:color w:val="auto"/>
                <w:sz w:val="24"/>
                <w:szCs w:val="24"/>
                <w:highlight w:val="none"/>
                <w:lang w:val="en-US" w:eastAsia="zh-CN"/>
              </w:rPr>
              <w:t>东北侧</w:t>
            </w:r>
            <w:r>
              <w:rPr>
                <w:rFonts w:hint="default" w:ascii="Times New Roman" w:hAnsi="Times New Roman" w:eastAsia="宋体" w:cs="Times New Roman"/>
                <w:color w:val="auto"/>
                <w:sz w:val="24"/>
                <w:szCs w:val="24"/>
                <w:highlight w:val="none"/>
              </w:rPr>
              <w:t>，说明其下风向</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西南侧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受污染</w:t>
            </w:r>
            <w:r>
              <w:rPr>
                <w:rFonts w:hint="eastAsia" w:ascii="Times New Roman" w:hAnsi="Times New Roman" w:eastAsia="宋体" w:cs="Times New Roman"/>
                <w:color w:val="auto"/>
                <w:sz w:val="24"/>
                <w:szCs w:val="24"/>
                <w:highlight w:val="none"/>
                <w:lang w:eastAsia="zh-CN"/>
              </w:rPr>
              <w:t>的概率</w:t>
            </w:r>
            <w:r>
              <w:rPr>
                <w:rFonts w:hint="default" w:ascii="Times New Roman" w:hAnsi="Times New Roman" w:eastAsia="宋体" w:cs="Times New Roman"/>
                <w:color w:val="auto"/>
                <w:sz w:val="24"/>
                <w:szCs w:val="24"/>
                <w:highlight w:val="none"/>
              </w:rPr>
              <w:t>最高</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eastAsia="zh-CN"/>
              </w:rPr>
              <w:t>将</w:t>
            </w:r>
            <w:r>
              <w:rPr>
                <w:rFonts w:hint="eastAsia" w:cs="Times New Roman"/>
                <w:color w:val="auto"/>
                <w:sz w:val="24"/>
                <w:szCs w:val="24"/>
                <w:highlight w:val="none"/>
                <w:lang w:val="en-US" w:eastAsia="zh-CN"/>
              </w:rPr>
              <w:t>生产</w:t>
            </w:r>
            <w:r>
              <w:rPr>
                <w:rFonts w:hint="eastAsia"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lang w:eastAsia="zh-CN"/>
              </w:rPr>
              <w:t>排气筒设置</w:t>
            </w:r>
            <w:r>
              <w:rPr>
                <w:rFonts w:hint="eastAsia" w:ascii="Times New Roman" w:hAnsi="Times New Roman" w:eastAsia="宋体" w:cs="Times New Roman"/>
                <w:color w:val="auto"/>
                <w:sz w:val="24"/>
                <w:szCs w:val="24"/>
                <w:highlight w:val="none"/>
                <w:lang w:val="en-US" w:eastAsia="zh-CN"/>
              </w:rPr>
              <w:t>在厂房</w:t>
            </w:r>
            <w:r>
              <w:rPr>
                <w:rFonts w:hint="default" w:ascii="Times New Roman" w:hAnsi="Times New Roman" w:eastAsia="宋体" w:cs="Times New Roman"/>
                <w:color w:val="auto"/>
                <w:sz w:val="24"/>
                <w:szCs w:val="24"/>
                <w:highlight w:val="none"/>
                <w:lang w:eastAsia="zh-CN"/>
              </w:rPr>
              <w:t>屋顶</w:t>
            </w:r>
            <w:r>
              <w:rPr>
                <w:rFonts w:hint="eastAsia" w:cs="Times New Roman"/>
                <w:color w:val="auto"/>
                <w:sz w:val="24"/>
                <w:szCs w:val="24"/>
                <w:highlight w:val="none"/>
                <w:lang w:val="en-US" w:eastAsia="zh-CN"/>
              </w:rPr>
              <w:t>西</w:t>
            </w:r>
            <w:r>
              <w:rPr>
                <w:rFonts w:hint="eastAsia" w:ascii="Times New Roman" w:hAnsi="Times New Roman" w:eastAsia="宋体" w:cs="Times New Roman"/>
                <w:color w:val="auto"/>
                <w:sz w:val="24"/>
                <w:szCs w:val="24"/>
                <w:highlight w:val="none"/>
                <w:lang w:val="en-US" w:eastAsia="zh-CN"/>
              </w:rPr>
              <w:t>侧区域</w:t>
            </w:r>
            <w:r>
              <w:rPr>
                <w:rFonts w:hint="eastAsia" w:ascii="Times New Roman" w:hAnsi="Times New Roman" w:eastAsia="宋体" w:cs="Times New Roman"/>
                <w:color w:val="auto"/>
                <w:sz w:val="24"/>
                <w:szCs w:val="24"/>
                <w:highlight w:val="none"/>
                <w:lang w:eastAsia="zh-CN"/>
              </w:rPr>
              <w:t>，排放口朝内</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不位于</w:t>
            </w:r>
            <w:r>
              <w:rPr>
                <w:rFonts w:hint="default" w:ascii="Times New Roman" w:hAnsi="Times New Roman" w:eastAsia="宋体" w:cs="Times New Roman"/>
                <w:color w:val="auto"/>
                <w:sz w:val="24"/>
                <w:szCs w:val="24"/>
                <w:highlight w:val="none"/>
                <w:lang w:eastAsia="zh-CN"/>
              </w:rPr>
              <w:t>常年主导风向</w:t>
            </w:r>
            <w:r>
              <w:rPr>
                <w:rFonts w:hint="eastAsia" w:ascii="Times New Roman" w:hAnsi="Times New Roman" w:eastAsia="宋体" w:cs="Times New Roman"/>
                <w:color w:val="auto"/>
                <w:sz w:val="24"/>
                <w:szCs w:val="24"/>
                <w:highlight w:val="none"/>
                <w:lang w:val="en-US" w:eastAsia="zh-CN"/>
              </w:rPr>
              <w:t>上风向</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拟</w:t>
            </w:r>
            <w:r>
              <w:rPr>
                <w:rFonts w:hint="eastAsia" w:cs="Times New Roman"/>
                <w:color w:val="auto"/>
                <w:sz w:val="24"/>
                <w:szCs w:val="24"/>
                <w:highlight w:val="none"/>
                <w:lang w:val="en-US" w:eastAsia="zh-CN"/>
              </w:rPr>
              <w:t>将</w:t>
            </w:r>
            <w:r>
              <w:rPr>
                <w:rFonts w:hint="default" w:ascii="Times New Roman" w:hAnsi="Times New Roman" w:eastAsia="宋体" w:cs="Times New Roman"/>
                <w:color w:val="auto"/>
                <w:sz w:val="24"/>
                <w:szCs w:val="24"/>
                <w:highlight w:val="none"/>
                <w:lang w:eastAsia="zh-CN"/>
              </w:rPr>
              <w:t>危险废物暂存</w:t>
            </w:r>
            <w:r>
              <w:rPr>
                <w:rFonts w:hint="eastAsia" w:cs="Times New Roman"/>
                <w:color w:val="auto"/>
                <w:sz w:val="24"/>
                <w:szCs w:val="24"/>
                <w:highlight w:val="none"/>
                <w:lang w:val="en-US" w:eastAsia="zh-CN"/>
              </w:rPr>
              <w:t>间设置于项目1#车间外，面积约为2-3m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方便危险废物的分类收集，</w:t>
            </w:r>
            <w:r>
              <w:rPr>
                <w:rFonts w:hint="eastAsia" w:ascii="Times New Roman" w:hAnsi="Times New Roman" w:eastAsia="宋体"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eastAsia="zh-CN"/>
              </w:rPr>
              <w:t>可以</w:t>
            </w:r>
            <w:r>
              <w:rPr>
                <w:rFonts w:hint="eastAsia" w:ascii="Times New Roman" w:hAnsi="Times New Roman" w:eastAsia="宋体" w:cs="Times New Roman"/>
                <w:color w:val="auto"/>
                <w:sz w:val="24"/>
                <w:szCs w:val="24"/>
                <w:highlight w:val="none"/>
                <w:lang w:eastAsia="zh-CN"/>
              </w:rPr>
              <w:t>得到有效的</w:t>
            </w:r>
            <w:r>
              <w:rPr>
                <w:rFonts w:hint="default" w:ascii="Times New Roman" w:hAnsi="Times New Roman" w:eastAsia="宋体" w:cs="Times New Roman"/>
                <w:color w:val="auto"/>
                <w:sz w:val="24"/>
                <w:szCs w:val="24"/>
                <w:highlight w:val="none"/>
                <w:lang w:eastAsia="zh-CN"/>
              </w:rPr>
              <w:t>处理处置，可避免造成二次污染</w:t>
            </w:r>
            <w:r>
              <w:rPr>
                <w:rFonts w:hint="eastAsia" w:cs="Times New Roman"/>
                <w:color w:val="auto"/>
                <w:sz w:val="24"/>
                <w:szCs w:val="24"/>
                <w:highlight w:val="none"/>
                <w:lang w:eastAsia="zh-CN"/>
              </w:rPr>
              <w:t>，</w:t>
            </w:r>
            <w:r>
              <w:rPr>
                <w:rFonts w:hint="eastAsia" w:cs="Times New Roman"/>
                <w:color w:val="auto"/>
                <w:sz w:val="24"/>
                <w:szCs w:val="24"/>
                <w:highlight w:val="none"/>
                <w:u w:val="none"/>
                <w:lang w:val="en-US" w:eastAsia="zh-CN"/>
              </w:rPr>
              <w:t>属于厂区内常年主导风向的下风向，该建设位置已采用水泥进行地面硬化，危险废物贮存间内部涂有环氧树脂，符合危险废物贮存间建设标准。</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eastAsia="zh-CN"/>
              </w:rPr>
              <w:t>设备噪声经</w:t>
            </w:r>
            <w:r>
              <w:rPr>
                <w:rFonts w:hint="default" w:ascii="Times New Roman" w:hAnsi="Times New Roman" w:eastAsia="宋体" w:cs="Times New Roman"/>
                <w:color w:val="auto"/>
                <w:sz w:val="24"/>
                <w:szCs w:val="24"/>
                <w:highlight w:val="none"/>
                <w:lang w:eastAsia="zh-CN"/>
              </w:rPr>
              <w:t>基础减振、厂房墙体隔声等综合降噪措施后，可实现噪声达标排放。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r>
              <w:rPr>
                <w:rFonts w:hint="default" w:ascii="Times New Roman" w:hAnsi="Times New Roman" w:eastAsia="宋体" w:cs="Times New Roman"/>
                <w:color w:val="auto"/>
                <w:sz w:val="24"/>
                <w:szCs w:val="24"/>
                <w:highlight w:val="none"/>
              </w:rPr>
              <w:t>综上所述，本项目的布置基本合理。</w:t>
            </w:r>
          </w:p>
        </w:tc>
      </w:tr>
      <w:tr w14:paraId="66A1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7" w:hRule="atLeast"/>
        </w:trPr>
        <w:tc>
          <w:tcPr>
            <w:tcW w:w="241" w:type="pct"/>
            <w:vAlign w:val="center"/>
          </w:tcPr>
          <w:p w14:paraId="472042F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4"/>
                <w:szCs w:val="24"/>
              </w:rPr>
            </w:pPr>
          </w:p>
        </w:tc>
        <w:tc>
          <w:tcPr>
            <w:tcW w:w="4758" w:type="pct"/>
            <w:vAlign w:val="top"/>
          </w:tcPr>
          <w:p w14:paraId="715E5BF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auto"/>
                <w:sz w:val="28"/>
                <w:szCs w:val="28"/>
                <w:u w:val="none"/>
                <w:lang w:val="en-US" w:eastAsia="zh-CN"/>
              </w:rPr>
            </w:pPr>
            <w:bookmarkStart w:id="47" w:name="_Toc23854"/>
            <w:bookmarkStart w:id="48" w:name="_Toc28289"/>
            <w:r>
              <w:rPr>
                <w:rFonts w:hint="eastAsia" w:ascii="Times New Roman" w:hAnsi="Times New Roman" w:eastAsia="宋体" w:cs="Times New Roman"/>
                <w:color w:val="auto"/>
                <w:sz w:val="28"/>
                <w:szCs w:val="28"/>
                <w:u w:val="none"/>
                <w:lang w:val="en-US" w:eastAsia="zh-CN"/>
              </w:rPr>
              <w:t>2.3</w:t>
            </w:r>
            <w:r>
              <w:rPr>
                <w:rFonts w:hint="eastAsia" w:ascii="Times New Roman" w:hAnsi="Times New Roman" w:cs="Times New Roman"/>
                <w:color w:val="auto"/>
                <w:sz w:val="28"/>
                <w:szCs w:val="28"/>
                <w:u w:val="none"/>
                <w:lang w:val="en-US" w:eastAsia="zh-CN"/>
              </w:rPr>
              <w:t>扩建项目</w:t>
            </w:r>
            <w:r>
              <w:rPr>
                <w:rFonts w:hint="eastAsia" w:ascii="Times New Roman" w:hAnsi="Times New Roman" w:eastAsia="宋体" w:cs="Times New Roman"/>
                <w:color w:val="auto"/>
                <w:sz w:val="28"/>
                <w:szCs w:val="28"/>
                <w:u w:val="none"/>
                <w:lang w:val="en-US" w:eastAsia="zh-CN"/>
              </w:rPr>
              <w:t>生产工艺</w:t>
            </w:r>
            <w:r>
              <w:rPr>
                <w:rFonts w:hint="eastAsia" w:ascii="Times New Roman" w:hAnsi="Times New Roman" w:cs="Times New Roman"/>
                <w:color w:val="auto"/>
                <w:sz w:val="28"/>
                <w:szCs w:val="28"/>
                <w:u w:val="none"/>
                <w:lang w:val="en-US" w:eastAsia="zh-CN"/>
              </w:rPr>
              <w:t>流程及产污环节</w:t>
            </w:r>
            <w:bookmarkEnd w:id="47"/>
            <w:bookmarkEnd w:id="48"/>
          </w:p>
          <w:p w14:paraId="0A098D9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49" w:name="_Toc966"/>
            <w:bookmarkStart w:id="50" w:name="_Toc2205"/>
            <w:r>
              <w:rPr>
                <w:rFonts w:hint="eastAsia" w:ascii="Times New Roman" w:hAnsi="Times New Roman" w:eastAsia="宋体" w:cs="Times New Roman"/>
                <w:b/>
                <w:bCs/>
                <w:color w:val="auto"/>
                <w:sz w:val="24"/>
                <w:szCs w:val="24"/>
                <w:u w:val="none"/>
                <w:lang w:val="en-US" w:eastAsia="zh-CN"/>
              </w:rPr>
              <w:t>2.3.1项目工艺流程及工艺介绍</w:t>
            </w:r>
            <w:bookmarkEnd w:id="49"/>
            <w:bookmarkEnd w:id="50"/>
          </w:p>
          <w:p w14:paraId="11BED7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本次扩</w:t>
            </w:r>
            <w:r>
              <w:rPr>
                <w:rFonts w:hint="eastAsia" w:cs="Times New Roman"/>
                <w:color w:val="auto"/>
                <w:sz w:val="24"/>
                <w:szCs w:val="24"/>
                <w:highlight w:val="none"/>
                <w:lang w:val="en-US" w:eastAsia="zh-CN"/>
              </w:rPr>
              <w:t>建</w:t>
            </w:r>
            <w:bookmarkStart w:id="254" w:name="_GoBack"/>
            <w:bookmarkEnd w:id="254"/>
            <w:r>
              <w:rPr>
                <w:rFonts w:hint="eastAsia" w:ascii="Times New Roman" w:hAnsi="Times New Roman" w:eastAsia="宋体" w:cs="Times New Roman"/>
                <w:color w:val="auto"/>
                <w:sz w:val="24"/>
                <w:szCs w:val="24"/>
                <w:highlight w:val="none"/>
                <w:lang w:val="en-US" w:eastAsia="zh-CN"/>
              </w:rPr>
              <w:t>项目在原有项目的基础上新增了EPP包装泡沫</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并对原有EPS包装泡沫进行扩建，</w:t>
            </w:r>
            <w:r>
              <w:rPr>
                <w:rFonts w:hint="eastAsia" w:cs="Times New Roman"/>
                <w:color w:val="auto"/>
                <w:sz w:val="24"/>
                <w:szCs w:val="24"/>
                <w:highlight w:val="none"/>
                <w:lang w:val="en-US" w:eastAsia="zh-CN"/>
              </w:rPr>
              <w:t>两</w:t>
            </w:r>
            <w:r>
              <w:rPr>
                <w:rFonts w:hint="eastAsia" w:ascii="Times New Roman" w:hAnsi="Times New Roman" w:eastAsia="宋体" w:cs="Times New Roman"/>
                <w:color w:val="auto"/>
                <w:sz w:val="24"/>
                <w:szCs w:val="24"/>
                <w:highlight w:val="none"/>
                <w:lang w:val="en-US" w:eastAsia="zh-CN"/>
              </w:rPr>
              <w:t>种产品工艺流程基本一致，EPP</w:t>
            </w:r>
            <w:r>
              <w:rPr>
                <w:rFonts w:hint="eastAsia" w:cs="Times New Roman"/>
                <w:color w:val="auto"/>
                <w:sz w:val="24"/>
                <w:szCs w:val="24"/>
                <w:highlight w:val="none"/>
                <w:lang w:val="en-US" w:eastAsia="zh-CN"/>
              </w:rPr>
              <w:t>购买预发好的产品进行加工，无需进行预发和熟化。EPP</w:t>
            </w:r>
            <w:r>
              <w:rPr>
                <w:rFonts w:hint="eastAsia" w:ascii="Times New Roman" w:hAnsi="Times New Roman" w:eastAsia="宋体" w:cs="Times New Roman"/>
                <w:color w:val="auto"/>
                <w:sz w:val="24"/>
                <w:szCs w:val="24"/>
                <w:highlight w:val="none"/>
                <w:lang w:val="en-US" w:eastAsia="zh-CN"/>
              </w:rPr>
              <w:t>、EPP生产工艺流程及产污环节详见图2.3-1。</w:t>
            </w:r>
          </w:p>
        </w:tc>
      </w:tr>
      <w:tr w14:paraId="1445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1" w:hRule="atLeast"/>
        </w:trPr>
        <w:tc>
          <w:tcPr>
            <w:tcW w:w="241" w:type="pct"/>
            <w:vAlign w:val="center"/>
          </w:tcPr>
          <w:p w14:paraId="5B32FDF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4"/>
                <w:szCs w:val="24"/>
              </w:rPr>
            </w:pPr>
            <w:r>
              <w:rPr>
                <w:rFonts w:ascii="Times New Roman" w:hAnsi="Times New Roman"/>
                <w:color w:val="auto"/>
                <w:sz w:val="24"/>
                <w:szCs w:val="24"/>
              </w:rPr>
              <w:t>工艺流程和产排污环节</w:t>
            </w:r>
          </w:p>
        </w:tc>
        <w:tc>
          <w:tcPr>
            <w:tcW w:w="4758" w:type="pct"/>
            <w:vAlign w:val="top"/>
          </w:tcPr>
          <w:p w14:paraId="048AF25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Times New Roman" w:hAnsi="Times New Roman" w:eastAsia="宋体" w:cs="Times New Roman"/>
                <w:b/>
                <w:bCs w:val="0"/>
                <w:color w:val="auto"/>
                <w:sz w:val="24"/>
                <w:szCs w:val="24"/>
                <w:highlight w:val="none"/>
                <w:lang w:val="en-US" w:eastAsia="zh-CN"/>
              </w:rPr>
            </w:pPr>
          </w:p>
          <w:p w14:paraId="757FF554">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val="0"/>
                <w:color w:val="auto"/>
                <w:sz w:val="24"/>
                <w:szCs w:val="24"/>
                <w:highlight w:val="none"/>
                <w:lang w:val="en-US" w:eastAsia="zh-CN"/>
              </w:rPr>
            </w:pPr>
            <w:bookmarkStart w:id="51" w:name="_Toc5034"/>
            <w:r>
              <w:rPr>
                <w:rFonts w:hint="eastAsia" w:ascii="Times New Roman" w:hAnsi="Times New Roman" w:eastAsia="宋体" w:cs="Times New Roman"/>
                <w:b/>
                <w:bCs w:val="0"/>
                <w:color w:val="auto"/>
                <w:sz w:val="24"/>
                <w:szCs w:val="24"/>
                <w:highlight w:val="none"/>
                <w:lang w:val="en-US" w:eastAsia="zh-CN"/>
              </w:rPr>
              <w:t>图2.3-1</w:t>
            </w:r>
            <w:r>
              <w:rPr>
                <w:rFonts w:hint="eastAsia" w:cs="Times New Roman"/>
                <w:b/>
                <w:bCs w:val="0"/>
                <w:color w:val="auto"/>
                <w:sz w:val="24"/>
                <w:szCs w:val="24"/>
                <w:highlight w:val="none"/>
                <w:lang w:val="en-US" w:eastAsia="zh-CN"/>
              </w:rPr>
              <w:t xml:space="preserve">  EPS</w:t>
            </w:r>
            <w:r>
              <w:rPr>
                <w:rFonts w:hint="eastAsia" w:ascii="Times New Roman" w:hAnsi="Times New Roman" w:eastAsia="宋体" w:cs="Times New Roman"/>
                <w:b/>
                <w:bCs w:val="0"/>
                <w:color w:val="auto"/>
                <w:sz w:val="24"/>
                <w:szCs w:val="24"/>
                <w:highlight w:val="none"/>
                <w:lang w:val="en-US" w:eastAsia="zh-CN"/>
              </w:rPr>
              <w:t>生产工艺流程图</w:t>
            </w:r>
            <w:bookmarkEnd w:id="51"/>
          </w:p>
          <w:p w14:paraId="48E3A70A">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val="0"/>
                <w:color w:val="auto"/>
                <w:sz w:val="24"/>
                <w:szCs w:val="24"/>
                <w:highlight w:val="none"/>
                <w:lang w:val="en-US" w:eastAsia="zh-CN"/>
              </w:rPr>
            </w:pPr>
          </w:p>
          <w:p w14:paraId="2AAEAB80">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图2.3-</w:t>
            </w:r>
            <w:r>
              <w:rPr>
                <w:rFonts w:hint="eastAsia" w:cs="Times New Roman"/>
                <w:b/>
                <w:bCs w:val="0"/>
                <w:color w:val="auto"/>
                <w:sz w:val="24"/>
                <w:szCs w:val="24"/>
                <w:highlight w:val="none"/>
                <w:lang w:val="en-US" w:eastAsia="zh-CN"/>
              </w:rPr>
              <w:t>2  EPP</w:t>
            </w:r>
            <w:r>
              <w:rPr>
                <w:rFonts w:hint="eastAsia" w:ascii="Times New Roman" w:hAnsi="Times New Roman" w:eastAsia="宋体" w:cs="Times New Roman"/>
                <w:b/>
                <w:bCs w:val="0"/>
                <w:color w:val="auto"/>
                <w:sz w:val="24"/>
                <w:szCs w:val="24"/>
                <w:highlight w:val="none"/>
                <w:lang w:val="en-US" w:eastAsia="zh-CN"/>
              </w:rPr>
              <w:t>生产工艺流程图</w:t>
            </w:r>
          </w:p>
          <w:p w14:paraId="4BADD6B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工艺说明：</w:t>
            </w:r>
          </w:p>
          <w:p w14:paraId="15C532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bookmarkStart w:id="52" w:name="_Toc27658"/>
            <w:r>
              <w:rPr>
                <w:rFonts w:hint="eastAsia" w:cs="Times New Roman"/>
                <w:b w:val="0"/>
                <w:bCs w:val="0"/>
                <w:color w:val="auto"/>
                <w:sz w:val="24"/>
                <w:szCs w:val="24"/>
                <w:highlight w:val="none"/>
                <w:lang w:val="en-US" w:eastAsia="zh-CN"/>
              </w:rPr>
              <w:t>项目主要原料为发泡聚苯乙烯（EPS）粒径0.25-2.5mm，生产流程主要包括：预发、熟化、成型、真空冷却、烘干、检验等。</w:t>
            </w:r>
            <w:bookmarkEnd w:id="52"/>
            <w:r>
              <w:rPr>
                <w:rFonts w:hint="eastAsia" w:cs="Times New Roman"/>
                <w:b w:val="0"/>
                <w:bCs w:val="0"/>
                <w:color w:val="auto"/>
                <w:sz w:val="24"/>
                <w:szCs w:val="24"/>
                <w:highlight w:val="none"/>
                <w:lang w:val="en-US" w:eastAsia="zh-CN"/>
              </w:rPr>
              <w:t>发泡聚丙烯（EPP）粒径2-7mm，生产流程主要包括：预压、成型、真空冷却、烘干、检验等。</w:t>
            </w:r>
          </w:p>
          <w:p w14:paraId="297D30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bookmarkStart w:id="53" w:name="_Toc12834"/>
            <w:r>
              <w:rPr>
                <w:rFonts w:hint="eastAsia" w:cs="Times New Roman"/>
                <w:b w:val="0"/>
                <w:bCs w:val="0"/>
                <w:color w:val="auto"/>
                <w:sz w:val="24"/>
                <w:szCs w:val="24"/>
                <w:highlight w:val="none"/>
                <w:lang w:val="en-US" w:eastAsia="zh-CN"/>
              </w:rPr>
              <w:t>①预发阶段：根据不同产品将原料（EPS）加入发泡机中（由于本项目所使用原料颗粒物较大，在投料过程中不产生投料粉尘且发泡机设置单独封闭式发泡车间，定期对车间内地面进行清扫），通入蒸汽加热，促使原料中EPS中所含有的发泡剂（戊烷）受热汽化，而使珠粒体积不断增大。发泡后进料仓熟化。预发温度一般控制在95~99℃。此工序加工过程会产生有机废气、蒸汽、噪声。</w:t>
            </w:r>
            <w:bookmarkEnd w:id="53"/>
          </w:p>
          <w:p w14:paraId="1D1BF0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s="Times New Roman"/>
                <w:b w:val="0"/>
                <w:bCs w:val="0"/>
                <w:color w:val="auto"/>
                <w:sz w:val="24"/>
                <w:szCs w:val="24"/>
                <w:highlight w:val="none"/>
                <w:lang w:val="en-US" w:eastAsia="zh-CN"/>
              </w:rPr>
            </w:pPr>
            <w:bookmarkStart w:id="54" w:name="_Toc22963"/>
            <w:r>
              <w:rPr>
                <w:rFonts w:hint="eastAsia" w:cs="Times New Roman"/>
                <w:b w:val="0"/>
                <w:bCs w:val="0"/>
                <w:color w:val="auto"/>
                <w:sz w:val="24"/>
                <w:szCs w:val="24"/>
                <w:highlight w:val="none"/>
                <w:lang w:val="en-US" w:eastAsia="zh-CN"/>
              </w:rPr>
              <w:t>②熟化阶段：将刚出发泡机的颗粒置于料仓内，一方面使其干燥冷却，另一方面使空气通过泡孔膜渗透到泡孔内部，使泡孔内的压力与外界压力相平衡，以免泡孔塌瘪，从而使泡沫颗粒经一定时间的干燥、冷却和泡孔压力稳定而熟化成具有闭孔结构特征、有弹性泡沫颗粒。当颗粒冷却后，泡孔内剩余蒸汽大多冷凝成液体而形成部分真空。料仓采用密闭的料仓进行，此工序不产生污染物。</w:t>
            </w:r>
            <w:bookmarkEnd w:id="54"/>
          </w:p>
          <w:p w14:paraId="65D30415">
            <w:pPr>
              <w:pStyle w:val="96"/>
              <w:keepNext w:val="0"/>
              <w:keepLines w:val="0"/>
              <w:suppressLineNumbers w:val="0"/>
              <w:tabs>
                <w:tab w:val="left" w:pos="1325"/>
              </w:tabs>
              <w:spacing w:before="0" w:beforeAutospacing="0" w:after="0" w:afterAutospacing="0"/>
              <w:ind w:left="0" w:right="0" w:firstLine="480"/>
              <w:jc w:val="left"/>
              <w:rPr>
                <w:rFonts w:hint="default" w:ascii="Times New Roman" w:hAnsi="Times New Roman" w:cs="Times New Roman"/>
                <w:color w:val="auto"/>
              </w:rPr>
            </w:pPr>
            <w:r>
              <w:rPr>
                <w:rFonts w:hint="eastAsia" w:ascii="Times New Roman" w:hAnsi="Times New Roman" w:cs="Times New Roman"/>
                <w:color w:val="auto"/>
                <w:lang w:val="en-US" w:eastAsia="zh-CN"/>
              </w:rPr>
              <w:t>③</w:t>
            </w:r>
            <w:r>
              <w:rPr>
                <w:rFonts w:hint="default" w:ascii="Times New Roman" w:hAnsi="Times New Roman" w:cs="Times New Roman"/>
                <w:color w:val="auto"/>
                <w:lang w:val="en-US" w:eastAsia="zh-CN"/>
              </w:rPr>
              <w:t>预压</w:t>
            </w:r>
            <w:r>
              <w:rPr>
                <w:rFonts w:hint="default" w:ascii="Times New Roman" w:hAnsi="Times New Roman" w:cs="Times New Roman"/>
                <w:color w:val="auto"/>
              </w:rPr>
              <w:t>：</w:t>
            </w:r>
            <w:r>
              <w:rPr>
                <w:rFonts w:hint="default" w:ascii="Times New Roman" w:hAnsi="Times New Roman" w:eastAsia="Segoe UI" w:cs="Times New Roman"/>
                <w:i w:val="0"/>
                <w:iCs w:val="0"/>
                <w:caps w:val="0"/>
                <w:color w:val="auto"/>
                <w:spacing w:val="0"/>
                <w:sz w:val="24"/>
                <w:szCs w:val="24"/>
                <w:shd w:val="clear" w:color="auto" w:fill="FFFFFF"/>
              </w:rPr>
              <w:t>将计算好重量的EPP原料珠粒倒入预压机的料仓，通过压缩空气将其压入并暂时储存于预压腔体中，使其密度临时增大。</w:t>
            </w:r>
          </w:p>
          <w:p w14:paraId="62CEB0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bookmarkStart w:id="55" w:name="_Toc20578"/>
            <w:r>
              <w:rPr>
                <w:rFonts w:hint="eastAsia" w:cs="Times New Roman"/>
                <w:b w:val="0"/>
                <w:bCs w:val="0"/>
                <w:color w:val="auto"/>
                <w:sz w:val="24"/>
                <w:szCs w:val="24"/>
                <w:highlight w:val="none"/>
                <w:lang w:val="en-US" w:eastAsia="zh-CN"/>
              </w:rPr>
              <w:t>④成型阶段：利用全自动成型机及ESP泡塑模具，将充满粒料的模腔密闭并用蒸汽加热（温度100~105℃），珠粒受热软化，使泡孔膨胀，珠粒发泡膨胀至填满相互间的空隙，并黏结成均匀的泡沫体。</w:t>
            </w:r>
            <w:bookmarkEnd w:id="55"/>
          </w:p>
          <w:p w14:paraId="683EF2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bookmarkStart w:id="56" w:name="_Toc21343"/>
            <w:r>
              <w:rPr>
                <w:rFonts w:hint="eastAsia" w:cs="Times New Roman"/>
                <w:b w:val="0"/>
                <w:bCs w:val="0"/>
                <w:color w:val="auto"/>
                <w:sz w:val="24"/>
                <w:szCs w:val="24"/>
                <w:highlight w:val="none"/>
                <w:lang w:val="en-US" w:eastAsia="zh-CN"/>
              </w:rPr>
              <w:t>⑤真空冷却：加热成型后的泡沫体，经真空冷却定型后启模取出，即可得到泡沫塑料成型制品。此工序冷却水经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s="Times New Roman"/>
                <w:b w:val="0"/>
                <w:bCs w:val="0"/>
                <w:color w:val="auto"/>
                <w:sz w:val="24"/>
                <w:szCs w:val="24"/>
                <w:highlight w:val="none"/>
                <w:lang w:val="en-US" w:eastAsia="zh-CN"/>
              </w:rPr>
              <w:t>处理后再经冷却塔冷却回用于此工序，冷却水循环使用不外排。</w:t>
            </w:r>
            <w:bookmarkEnd w:id="56"/>
          </w:p>
          <w:p w14:paraId="6F8229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bookmarkStart w:id="57" w:name="_Toc18364"/>
            <w:r>
              <w:rPr>
                <w:rFonts w:hint="eastAsia" w:cs="Times New Roman"/>
                <w:b w:val="0"/>
                <w:bCs w:val="0"/>
                <w:color w:val="auto"/>
                <w:sz w:val="24"/>
                <w:szCs w:val="24"/>
                <w:highlight w:val="none"/>
                <w:lang w:val="en-US" w:eastAsia="zh-CN"/>
              </w:rPr>
              <w:t>⑥烘干：由于产品从成型机中出来，存在一定的水分，需要对产品进行烘干（使用蒸汽，温度55~65℃）。此工序仅产品表面水分蒸发，不产生污染物。</w:t>
            </w:r>
            <w:bookmarkEnd w:id="57"/>
          </w:p>
          <w:p w14:paraId="364713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bookmarkStart w:id="58" w:name="_Toc7005"/>
            <w:r>
              <w:rPr>
                <w:rFonts w:hint="eastAsia" w:cs="Times New Roman"/>
                <w:b w:val="0"/>
                <w:bCs w:val="0"/>
                <w:color w:val="auto"/>
                <w:sz w:val="24"/>
                <w:szCs w:val="24"/>
                <w:highlight w:val="none"/>
                <w:lang w:val="en-US" w:eastAsia="zh-CN"/>
              </w:rPr>
              <w:t>⑦检验：烘干后的产品经检验后即可包装入库。</w:t>
            </w:r>
            <w:bookmarkEnd w:id="58"/>
          </w:p>
          <w:p w14:paraId="7B32C8C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59" w:name="_Toc13788"/>
            <w:bookmarkStart w:id="60" w:name="_Toc21512"/>
            <w:r>
              <w:rPr>
                <w:rFonts w:hint="eastAsia" w:ascii="Times New Roman" w:hAnsi="Times New Roman" w:eastAsia="宋体" w:cs="Times New Roman"/>
                <w:b/>
                <w:bCs/>
                <w:color w:val="auto"/>
                <w:sz w:val="24"/>
                <w:szCs w:val="24"/>
                <w:u w:val="none"/>
                <w:lang w:val="en-US" w:eastAsia="zh-CN"/>
              </w:rPr>
              <w:t>2.3.2产污环节分析</w:t>
            </w:r>
            <w:bookmarkEnd w:id="59"/>
            <w:bookmarkEnd w:id="60"/>
          </w:p>
          <w:p w14:paraId="4994DC9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bidi="ar-SA"/>
              </w:rPr>
              <w:t>项目产污环节分析情况一览表详见表2.3-1</w:t>
            </w:r>
            <w:r>
              <w:rPr>
                <w:rFonts w:hint="eastAsia" w:ascii="Times New Roman" w:hAnsi="Times New Roman" w:cs="Times New Roman"/>
                <w:b w:val="0"/>
                <w:bCs w:val="0"/>
                <w:color w:val="auto"/>
                <w:kern w:val="0"/>
                <w:sz w:val="24"/>
                <w:szCs w:val="24"/>
                <w:highlight w:val="none"/>
                <w:u w:val="none"/>
                <w:lang w:val="en-US" w:eastAsia="zh-CN" w:bidi="ar-SA"/>
              </w:rPr>
              <w:t>。</w:t>
            </w:r>
          </w:p>
          <w:p w14:paraId="1F1C3EF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表2.3-1项目产污环节分析一览表</w:t>
            </w:r>
          </w:p>
          <w:tbl>
            <w:tblPr>
              <w:tblStyle w:val="24"/>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6"/>
              <w:gridCol w:w="439"/>
              <w:gridCol w:w="1649"/>
              <w:gridCol w:w="1522"/>
              <w:gridCol w:w="663"/>
              <w:gridCol w:w="4166"/>
            </w:tblGrid>
            <w:tr w14:paraId="05465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 w:type="pct"/>
                  <w:tcBorders>
                    <w:tl2br w:val="nil"/>
                    <w:tr2bl w:val="nil"/>
                  </w:tcBorders>
                  <w:vAlign w:val="center"/>
                </w:tcPr>
                <w:p w14:paraId="6324F48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序号</w:t>
                  </w:r>
                </w:p>
              </w:tc>
              <w:tc>
                <w:tcPr>
                  <w:tcW w:w="247" w:type="pct"/>
                  <w:tcBorders>
                    <w:tl2br w:val="nil"/>
                    <w:tr2bl w:val="nil"/>
                  </w:tcBorders>
                  <w:vAlign w:val="center"/>
                </w:tcPr>
                <w:p w14:paraId="076F936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类别</w:t>
                  </w:r>
                </w:p>
              </w:tc>
              <w:tc>
                <w:tcPr>
                  <w:tcW w:w="928" w:type="pct"/>
                  <w:tcBorders>
                    <w:tl2br w:val="nil"/>
                    <w:tr2bl w:val="nil"/>
                  </w:tcBorders>
                  <w:vAlign w:val="center"/>
                </w:tcPr>
                <w:p w14:paraId="43659CD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污染源/污染工段</w:t>
                  </w:r>
                </w:p>
              </w:tc>
              <w:tc>
                <w:tcPr>
                  <w:tcW w:w="857" w:type="pct"/>
                  <w:tcBorders>
                    <w:tl2br w:val="nil"/>
                    <w:tr2bl w:val="nil"/>
                  </w:tcBorders>
                  <w:vAlign w:val="center"/>
                </w:tcPr>
                <w:p w14:paraId="227F7C2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主要污染物</w:t>
                  </w:r>
                </w:p>
              </w:tc>
              <w:tc>
                <w:tcPr>
                  <w:tcW w:w="373" w:type="pct"/>
                  <w:tcBorders>
                    <w:tl2br w:val="nil"/>
                    <w:tr2bl w:val="nil"/>
                  </w:tcBorders>
                  <w:vAlign w:val="center"/>
                </w:tcPr>
                <w:p w14:paraId="17114F3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排放周期</w:t>
                  </w:r>
                </w:p>
              </w:tc>
              <w:tc>
                <w:tcPr>
                  <w:tcW w:w="2347" w:type="pct"/>
                  <w:tcBorders>
                    <w:tl2br w:val="nil"/>
                    <w:tr2bl w:val="nil"/>
                  </w:tcBorders>
                  <w:vAlign w:val="center"/>
                </w:tcPr>
                <w:p w14:paraId="456EEEE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环保措施</w:t>
                  </w:r>
                </w:p>
              </w:tc>
            </w:tr>
            <w:tr w14:paraId="6EF26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restart"/>
                  <w:tcBorders>
                    <w:tl2br w:val="nil"/>
                    <w:tr2bl w:val="nil"/>
                  </w:tcBorders>
                  <w:vAlign w:val="center"/>
                </w:tcPr>
                <w:p w14:paraId="79E93CF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1</w:t>
                  </w:r>
                </w:p>
              </w:tc>
              <w:tc>
                <w:tcPr>
                  <w:tcW w:w="247" w:type="pct"/>
                  <w:vMerge w:val="restart"/>
                  <w:tcBorders>
                    <w:tl2br w:val="nil"/>
                    <w:tr2bl w:val="nil"/>
                  </w:tcBorders>
                  <w:vAlign w:val="center"/>
                </w:tcPr>
                <w:p w14:paraId="4053D9D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废水</w:t>
                  </w:r>
                </w:p>
              </w:tc>
              <w:tc>
                <w:tcPr>
                  <w:tcW w:w="928" w:type="pct"/>
                  <w:tcBorders>
                    <w:tl2br w:val="nil"/>
                    <w:tr2bl w:val="nil"/>
                  </w:tcBorders>
                  <w:vAlign w:val="center"/>
                </w:tcPr>
                <w:p w14:paraId="33E7CDC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真空冷却工</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序</w:t>
                  </w:r>
                  <w:r>
                    <w:rPr>
                      <w:rFonts w:hint="eastAsia" w:ascii="Times New Roman" w:hAnsi="Times New Roman" w:cs="Times New Roman"/>
                      <w:b w:val="0"/>
                      <w:bCs w:val="0"/>
                      <w:color w:val="auto"/>
                      <w:kern w:val="0"/>
                      <w:sz w:val="21"/>
                      <w:szCs w:val="21"/>
                      <w:highlight w:val="none"/>
                      <w:u w:val="none"/>
                      <w:vertAlign w:val="baseline"/>
                      <w:lang w:val="en-US" w:eastAsia="zh-CN" w:bidi="ar-SA"/>
                    </w:rPr>
                    <w:t>（直接冷却）</w:t>
                  </w:r>
                </w:p>
              </w:tc>
              <w:tc>
                <w:tcPr>
                  <w:tcW w:w="857" w:type="pct"/>
                  <w:tcBorders>
                    <w:tl2br w:val="nil"/>
                    <w:tr2bl w:val="nil"/>
                  </w:tcBorders>
                  <w:vAlign w:val="center"/>
                </w:tcPr>
                <w:p w14:paraId="0BD3F3E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w:t>
                  </w:r>
                </w:p>
              </w:tc>
              <w:tc>
                <w:tcPr>
                  <w:tcW w:w="373" w:type="pct"/>
                  <w:tcBorders>
                    <w:tl2br w:val="nil"/>
                    <w:tr2bl w:val="nil"/>
                  </w:tcBorders>
                  <w:vAlign w:val="center"/>
                </w:tcPr>
                <w:p w14:paraId="1E6A7A7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347" w:type="pct"/>
                  <w:tcBorders>
                    <w:tl2br w:val="nil"/>
                    <w:tr2bl w:val="nil"/>
                  </w:tcBorders>
                  <w:vAlign w:val="center"/>
                </w:tcPr>
                <w:p w14:paraId="4E7B532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冷却水经“冷却水循环沉淀池+冷却塔”处理后循环使用不外排</w:t>
                  </w:r>
                </w:p>
              </w:tc>
            </w:tr>
            <w:tr w14:paraId="43D62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tcBorders>
                    <w:tl2br w:val="nil"/>
                    <w:tr2bl w:val="nil"/>
                  </w:tcBorders>
                  <w:vAlign w:val="center"/>
                </w:tcPr>
                <w:p w14:paraId="4EDEE52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7" w:type="pct"/>
                  <w:vMerge w:val="continue"/>
                  <w:tcBorders>
                    <w:tl2br w:val="nil"/>
                    <w:tr2bl w:val="nil"/>
                  </w:tcBorders>
                  <w:vAlign w:val="center"/>
                </w:tcPr>
                <w:p w14:paraId="709E35F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28" w:type="pct"/>
                  <w:tcBorders>
                    <w:tl2br w:val="nil"/>
                    <w:tr2bl w:val="nil"/>
                  </w:tcBorders>
                  <w:vAlign w:val="center"/>
                </w:tcPr>
                <w:p w14:paraId="67206FE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生活用水</w:t>
                  </w:r>
                </w:p>
              </w:tc>
              <w:tc>
                <w:tcPr>
                  <w:tcW w:w="857" w:type="pct"/>
                  <w:tcBorders>
                    <w:tl2br w:val="nil"/>
                    <w:tr2bl w:val="nil"/>
                  </w:tcBorders>
                  <w:vAlign w:val="center"/>
                </w:tcPr>
                <w:p w14:paraId="063349B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auto"/>
                      <w:sz w:val="21"/>
                      <w:szCs w:val="21"/>
                    </w:rPr>
                    <w:t>pH、COD、BOD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rPr>
                    <w:t>、SS、NH</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rPr>
                    <w:t>-N</w:t>
                  </w: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val="en-US" w:eastAsia="zh-CN"/>
                    </w:rPr>
                    <w:t>TP</w:t>
                  </w:r>
                </w:p>
              </w:tc>
              <w:tc>
                <w:tcPr>
                  <w:tcW w:w="373" w:type="pct"/>
                  <w:tcBorders>
                    <w:tl2br w:val="nil"/>
                    <w:tr2bl w:val="nil"/>
                  </w:tcBorders>
                  <w:vAlign w:val="center"/>
                </w:tcPr>
                <w:p w14:paraId="1540B31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间歇</w:t>
                  </w:r>
                </w:p>
              </w:tc>
              <w:tc>
                <w:tcPr>
                  <w:tcW w:w="2347" w:type="pct"/>
                  <w:tcBorders>
                    <w:tl2br w:val="nil"/>
                    <w:tr2bl w:val="nil"/>
                  </w:tcBorders>
                  <w:vAlign w:val="center"/>
                </w:tcPr>
                <w:p w14:paraId="0C59BB3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auto"/>
                      <w:sz w:val="21"/>
                      <w:szCs w:val="21"/>
                    </w:rPr>
                    <w:t>经化粪池预处理后接入市政污水管网排入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default" w:ascii="Times New Roman" w:hAnsi="Times New Roman" w:eastAsia="宋体" w:cs="Times New Roman"/>
                      <w:bCs/>
                      <w:color w:val="auto"/>
                      <w:sz w:val="21"/>
                      <w:szCs w:val="21"/>
                    </w:rPr>
                    <w:t>集中处理</w:t>
                  </w:r>
                </w:p>
              </w:tc>
            </w:tr>
            <w:tr w14:paraId="39418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45" w:type="pct"/>
                  <w:vMerge w:val="restart"/>
                  <w:tcBorders>
                    <w:tl2br w:val="nil"/>
                    <w:tr2bl w:val="nil"/>
                  </w:tcBorders>
                  <w:vAlign w:val="center"/>
                </w:tcPr>
                <w:p w14:paraId="4CD6B38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2</w:t>
                  </w:r>
                </w:p>
              </w:tc>
              <w:tc>
                <w:tcPr>
                  <w:tcW w:w="247" w:type="pct"/>
                  <w:vMerge w:val="restart"/>
                  <w:tcBorders>
                    <w:tl2br w:val="nil"/>
                    <w:tr2bl w:val="nil"/>
                  </w:tcBorders>
                  <w:vAlign w:val="center"/>
                </w:tcPr>
                <w:p w14:paraId="7274C20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928" w:type="pct"/>
                  <w:tcBorders>
                    <w:tl2br w:val="nil"/>
                    <w:tr2bl w:val="nil"/>
                  </w:tcBorders>
                  <w:shd w:val="clear" w:color="auto" w:fill="auto"/>
                  <w:vAlign w:val="center"/>
                </w:tcPr>
                <w:p w14:paraId="4608BC6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预发</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857" w:type="pct"/>
                  <w:vMerge w:val="restart"/>
                  <w:tcBorders>
                    <w:tl2br w:val="nil"/>
                    <w:tr2bl w:val="nil"/>
                  </w:tcBorders>
                  <w:shd w:val="clear" w:color="auto" w:fill="auto"/>
                  <w:vAlign w:val="center"/>
                </w:tcPr>
                <w:p w14:paraId="5D6D5F0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u w:val="none"/>
                      <w:vertAlign w:val="baseline"/>
                      <w:lang w:val="en-US" w:eastAsia="zh-CN" w:bidi="ar-SA"/>
                    </w:rPr>
                    <w:t>VOCs、苯乙烯、甲苯、乙苯、臭气浓度</w:t>
                  </w:r>
                </w:p>
              </w:tc>
              <w:tc>
                <w:tcPr>
                  <w:tcW w:w="373" w:type="pct"/>
                  <w:vMerge w:val="restart"/>
                  <w:tcBorders>
                    <w:tl2br w:val="nil"/>
                    <w:tr2bl w:val="nil"/>
                  </w:tcBorders>
                  <w:shd w:val="clear" w:color="auto" w:fill="auto"/>
                  <w:vAlign w:val="center"/>
                </w:tcPr>
                <w:p w14:paraId="2D148DC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w:t>
                  </w:r>
                </w:p>
              </w:tc>
              <w:tc>
                <w:tcPr>
                  <w:tcW w:w="2347" w:type="pct"/>
                  <w:vMerge w:val="restart"/>
                  <w:tcBorders>
                    <w:tl2br w:val="nil"/>
                    <w:tr2bl w:val="nil"/>
                  </w:tcBorders>
                  <w:shd w:val="clear" w:color="auto" w:fill="auto"/>
                  <w:vAlign w:val="center"/>
                </w:tcPr>
                <w:p w14:paraId="760BA56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预发与成型工序所</w:t>
                  </w:r>
                  <w:r>
                    <w:rPr>
                      <w:rFonts w:hint="default" w:ascii="Times New Roman" w:hAnsi="Times New Roman" w:eastAsia="宋体" w:cs="Times New Roman"/>
                      <w:color w:val="auto"/>
                      <w:sz w:val="21"/>
                      <w:szCs w:val="21"/>
                      <w:highlight w:val="none"/>
                      <w:vertAlign w:val="baseline"/>
                      <w:lang w:val="en-US" w:eastAsia="zh-CN"/>
                    </w:rPr>
                    <w:t>产生废气通过</w:t>
                  </w:r>
                  <w:r>
                    <w:rPr>
                      <w:rFonts w:hint="eastAsia" w:ascii="Times New Roman" w:hAnsi="Times New Roman" w:eastAsia="宋体" w:cs="Times New Roman"/>
                      <w:color w:val="auto"/>
                      <w:sz w:val="21"/>
                      <w:szCs w:val="21"/>
                      <w:highlight w:val="none"/>
                      <w:vertAlign w:val="baseline"/>
                      <w:lang w:val="en-US" w:eastAsia="zh-CN"/>
                    </w:rPr>
                    <w:t>“集气罩收集</w:t>
                  </w:r>
                  <w:r>
                    <w:rPr>
                      <w:rFonts w:hint="default" w:ascii="Times New Roman" w:hAnsi="Times New Roman" w:eastAsia="宋体" w:cs="Times New Roman"/>
                      <w:color w:val="auto"/>
                      <w:sz w:val="21"/>
                      <w:szCs w:val="21"/>
                      <w:highlight w:val="none"/>
                      <w:vertAlign w:val="baseline"/>
                      <w:lang w:val="en-US" w:eastAsia="zh-CN"/>
                    </w:rPr>
                    <w:t>+活性炭吸附装置</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处理后，通过1根15m高排气筒（DA001）排放</w:t>
                  </w:r>
                </w:p>
              </w:tc>
            </w:tr>
            <w:tr w14:paraId="120E7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45" w:type="pct"/>
                  <w:vMerge w:val="continue"/>
                  <w:tcBorders>
                    <w:tl2br w:val="nil"/>
                    <w:tr2bl w:val="nil"/>
                  </w:tcBorders>
                  <w:vAlign w:val="center"/>
                </w:tcPr>
                <w:p w14:paraId="7BAF1C9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7" w:type="pct"/>
                  <w:vMerge w:val="continue"/>
                  <w:tcBorders>
                    <w:tl2br w:val="nil"/>
                    <w:tr2bl w:val="nil"/>
                  </w:tcBorders>
                  <w:vAlign w:val="center"/>
                </w:tcPr>
                <w:p w14:paraId="05F924F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28" w:type="pct"/>
                  <w:tcBorders>
                    <w:tl2br w:val="nil"/>
                    <w:tr2bl w:val="nil"/>
                  </w:tcBorders>
                  <w:shd w:val="clear" w:color="auto" w:fill="auto"/>
                  <w:vAlign w:val="center"/>
                </w:tcPr>
                <w:p w14:paraId="2260080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成型</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857" w:type="pct"/>
                  <w:vMerge w:val="continue"/>
                  <w:tcBorders>
                    <w:tl2br w:val="nil"/>
                    <w:tr2bl w:val="nil"/>
                  </w:tcBorders>
                  <w:shd w:val="clear" w:color="auto" w:fill="auto"/>
                  <w:vAlign w:val="center"/>
                </w:tcPr>
                <w:p w14:paraId="529362F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373" w:type="pct"/>
                  <w:vMerge w:val="continue"/>
                  <w:tcBorders>
                    <w:tl2br w:val="nil"/>
                    <w:tr2bl w:val="nil"/>
                  </w:tcBorders>
                  <w:shd w:val="clear" w:color="auto" w:fill="auto"/>
                  <w:vAlign w:val="center"/>
                </w:tcPr>
                <w:p w14:paraId="7F3090C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347" w:type="pct"/>
                  <w:vMerge w:val="continue"/>
                  <w:tcBorders>
                    <w:tl2br w:val="nil"/>
                    <w:tr2bl w:val="nil"/>
                  </w:tcBorders>
                  <w:shd w:val="clear" w:color="auto" w:fill="auto"/>
                  <w:vAlign w:val="center"/>
                </w:tcPr>
                <w:p w14:paraId="55D3A03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3E29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tcBorders>
                    <w:tl2br w:val="nil"/>
                    <w:tr2bl w:val="nil"/>
                  </w:tcBorders>
                  <w:vAlign w:val="center"/>
                </w:tcPr>
                <w:p w14:paraId="2897503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7" w:type="pct"/>
                  <w:vMerge w:val="continue"/>
                  <w:tcBorders>
                    <w:tl2br w:val="nil"/>
                    <w:tr2bl w:val="nil"/>
                  </w:tcBorders>
                  <w:vAlign w:val="center"/>
                </w:tcPr>
                <w:p w14:paraId="720D3CB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28" w:type="pct"/>
                  <w:tcBorders>
                    <w:tl2br w:val="nil"/>
                    <w:tr2bl w:val="nil"/>
                  </w:tcBorders>
                  <w:shd w:val="clear" w:color="auto" w:fill="auto"/>
                  <w:vAlign w:val="center"/>
                </w:tcPr>
                <w:p w14:paraId="5C98C16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烘干废气</w:t>
                  </w:r>
                </w:p>
                <w:p w14:paraId="7BF3D2D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（水蒸气）</w:t>
                  </w:r>
                </w:p>
              </w:tc>
              <w:tc>
                <w:tcPr>
                  <w:tcW w:w="857" w:type="pct"/>
                  <w:tcBorders>
                    <w:tl2br w:val="nil"/>
                    <w:tr2bl w:val="nil"/>
                  </w:tcBorders>
                  <w:shd w:val="clear" w:color="auto" w:fill="auto"/>
                  <w:vAlign w:val="center"/>
                </w:tcPr>
                <w:p w14:paraId="4D565BF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373" w:type="pct"/>
                  <w:tcBorders>
                    <w:tl2br w:val="nil"/>
                    <w:tr2bl w:val="nil"/>
                  </w:tcBorders>
                  <w:shd w:val="clear" w:color="auto" w:fill="auto"/>
                  <w:vAlign w:val="center"/>
                </w:tcPr>
                <w:p w14:paraId="4BF82FE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连续</w:t>
                  </w:r>
                </w:p>
              </w:tc>
              <w:tc>
                <w:tcPr>
                  <w:tcW w:w="2347" w:type="pct"/>
                  <w:tcBorders>
                    <w:tl2br w:val="nil"/>
                    <w:tr2bl w:val="nil"/>
                  </w:tcBorders>
                  <w:shd w:val="clear" w:color="auto" w:fill="auto"/>
                  <w:vAlign w:val="center"/>
                </w:tcPr>
                <w:p w14:paraId="6EDD615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14:paraId="529F1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restart"/>
                  <w:tcBorders>
                    <w:tl2br w:val="nil"/>
                    <w:tr2bl w:val="nil"/>
                  </w:tcBorders>
                  <w:vAlign w:val="center"/>
                </w:tcPr>
                <w:p w14:paraId="7D3410A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3</w:t>
                  </w:r>
                </w:p>
              </w:tc>
              <w:tc>
                <w:tcPr>
                  <w:tcW w:w="247" w:type="pct"/>
                  <w:vMerge w:val="restart"/>
                  <w:tcBorders>
                    <w:tl2br w:val="nil"/>
                    <w:tr2bl w:val="nil"/>
                  </w:tcBorders>
                  <w:vAlign w:val="center"/>
                </w:tcPr>
                <w:p w14:paraId="2AFD189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固废</w:t>
                  </w:r>
                </w:p>
              </w:tc>
              <w:tc>
                <w:tcPr>
                  <w:tcW w:w="928" w:type="pct"/>
                  <w:tcBorders>
                    <w:tl2br w:val="nil"/>
                    <w:tr2bl w:val="nil"/>
                  </w:tcBorders>
                  <w:shd w:val="clear" w:color="auto" w:fill="auto"/>
                  <w:vAlign w:val="center"/>
                </w:tcPr>
                <w:p w14:paraId="50C2C4A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生活垃圾</w:t>
                  </w:r>
                </w:p>
              </w:tc>
              <w:tc>
                <w:tcPr>
                  <w:tcW w:w="857" w:type="pct"/>
                  <w:tcBorders>
                    <w:tl2br w:val="nil"/>
                    <w:tr2bl w:val="nil"/>
                  </w:tcBorders>
                  <w:shd w:val="clear" w:color="auto" w:fill="auto"/>
                  <w:vAlign w:val="center"/>
                </w:tcPr>
                <w:p w14:paraId="70AF62C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rPr>
                    <w:t>纸屑、塑料袋等</w:t>
                  </w:r>
                </w:p>
              </w:tc>
              <w:tc>
                <w:tcPr>
                  <w:tcW w:w="373" w:type="pct"/>
                  <w:tcBorders>
                    <w:tl2br w:val="nil"/>
                    <w:tr2bl w:val="nil"/>
                  </w:tcBorders>
                  <w:shd w:val="clear" w:color="auto" w:fill="auto"/>
                  <w:vAlign w:val="center"/>
                </w:tcPr>
                <w:p w14:paraId="2CE901D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间歇</w:t>
                  </w:r>
                </w:p>
              </w:tc>
              <w:tc>
                <w:tcPr>
                  <w:tcW w:w="2347" w:type="pct"/>
                  <w:tcBorders>
                    <w:tl2br w:val="nil"/>
                    <w:tr2bl w:val="nil"/>
                  </w:tcBorders>
                  <w:shd w:val="clear" w:color="auto" w:fill="auto"/>
                  <w:vAlign w:val="center"/>
                </w:tcPr>
                <w:p w14:paraId="31F3B70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GB" w:eastAsia="zh-CN"/>
                    </w:rPr>
                    <w:t>厂区内设置生活垃圾桶，分类收集后委托环卫部门每日清运处置</w:t>
                  </w:r>
                </w:p>
              </w:tc>
            </w:tr>
            <w:tr w14:paraId="5100B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vAlign w:val="center"/>
                </w:tcPr>
                <w:p w14:paraId="35D0F5A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7" w:type="pct"/>
                  <w:vMerge w:val="continue"/>
                  <w:vAlign w:val="center"/>
                </w:tcPr>
                <w:p w14:paraId="7EF778A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28" w:type="pct"/>
                  <w:shd w:val="clear" w:color="auto" w:fill="auto"/>
                  <w:vAlign w:val="center"/>
                </w:tcPr>
                <w:p w14:paraId="5D45B1E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产品检验</w:t>
                  </w:r>
                </w:p>
              </w:tc>
              <w:tc>
                <w:tcPr>
                  <w:tcW w:w="857" w:type="pct"/>
                  <w:shd w:val="clear" w:color="auto" w:fill="auto"/>
                  <w:vAlign w:val="center"/>
                </w:tcPr>
                <w:p w14:paraId="44C0B8B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不合格产品</w:t>
                  </w:r>
                </w:p>
              </w:tc>
              <w:tc>
                <w:tcPr>
                  <w:tcW w:w="373" w:type="pct"/>
                  <w:shd w:val="clear" w:color="auto" w:fill="auto"/>
                  <w:vAlign w:val="center"/>
                </w:tcPr>
                <w:p w14:paraId="3C09E48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间歇</w:t>
                  </w:r>
                </w:p>
              </w:tc>
              <w:tc>
                <w:tcPr>
                  <w:tcW w:w="2347" w:type="pct"/>
                  <w:shd w:val="clear" w:color="auto" w:fill="auto"/>
                  <w:vAlign w:val="center"/>
                </w:tcPr>
                <w:p w14:paraId="0A1127E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本项目加工生产时所产生的不合格产品，统一收集后外售综合利用</w:t>
                  </w:r>
                </w:p>
              </w:tc>
            </w:tr>
            <w:tr w14:paraId="093C6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vAlign w:val="center"/>
                </w:tcPr>
                <w:p w14:paraId="226A353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rPr>
                  </w:pPr>
                </w:p>
              </w:tc>
              <w:tc>
                <w:tcPr>
                  <w:tcW w:w="247" w:type="pct"/>
                  <w:vMerge w:val="continue"/>
                  <w:vAlign w:val="center"/>
                </w:tcPr>
                <w:p w14:paraId="776E630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rPr>
                  </w:pPr>
                </w:p>
              </w:tc>
              <w:tc>
                <w:tcPr>
                  <w:tcW w:w="928" w:type="pct"/>
                  <w:shd w:val="clear" w:color="auto" w:fill="auto"/>
                  <w:vAlign w:val="center"/>
                </w:tcPr>
                <w:p w14:paraId="3BA5A37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w:t>
                  </w:r>
                </w:p>
              </w:tc>
              <w:tc>
                <w:tcPr>
                  <w:tcW w:w="857" w:type="pct"/>
                  <w:shd w:val="clear" w:color="auto" w:fill="auto"/>
                  <w:vAlign w:val="center"/>
                </w:tcPr>
                <w:p w14:paraId="594F17D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废活性炭</w:t>
                  </w:r>
                </w:p>
              </w:tc>
              <w:tc>
                <w:tcPr>
                  <w:tcW w:w="373" w:type="pct"/>
                  <w:shd w:val="clear" w:color="auto" w:fill="auto"/>
                  <w:vAlign w:val="center"/>
                </w:tcPr>
                <w:p w14:paraId="6A361FB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间歇</w:t>
                  </w:r>
                </w:p>
              </w:tc>
              <w:tc>
                <w:tcPr>
                  <w:tcW w:w="2347" w:type="pct"/>
                  <w:vMerge w:val="restart"/>
                  <w:shd w:val="clear" w:color="auto" w:fill="auto"/>
                  <w:vAlign w:val="center"/>
                </w:tcPr>
                <w:p w14:paraId="7C03580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按照规范要求设置一间危险废物贮存库，面积约</w:t>
                  </w:r>
                  <w:r>
                    <w:rPr>
                      <w:rFonts w:hint="eastAsia" w:cs="Times New Roman"/>
                      <w:color w:val="auto"/>
                      <w:sz w:val="21"/>
                      <w:szCs w:val="21"/>
                      <w:highlight w:val="none"/>
                      <w:vertAlign w:val="baseline"/>
                      <w:lang w:val="en-US" w:eastAsia="zh-CN"/>
                    </w:rPr>
                    <w:t>2-3</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，存放废活性炭、废</w:t>
                  </w:r>
                  <w:r>
                    <w:rPr>
                      <w:rFonts w:hint="eastAsia" w:cs="Times New Roman"/>
                      <w:color w:val="auto"/>
                      <w:sz w:val="21"/>
                      <w:szCs w:val="21"/>
                      <w:highlight w:val="none"/>
                      <w:vertAlign w:val="baseline"/>
                      <w:lang w:val="en-US" w:eastAsia="zh-CN"/>
                    </w:rPr>
                    <w:t>液压油、污泥</w:t>
                  </w:r>
                  <w:r>
                    <w:rPr>
                      <w:rFonts w:hint="default" w:ascii="Times New Roman" w:hAnsi="Times New Roman" w:eastAsia="宋体" w:cs="Times New Roman"/>
                      <w:color w:val="auto"/>
                      <w:sz w:val="21"/>
                      <w:szCs w:val="21"/>
                      <w:highlight w:val="none"/>
                      <w:vertAlign w:val="baseline"/>
                      <w:lang w:val="en-US" w:eastAsia="zh-CN"/>
                    </w:rPr>
                    <w:t>等危险废物。贮存间内张贴明显警示标志并设置围堰及导流沟，地面刷环氧树脂漆。并与有资质的单位签署危废委托协调</w:t>
                  </w:r>
                </w:p>
              </w:tc>
            </w:tr>
            <w:tr w14:paraId="07FE0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vAlign w:val="center"/>
                </w:tcPr>
                <w:p w14:paraId="71337A0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rPr>
                  </w:pPr>
                </w:p>
              </w:tc>
              <w:tc>
                <w:tcPr>
                  <w:tcW w:w="247" w:type="pct"/>
                  <w:vMerge w:val="continue"/>
                  <w:vAlign w:val="center"/>
                </w:tcPr>
                <w:p w14:paraId="5A3A735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rPr>
                  </w:pPr>
                </w:p>
              </w:tc>
              <w:tc>
                <w:tcPr>
                  <w:tcW w:w="928" w:type="pct"/>
                  <w:shd w:val="clear" w:color="auto" w:fill="auto"/>
                  <w:vAlign w:val="center"/>
                </w:tcPr>
                <w:p w14:paraId="386FCA6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设备维护保养</w:t>
                  </w:r>
                </w:p>
              </w:tc>
              <w:tc>
                <w:tcPr>
                  <w:tcW w:w="857" w:type="pct"/>
                  <w:shd w:val="clear" w:color="auto" w:fill="auto"/>
                  <w:vAlign w:val="center"/>
                </w:tcPr>
                <w:p w14:paraId="3BDE2B1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废液压油</w:t>
                  </w:r>
                </w:p>
              </w:tc>
              <w:tc>
                <w:tcPr>
                  <w:tcW w:w="373" w:type="pct"/>
                  <w:shd w:val="clear" w:color="auto" w:fill="auto"/>
                  <w:vAlign w:val="center"/>
                </w:tcPr>
                <w:p w14:paraId="525A69B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间歇</w:t>
                  </w:r>
                </w:p>
              </w:tc>
              <w:tc>
                <w:tcPr>
                  <w:tcW w:w="2347" w:type="pct"/>
                  <w:vMerge w:val="continue"/>
                  <w:shd w:val="clear" w:color="auto" w:fill="auto"/>
                  <w:vAlign w:val="center"/>
                </w:tcPr>
                <w:p w14:paraId="4599D2A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39CF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vAlign w:val="center"/>
                </w:tcPr>
                <w:p w14:paraId="2C7B85B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rPr>
                  </w:pPr>
                </w:p>
              </w:tc>
              <w:tc>
                <w:tcPr>
                  <w:tcW w:w="247" w:type="pct"/>
                  <w:vMerge w:val="continue"/>
                  <w:vAlign w:val="center"/>
                </w:tcPr>
                <w:p w14:paraId="58F2A00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rPr>
                  </w:pPr>
                </w:p>
              </w:tc>
              <w:tc>
                <w:tcPr>
                  <w:tcW w:w="928" w:type="pct"/>
                  <w:shd w:val="clear" w:color="auto" w:fill="auto"/>
                  <w:vAlign w:val="center"/>
                </w:tcPr>
                <w:p w14:paraId="0C79607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u w:val="none"/>
                      <w:vertAlign w:val="baseline"/>
                      <w:lang w:val="en-US" w:eastAsia="zh-CN" w:bidi="ar-SA"/>
                    </w:rPr>
                    <w:t>冷却水循环沉淀池</w:t>
                  </w:r>
                </w:p>
              </w:tc>
              <w:tc>
                <w:tcPr>
                  <w:tcW w:w="857" w:type="pct"/>
                  <w:shd w:val="clear" w:color="auto" w:fill="auto"/>
                  <w:vAlign w:val="center"/>
                </w:tcPr>
                <w:p w14:paraId="61C0D73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污泥</w:t>
                  </w:r>
                </w:p>
                <w:p w14:paraId="61B0A78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（含有机物）</w:t>
                  </w:r>
                </w:p>
              </w:tc>
              <w:tc>
                <w:tcPr>
                  <w:tcW w:w="373" w:type="pct"/>
                  <w:shd w:val="clear" w:color="auto" w:fill="auto"/>
                  <w:vAlign w:val="center"/>
                </w:tcPr>
                <w:p w14:paraId="0103053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间歇</w:t>
                  </w:r>
                </w:p>
              </w:tc>
              <w:tc>
                <w:tcPr>
                  <w:tcW w:w="2347" w:type="pct"/>
                  <w:vMerge w:val="continue"/>
                  <w:shd w:val="clear" w:color="auto" w:fill="auto"/>
                  <w:vAlign w:val="center"/>
                </w:tcPr>
                <w:p w14:paraId="1B3076D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2AC4E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Align w:val="center"/>
                </w:tcPr>
                <w:p w14:paraId="2BB4EEB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4</w:t>
                  </w:r>
                </w:p>
              </w:tc>
              <w:tc>
                <w:tcPr>
                  <w:tcW w:w="247" w:type="pct"/>
                  <w:vAlign w:val="center"/>
                </w:tcPr>
                <w:p w14:paraId="7D0D6D4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噪声</w:t>
                  </w:r>
                </w:p>
              </w:tc>
              <w:tc>
                <w:tcPr>
                  <w:tcW w:w="928" w:type="pct"/>
                  <w:shd w:val="clear" w:color="auto" w:fill="auto"/>
                  <w:vAlign w:val="center"/>
                </w:tcPr>
                <w:p w14:paraId="1965B32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生产设备</w:t>
                  </w:r>
                </w:p>
              </w:tc>
              <w:tc>
                <w:tcPr>
                  <w:tcW w:w="857" w:type="pct"/>
                  <w:shd w:val="clear" w:color="auto" w:fill="auto"/>
                  <w:vAlign w:val="center"/>
                </w:tcPr>
                <w:p w14:paraId="48336DF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Leq</w:t>
                  </w:r>
                </w:p>
              </w:tc>
              <w:tc>
                <w:tcPr>
                  <w:tcW w:w="373" w:type="pct"/>
                  <w:shd w:val="clear" w:color="auto" w:fill="auto"/>
                  <w:vAlign w:val="center"/>
                </w:tcPr>
                <w:p w14:paraId="0AB5526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连续</w:t>
                  </w:r>
                </w:p>
              </w:tc>
              <w:tc>
                <w:tcPr>
                  <w:tcW w:w="2347" w:type="pct"/>
                  <w:shd w:val="clear" w:color="auto" w:fill="auto"/>
                  <w:vAlign w:val="center"/>
                </w:tcPr>
                <w:p w14:paraId="653A79A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u w:val="none"/>
                      <w:lang w:val="en-US" w:eastAsia="zh-CN"/>
                    </w:rPr>
                    <w:t>厂房隔声、设备基础减振等综合降噪措施</w:t>
                  </w:r>
                </w:p>
              </w:tc>
            </w:tr>
          </w:tbl>
          <w:p w14:paraId="4E61656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right="0"/>
              <w:textAlignment w:val="auto"/>
              <w:rPr>
                <w:rFonts w:hint="default" w:ascii="Times New Roman" w:hAnsi="Times New Roman" w:eastAsia="宋体" w:cs="Times New Roman"/>
                <w:b/>
                <w:bCs w:val="0"/>
                <w:color w:val="auto"/>
                <w:sz w:val="24"/>
                <w:szCs w:val="24"/>
                <w:highlight w:val="none"/>
                <w:lang w:val="en-US" w:eastAsia="zh-CN"/>
              </w:rPr>
            </w:pPr>
          </w:p>
        </w:tc>
      </w:tr>
      <w:tr w14:paraId="7872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2" w:hRule="atLeast"/>
        </w:trPr>
        <w:tc>
          <w:tcPr>
            <w:tcW w:w="241" w:type="pct"/>
            <w:vAlign w:val="center"/>
          </w:tcPr>
          <w:p w14:paraId="35D504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4"/>
                <w:szCs w:val="24"/>
                <w:vertAlign w:val="baseline"/>
                <w:lang w:eastAsia="zh-CN"/>
              </w:rPr>
            </w:pPr>
            <w:r>
              <w:rPr>
                <w:rFonts w:ascii="Times New Roman" w:hAnsi="Times New Roman"/>
                <w:bCs/>
                <w:color w:val="auto"/>
                <w:kern w:val="2"/>
                <w:sz w:val="24"/>
                <w:szCs w:val="24"/>
              </w:rPr>
              <w:t>与项目有关的原有环境污染问题</w:t>
            </w:r>
          </w:p>
        </w:tc>
        <w:tc>
          <w:tcPr>
            <w:tcW w:w="4758" w:type="pct"/>
            <w:vAlign w:val="center"/>
          </w:tcPr>
          <w:p w14:paraId="12030820">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61" w:name="_Toc30100"/>
            <w:r>
              <w:rPr>
                <w:rFonts w:hint="eastAsia" w:ascii="Times New Roman" w:hAnsi="Times New Roman" w:eastAsia="宋体" w:cs="Times New Roman"/>
                <w:color w:val="auto"/>
                <w:sz w:val="28"/>
                <w:szCs w:val="28"/>
                <w:u w:val="none"/>
                <w:lang w:val="en-US" w:eastAsia="zh-CN"/>
              </w:rPr>
              <w:t>2.4现有项目概况和污染源分析</w:t>
            </w:r>
            <w:bookmarkEnd w:id="61"/>
          </w:p>
          <w:p w14:paraId="17AB66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62" w:name="_Toc32440"/>
            <w:r>
              <w:rPr>
                <w:rFonts w:hint="eastAsia" w:ascii="Times New Roman" w:hAnsi="Times New Roman" w:eastAsia="宋体" w:cs="Times New Roman"/>
                <w:b/>
                <w:bCs/>
                <w:color w:val="auto"/>
                <w:sz w:val="24"/>
                <w:szCs w:val="24"/>
                <w:u w:val="none"/>
                <w:lang w:val="en-US" w:eastAsia="zh-CN"/>
              </w:rPr>
              <w:t>2.4.1现有项目环保手续基本情况</w:t>
            </w:r>
            <w:bookmarkEnd w:id="62"/>
          </w:p>
          <w:p w14:paraId="4A6900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（1）现有环评报告情况</w:t>
            </w:r>
          </w:p>
          <w:p w14:paraId="03D4E6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福建恒润包装有限公司成立于2015年4月9日，统一社会信用代码为9</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W</w:t>
            </w:r>
            <w:r>
              <w:rPr>
                <w:rFonts w:hint="default" w:ascii="Times New Roman" w:hAnsi="Times New Roman" w:eastAsia="宋体" w:cs="Times New Roman"/>
                <w:color w:val="auto"/>
                <w:sz w:val="24"/>
                <w:szCs w:val="24"/>
                <w:highlight w:val="none"/>
                <w:u w:val="none"/>
                <w:lang w:val="en-US" w:eastAsia="zh-CN"/>
              </w:rPr>
              <w:t>，法人是</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营业执照</w:t>
            </w:r>
            <w:r>
              <w:rPr>
                <w:rFonts w:hint="eastAsia" w:ascii="Times New Roman" w:hAnsi="Times New Roman" w:eastAsia="宋体" w:cs="Times New Roman"/>
                <w:color w:val="auto"/>
                <w:sz w:val="24"/>
                <w:szCs w:val="24"/>
                <w:highlight w:val="none"/>
                <w:u w:val="none"/>
                <w:lang w:val="en-US" w:eastAsia="zh-CN"/>
              </w:rPr>
              <w:t>详见</w:t>
            </w:r>
            <w:r>
              <w:rPr>
                <w:rFonts w:hint="eastAsia" w:ascii="Times New Roman" w:hAnsi="Times New Roman" w:eastAsia="宋体" w:cs="Times New Roman"/>
                <w:b/>
                <w:bCs/>
                <w:color w:val="auto"/>
                <w:sz w:val="24"/>
                <w:szCs w:val="24"/>
                <w:highlight w:val="none"/>
                <w:u w:val="none"/>
                <w:lang w:val="en-US" w:eastAsia="zh-CN"/>
              </w:rPr>
              <w:t>附件二</w:t>
            </w:r>
            <w:r>
              <w:rPr>
                <w:rFonts w:hint="eastAsia" w:ascii="Times New Roman" w:hAnsi="Times New Roman" w:eastAsia="宋体" w:cs="Times New Roman"/>
                <w:color w:val="auto"/>
                <w:sz w:val="24"/>
                <w:szCs w:val="24"/>
                <w:highlight w:val="none"/>
                <w:u w:val="none"/>
                <w:lang w:val="en-US" w:eastAsia="zh-CN"/>
              </w:rPr>
              <w:t>及</w:t>
            </w:r>
            <w:r>
              <w:rPr>
                <w:rFonts w:hint="default" w:ascii="Times New Roman" w:hAnsi="Times New Roman" w:eastAsia="宋体" w:cs="Times New Roman"/>
                <w:color w:val="auto"/>
                <w:sz w:val="24"/>
                <w:szCs w:val="24"/>
                <w:highlight w:val="none"/>
                <w:u w:val="none"/>
                <w:lang w:val="en-US" w:eastAsia="zh-CN"/>
              </w:rPr>
              <w:t>法人身份证</w:t>
            </w:r>
            <w:r>
              <w:rPr>
                <w:rFonts w:hint="eastAsia" w:ascii="Times New Roman" w:hAnsi="Times New Roman" w:eastAsia="宋体" w:cs="Times New Roman"/>
                <w:color w:val="auto"/>
                <w:sz w:val="24"/>
                <w:szCs w:val="24"/>
                <w:highlight w:val="none"/>
                <w:u w:val="none"/>
                <w:lang w:val="en-US" w:eastAsia="zh-CN"/>
              </w:rPr>
              <w:t>复印件</w:t>
            </w:r>
            <w:r>
              <w:rPr>
                <w:rFonts w:hint="default" w:ascii="Times New Roman" w:hAnsi="Times New Roman" w:eastAsia="宋体" w:cs="Times New Roman"/>
                <w:color w:val="auto"/>
                <w:sz w:val="24"/>
                <w:szCs w:val="24"/>
                <w:highlight w:val="none"/>
                <w:u w:val="none"/>
                <w:lang w:val="en-US" w:eastAsia="zh-CN"/>
              </w:rPr>
              <w:t>见</w:t>
            </w:r>
            <w:r>
              <w:rPr>
                <w:rFonts w:hint="default" w:ascii="Times New Roman" w:hAnsi="Times New Roman" w:eastAsia="宋体" w:cs="Times New Roman"/>
                <w:b/>
                <w:bCs/>
                <w:color w:val="auto"/>
                <w:sz w:val="24"/>
                <w:szCs w:val="24"/>
                <w:highlight w:val="none"/>
                <w:u w:val="none"/>
                <w:lang w:val="en-US" w:eastAsia="zh-CN"/>
              </w:rPr>
              <w:t>附件</w:t>
            </w:r>
            <w:r>
              <w:rPr>
                <w:rFonts w:hint="eastAsia" w:ascii="Times New Roman" w:hAnsi="Times New Roman" w:eastAsia="宋体" w:cs="Times New Roman"/>
                <w:b/>
                <w:bCs/>
                <w:color w:val="auto"/>
                <w:sz w:val="24"/>
                <w:szCs w:val="24"/>
                <w:highlight w:val="none"/>
                <w:u w:val="none"/>
                <w:lang w:val="en-US" w:eastAsia="zh-CN"/>
              </w:rPr>
              <w:t>三</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w:t>
            </w:r>
          </w:p>
          <w:p w14:paraId="0031C5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u w:val="none"/>
                <w:lang w:val="en-US" w:eastAsia="zh-CN"/>
              </w:rPr>
              <w:t>福建恒润包装有限公司</w:t>
            </w:r>
            <w:r>
              <w:rPr>
                <w:rFonts w:hint="default" w:ascii="Times New Roman" w:hAnsi="Times New Roman" w:eastAsia="宋体" w:cs="Times New Roman"/>
                <w:b w:val="0"/>
                <w:bCs w:val="0"/>
                <w:color w:val="auto"/>
                <w:kern w:val="2"/>
                <w:sz w:val="24"/>
                <w:szCs w:val="24"/>
                <w:highlight w:val="none"/>
                <w:lang w:val="en-US" w:eastAsia="zh-CN" w:bidi="ar-SA"/>
              </w:rPr>
              <w:t>现有项目</w:t>
            </w:r>
            <w:r>
              <w:rPr>
                <w:rFonts w:hint="default" w:ascii="Times New Roman" w:hAnsi="Times New Roman" w:eastAsia="宋体" w:cs="Times New Roman"/>
                <w:color w:val="auto"/>
                <w:sz w:val="24"/>
                <w:szCs w:val="24"/>
                <w:lang w:val="en-US" w:eastAsia="zh-CN"/>
              </w:rPr>
              <w:t>于2016年11月委托北京中企安信环境科技有限公司编制了《</w:t>
            </w:r>
            <w:r>
              <w:rPr>
                <w:rFonts w:hint="eastAsia" w:cs="Times New Roman"/>
                <w:color w:val="auto"/>
                <w:sz w:val="24"/>
                <w:szCs w:val="24"/>
                <w:lang w:val="en-US" w:eastAsia="zh-CN"/>
              </w:rPr>
              <w:t>福建恒润包装有限公司</w:t>
            </w:r>
            <w:r>
              <w:rPr>
                <w:rFonts w:hint="default" w:ascii="Times New Roman" w:hAnsi="Times New Roman" w:eastAsia="宋体" w:cs="Times New Roman"/>
                <w:color w:val="auto"/>
                <w:sz w:val="24"/>
                <w:szCs w:val="24"/>
                <w:lang w:val="en-US" w:eastAsia="zh-CN"/>
              </w:rPr>
              <w:t>年产1800吨EPS包装泡沫环境影响评价报告表》，于</w:t>
            </w:r>
            <w:r>
              <w:rPr>
                <w:rFonts w:hint="eastAsia" w:ascii="Times New Roman" w:hAnsi="Times New Roman" w:eastAsia="宋体" w:cs="Times New Roman"/>
                <w:color w:val="auto"/>
                <w:sz w:val="24"/>
                <w:szCs w:val="24"/>
                <w:lang w:val="en-US" w:eastAsia="zh-CN"/>
              </w:rPr>
              <w:t>2017</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月取得</w:t>
            </w:r>
            <w:r>
              <w:rPr>
                <w:rFonts w:hint="eastAsia" w:ascii="Times New Roman" w:hAnsi="Times New Roman" w:eastAsia="宋体" w:cs="Times New Roman"/>
                <w:color w:val="auto"/>
                <w:sz w:val="24"/>
                <w:szCs w:val="24"/>
                <w:highlight w:val="none"/>
                <w:lang w:val="en-US" w:eastAsia="zh-CN"/>
              </w:rPr>
              <w:t>福清市</w:t>
            </w:r>
            <w:r>
              <w:rPr>
                <w:rFonts w:hint="eastAsia" w:cs="Times New Roman"/>
                <w:color w:val="auto"/>
                <w:sz w:val="24"/>
                <w:szCs w:val="24"/>
                <w:highlight w:val="none"/>
                <w:lang w:val="en-US" w:eastAsia="zh-CN"/>
              </w:rPr>
              <w:t>生态环境局</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审批意见</w:t>
            </w:r>
            <w:r>
              <w:rPr>
                <w:rFonts w:hint="default" w:ascii="Times New Roman" w:hAnsi="Times New Roman" w:eastAsia="宋体" w:cs="Times New Roman"/>
                <w:b w:val="0"/>
                <w:bCs w:val="0"/>
                <w:color w:val="auto"/>
                <w:kern w:val="2"/>
                <w:sz w:val="24"/>
                <w:szCs w:val="24"/>
                <w:highlight w:val="none"/>
                <w:lang w:val="en-US" w:eastAsia="zh-CN" w:bidi="ar-SA"/>
              </w:rPr>
              <w:t>（批复文</w:t>
            </w:r>
            <w:r>
              <w:rPr>
                <w:rFonts w:hint="eastAsia" w:ascii="Times New Roman" w:hAnsi="Times New Roman" w:eastAsia="宋体" w:cs="Times New Roman"/>
                <w:b w:val="0"/>
                <w:bCs w:val="0"/>
                <w:color w:val="auto"/>
                <w:kern w:val="2"/>
                <w:sz w:val="24"/>
                <w:szCs w:val="24"/>
                <w:highlight w:val="none"/>
                <w:lang w:val="en-US" w:eastAsia="zh-CN" w:bidi="ar-SA"/>
              </w:rPr>
              <w:t>号：</w:t>
            </w:r>
            <w:r>
              <w:rPr>
                <w:rFonts w:hint="eastAsia" w:cs="Times New Roman"/>
                <w:b w:val="0"/>
                <w:bCs w:val="0"/>
                <w:color w:val="auto"/>
                <w:kern w:val="2"/>
                <w:sz w:val="24"/>
                <w:szCs w:val="24"/>
                <w:highlight w:val="none"/>
                <w:lang w:val="en-US" w:eastAsia="zh-CN" w:bidi="ar-SA"/>
              </w:rPr>
              <w:t>融环评表</w:t>
            </w:r>
            <w:r>
              <w:rPr>
                <w:rFonts w:hint="eastAsia" w:ascii="宋体" w:hAnsi="宋体" w:eastAsia="宋体" w:cs="宋体"/>
                <w:b w:val="0"/>
                <w:bCs w:val="0"/>
                <w:color w:val="auto"/>
                <w:kern w:val="2"/>
                <w:sz w:val="24"/>
                <w:szCs w:val="24"/>
                <w:highlight w:val="none"/>
                <w:lang w:val="en-US" w:eastAsia="zh-CN" w:bidi="ar-SA"/>
              </w:rPr>
              <w:t>〔2017〕26号</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详见</w:t>
            </w:r>
            <w:r>
              <w:rPr>
                <w:rFonts w:hint="default" w:ascii="Times New Roman" w:hAnsi="Times New Roman" w:eastAsia="宋体" w:cs="Times New Roman"/>
                <w:b/>
                <w:bCs/>
                <w:color w:val="auto"/>
                <w:kern w:val="2"/>
                <w:sz w:val="24"/>
                <w:szCs w:val="24"/>
                <w:highlight w:val="none"/>
                <w:lang w:val="en-US" w:eastAsia="zh-CN" w:bidi="ar-SA"/>
              </w:rPr>
              <w:t>附件</w:t>
            </w:r>
            <w:r>
              <w:rPr>
                <w:rFonts w:hint="eastAsia" w:cs="Times New Roman"/>
                <w:b/>
                <w:bCs/>
                <w:color w:val="auto"/>
                <w:kern w:val="2"/>
                <w:sz w:val="24"/>
                <w:szCs w:val="24"/>
                <w:highlight w:val="none"/>
                <w:lang w:val="en-US" w:eastAsia="zh-CN" w:bidi="ar-SA"/>
              </w:rPr>
              <w:t>九</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p>
          <w:p w14:paraId="172B37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（2）现有项目验收意见</w:t>
            </w:r>
          </w:p>
          <w:p w14:paraId="427B6F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福清市环境监测站</w:t>
            </w:r>
            <w:r>
              <w:rPr>
                <w:rFonts w:hint="default" w:ascii="Times New Roman" w:hAnsi="Times New Roman" w:eastAsia="宋体" w:cs="Times New Roman"/>
                <w:b w:val="0"/>
                <w:bCs w:val="0"/>
                <w:color w:val="auto"/>
                <w:kern w:val="2"/>
                <w:sz w:val="24"/>
                <w:szCs w:val="24"/>
                <w:highlight w:val="none"/>
                <w:lang w:val="en-US" w:eastAsia="zh-CN" w:bidi="ar-SA"/>
              </w:rPr>
              <w:t>于20</w:t>
            </w:r>
            <w:r>
              <w:rPr>
                <w:rFonts w:hint="eastAsia" w:ascii="Times New Roman" w:hAnsi="Times New Roman" w:eastAsia="宋体" w:cs="Times New Roman"/>
                <w:b w:val="0"/>
                <w:bCs w:val="0"/>
                <w:color w:val="auto"/>
                <w:kern w:val="2"/>
                <w:sz w:val="24"/>
                <w:szCs w:val="24"/>
                <w:highlight w:val="none"/>
                <w:lang w:val="en-US" w:eastAsia="zh-CN" w:bidi="ar-SA"/>
              </w:rPr>
              <w:t>17</w:t>
            </w:r>
            <w:r>
              <w:rPr>
                <w:rFonts w:hint="default" w:ascii="Times New Roman" w:hAnsi="Times New Roman" w:eastAsia="宋体" w:cs="Times New Roman"/>
                <w:b w:val="0"/>
                <w:bCs w:val="0"/>
                <w:color w:val="auto"/>
                <w:kern w:val="2"/>
                <w:sz w:val="24"/>
                <w:szCs w:val="24"/>
                <w:highlight w:val="none"/>
                <w:lang w:val="en-US" w:eastAsia="zh-CN" w:bidi="ar-SA"/>
              </w:rPr>
              <w:t>年</w:t>
            </w:r>
            <w:r>
              <w:rPr>
                <w:rFonts w:hint="eastAsia" w:ascii="Times New Roman" w:hAnsi="Times New Roman" w:eastAsia="宋体" w:cs="Times New Roman"/>
                <w:b w:val="0"/>
                <w:bCs w:val="0"/>
                <w:color w:val="auto"/>
                <w:kern w:val="2"/>
                <w:sz w:val="24"/>
                <w:szCs w:val="24"/>
                <w:highlight w:val="none"/>
                <w:lang w:val="en-US" w:eastAsia="zh-CN" w:bidi="ar-SA"/>
              </w:rPr>
              <w:t>7月</w:t>
            </w:r>
            <w:r>
              <w:rPr>
                <w:rFonts w:hint="default" w:ascii="Times New Roman" w:hAnsi="Times New Roman" w:eastAsia="宋体" w:cs="Times New Roman"/>
                <w:b w:val="0"/>
                <w:bCs w:val="0"/>
                <w:color w:val="auto"/>
                <w:kern w:val="2"/>
                <w:sz w:val="24"/>
                <w:szCs w:val="24"/>
                <w:highlight w:val="none"/>
                <w:lang w:val="en-US" w:eastAsia="zh-CN" w:bidi="ar-SA"/>
              </w:rPr>
              <w:t>完成《</w:t>
            </w:r>
            <w:r>
              <w:rPr>
                <w:rFonts w:hint="eastAsia" w:ascii="Times New Roman" w:hAnsi="Times New Roman" w:eastAsia="宋体" w:cs="Times New Roman"/>
                <w:color w:val="auto"/>
                <w:sz w:val="24"/>
                <w:szCs w:val="24"/>
                <w:highlight w:val="none"/>
                <w:u w:val="none"/>
                <w:lang w:val="en-US" w:eastAsia="zh-CN"/>
              </w:rPr>
              <w:t>年产1800吨EPS包装泡沫项目</w:t>
            </w:r>
            <w:r>
              <w:rPr>
                <w:rFonts w:hint="default" w:ascii="Times New Roman" w:hAnsi="Times New Roman" w:eastAsia="宋体" w:cs="Times New Roman"/>
                <w:b w:val="0"/>
                <w:bCs w:val="0"/>
                <w:color w:val="auto"/>
                <w:kern w:val="2"/>
                <w:sz w:val="24"/>
                <w:szCs w:val="24"/>
                <w:highlight w:val="none"/>
                <w:lang w:val="en-US" w:eastAsia="zh-CN" w:bidi="ar-SA"/>
              </w:rPr>
              <w:t>竣工环境保护验收监测》</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建设单位项目竣工环境保护验收监测表</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。于2017年8月21日完成《年产1800吨EPS包装泡沫项目竣工环境保护验收申请》</w:t>
            </w:r>
            <w:r>
              <w:rPr>
                <w:rFonts w:hint="eastAsia" w:ascii="Times New Roman" w:hAnsi="Times New Roman" w:cs="Times New Roman"/>
                <w:color w:val="auto"/>
                <w:sz w:val="24"/>
                <w:szCs w:val="24"/>
                <w:highlight w:val="none"/>
                <w:lang w:val="en-US" w:eastAsia="zh-CN"/>
              </w:rPr>
              <w:t>（现有建设项目竣工环境保护验收申请</w:t>
            </w:r>
            <w:r>
              <w:rPr>
                <w:rFonts w:hint="default" w:ascii="Times New Roman" w:hAnsi="Times New Roman" w:cs="Times New Roman"/>
                <w:color w:val="auto"/>
                <w:sz w:val="24"/>
                <w:szCs w:val="24"/>
                <w:highlight w:val="none"/>
                <w:lang w:val="en-US" w:eastAsia="zh-CN"/>
              </w:rPr>
              <w:t>详</w:t>
            </w:r>
            <w:r>
              <w:rPr>
                <w:rFonts w:hint="default" w:ascii="Times New Roman" w:hAnsi="Times New Roman" w:eastAsia="宋体" w:cs="Times New Roman"/>
                <w:color w:val="auto"/>
                <w:sz w:val="24"/>
                <w:szCs w:val="24"/>
                <w:highlight w:val="none"/>
                <w:lang w:val="en-US" w:eastAsia="zh-CN"/>
              </w:rPr>
              <w:t>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十一</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于202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日在全国排污许可证管理信息平台获得固定污染源排污登记回执（</w:t>
            </w:r>
            <w:r>
              <w:rPr>
                <w:rFonts w:hint="eastAsia" w:cs="Times New Roman"/>
                <w:color w:val="auto"/>
                <w:sz w:val="24"/>
                <w:szCs w:val="24"/>
                <w:highlight w:val="none"/>
                <w:lang w:val="en-US" w:eastAsia="zh-CN"/>
              </w:rPr>
              <w:t>登记编号：91350181337537655W001X，</w:t>
            </w:r>
            <w:r>
              <w:rPr>
                <w:rFonts w:hint="default" w:ascii="Times New Roman" w:hAnsi="Times New Roman" w:eastAsia="宋体" w:cs="Times New Roman"/>
                <w:color w:val="auto"/>
                <w:sz w:val="24"/>
                <w:szCs w:val="24"/>
                <w:highlight w:val="none"/>
                <w:lang w:val="en-US" w:eastAsia="zh-CN"/>
              </w:rPr>
              <w:t>排污</w:t>
            </w:r>
            <w:r>
              <w:rPr>
                <w:rFonts w:hint="eastAsia" w:cs="Times New Roman"/>
                <w:color w:val="auto"/>
                <w:sz w:val="24"/>
                <w:szCs w:val="24"/>
                <w:highlight w:val="none"/>
                <w:lang w:val="en-US" w:eastAsia="zh-CN"/>
              </w:rPr>
              <w:t>登记回执</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十二</w:t>
            </w:r>
            <w:r>
              <w:rPr>
                <w:rFonts w:hint="default" w:ascii="Times New Roman" w:hAnsi="Times New Roman" w:eastAsia="宋体" w:cs="Times New Roman"/>
                <w:color w:val="auto"/>
                <w:sz w:val="24"/>
                <w:szCs w:val="24"/>
                <w:highlight w:val="none"/>
                <w:lang w:val="en-US" w:eastAsia="zh-CN"/>
              </w:rPr>
              <w:t>）。</w:t>
            </w:r>
          </w:p>
          <w:p w14:paraId="525A8B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现有工程规模及环境影响评价、环保（阶段性）竣工验收情况表详见表2.</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p>
          <w:p w14:paraId="7CF17963">
            <w:pPr>
              <w:keepNext/>
              <w:keepLines w:val="0"/>
              <w:pageBreakBefore w:val="0"/>
              <w:widowControl w:val="0"/>
              <w:kinsoku/>
              <w:wordWrap/>
              <w:overflowPunct w:val="0"/>
              <w:topLinePunct w:val="0"/>
              <w:autoSpaceDE/>
              <w:autoSpaceDN/>
              <w:bidi w:val="0"/>
              <w:adjustRightInd/>
              <w:snapToGrid w:val="0"/>
              <w:spacing w:before="326" w:beforeLines="100" w:after="0" w:line="360" w:lineRule="auto"/>
              <w:ind w:left="0" w:firstLine="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rPr>
              <w:t>2.</w:t>
            </w:r>
            <w:r>
              <w:rPr>
                <w:rFonts w:hint="eastAsia"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rPr>
              <w:t>-</w:t>
            </w:r>
            <w:r>
              <w:rPr>
                <w:rFonts w:hint="eastAsia"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rPr>
              <w:t>现有项目工程规模及环评、竣工环保验收信息</w:t>
            </w:r>
            <w:r>
              <w:rPr>
                <w:rFonts w:hint="default" w:ascii="Times New Roman" w:hAnsi="Times New Roman" w:eastAsia="宋体" w:cs="Times New Roman"/>
                <w:b/>
                <w:bCs/>
                <w:color w:val="auto"/>
                <w:sz w:val="24"/>
                <w:szCs w:val="24"/>
                <w:highlight w:val="none"/>
              </w:rPr>
              <w:t>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0"/>
              <w:gridCol w:w="2561"/>
              <w:gridCol w:w="1267"/>
              <w:gridCol w:w="2412"/>
              <w:gridCol w:w="1842"/>
            </w:tblGrid>
            <w:tr w14:paraId="0DD450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450" w:type="pct"/>
                  <w:noWrap w:val="0"/>
                  <w:vAlign w:val="center"/>
                </w:tcPr>
                <w:p w14:paraId="45FF1A08">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性质</w:t>
                  </w:r>
                </w:p>
              </w:tc>
              <w:tc>
                <w:tcPr>
                  <w:tcW w:w="1442" w:type="pct"/>
                  <w:noWrap w:val="0"/>
                  <w:vAlign w:val="center"/>
                </w:tcPr>
                <w:p w14:paraId="550796D6">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环评文件</w:t>
                  </w:r>
                </w:p>
              </w:tc>
              <w:tc>
                <w:tcPr>
                  <w:tcW w:w="713" w:type="pct"/>
                  <w:noWrap w:val="0"/>
                  <w:vAlign w:val="center"/>
                </w:tcPr>
                <w:p w14:paraId="33BF3D3B">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产品方案</w:t>
                  </w:r>
                </w:p>
              </w:tc>
              <w:tc>
                <w:tcPr>
                  <w:tcW w:w="1358" w:type="pct"/>
                  <w:noWrap w:val="0"/>
                  <w:vAlign w:val="center"/>
                </w:tcPr>
                <w:p w14:paraId="4B369712">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环评审批/审查时间</w:t>
                  </w:r>
                </w:p>
              </w:tc>
              <w:tc>
                <w:tcPr>
                  <w:tcW w:w="1035" w:type="pct"/>
                  <w:noWrap w:val="0"/>
                  <w:vAlign w:val="center"/>
                </w:tcPr>
                <w:p w14:paraId="22586F36">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验收时间</w:t>
                  </w:r>
                </w:p>
              </w:tc>
            </w:tr>
            <w:tr w14:paraId="6C9576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93" w:hRule="atLeast"/>
              </w:trPr>
              <w:tc>
                <w:tcPr>
                  <w:tcW w:w="450" w:type="pct"/>
                  <w:noWrap w:val="0"/>
                  <w:vAlign w:val="center"/>
                </w:tcPr>
                <w:p w14:paraId="6EAB23BF">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现有工程</w:t>
                  </w:r>
                </w:p>
              </w:tc>
              <w:tc>
                <w:tcPr>
                  <w:tcW w:w="1442" w:type="pct"/>
                  <w:noWrap w:val="0"/>
                  <w:vAlign w:val="center"/>
                </w:tcPr>
                <w:p w14:paraId="65C4FC1B">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福建恒润包装有限公司年产1800吨EPS包装泡沫项目环境影响报告表</w:t>
                  </w:r>
                </w:p>
              </w:tc>
              <w:tc>
                <w:tcPr>
                  <w:tcW w:w="713" w:type="pct"/>
                  <w:noWrap w:val="0"/>
                  <w:vAlign w:val="center"/>
                </w:tcPr>
                <w:p w14:paraId="6FB5F357">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年产</w:t>
                  </w:r>
                  <w:r>
                    <w:rPr>
                      <w:rFonts w:hint="eastAsia" w:cs="Times New Roman"/>
                      <w:color w:val="auto"/>
                      <w:sz w:val="21"/>
                      <w:szCs w:val="21"/>
                      <w:highlight w:val="none"/>
                      <w:lang w:val="en-US" w:eastAsia="zh-CN"/>
                    </w:rPr>
                    <w:t>1800</w:t>
                  </w:r>
                  <w:r>
                    <w:rPr>
                      <w:rFonts w:hint="default" w:ascii="Times New Roman" w:hAnsi="Times New Roman" w:eastAsia="宋体" w:cs="Times New Roman"/>
                      <w:color w:val="auto"/>
                      <w:sz w:val="21"/>
                      <w:szCs w:val="21"/>
                      <w:highlight w:val="none"/>
                      <w:lang w:val="en-US" w:eastAsia="zh-CN"/>
                    </w:rPr>
                    <w:t>吨</w:t>
                  </w:r>
                  <w:r>
                    <w:rPr>
                      <w:rFonts w:hint="eastAsia" w:cs="Times New Roman"/>
                      <w:color w:val="auto"/>
                      <w:sz w:val="21"/>
                      <w:szCs w:val="21"/>
                      <w:highlight w:val="none"/>
                      <w:lang w:val="en-US" w:eastAsia="zh-CN"/>
                    </w:rPr>
                    <w:t>EPS包装泡沫</w:t>
                  </w:r>
                </w:p>
              </w:tc>
              <w:tc>
                <w:tcPr>
                  <w:tcW w:w="1358" w:type="pct"/>
                  <w:noWrap w:val="0"/>
                  <w:vAlign w:val="center"/>
                </w:tcPr>
                <w:p w14:paraId="1D557A1F">
                  <w:pPr>
                    <w:keepLines w:val="0"/>
                    <w:pageBreakBefore w:val="0"/>
                    <w:widowControl w:val="0"/>
                    <w:kinsoku/>
                    <w:wordWrap/>
                    <w:topLinePunct w:val="0"/>
                    <w:autoSpaceDE/>
                    <w:autoSpaceDN/>
                    <w:bidi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cs="Times New Roman"/>
                      <w:color w:val="auto"/>
                      <w:sz w:val="21"/>
                      <w:szCs w:val="21"/>
                      <w:lang w:val="en-US" w:eastAsia="zh-CN"/>
                    </w:rPr>
                    <w:t>融环评表</w:t>
                  </w:r>
                  <w:r>
                    <w:rPr>
                      <w:rFonts w:hint="eastAsia" w:ascii="宋体" w:hAnsi="宋体" w:eastAsia="宋体" w:cs="宋体"/>
                      <w:color w:val="auto"/>
                      <w:sz w:val="21"/>
                      <w:szCs w:val="21"/>
                      <w:lang w:val="en-US" w:eastAsia="zh-CN"/>
                    </w:rPr>
                    <w:t>〔2017〕26号</w:t>
                  </w:r>
                </w:p>
                <w:p w14:paraId="6EFFDD91">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福清市生态环境局</w:t>
                  </w:r>
                </w:p>
                <w:p w14:paraId="6CD164A3">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r>
                    <w:rPr>
                      <w:rFonts w:hint="eastAsia" w:cs="Times New Roman"/>
                      <w:color w:val="auto"/>
                      <w:sz w:val="21"/>
                      <w:szCs w:val="21"/>
                      <w:lang w:val="en-US" w:eastAsia="zh-CN"/>
                    </w:rPr>
                    <w:t>17</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月</w:t>
                  </w:r>
                  <w:r>
                    <w:rPr>
                      <w:rFonts w:hint="eastAsia" w:cs="Times New Roman"/>
                      <w:color w:val="auto"/>
                      <w:sz w:val="21"/>
                      <w:szCs w:val="21"/>
                      <w:lang w:val="en-US" w:eastAsia="zh-CN"/>
                    </w:rPr>
                    <w:t>27</w:t>
                  </w:r>
                  <w:r>
                    <w:rPr>
                      <w:rFonts w:hint="default" w:ascii="Times New Roman" w:hAnsi="Times New Roman" w:eastAsia="宋体" w:cs="Times New Roman"/>
                      <w:color w:val="auto"/>
                      <w:sz w:val="21"/>
                      <w:szCs w:val="21"/>
                    </w:rPr>
                    <w:t>日</w:t>
                  </w:r>
                </w:p>
              </w:tc>
              <w:tc>
                <w:tcPr>
                  <w:tcW w:w="1035" w:type="pct"/>
                  <w:noWrap w:val="0"/>
                  <w:vAlign w:val="center"/>
                </w:tcPr>
                <w:p w14:paraId="772DCD29">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r>
                    <w:rPr>
                      <w:rFonts w:hint="eastAsia" w:cs="Times New Roman"/>
                      <w:color w:val="auto"/>
                      <w:sz w:val="21"/>
                      <w:szCs w:val="21"/>
                      <w:lang w:val="en-US" w:eastAsia="zh-CN"/>
                    </w:rPr>
                    <w:t>17</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月</w:t>
                  </w:r>
                </w:p>
              </w:tc>
            </w:tr>
          </w:tbl>
          <w:p w14:paraId="622ADB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福建恒润包装有限公司</w:t>
            </w:r>
            <w:r>
              <w:rPr>
                <w:rFonts w:hint="default" w:ascii="Times New Roman" w:hAnsi="Times New Roman" w:eastAsia="宋体" w:cs="Times New Roman"/>
                <w:color w:val="auto"/>
                <w:sz w:val="24"/>
                <w:szCs w:val="24"/>
                <w:lang w:val="en-US" w:eastAsia="zh-CN"/>
              </w:rPr>
              <w:t>年产1800吨EPS包装泡沫环境影响评价报告表》</w:t>
            </w:r>
            <w:r>
              <w:rPr>
                <w:rFonts w:hint="eastAsia" w:cs="Times New Roman"/>
                <w:color w:val="auto"/>
                <w:sz w:val="24"/>
                <w:szCs w:val="24"/>
                <w:lang w:val="en-US" w:eastAsia="zh-CN"/>
              </w:rPr>
              <w:t>可知，</w:t>
            </w:r>
            <w:r>
              <w:rPr>
                <w:rFonts w:hint="eastAsia" w:cs="Times New Roman"/>
                <w:color w:val="auto"/>
                <w:sz w:val="24"/>
                <w:szCs w:val="24"/>
                <w:highlight w:val="none"/>
                <w:lang w:val="en-US" w:eastAsia="zh-CN"/>
              </w:rPr>
              <w:t>现有项目自行监测指标详见表2.4-2。</w:t>
            </w:r>
          </w:p>
          <w:p w14:paraId="1A8AC695">
            <w:pPr>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rPr>
              <w:t>2.</w:t>
            </w:r>
            <w:r>
              <w:rPr>
                <w:rFonts w:hint="eastAsia"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rPr>
              <w:t>现有项目</w:t>
            </w:r>
            <w:r>
              <w:rPr>
                <w:rFonts w:hint="eastAsia" w:cs="Times New Roman"/>
                <w:b/>
                <w:bCs/>
                <w:color w:val="auto"/>
                <w:sz w:val="24"/>
                <w:szCs w:val="24"/>
                <w:highlight w:val="none"/>
                <w:lang w:val="en-US" w:eastAsia="zh-CN"/>
              </w:rPr>
              <w:t>自行监测计划</w:t>
            </w:r>
            <w:r>
              <w:rPr>
                <w:rFonts w:hint="default" w:ascii="Times New Roman" w:hAnsi="Times New Roman" w:eastAsia="宋体" w:cs="Times New Roman"/>
                <w:b/>
                <w:bCs/>
                <w:color w:val="auto"/>
                <w:sz w:val="24"/>
                <w:szCs w:val="24"/>
                <w:highlight w:val="none"/>
              </w:rPr>
              <w:t>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366"/>
              <w:gridCol w:w="2462"/>
              <w:gridCol w:w="2412"/>
              <w:gridCol w:w="1842"/>
            </w:tblGrid>
            <w:tr w14:paraId="34EFD6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70" w:hRule="atLeast"/>
              </w:trPr>
              <w:tc>
                <w:tcPr>
                  <w:tcW w:w="450" w:type="pct"/>
                  <w:noWrap w:val="0"/>
                  <w:vAlign w:val="center"/>
                </w:tcPr>
                <w:p w14:paraId="70C216B7">
                  <w:pPr>
                    <w:keepLines w:val="0"/>
                    <w:pageBreakBefore w:val="0"/>
                    <w:widowControl w:val="0"/>
                    <w:kinsoku/>
                    <w:wordWrap/>
                    <w:topLinePunct w:val="0"/>
                    <w:autoSpaceDE/>
                    <w:autoSpaceDN/>
                    <w:bidi w:val="0"/>
                    <w:spacing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序号</w:t>
                  </w:r>
                </w:p>
              </w:tc>
              <w:tc>
                <w:tcPr>
                  <w:tcW w:w="769" w:type="pct"/>
                  <w:noWrap w:val="0"/>
                  <w:vAlign w:val="center"/>
                </w:tcPr>
                <w:p w14:paraId="0ADF3C93">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污染物名称</w:t>
                  </w:r>
                </w:p>
              </w:tc>
              <w:tc>
                <w:tcPr>
                  <w:tcW w:w="1386" w:type="pct"/>
                  <w:noWrap w:val="0"/>
                  <w:vAlign w:val="center"/>
                </w:tcPr>
                <w:p w14:paraId="17B18AE3">
                  <w:pPr>
                    <w:keepLines w:val="0"/>
                    <w:pageBreakBefore w:val="0"/>
                    <w:widowControl w:val="0"/>
                    <w:kinsoku/>
                    <w:wordWrap/>
                    <w:topLinePunct w:val="0"/>
                    <w:autoSpaceDE/>
                    <w:autoSpaceDN/>
                    <w:bidi w:val="0"/>
                    <w:spacing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监测点位</w:t>
                  </w:r>
                </w:p>
              </w:tc>
              <w:tc>
                <w:tcPr>
                  <w:tcW w:w="1357" w:type="pct"/>
                  <w:noWrap w:val="0"/>
                  <w:vAlign w:val="center"/>
                </w:tcPr>
                <w:p w14:paraId="2D204EEF">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监测项目</w:t>
                  </w:r>
                </w:p>
              </w:tc>
              <w:tc>
                <w:tcPr>
                  <w:tcW w:w="1036" w:type="pct"/>
                  <w:noWrap w:val="0"/>
                  <w:vAlign w:val="center"/>
                </w:tcPr>
                <w:p w14:paraId="49306B7E">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监测频次</w:t>
                  </w:r>
                </w:p>
              </w:tc>
            </w:tr>
            <w:tr w14:paraId="6CD015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450" w:type="pct"/>
                  <w:noWrap w:val="0"/>
                  <w:vAlign w:val="center"/>
                </w:tcPr>
                <w:p w14:paraId="70EACFF0">
                  <w:pPr>
                    <w:keepLines w:val="0"/>
                    <w:pageBreakBefore w:val="0"/>
                    <w:widowControl w:val="0"/>
                    <w:kinsoku/>
                    <w:wordWrap/>
                    <w:topLinePunct w:val="0"/>
                    <w:autoSpaceDE/>
                    <w:autoSpaceDN/>
                    <w:bidi w:val="0"/>
                    <w:spacing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769" w:type="pct"/>
                  <w:noWrap w:val="0"/>
                  <w:vAlign w:val="center"/>
                </w:tcPr>
                <w:p w14:paraId="4DC1460A">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废气</w:t>
                  </w:r>
                </w:p>
              </w:tc>
              <w:tc>
                <w:tcPr>
                  <w:tcW w:w="1386" w:type="pct"/>
                  <w:noWrap w:val="0"/>
                  <w:vAlign w:val="center"/>
                </w:tcPr>
                <w:p w14:paraId="710F0F3F">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下风向厂界</w:t>
                  </w:r>
                </w:p>
              </w:tc>
              <w:tc>
                <w:tcPr>
                  <w:tcW w:w="1357" w:type="pct"/>
                  <w:noWrap w:val="0"/>
                  <w:vAlign w:val="center"/>
                </w:tcPr>
                <w:p w14:paraId="2AA2A528">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非甲烷总烃、苯乙烯</w:t>
                  </w:r>
                </w:p>
              </w:tc>
              <w:tc>
                <w:tcPr>
                  <w:tcW w:w="1036" w:type="pct"/>
                  <w:noWrap w:val="0"/>
                  <w:vAlign w:val="center"/>
                </w:tcPr>
                <w:p w14:paraId="490EABBF">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1次/年</w:t>
                  </w:r>
                </w:p>
              </w:tc>
            </w:tr>
            <w:tr w14:paraId="01298A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450" w:type="pct"/>
                  <w:noWrap w:val="0"/>
                  <w:vAlign w:val="center"/>
                </w:tcPr>
                <w:p w14:paraId="03EC3857">
                  <w:pPr>
                    <w:keepLines w:val="0"/>
                    <w:pageBreakBefore w:val="0"/>
                    <w:widowControl w:val="0"/>
                    <w:kinsoku/>
                    <w:wordWrap/>
                    <w:topLinePunct w:val="0"/>
                    <w:autoSpaceDE/>
                    <w:autoSpaceDN/>
                    <w:bidi w:val="0"/>
                    <w:spacing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69" w:type="pct"/>
                  <w:noWrap w:val="0"/>
                  <w:vAlign w:val="center"/>
                </w:tcPr>
                <w:p w14:paraId="754D755F">
                  <w:pPr>
                    <w:keepLines w:val="0"/>
                    <w:pageBreakBefore w:val="0"/>
                    <w:widowControl w:val="0"/>
                    <w:kinsoku/>
                    <w:wordWrap/>
                    <w:topLinePunct w:val="0"/>
                    <w:autoSpaceDE/>
                    <w:autoSpaceDN/>
                    <w:bidi w:val="0"/>
                    <w:spacing w:line="240" w:lineRule="auto"/>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噪声</w:t>
                  </w:r>
                </w:p>
              </w:tc>
              <w:tc>
                <w:tcPr>
                  <w:tcW w:w="1386" w:type="pct"/>
                  <w:noWrap w:val="0"/>
                  <w:vAlign w:val="center"/>
                </w:tcPr>
                <w:p w14:paraId="524CC086">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1357" w:type="pct"/>
                  <w:noWrap w:val="0"/>
                  <w:vAlign w:val="center"/>
                </w:tcPr>
                <w:p w14:paraId="7DFE3D77">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等效A声级</w:t>
                  </w:r>
                </w:p>
              </w:tc>
              <w:tc>
                <w:tcPr>
                  <w:tcW w:w="1036" w:type="pct"/>
                  <w:noWrap w:val="0"/>
                  <w:vAlign w:val="center"/>
                </w:tcPr>
                <w:p w14:paraId="1AB66B7A">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1次/年</w:t>
                  </w:r>
                </w:p>
              </w:tc>
            </w:tr>
          </w:tbl>
          <w:p w14:paraId="6AF06F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福建恒润包装有限公司年产1800吨EPS包装泡沫项目</w:t>
            </w:r>
            <w:r>
              <w:rPr>
                <w:rFonts w:hint="eastAsia" w:cs="Times New Roman"/>
                <w:color w:val="auto"/>
                <w:sz w:val="24"/>
                <w:szCs w:val="24"/>
                <w:highlight w:val="none"/>
                <w:lang w:val="en-US" w:eastAsia="zh-CN"/>
              </w:rPr>
              <w:t>竣工环境保护验收申请</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表三验收组意见可知，2017年8月10日，福清市环保局主持对福建恒润包装有限公司年产1800吨EPS包装泡沫项目进行环保验收现场检查。验收检查人员对该厂生产情况和污染治理情况进行认真检查，并听取了该公司对该项目环保执行情况的汇报，审阅并核实了有关资料，经认真讨论，形成如下检查意见：</w:t>
            </w:r>
          </w:p>
          <w:p w14:paraId="1C7FD6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一、基本情况</w:t>
            </w:r>
          </w:p>
          <w:p w14:paraId="20BC5E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福建恒润包装有限公司年产1800吨EPS包装泡沫项目位于福州自贸区-福州保税港区(新厝区块)，项目租用一间福建力峰机械实业有限公司已建厂房，建有一条生产线。年设计产1800吨EPS包装泡沫，实际年产1800吨EPS包装泡沫。</w:t>
            </w:r>
          </w:p>
          <w:p w14:paraId="0310AC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二、环保执行情况</w:t>
            </w:r>
          </w:p>
          <w:p w14:paraId="2A1E96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该公司扩建后员工有68人，双班制生产(24小时)，年生产约300天，该项目生产过程排放的主要污染物有废水、废气、噪声和固体废物等，具体情况如下：</w:t>
            </w:r>
          </w:p>
          <w:p w14:paraId="341BDD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1、废水：少量生活污水经化粪池处理后排入江阴污水处理厂处理。模具冷却水和烘干过程产生的蒸汽冷凝水，经循环沉淀池处理后回用不外排。</w:t>
            </w:r>
          </w:p>
          <w:p w14:paraId="10FDE1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2、废气：预发、成型和烘干工序产生的少量有机废气，经密闭设备处理后排放。本项目车间外延50米范围的卫生防护距离内未建环境敏感建筑物。</w:t>
            </w:r>
          </w:p>
          <w:p w14:paraId="1D5759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3、噪声：主要来源于该项目空压机、水泵、冷却塔等设备的运转，公司通过合理布局厂区和厂房墙体隔音等措施来减轻噪声排放。</w:t>
            </w:r>
          </w:p>
          <w:p w14:paraId="16CDFB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4、固体废物:生活垃圾集中收集，由环卫部门统一清运，生产加工时产生的EPS不合格品收集后外售。</w:t>
            </w:r>
          </w:p>
          <w:p w14:paraId="0E19C3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三、验收监测结果</w:t>
            </w:r>
          </w:p>
          <w:p w14:paraId="33920D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2017年6月29日、7月4日验收监测期间，该项目一条生产线中所有生产设备均处于运行状态，日生产EPS包装泡沫6吨，达到设计生产量（日生产EPS包装泡沫6吨）的75%以上。</w:t>
            </w:r>
          </w:p>
          <w:p w14:paraId="593851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根据福清市环境监测站的监测结果（融环测验17013号）：</w:t>
            </w:r>
          </w:p>
          <w:p w14:paraId="55DD81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1.验收监测期间，该项目苯乙烯无组织排放监控浓度值符合《恶臭污染物排放标准》(GB14554-93)表1中二级新扩改建标准。</w:t>
            </w:r>
          </w:p>
          <w:p w14:paraId="29F4AC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2.验收监测期间，该项目非甲烷总烃无组织排放监控浓度值符合《大气污染物综合排放标准》(GB16297-1996)表2中无组织排放监控浓度限值。</w:t>
            </w:r>
          </w:p>
          <w:p w14:paraId="4504C8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验收监测期间，该项目厂界外5号、6号点夜间噪声值超过《工业企业厂界环境噪声排放标准》(GB12348-2008)3类区标准限值要求，昼间噪声均符合《工业企业厂界环境噪声排放标准》(GB12348-2008)3类区标准限值要求。其余各点昼、夜间噪声均符合《工业企业厂界环境噪声排放标准》(GB12348-2008)3类区标准限值要求。</w:t>
            </w:r>
          </w:p>
          <w:p w14:paraId="30AC3A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该企业针对厂界噪声5号、6号点夜间噪声值超过《工业企业厂界环境噪声排放标准》(GB12348-2008)3类区标准限值要求的情况进行整改，并委托福建创投环境检测有限公司重新进行噪声监测，根据福建创投环境检测有限公司检测报告(CTHJ[2017]08083)：厂界各点昼、夜间噪声均符合《工业企业厂界环境噪声排放标准》(GB12348-2008)3类区标准限值要求。</w:t>
            </w:r>
          </w:p>
          <w:p w14:paraId="4008B0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四、验收结论</w:t>
            </w:r>
          </w:p>
          <w:p w14:paraId="141220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该项目建设基本执行了环境影响评价制度，环评文件批复中要求的各项环保措施基本得到了落实。项目基本符合环保验收条件，原则同意通过环保验收。</w:t>
            </w:r>
          </w:p>
          <w:p w14:paraId="401FD7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五、要求</w:t>
            </w:r>
          </w:p>
          <w:p w14:paraId="6E70EF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加强环境管理，进一步完善环保工作管理制度，积极配合环保部门做好环保管理工作。</w:t>
            </w:r>
          </w:p>
          <w:p w14:paraId="3F42B43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负责验收的环境保护主管部门意见（融环评验〔2017〕38号）：</w:t>
            </w:r>
          </w:p>
          <w:p w14:paraId="51FD2B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一、</w:t>
            </w:r>
            <w:r>
              <w:rPr>
                <w:rFonts w:hint="default" w:ascii="Times New Roman" w:hAnsi="Times New Roman" w:cs="Times New Roman"/>
                <w:color w:val="auto"/>
                <w:sz w:val="24"/>
                <w:szCs w:val="24"/>
                <w:highlight w:val="none"/>
                <w:lang w:val="en-US" w:eastAsia="zh-CN"/>
              </w:rPr>
              <w:t>根据《福建恒润包装有限公司年产1800吨EPS包装泡沫项目竣工环保验收监测表》(融环测验17013号)、福建创投环境检测有限公司检测报告(CTHJ[2017]08083)、现场检查意见，以及企业整改情况，经查阅核实有关资料，原则同意福建恒润包装有限公司年产1800吨EPS包装泡沫项目通过环保验收。</w:t>
            </w:r>
          </w:p>
          <w:p w14:paraId="7E6985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二、加强环境管理，进一步完善环保工作管理制度，积极配合环保部门做好环保管理工作。</w:t>
            </w:r>
          </w:p>
          <w:p w14:paraId="5F1F65BC">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63" w:name="_Toc28254"/>
            <w:r>
              <w:rPr>
                <w:rFonts w:hint="eastAsia" w:ascii="Times New Roman" w:hAnsi="Times New Roman" w:eastAsia="宋体" w:cs="Times New Roman"/>
                <w:b/>
                <w:bCs/>
                <w:color w:val="auto"/>
                <w:sz w:val="24"/>
                <w:szCs w:val="24"/>
                <w:lang w:val="en-US" w:eastAsia="zh-CN"/>
              </w:rPr>
              <w:t>2.4.2现有项目基本概况</w:t>
            </w:r>
            <w:bookmarkEnd w:id="63"/>
          </w:p>
          <w:p w14:paraId="70CE1288">
            <w:pPr>
              <w:pStyle w:val="82"/>
              <w:numPr>
                <w:ilvl w:val="0"/>
                <w:numId w:val="7"/>
              </w:numPr>
              <w:rPr>
                <w:rFonts w:hint="eastAsia"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highlight w:val="none"/>
              </w:rPr>
              <w:t>项目名称：</w:t>
            </w:r>
            <w:r>
              <w:rPr>
                <w:rFonts w:hint="eastAsia" w:cs="Times New Roman"/>
                <w:color w:val="auto"/>
                <w:sz w:val="24"/>
                <w:szCs w:val="24"/>
                <w:lang w:val="en-US" w:eastAsia="zh-CN"/>
              </w:rPr>
              <w:t>福建恒润包装有限公司</w:t>
            </w:r>
            <w:r>
              <w:rPr>
                <w:rFonts w:hint="default" w:ascii="Times New Roman" w:hAnsi="Times New Roman" w:eastAsia="宋体" w:cs="Times New Roman"/>
                <w:color w:val="auto"/>
                <w:sz w:val="24"/>
                <w:szCs w:val="24"/>
                <w:lang w:val="en-US" w:eastAsia="zh-CN"/>
              </w:rPr>
              <w:t>年产1800吨EPS包装泡沫</w:t>
            </w:r>
            <w:r>
              <w:rPr>
                <w:rFonts w:hint="eastAsia" w:ascii="Times New Roman" w:hAnsi="Times New Roman" w:eastAsia="宋体" w:cs="Times New Roman"/>
                <w:color w:val="auto"/>
                <w:sz w:val="24"/>
                <w:szCs w:val="24"/>
                <w:highlight w:val="none"/>
                <w:lang w:eastAsia="zh-CN"/>
              </w:rPr>
              <w:t>项目</w:t>
            </w:r>
          </w:p>
          <w:p w14:paraId="72F2EE7D">
            <w:pPr>
              <w:pStyle w:val="82"/>
              <w:numPr>
                <w:ilvl w:val="0"/>
                <w:numId w:val="0"/>
              </w:numPr>
              <w:ind w:firstLine="48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（2）建设单位：</w:t>
            </w:r>
            <w:r>
              <w:rPr>
                <w:rFonts w:hint="eastAsia" w:cs="Times New Roman"/>
                <w:color w:val="auto"/>
                <w:sz w:val="24"/>
                <w:szCs w:val="24"/>
                <w:lang w:val="en-US" w:eastAsia="zh-CN"/>
              </w:rPr>
              <w:t>福建恒润包装有限公司</w:t>
            </w:r>
          </w:p>
          <w:p w14:paraId="515ED1B8">
            <w:pPr>
              <w:pStyle w:val="82"/>
              <w:rPr>
                <w:rFonts w:hint="default" w:ascii="Times New Roman" w:hAnsi="Times New Roman" w:eastAsia="宋体" w:cs="Times New Roman"/>
                <w:color w:val="auto"/>
                <w:sz w:val="24"/>
                <w:szCs w:val="24"/>
                <w:highlight w:val="none"/>
                <w:lang w:val="en-US"/>
              </w:rPr>
            </w:pPr>
            <w:r>
              <w:rPr>
                <w:rFonts w:ascii="Times New Roman" w:hAnsi="Times New Roman" w:eastAsia="宋体" w:cs="Times New Roman"/>
                <w:color w:val="auto"/>
                <w:highlight w:val="none"/>
              </w:rPr>
              <w:t>（3）建设地点：</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江阴港城经济区福建力峰机械实业有限公司（租赁福建力峰机械实业有限公司2号金属配件车间、1号组装车间）原福州自贸易区—福州保税区（新厝区块）</w:t>
            </w:r>
          </w:p>
          <w:p w14:paraId="60C357AF">
            <w:pPr>
              <w:pStyle w:val="82"/>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4</w:t>
            </w:r>
            <w:r>
              <w:rPr>
                <w:rFonts w:ascii="Times New Roman" w:hAnsi="Times New Roman" w:eastAsia="宋体" w:cs="Times New Roman"/>
                <w:color w:val="auto"/>
                <w:highlight w:val="none"/>
              </w:rPr>
              <w:t>）总投资：</w:t>
            </w:r>
            <w:r>
              <w:rPr>
                <w:rFonts w:hint="eastAsia" w:ascii="Times New Roman" w:hAnsi="Times New Roman" w:eastAsia="宋体" w:cs="Times New Roman"/>
                <w:color w:val="auto"/>
                <w:highlight w:val="none"/>
                <w:lang w:val="en-US" w:eastAsia="zh-CN"/>
              </w:rPr>
              <w:t>1000</w:t>
            </w:r>
            <w:r>
              <w:rPr>
                <w:rFonts w:ascii="Times New Roman" w:hAnsi="Times New Roman" w:eastAsia="宋体" w:cs="Times New Roman"/>
                <w:color w:val="auto"/>
                <w:highlight w:val="none"/>
              </w:rPr>
              <w:t>万元</w:t>
            </w:r>
          </w:p>
          <w:p w14:paraId="2137E88A">
            <w:pPr>
              <w:pStyle w:val="82"/>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工程</w:t>
            </w:r>
            <w:r>
              <w:rPr>
                <w:rFonts w:ascii="Times New Roman" w:hAnsi="Times New Roman" w:eastAsia="宋体" w:cs="Times New Roman"/>
                <w:color w:val="auto"/>
                <w:highlight w:val="none"/>
              </w:rPr>
              <w:t>规模：</w:t>
            </w:r>
            <w:r>
              <w:rPr>
                <w:rFonts w:hint="eastAsia" w:ascii="Times New Roman" w:hAnsi="Times New Roman" w:eastAsia="宋体" w:cs="Times New Roman"/>
                <w:color w:val="auto"/>
                <w:highlight w:val="none"/>
                <w:lang w:val="en-US" w:eastAsia="zh-CN"/>
              </w:rPr>
              <w:t>占地面积3086m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，建筑面积3086m</w:t>
            </w:r>
            <w:r>
              <w:rPr>
                <w:rFonts w:hint="eastAsia" w:ascii="Times New Roman" w:hAnsi="Times New Roman" w:eastAsia="宋体" w:cs="Times New Roman"/>
                <w:color w:val="auto"/>
                <w:highlight w:val="none"/>
                <w:vertAlign w:val="superscript"/>
                <w:lang w:val="en-US" w:eastAsia="zh-CN"/>
              </w:rPr>
              <w:t>2</w:t>
            </w:r>
          </w:p>
          <w:p w14:paraId="4BBE639D">
            <w:pPr>
              <w:pStyle w:val="82"/>
              <w:rPr>
                <w:rFonts w:hint="default" w:eastAsia="宋体"/>
                <w:color w:val="auto"/>
                <w:highlight w:val="none"/>
                <w:lang w:val="en-US" w:eastAsia="zh-CN"/>
              </w:rPr>
            </w:pPr>
            <w:r>
              <w:rPr>
                <w:color w:val="auto"/>
                <w:highlight w:val="none"/>
              </w:rPr>
              <w:t>（</w:t>
            </w:r>
            <w:r>
              <w:rPr>
                <w:rFonts w:hint="eastAsia"/>
                <w:color w:val="auto"/>
                <w:highlight w:val="none"/>
                <w:lang w:val="en-US" w:eastAsia="zh-CN"/>
              </w:rPr>
              <w:t>6</w:t>
            </w:r>
            <w:r>
              <w:rPr>
                <w:color w:val="auto"/>
                <w:highlight w:val="none"/>
              </w:rPr>
              <w:t>）生产规模：</w:t>
            </w:r>
            <w:r>
              <w:rPr>
                <w:rFonts w:hint="eastAsia" w:ascii="Times New Roman" w:hAnsi="Times New Roman" w:eastAsia="宋体" w:cs="Times New Roman"/>
                <w:color w:val="auto"/>
                <w:sz w:val="24"/>
                <w:highlight w:val="none"/>
                <w:lang w:val="zh-CN"/>
              </w:rPr>
              <w:t>建设</w:t>
            </w:r>
            <w:r>
              <w:rPr>
                <w:rFonts w:hint="eastAsia" w:ascii="Times New Roman" w:hAnsi="Times New Roman" w:eastAsia="宋体" w:cs="Times New Roman"/>
                <w:color w:val="auto"/>
                <w:sz w:val="24"/>
                <w:highlight w:val="none"/>
                <w:lang w:val="en-US" w:eastAsia="zh-CN"/>
              </w:rPr>
              <w:t>EPS包装泡沫</w:t>
            </w:r>
            <w:r>
              <w:rPr>
                <w:rFonts w:hint="eastAsia" w:ascii="Times New Roman" w:hAnsi="Times New Roman" w:eastAsia="宋体" w:cs="Times New Roman"/>
                <w:color w:val="auto"/>
                <w:sz w:val="24"/>
                <w:highlight w:val="none"/>
                <w:lang w:val="zh-CN"/>
              </w:rPr>
              <w:t>生产线</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zh-CN"/>
              </w:rPr>
              <w:t>条，年产</w:t>
            </w:r>
            <w:r>
              <w:rPr>
                <w:rFonts w:hint="eastAsia" w:ascii="Times New Roman" w:hAnsi="Times New Roman" w:eastAsia="宋体" w:cs="Times New Roman"/>
                <w:color w:val="auto"/>
                <w:sz w:val="24"/>
                <w:highlight w:val="none"/>
                <w:lang w:val="en-US" w:eastAsia="zh-CN"/>
              </w:rPr>
              <w:t>1800</w:t>
            </w:r>
            <w:r>
              <w:rPr>
                <w:rFonts w:hint="eastAsia" w:ascii="Times New Roman" w:hAnsi="Times New Roman" w:eastAsia="宋体" w:cs="Times New Roman"/>
                <w:color w:val="auto"/>
                <w:sz w:val="24"/>
                <w:highlight w:val="none"/>
                <w:lang w:val="zh-CN"/>
              </w:rPr>
              <w:t>吨</w:t>
            </w:r>
            <w:r>
              <w:rPr>
                <w:rFonts w:hint="eastAsia" w:ascii="Times New Roman" w:hAnsi="Times New Roman" w:eastAsia="宋体" w:cs="Times New Roman"/>
                <w:color w:val="auto"/>
                <w:sz w:val="24"/>
                <w:highlight w:val="none"/>
                <w:lang w:val="en-US" w:eastAsia="zh-CN"/>
              </w:rPr>
              <w:t>EPS包装泡沫</w:t>
            </w:r>
            <w:r>
              <w:rPr>
                <w:rFonts w:hint="eastAsia" w:ascii="Times New Roman" w:hAnsi="Times New Roman" w:eastAsia="宋体" w:cs="Times New Roman"/>
                <w:color w:val="auto"/>
                <w:sz w:val="24"/>
                <w:highlight w:val="none"/>
                <w:lang w:val="zh-CN"/>
              </w:rPr>
              <w:t>。</w:t>
            </w:r>
          </w:p>
          <w:p w14:paraId="2FCCB68D">
            <w:pPr>
              <w:pStyle w:val="82"/>
              <w:rPr>
                <w:color w:val="auto"/>
                <w:highlight w:val="none"/>
              </w:rPr>
            </w:pPr>
            <w:r>
              <w:rPr>
                <w:color w:val="auto"/>
                <w:highlight w:val="none"/>
              </w:rPr>
              <w:t>（</w:t>
            </w:r>
            <w:r>
              <w:rPr>
                <w:rFonts w:hint="eastAsia"/>
                <w:color w:val="auto"/>
                <w:highlight w:val="none"/>
                <w:lang w:val="en-US" w:eastAsia="zh-CN"/>
              </w:rPr>
              <w:t>7</w:t>
            </w:r>
            <w:r>
              <w:rPr>
                <w:color w:val="auto"/>
                <w:highlight w:val="none"/>
              </w:rPr>
              <w:t>）生产定员：员工</w:t>
            </w:r>
            <w:r>
              <w:rPr>
                <w:rFonts w:hint="eastAsia"/>
                <w:color w:val="auto"/>
                <w:highlight w:val="none"/>
                <w:lang w:val="en-US" w:eastAsia="zh-CN"/>
              </w:rPr>
              <w:t>70</w:t>
            </w:r>
            <w:r>
              <w:rPr>
                <w:color w:val="auto"/>
                <w:highlight w:val="none"/>
              </w:rPr>
              <w:t>人（均</w:t>
            </w:r>
            <w:r>
              <w:rPr>
                <w:rFonts w:hint="eastAsia"/>
                <w:color w:val="auto"/>
                <w:highlight w:val="none"/>
                <w:lang w:eastAsia="zh-CN"/>
              </w:rPr>
              <w:t>不</w:t>
            </w:r>
            <w:r>
              <w:rPr>
                <w:color w:val="auto"/>
                <w:highlight w:val="none"/>
              </w:rPr>
              <w:t>住厂）</w:t>
            </w:r>
          </w:p>
          <w:p w14:paraId="6881AF0C">
            <w:pPr>
              <w:pStyle w:val="44"/>
              <w:ind w:firstLine="480"/>
              <w:rPr>
                <w:rFonts w:hint="default" w:ascii="Times New Roman" w:hAnsi="Times New Roman" w:eastAsia="宋体" w:cs="Times New Roman"/>
                <w:color w:val="auto"/>
                <w:sz w:val="24"/>
                <w:szCs w:val="24"/>
                <w:highlight w:val="none"/>
                <w:lang w:val="en-US" w:eastAsia="zh-CN"/>
              </w:rPr>
            </w:pPr>
            <w:r>
              <w:rPr>
                <w:color w:val="auto"/>
                <w:highlight w:val="none"/>
              </w:rPr>
              <w:t>（</w:t>
            </w:r>
            <w:r>
              <w:rPr>
                <w:rFonts w:hint="eastAsia"/>
                <w:color w:val="auto"/>
                <w:highlight w:val="none"/>
                <w:lang w:val="en-US" w:eastAsia="zh-CN"/>
              </w:rPr>
              <w:t>8</w:t>
            </w:r>
            <w:r>
              <w:rPr>
                <w:color w:val="auto"/>
                <w:highlight w:val="none"/>
              </w:rPr>
              <w:t>）工作制度：</w:t>
            </w:r>
            <w:r>
              <w:rPr>
                <w:rFonts w:hint="default" w:ascii="Times New Roman" w:hAnsi="Times New Roman" w:eastAsia="宋体" w:cs="Times New Roman"/>
                <w:color w:val="auto"/>
                <w:sz w:val="24"/>
                <w:szCs w:val="24"/>
                <w:highlight w:val="none"/>
              </w:rPr>
              <w:t>年工作日</w:t>
            </w:r>
            <w:r>
              <w:rPr>
                <w:rFonts w:hint="eastAsia" w:ascii="Times New Roman" w:hAnsi="Times New Roman" w:eastAsia="宋体" w:cs="Times New Roman"/>
                <w:color w:val="auto"/>
                <w:sz w:val="24"/>
                <w:szCs w:val="24"/>
                <w:highlight w:val="none"/>
                <w:lang w:val="en-US" w:eastAsia="zh-CN"/>
              </w:rPr>
              <w:t>330</w:t>
            </w:r>
            <w:r>
              <w:rPr>
                <w:rFonts w:hint="default" w:ascii="Times New Roman" w:hAnsi="Times New Roman" w:eastAsia="宋体" w:cs="Times New Roman"/>
                <w:color w:val="auto"/>
                <w:sz w:val="24"/>
                <w:szCs w:val="24"/>
                <w:highlight w:val="none"/>
              </w:rPr>
              <w:t>天，实行</w:t>
            </w:r>
            <w:r>
              <w:rPr>
                <w:rFonts w:hint="eastAsia"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班制，工作时间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eastAsia" w:ascii="Times New Roman" w:hAnsi="Times New Roman" w:eastAsia="宋体" w:cs="Times New Roman"/>
                <w:color w:val="auto"/>
                <w:sz w:val="24"/>
                <w:szCs w:val="24"/>
                <w:highlight w:val="none"/>
                <w:lang w:val="en-US" w:eastAsia="zh-CN"/>
              </w:rPr>
              <w:t>/天</w:t>
            </w:r>
          </w:p>
          <w:p w14:paraId="4FA47AFB">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64" w:name="_Toc16619"/>
            <w:r>
              <w:rPr>
                <w:rFonts w:hint="eastAsia" w:ascii="Times New Roman" w:hAnsi="Times New Roman" w:eastAsia="宋体" w:cs="Times New Roman"/>
                <w:b/>
                <w:bCs/>
                <w:color w:val="auto"/>
                <w:sz w:val="24"/>
                <w:szCs w:val="24"/>
                <w:lang w:val="en-US" w:eastAsia="zh-CN"/>
              </w:rPr>
              <w:t>2.4.3现有项目组成及建设内容</w:t>
            </w:r>
            <w:bookmarkEnd w:id="64"/>
          </w:p>
          <w:p w14:paraId="60E17D55">
            <w:pPr>
              <w:pStyle w:val="8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现有工程项目组成及建设内容详见表2.4-</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14:paraId="26D92C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表2.4-</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项目组成一览表</w:t>
            </w:r>
          </w:p>
          <w:tbl>
            <w:tblPr>
              <w:tblStyle w:val="23"/>
              <w:tblW w:w="485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0"/>
              <w:gridCol w:w="1627"/>
              <w:gridCol w:w="5707"/>
            </w:tblGrid>
            <w:tr w14:paraId="7FF07E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5" w:hRule="atLeast"/>
                <w:jc w:val="center"/>
              </w:trPr>
              <w:tc>
                <w:tcPr>
                  <w:tcW w:w="737" w:type="pct"/>
                  <w:tcBorders>
                    <w:left w:val="nil"/>
                  </w:tcBorders>
                  <w:noWrap w:val="0"/>
                  <w:vAlign w:val="center"/>
                </w:tcPr>
                <w:p w14:paraId="157146F9">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snapToGrid w:val="0"/>
                      <w:color w:val="auto"/>
                      <w:kern w:val="18"/>
                      <w:sz w:val="21"/>
                      <w:szCs w:val="21"/>
                      <w:highlight w:val="none"/>
                      <w:lang w:val="en-US" w:eastAsia="zh-CN"/>
                    </w:rPr>
                  </w:pPr>
                  <w:r>
                    <w:rPr>
                      <w:rFonts w:hint="default" w:ascii="Times New Roman" w:hAnsi="Times New Roman" w:eastAsia="宋体" w:cs="Times New Roman"/>
                      <w:b w:val="0"/>
                      <w:bCs w:val="0"/>
                      <w:snapToGrid w:val="0"/>
                      <w:color w:val="auto"/>
                      <w:kern w:val="18"/>
                      <w:sz w:val="21"/>
                      <w:szCs w:val="21"/>
                      <w:highlight w:val="none"/>
                      <w:lang w:val="en-US" w:eastAsia="zh-CN"/>
                    </w:rPr>
                    <w:t>分类</w:t>
                  </w:r>
                </w:p>
              </w:tc>
              <w:tc>
                <w:tcPr>
                  <w:tcW w:w="945" w:type="pct"/>
                  <w:tcBorders>
                    <w:left w:val="nil"/>
                  </w:tcBorders>
                  <w:noWrap w:val="0"/>
                  <w:vAlign w:val="center"/>
                </w:tcPr>
                <w:p w14:paraId="20E368FA">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项目组成</w:t>
                  </w:r>
                </w:p>
              </w:tc>
              <w:tc>
                <w:tcPr>
                  <w:tcW w:w="3316" w:type="pct"/>
                  <w:tcBorders>
                    <w:right w:val="nil"/>
                  </w:tcBorders>
                  <w:noWrap w:val="0"/>
                  <w:vAlign w:val="center"/>
                </w:tcPr>
                <w:p w14:paraId="22F8ED7F">
                  <w:pPr>
                    <w:pStyle w:val="85"/>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验收现状功能布局</w:t>
                  </w:r>
                </w:p>
              </w:tc>
            </w:tr>
            <w:tr w14:paraId="0A0043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5" w:hRule="atLeast"/>
                <w:jc w:val="center"/>
              </w:trPr>
              <w:tc>
                <w:tcPr>
                  <w:tcW w:w="737" w:type="pct"/>
                  <w:tcBorders>
                    <w:left w:val="nil"/>
                  </w:tcBorders>
                  <w:noWrap w:val="0"/>
                  <w:vAlign w:val="center"/>
                </w:tcPr>
                <w:p w14:paraId="44CD0C16">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主体工程</w:t>
                  </w:r>
                </w:p>
              </w:tc>
              <w:tc>
                <w:tcPr>
                  <w:tcW w:w="945" w:type="pct"/>
                  <w:noWrap w:val="0"/>
                  <w:vAlign w:val="center"/>
                </w:tcPr>
                <w:p w14:paraId="10E09F1F">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厂房</w:t>
                  </w:r>
                </w:p>
              </w:tc>
              <w:tc>
                <w:tcPr>
                  <w:tcW w:w="3316" w:type="pct"/>
                  <w:tcBorders>
                    <w:right w:val="nil"/>
                  </w:tcBorders>
                  <w:noWrap w:val="0"/>
                  <w:vAlign w:val="center"/>
                </w:tcPr>
                <w:p w14:paraId="22CB2880">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占地3086m</w:t>
                  </w:r>
                  <w:r>
                    <w:rPr>
                      <w:rFonts w:hint="eastAsia" w:ascii="Times New Roman" w:hAnsi="Times New Roman" w:eastAsia="宋体" w:cs="Times New Roman"/>
                      <w:b w:val="0"/>
                      <w:bCs w:val="0"/>
                      <w:color w:val="auto"/>
                      <w:kern w:val="0"/>
                      <w:sz w:val="21"/>
                      <w:szCs w:val="21"/>
                      <w:highlight w:val="none"/>
                      <w:vertAlign w:val="superscript"/>
                      <w:lang w:val="en-US" w:eastAsia="zh-CN" w:bidi="ar-SA"/>
                    </w:rPr>
                    <w:t>2</w:t>
                  </w:r>
                  <w:r>
                    <w:rPr>
                      <w:rFonts w:hint="eastAsia" w:ascii="Times New Roman" w:hAnsi="Times New Roman" w:eastAsia="宋体" w:cs="Times New Roman"/>
                      <w:b w:val="0"/>
                      <w:bCs w:val="0"/>
                      <w:color w:val="auto"/>
                      <w:kern w:val="0"/>
                      <w:sz w:val="21"/>
                      <w:szCs w:val="21"/>
                      <w:highlight w:val="none"/>
                      <w:lang w:val="en-US" w:eastAsia="zh-CN" w:bidi="ar-SA"/>
                    </w:rPr>
                    <w:t>，建筑面积3086m</w:t>
                  </w:r>
                  <w:r>
                    <w:rPr>
                      <w:rFonts w:hint="eastAsia" w:ascii="Times New Roman" w:hAnsi="Times New Roman" w:eastAsia="宋体" w:cs="Times New Roman"/>
                      <w:b w:val="0"/>
                      <w:bCs w:val="0"/>
                      <w:color w:val="auto"/>
                      <w:kern w:val="0"/>
                      <w:sz w:val="21"/>
                      <w:szCs w:val="21"/>
                      <w:highlight w:val="none"/>
                      <w:vertAlign w:val="superscript"/>
                      <w:lang w:val="en-US" w:eastAsia="zh-CN" w:bidi="ar-SA"/>
                    </w:rPr>
                    <w:t>2</w:t>
                  </w:r>
                  <w:r>
                    <w:rPr>
                      <w:rFonts w:hint="eastAsia" w:ascii="Times New Roman" w:hAnsi="Times New Roman" w:eastAsia="宋体" w:cs="Times New Roman"/>
                      <w:b w:val="0"/>
                      <w:bCs w:val="0"/>
                      <w:color w:val="auto"/>
                      <w:kern w:val="0"/>
                      <w:sz w:val="21"/>
                      <w:szCs w:val="21"/>
                      <w:highlight w:val="none"/>
                      <w:lang w:val="en-US" w:eastAsia="zh-CN" w:bidi="ar-SA"/>
                    </w:rPr>
                    <w:t>，钢构，层高9米，共一层</w:t>
                  </w:r>
                </w:p>
              </w:tc>
            </w:tr>
            <w:tr w14:paraId="1AC31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0" w:hRule="atLeast"/>
                <w:jc w:val="center"/>
              </w:trPr>
              <w:tc>
                <w:tcPr>
                  <w:tcW w:w="737" w:type="pct"/>
                  <w:vMerge w:val="restart"/>
                  <w:tcBorders>
                    <w:left w:val="nil"/>
                  </w:tcBorders>
                  <w:noWrap w:val="0"/>
                  <w:vAlign w:val="center"/>
                </w:tcPr>
                <w:p w14:paraId="3012DF02">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公用工程</w:t>
                  </w:r>
                </w:p>
              </w:tc>
              <w:tc>
                <w:tcPr>
                  <w:tcW w:w="945" w:type="pct"/>
                  <w:noWrap w:val="0"/>
                  <w:vAlign w:val="center"/>
                </w:tcPr>
                <w:p w14:paraId="62693BEA">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供电系统</w:t>
                  </w:r>
                </w:p>
              </w:tc>
              <w:tc>
                <w:tcPr>
                  <w:tcW w:w="3316" w:type="pct"/>
                  <w:tcBorders>
                    <w:right w:val="nil"/>
                  </w:tcBorders>
                  <w:noWrap w:val="0"/>
                  <w:vAlign w:val="center"/>
                </w:tcPr>
                <w:p w14:paraId="02D7111E">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市政供电</w:t>
                  </w:r>
                </w:p>
              </w:tc>
            </w:tr>
            <w:tr w14:paraId="37820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37" w:type="pct"/>
                  <w:vMerge w:val="continue"/>
                  <w:tcBorders>
                    <w:left w:val="nil"/>
                  </w:tcBorders>
                  <w:noWrap w:val="0"/>
                  <w:vAlign w:val="center"/>
                </w:tcPr>
                <w:p w14:paraId="2129BEBC">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p>
              </w:tc>
              <w:tc>
                <w:tcPr>
                  <w:tcW w:w="945" w:type="pct"/>
                  <w:noWrap w:val="0"/>
                  <w:vAlign w:val="center"/>
                </w:tcPr>
                <w:p w14:paraId="13CD2B39">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给水系统</w:t>
                  </w:r>
                </w:p>
              </w:tc>
              <w:tc>
                <w:tcPr>
                  <w:tcW w:w="3316" w:type="pct"/>
                  <w:tcBorders>
                    <w:right w:val="nil"/>
                  </w:tcBorders>
                  <w:noWrap w:val="0"/>
                  <w:vAlign w:val="center"/>
                </w:tcPr>
                <w:p w14:paraId="62EBB271">
                  <w:pPr>
                    <w:pStyle w:val="87"/>
                    <w:keepNext w:val="0"/>
                    <w:keepLines w:val="0"/>
                    <w:pageBreakBefore w:val="0"/>
                    <w:kinsoku/>
                    <w:wordWrap/>
                    <w:overflowPunct/>
                    <w:topLinePunct w:val="0"/>
                    <w:bidi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由市政给水管网供给</w:t>
                  </w:r>
                </w:p>
              </w:tc>
            </w:tr>
            <w:tr w14:paraId="7C6EEF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737" w:type="pct"/>
                  <w:vMerge w:val="continue"/>
                  <w:tcBorders>
                    <w:left w:val="nil"/>
                  </w:tcBorders>
                  <w:noWrap w:val="0"/>
                  <w:vAlign w:val="center"/>
                </w:tcPr>
                <w:p w14:paraId="03E2B175">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p>
              </w:tc>
              <w:tc>
                <w:tcPr>
                  <w:tcW w:w="945" w:type="pct"/>
                  <w:noWrap w:val="0"/>
                  <w:vAlign w:val="center"/>
                </w:tcPr>
                <w:p w14:paraId="07AF65BD">
                  <w:pPr>
                    <w:pStyle w:val="86"/>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供气</w:t>
                  </w:r>
                </w:p>
              </w:tc>
              <w:tc>
                <w:tcPr>
                  <w:tcW w:w="3316" w:type="pct"/>
                  <w:tcBorders>
                    <w:right w:val="nil"/>
                  </w:tcBorders>
                  <w:noWrap w:val="0"/>
                  <w:vAlign w:val="center"/>
                </w:tcPr>
                <w:p w14:paraId="398E97CE">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蒸汽由国电福州发电有限公司供应，年供应1300吨，以管道方式输送，正常流量3t/h</w:t>
                  </w:r>
                </w:p>
              </w:tc>
            </w:tr>
            <w:tr w14:paraId="572BB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37" w:type="pct"/>
                  <w:tcBorders>
                    <w:left w:val="nil"/>
                  </w:tcBorders>
                  <w:noWrap w:val="0"/>
                  <w:vAlign w:val="center"/>
                </w:tcPr>
                <w:p w14:paraId="16F6D0D5">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环保工程</w:t>
                  </w:r>
                </w:p>
              </w:tc>
              <w:tc>
                <w:tcPr>
                  <w:tcW w:w="945" w:type="pct"/>
                  <w:noWrap w:val="0"/>
                  <w:vAlign w:val="center"/>
                </w:tcPr>
                <w:p w14:paraId="116F00EC">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循环沉淀池</w:t>
                  </w:r>
                </w:p>
              </w:tc>
              <w:tc>
                <w:tcPr>
                  <w:tcW w:w="3316" w:type="pct"/>
                  <w:tcBorders>
                    <w:right w:val="nil"/>
                  </w:tcBorders>
                  <w:noWrap w:val="0"/>
                  <w:vAlign w:val="center"/>
                </w:tcPr>
                <w:p w14:paraId="45E20F10">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冷却水循环沉淀池（长×宽×高：17m×4m×3m）</w:t>
                  </w:r>
                </w:p>
              </w:tc>
            </w:tr>
          </w:tbl>
          <w:p w14:paraId="4C474104">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65" w:name="_Toc23740"/>
            <w:r>
              <w:rPr>
                <w:rFonts w:hint="eastAsia" w:ascii="Times New Roman" w:hAnsi="Times New Roman" w:eastAsia="宋体" w:cs="Times New Roman"/>
                <w:b/>
                <w:bCs/>
                <w:color w:val="auto"/>
                <w:sz w:val="24"/>
                <w:szCs w:val="24"/>
                <w:lang w:val="en-US" w:eastAsia="zh-CN"/>
              </w:rPr>
              <w:t>2.4.4现有</w:t>
            </w:r>
            <w:r>
              <w:rPr>
                <w:rFonts w:hint="default" w:ascii="Times New Roman" w:hAnsi="Times New Roman" w:eastAsia="宋体" w:cs="Times New Roman"/>
                <w:b/>
                <w:bCs/>
                <w:color w:val="auto"/>
                <w:sz w:val="24"/>
                <w:szCs w:val="24"/>
                <w:lang w:val="en-US" w:eastAsia="zh-CN"/>
              </w:rPr>
              <w:t>产品方案和主要原辅材料、能源消耗</w:t>
            </w:r>
            <w:bookmarkEnd w:id="65"/>
          </w:p>
          <w:p w14:paraId="1FC32D6A">
            <w:pPr>
              <w:pStyle w:val="4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auto"/>
                <w:sz w:val="24"/>
                <w:szCs w:val="24"/>
                <w:highlight w:val="none"/>
                <w:lang w:eastAsia="zh-CN"/>
              </w:rPr>
            </w:pPr>
            <w:r>
              <w:rPr>
                <w:rFonts w:hint="eastAsia"/>
                <w:color w:val="auto"/>
                <w:lang w:val="en-US" w:eastAsia="zh-CN"/>
              </w:rPr>
              <w:t>（1）现有项目产品方案见表2.4-2。</w:t>
            </w:r>
          </w:p>
          <w:p w14:paraId="674D0F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表2.</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现有</w:t>
            </w:r>
            <w:r>
              <w:rPr>
                <w:rFonts w:hint="default" w:ascii="Times New Roman" w:hAnsi="Times New Roman" w:eastAsia="宋体" w:cs="Times New Roman"/>
                <w:b/>
                <w:bCs/>
                <w:color w:val="auto"/>
                <w:sz w:val="24"/>
                <w:szCs w:val="24"/>
                <w:highlight w:val="none"/>
                <w:lang w:eastAsia="zh-CN"/>
              </w:rPr>
              <w:t>项目产品方案情况一览表</w:t>
            </w:r>
          </w:p>
          <w:tbl>
            <w:tblPr>
              <w:tblStyle w:val="23"/>
              <w:tblW w:w="48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83"/>
              <w:gridCol w:w="1742"/>
              <w:gridCol w:w="1240"/>
              <w:gridCol w:w="4993"/>
            </w:tblGrid>
            <w:tr w14:paraId="2A8A7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6" w:hRule="atLeast"/>
                <w:jc w:val="center"/>
              </w:trPr>
              <w:tc>
                <w:tcPr>
                  <w:tcW w:w="393" w:type="pct"/>
                  <w:tcBorders>
                    <w:left w:val="nil"/>
                  </w:tcBorders>
                  <w:noWrap/>
                  <w:vAlign w:val="center"/>
                </w:tcPr>
                <w:p w14:paraId="610D0D4A">
                  <w:pPr>
                    <w:pStyle w:val="8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005" w:type="pct"/>
                  <w:noWrap/>
                  <w:vAlign w:val="center"/>
                </w:tcPr>
                <w:p w14:paraId="6F877AD1">
                  <w:pPr>
                    <w:pStyle w:val="88"/>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产品</w:t>
                  </w:r>
                  <w:r>
                    <w:rPr>
                      <w:rFonts w:hint="default" w:ascii="Times New Roman" w:hAnsi="Times New Roman" w:eastAsia="宋体" w:cs="Times New Roman"/>
                      <w:color w:val="auto"/>
                      <w:sz w:val="21"/>
                      <w:szCs w:val="21"/>
                      <w:highlight w:val="none"/>
                      <w:lang w:val="en-US" w:eastAsia="zh-CN"/>
                    </w:rPr>
                    <w:t>名称</w:t>
                  </w:r>
                </w:p>
              </w:tc>
              <w:tc>
                <w:tcPr>
                  <w:tcW w:w="715" w:type="pct"/>
                  <w:tcBorders>
                    <w:right w:val="nil"/>
                  </w:tcBorders>
                  <w:noWrap/>
                  <w:vAlign w:val="center"/>
                </w:tcPr>
                <w:p w14:paraId="37637112">
                  <w:pPr>
                    <w:pStyle w:val="8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年产量</w:t>
                  </w:r>
                </w:p>
              </w:tc>
              <w:tc>
                <w:tcPr>
                  <w:tcW w:w="2885" w:type="pct"/>
                  <w:tcBorders>
                    <w:right w:val="nil"/>
                  </w:tcBorders>
                  <w:noWrap/>
                  <w:vAlign w:val="center"/>
                </w:tcPr>
                <w:p w14:paraId="0790B8A9">
                  <w:pPr>
                    <w:pStyle w:val="88"/>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产品用途</w:t>
                  </w:r>
                </w:p>
              </w:tc>
            </w:tr>
            <w:tr w14:paraId="090B7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4" w:hRule="atLeast"/>
                <w:jc w:val="center"/>
              </w:trPr>
              <w:tc>
                <w:tcPr>
                  <w:tcW w:w="393" w:type="pct"/>
                  <w:tcBorders>
                    <w:left w:val="nil"/>
                  </w:tcBorders>
                  <w:noWrap/>
                  <w:vAlign w:val="center"/>
                </w:tcPr>
                <w:p w14:paraId="23F98234">
                  <w:pPr>
                    <w:pStyle w:val="8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005" w:type="pct"/>
                  <w:noWrap/>
                  <w:vAlign w:val="center"/>
                </w:tcPr>
                <w:p w14:paraId="6B5C586C">
                  <w:pPr>
                    <w:pStyle w:val="88"/>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EPS包装泡沫</w:t>
                  </w:r>
                </w:p>
              </w:tc>
              <w:tc>
                <w:tcPr>
                  <w:tcW w:w="715" w:type="pct"/>
                  <w:tcBorders>
                    <w:right w:val="nil"/>
                  </w:tcBorders>
                  <w:noWrap/>
                  <w:vAlign w:val="center"/>
                </w:tcPr>
                <w:p w14:paraId="3A7721F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1800</w:t>
                  </w:r>
                  <w:r>
                    <w:rPr>
                      <w:rFonts w:hint="default" w:ascii="Times New Roman" w:hAnsi="Times New Roman" w:eastAsia="宋体" w:cs="Times New Roman"/>
                      <w:color w:val="auto"/>
                      <w:sz w:val="21"/>
                      <w:szCs w:val="21"/>
                      <w:highlight w:val="none"/>
                      <w:lang w:val="en-US" w:eastAsia="zh-CN"/>
                    </w:rPr>
                    <w:t>t</w:t>
                  </w:r>
                </w:p>
              </w:tc>
              <w:tc>
                <w:tcPr>
                  <w:tcW w:w="2885" w:type="pct"/>
                  <w:tcBorders>
                    <w:right w:val="nil"/>
                  </w:tcBorders>
                  <w:noWrap/>
                  <w:vAlign w:val="center"/>
                </w:tcPr>
                <w:p w14:paraId="5DE295A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外售用于保温、包装防护材料</w:t>
                  </w:r>
                </w:p>
              </w:tc>
            </w:tr>
          </w:tbl>
          <w:p w14:paraId="0244F9A1">
            <w:pPr>
              <w:pStyle w:val="46"/>
              <w:bidi w:val="0"/>
              <w:ind w:firstLine="480" w:firstLineChars="20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（2）现有项目主要原辅材料、能源消耗</w:t>
            </w:r>
          </w:p>
          <w:p w14:paraId="229C6BC9">
            <w:pPr>
              <w:pStyle w:val="44"/>
              <w:ind w:firstLine="480"/>
              <w:rPr>
                <w:color w:val="auto"/>
                <w:highlight w:val="none"/>
              </w:rPr>
            </w:pPr>
            <w:r>
              <w:rPr>
                <w:color w:val="auto"/>
                <w:highlight w:val="none"/>
              </w:rPr>
              <w:t>本项目主要原辅材料详见表2.</w:t>
            </w:r>
            <w:r>
              <w:rPr>
                <w:rFonts w:hint="eastAsia"/>
                <w:color w:val="auto"/>
                <w:highlight w:val="none"/>
                <w:lang w:val="en-US" w:eastAsia="zh-CN"/>
              </w:rPr>
              <w:t>4-3</w:t>
            </w:r>
            <w:r>
              <w:rPr>
                <w:color w:val="auto"/>
                <w:highlight w:val="none"/>
              </w:rPr>
              <w:t>。</w:t>
            </w:r>
          </w:p>
          <w:p w14:paraId="3A5B0B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表2.</w:t>
            </w: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3现有</w:t>
            </w:r>
            <w:r>
              <w:rPr>
                <w:rFonts w:hint="eastAsia" w:ascii="Times New Roman" w:hAnsi="Times New Roman" w:eastAsia="宋体" w:cs="Times New Roman"/>
                <w:b/>
                <w:bCs/>
                <w:color w:val="auto"/>
                <w:sz w:val="24"/>
                <w:szCs w:val="24"/>
                <w:highlight w:val="none"/>
                <w:lang w:eastAsia="zh-CN"/>
              </w:rPr>
              <w:t>项目主要原辅材料一览表</w:t>
            </w:r>
          </w:p>
          <w:tbl>
            <w:tblPr>
              <w:tblStyle w:val="23"/>
              <w:tblW w:w="496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90"/>
              <w:gridCol w:w="2341"/>
              <w:gridCol w:w="2341"/>
              <w:gridCol w:w="2814"/>
            </w:tblGrid>
            <w:tr w14:paraId="39D7E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734" w:type="pct"/>
                  <w:tcBorders>
                    <w:left w:val="nil"/>
                  </w:tcBorders>
                  <w:noWrap/>
                  <w:vAlign w:val="center"/>
                </w:tcPr>
                <w:p w14:paraId="21266C74">
                  <w:pPr>
                    <w:pStyle w:val="88"/>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32" w:type="pct"/>
                  <w:noWrap w:val="0"/>
                  <w:vAlign w:val="center"/>
                </w:tcPr>
                <w:p w14:paraId="2C223FF1">
                  <w:pPr>
                    <w:pStyle w:val="8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材料/能源</w:t>
                  </w:r>
                </w:p>
              </w:tc>
              <w:tc>
                <w:tcPr>
                  <w:tcW w:w="1332" w:type="pct"/>
                  <w:noWrap/>
                  <w:vAlign w:val="center"/>
                </w:tcPr>
                <w:p w14:paraId="7AE97DBC">
                  <w:pPr>
                    <w:pStyle w:val="8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单位</w:t>
                  </w:r>
                </w:p>
              </w:tc>
              <w:tc>
                <w:tcPr>
                  <w:tcW w:w="1600" w:type="pct"/>
                  <w:tcBorders>
                    <w:right w:val="nil"/>
                  </w:tcBorders>
                  <w:noWrap/>
                  <w:vAlign w:val="center"/>
                </w:tcPr>
                <w:p w14:paraId="36513B6C">
                  <w:pPr>
                    <w:pStyle w:val="88"/>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用量</w:t>
                  </w:r>
                </w:p>
              </w:tc>
            </w:tr>
            <w:tr w14:paraId="19D05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734" w:type="pct"/>
                  <w:tcBorders>
                    <w:left w:val="nil"/>
                  </w:tcBorders>
                  <w:noWrap/>
                  <w:vAlign w:val="center"/>
                </w:tcPr>
                <w:p w14:paraId="1A9D1E58">
                  <w:pPr>
                    <w:pStyle w:val="88"/>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332" w:type="pct"/>
                  <w:noWrap w:val="0"/>
                  <w:vAlign w:val="center"/>
                </w:tcPr>
                <w:p w14:paraId="353D1303">
                  <w:pPr>
                    <w:pStyle w:val="88"/>
                    <w:jc w:val="center"/>
                    <w:rPr>
                      <w:rFonts w:hint="default" w:ascii="Times New Roman" w:hAnsi="Times New Roman" w:eastAsia="宋体" w:cs="Times New Roman"/>
                      <w:color w:val="auto"/>
                      <w:sz w:val="21"/>
                      <w:szCs w:val="21"/>
                      <w:highlight w:val="none"/>
                      <w:lang w:val="en-US" w:eastAsia="zh-CN"/>
                    </w:rPr>
                  </w:pPr>
                  <w:r>
                    <w:rPr>
                      <w:sz w:val="21"/>
                    </w:rPr>
                    <mc:AlternateContent>
                      <mc:Choice Requires="wps">
                        <w:drawing>
                          <wp:anchor distT="0" distB="0" distL="114300" distR="114300" simplePos="0" relativeHeight="251702272" behindDoc="0" locked="0" layoutInCell="1" allowOverlap="1">
                            <wp:simplePos x="0" y="0"/>
                            <wp:positionH relativeFrom="column">
                              <wp:posOffset>62865</wp:posOffset>
                            </wp:positionH>
                            <wp:positionV relativeFrom="paragraph">
                              <wp:posOffset>-27940</wp:posOffset>
                            </wp:positionV>
                            <wp:extent cx="4486275" cy="1200150"/>
                            <wp:effectExtent l="6350" t="6350" r="22225" b="12700"/>
                            <wp:wrapNone/>
                            <wp:docPr id="247" name="矩形 247"/>
                            <wp:cNvGraphicFramePr/>
                            <a:graphic xmlns:a="http://schemas.openxmlformats.org/drawingml/2006/main">
                              <a:graphicData uri="http://schemas.microsoft.com/office/word/2010/wordprocessingShape">
                                <wps:wsp>
                                  <wps:cNvSpPr/>
                                  <wps:spPr>
                                    <a:xfrm>
                                      <a:off x="0" y="0"/>
                                      <a:ext cx="4486275" cy="12001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5pt;margin-top:-2.2pt;height:94.5pt;width:353.25pt;z-index:251702272;v-text-anchor:middle;mso-width-relative:page;mso-height-relative:page;" fillcolor="#FFFFFF [3212]" filled="t" stroked="t" coordsize="21600,21600" o:gfxdata="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L5No9cAAAAIAQAADwAAAAAAAAABACAAAAAiAAAAZHJzL2Rvd25yZXYu&#10;eG1sUEsBAhQAFAAAAAgAh07iQIKuWAxuAgAA+QQAAA4AAAAAAAAAAQAgAAAAJgEAAGRycy9lMm9E&#10;b2MueG1sUEsFBgAAAAAGAAYAWQEAAAYGAAAAAA==&#10;">
                            <v:fill on="t" focussize="0,0"/>
                            <v:stroke weight="1pt" color="#FFFFFF [3212]" miterlimit="8" joinstyle="miter"/>
                            <v:imagedata o:title=""/>
                            <o:lock v:ext="edit" aspectratio="f"/>
                          </v:rect>
                        </w:pict>
                      </mc:Fallback>
                    </mc:AlternateContent>
                  </w:r>
                  <w:r>
                    <w:rPr>
                      <w:rFonts w:hint="eastAsia" w:ascii="Times New Roman" w:hAnsi="Times New Roman" w:cs="Times New Roman"/>
                      <w:color w:val="auto"/>
                      <w:sz w:val="21"/>
                      <w:szCs w:val="21"/>
                      <w:highlight w:val="none"/>
                      <w:lang w:val="en-US" w:eastAsia="zh-CN"/>
                    </w:rPr>
                    <w:t>EPS（聚苯乙烯）</w:t>
                  </w:r>
                </w:p>
              </w:tc>
              <w:tc>
                <w:tcPr>
                  <w:tcW w:w="1332" w:type="pct"/>
                  <w:noWrap/>
                  <w:vAlign w:val="center"/>
                </w:tcPr>
                <w:p w14:paraId="2BB15E3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600" w:type="pct"/>
                  <w:tcBorders>
                    <w:right w:val="nil"/>
                  </w:tcBorders>
                  <w:noWrap/>
                  <w:vAlign w:val="center"/>
                </w:tcPr>
                <w:p w14:paraId="09DE737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1880</w:t>
                  </w:r>
                </w:p>
              </w:tc>
            </w:tr>
            <w:tr w14:paraId="6FC39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734" w:type="pct"/>
                  <w:tcBorders>
                    <w:left w:val="nil"/>
                  </w:tcBorders>
                  <w:noWrap/>
                  <w:vAlign w:val="center"/>
                </w:tcPr>
                <w:p w14:paraId="40362D42">
                  <w:pPr>
                    <w:pStyle w:val="88"/>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32" w:type="pct"/>
                  <w:noWrap w:val="0"/>
                  <w:vAlign w:val="center"/>
                </w:tcPr>
                <w:p w14:paraId="34F64582">
                  <w:pPr>
                    <w:pStyle w:val="88"/>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w:t>
                  </w:r>
                </w:p>
              </w:tc>
              <w:tc>
                <w:tcPr>
                  <w:tcW w:w="1332" w:type="pct"/>
                  <w:noWrap/>
                  <w:vAlign w:val="center"/>
                </w:tcPr>
                <w:p w14:paraId="5EC5C7B6">
                  <w:pPr>
                    <w:jc w:val="center"/>
                    <w:rPr>
                      <w:rFonts w:hint="default"/>
                      <w:color w:val="auto"/>
                      <w:lang w:val="en-US" w:eastAsia="zh-CN"/>
                    </w:rPr>
                  </w:pPr>
                  <w:r>
                    <w:rPr>
                      <w:rFonts w:hint="eastAsia" w:ascii="Times New Roman" w:hAnsi="Times New Roman" w:eastAsia="宋体" w:cs="Times New Roman"/>
                      <w:color w:val="auto"/>
                      <w:sz w:val="21"/>
                      <w:szCs w:val="21"/>
                      <w:highlight w:val="none"/>
                      <w:lang w:val="en-US" w:eastAsia="zh-CN"/>
                    </w:rPr>
                    <w:t>t/a</w:t>
                  </w:r>
                </w:p>
              </w:tc>
              <w:tc>
                <w:tcPr>
                  <w:tcW w:w="1600" w:type="pct"/>
                  <w:tcBorders>
                    <w:right w:val="nil"/>
                  </w:tcBorders>
                  <w:noWrap/>
                  <w:vAlign w:val="center"/>
                </w:tcPr>
                <w:p w14:paraId="1893FD6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1485</w:t>
                  </w:r>
                </w:p>
              </w:tc>
            </w:tr>
            <w:tr w14:paraId="4DA9D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734" w:type="pct"/>
                  <w:tcBorders>
                    <w:left w:val="nil"/>
                  </w:tcBorders>
                  <w:noWrap/>
                  <w:vAlign w:val="center"/>
                </w:tcPr>
                <w:p w14:paraId="023BA683">
                  <w:pPr>
                    <w:pStyle w:val="88"/>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332" w:type="pct"/>
                  <w:noWrap w:val="0"/>
                  <w:vAlign w:val="center"/>
                </w:tcPr>
                <w:p w14:paraId="3D71F696">
                  <w:pPr>
                    <w:pStyle w:val="88"/>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w:t>
                  </w:r>
                </w:p>
              </w:tc>
              <w:tc>
                <w:tcPr>
                  <w:tcW w:w="1332" w:type="pct"/>
                  <w:noWrap/>
                  <w:vAlign w:val="center"/>
                </w:tcPr>
                <w:p w14:paraId="60D25B8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Kwh/a</w:t>
                  </w:r>
                </w:p>
              </w:tc>
              <w:tc>
                <w:tcPr>
                  <w:tcW w:w="1600" w:type="pct"/>
                  <w:tcBorders>
                    <w:right w:val="nil"/>
                  </w:tcBorders>
                  <w:noWrap/>
                  <w:vAlign w:val="center"/>
                </w:tcPr>
                <w:p w14:paraId="0D85796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500000</w:t>
                  </w:r>
                </w:p>
              </w:tc>
            </w:tr>
            <w:tr w14:paraId="617B9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734" w:type="pct"/>
                  <w:tcBorders>
                    <w:left w:val="nil"/>
                  </w:tcBorders>
                  <w:noWrap/>
                  <w:vAlign w:val="center"/>
                </w:tcPr>
                <w:p w14:paraId="46C1229E">
                  <w:pPr>
                    <w:pStyle w:val="88"/>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332" w:type="pct"/>
                  <w:noWrap w:val="0"/>
                  <w:vAlign w:val="center"/>
                </w:tcPr>
                <w:p w14:paraId="6C156E6C">
                  <w:pPr>
                    <w:pStyle w:val="88"/>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蒸汽</w:t>
                  </w:r>
                </w:p>
              </w:tc>
              <w:tc>
                <w:tcPr>
                  <w:tcW w:w="1332" w:type="pct"/>
                  <w:noWrap/>
                  <w:vAlign w:val="center"/>
                </w:tcPr>
                <w:p w14:paraId="1203FEB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600" w:type="pct"/>
                  <w:tcBorders>
                    <w:right w:val="nil"/>
                  </w:tcBorders>
                  <w:noWrap/>
                  <w:vAlign w:val="center"/>
                </w:tcPr>
                <w:p w14:paraId="5B90B72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23760</w:t>
                  </w:r>
                </w:p>
              </w:tc>
            </w:tr>
          </w:tbl>
          <w:p w14:paraId="42F451B8">
            <w:pPr>
              <w:pStyle w:val="44"/>
              <w:ind w:left="0" w:leftChars="0" w:firstLine="480" w:firstLineChars="200"/>
              <w:rPr>
                <w:rFonts w:hint="eastAsia"/>
                <w:color w:val="auto"/>
                <w:highlight w:val="none"/>
                <w:lang w:eastAsia="zh-CN"/>
              </w:rPr>
            </w:pPr>
          </w:p>
          <w:p w14:paraId="202F0221">
            <w:pPr>
              <w:pStyle w:val="44"/>
              <w:ind w:left="0" w:leftChars="0"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现有</w:t>
            </w:r>
            <w:r>
              <w:rPr>
                <w:color w:val="auto"/>
                <w:highlight w:val="none"/>
              </w:rPr>
              <w:t>项目主要生产设备见表2.</w:t>
            </w:r>
            <w:r>
              <w:rPr>
                <w:rFonts w:hint="eastAsia"/>
                <w:color w:val="auto"/>
                <w:highlight w:val="none"/>
                <w:lang w:val="en-US" w:eastAsia="zh-CN"/>
              </w:rPr>
              <w:t>4-4</w:t>
            </w:r>
            <w:r>
              <w:rPr>
                <w:color w:val="auto"/>
                <w:highlight w:val="none"/>
              </w:rPr>
              <w:t>。</w:t>
            </w:r>
          </w:p>
          <w:p w14:paraId="7C16FE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表2.</w:t>
            </w:r>
            <w:r>
              <w:rPr>
                <w:rFonts w:hint="eastAsia" w:ascii="Times New Roman" w:hAnsi="Times New Roman" w:eastAsia="宋体" w:cs="Times New Roman"/>
                <w:b/>
                <w:bCs/>
                <w:color w:val="auto"/>
                <w:sz w:val="24"/>
                <w:szCs w:val="24"/>
                <w:highlight w:val="none"/>
                <w:lang w:val="en-US" w:eastAsia="zh-CN"/>
              </w:rPr>
              <w:t>4-4</w:t>
            </w:r>
            <w:r>
              <w:rPr>
                <w:rFonts w:hint="eastAsia" w:ascii="Times New Roman" w:hAnsi="Times New Roman" w:eastAsia="宋体" w:cs="Times New Roman"/>
                <w:b/>
                <w:bCs/>
                <w:color w:val="auto"/>
                <w:sz w:val="24"/>
                <w:szCs w:val="24"/>
                <w:highlight w:val="none"/>
                <w:lang w:eastAsia="zh-CN"/>
              </w:rPr>
              <w:t>主要生产设备一览表</w:t>
            </w:r>
          </w:p>
          <w:tbl>
            <w:tblPr>
              <w:tblStyle w:val="23"/>
              <w:tblW w:w="490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886"/>
              <w:gridCol w:w="2279"/>
              <w:gridCol w:w="2315"/>
            </w:tblGrid>
            <w:tr w14:paraId="1ED94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14968764">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59" w:type="pct"/>
                  <w:noWrap w:val="0"/>
                  <w:vAlign w:val="center"/>
                </w:tcPr>
                <w:p w14:paraId="5201B08C">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sz w:val="21"/>
                    </w:rPr>
                    <mc:AlternateContent>
                      <mc:Choice Requires="wps">
                        <w:drawing>
                          <wp:anchor distT="0" distB="0" distL="114300" distR="114300" simplePos="0" relativeHeight="251703296" behindDoc="0" locked="0" layoutInCell="1" allowOverlap="1">
                            <wp:simplePos x="0" y="0"/>
                            <wp:positionH relativeFrom="column">
                              <wp:posOffset>41275</wp:posOffset>
                            </wp:positionH>
                            <wp:positionV relativeFrom="paragraph">
                              <wp:posOffset>226695</wp:posOffset>
                            </wp:positionV>
                            <wp:extent cx="4523740" cy="3267075"/>
                            <wp:effectExtent l="6350" t="6350" r="22860" b="22225"/>
                            <wp:wrapNone/>
                            <wp:docPr id="248" name="矩形 248"/>
                            <wp:cNvGraphicFramePr/>
                            <a:graphic xmlns:a="http://schemas.openxmlformats.org/drawingml/2006/main">
                              <a:graphicData uri="http://schemas.microsoft.com/office/word/2010/wordprocessingShape">
                                <wps:wsp>
                                  <wps:cNvSpPr/>
                                  <wps:spPr>
                                    <a:xfrm>
                                      <a:off x="0" y="0"/>
                                      <a:ext cx="4523740" cy="32670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pt;margin-top:17.85pt;height:257.25pt;width:356.2pt;z-index:251703296;v-text-anchor:middle;mso-width-relative:page;mso-height-relative:page;" fillcolor="#FFFFFF [3212]" filled="t" stroked="t" coordsize="21600,21600" o:gfxdata="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FqFV9cAAAAIAQAADwAAAAAAAAABACAAAAAiAAAAZHJzL2Rvd25yZXYu&#10;eG1sUEsBAhQAFAAAAAgAh07iQEdqcv1uAgAA+QQAAA4AAAAAAAAAAQAgAAAAJgEAAGRycy9lMm9E&#10;b2MueG1sUEsFBgAAAAAGAAYAWQEAAAYGAAAAAA==&#10;">
                            <v:fill on="t" focussize="0,0"/>
                            <v:stroke weight="1pt" color="#FFFFFF [3212]" miterlimit="8" joinstyle="miter"/>
                            <v:imagedata o:title=""/>
                            <o:lock v:ext="edit" aspectratio="f"/>
                          </v:rect>
                        </w:pict>
                      </mc:Fallback>
                    </mc:AlternateContent>
                  </w:r>
                  <w:r>
                    <w:rPr>
                      <w:rFonts w:hint="default" w:ascii="Times New Roman" w:hAnsi="Times New Roman" w:eastAsia="宋体" w:cs="Times New Roman"/>
                      <w:color w:val="auto"/>
                      <w:sz w:val="21"/>
                      <w:szCs w:val="21"/>
                      <w:highlight w:val="none"/>
                    </w:rPr>
                    <w:t>设备名称</w:t>
                  </w:r>
                </w:p>
              </w:tc>
              <w:tc>
                <w:tcPr>
                  <w:tcW w:w="1311" w:type="pct"/>
                  <w:tcBorders>
                    <w:right w:val="nil"/>
                  </w:tcBorders>
                  <w:noWrap w:val="0"/>
                  <w:vAlign w:val="center"/>
                </w:tcPr>
                <w:p w14:paraId="5B034AE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型号</w:t>
                  </w:r>
                </w:p>
              </w:tc>
              <w:tc>
                <w:tcPr>
                  <w:tcW w:w="1331" w:type="pct"/>
                  <w:tcBorders>
                    <w:right w:val="nil"/>
                  </w:tcBorders>
                  <w:noWrap w:val="0"/>
                  <w:vAlign w:val="center"/>
                </w:tcPr>
                <w:p w14:paraId="0B6BC68B">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数量</w:t>
                  </w:r>
                </w:p>
              </w:tc>
            </w:tr>
            <w:tr w14:paraId="5EA08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7D9862E3">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1659" w:type="pct"/>
                  <w:noWrap w:val="0"/>
                  <w:vAlign w:val="center"/>
                </w:tcPr>
                <w:p w14:paraId="59F433C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全自动泡沫成型机</w:t>
                  </w:r>
                </w:p>
              </w:tc>
              <w:tc>
                <w:tcPr>
                  <w:tcW w:w="1311" w:type="pct"/>
                  <w:tcBorders>
                    <w:right w:val="nil"/>
                  </w:tcBorders>
                  <w:noWrap w:val="0"/>
                  <w:vAlign w:val="center"/>
                </w:tcPr>
                <w:p w14:paraId="37E3760D">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17.5E型</w:t>
                  </w:r>
                </w:p>
              </w:tc>
              <w:tc>
                <w:tcPr>
                  <w:tcW w:w="1331" w:type="pct"/>
                  <w:tcBorders>
                    <w:right w:val="nil"/>
                  </w:tcBorders>
                  <w:noWrap w:val="0"/>
                  <w:vAlign w:val="center"/>
                </w:tcPr>
                <w:p w14:paraId="08511DD6">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5台</w:t>
                  </w:r>
                </w:p>
              </w:tc>
            </w:tr>
            <w:tr w14:paraId="2E1CA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22A59463">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659" w:type="pct"/>
                  <w:noWrap w:val="0"/>
                  <w:vAlign w:val="center"/>
                </w:tcPr>
                <w:p w14:paraId="28B8A0D8">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全自动泡沫成型机</w:t>
                  </w:r>
                </w:p>
              </w:tc>
              <w:tc>
                <w:tcPr>
                  <w:tcW w:w="1311" w:type="pct"/>
                  <w:tcBorders>
                    <w:right w:val="nil"/>
                  </w:tcBorders>
                  <w:noWrap w:val="0"/>
                  <w:vAlign w:val="center"/>
                </w:tcPr>
                <w:p w14:paraId="0A52BE5F">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15.3E型</w:t>
                  </w:r>
                </w:p>
              </w:tc>
              <w:tc>
                <w:tcPr>
                  <w:tcW w:w="1331" w:type="pct"/>
                  <w:tcBorders>
                    <w:right w:val="nil"/>
                  </w:tcBorders>
                  <w:noWrap w:val="0"/>
                  <w:vAlign w:val="center"/>
                </w:tcPr>
                <w:p w14:paraId="02433F6A">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5台</w:t>
                  </w:r>
                </w:p>
              </w:tc>
            </w:tr>
            <w:tr w14:paraId="0B421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0C41A884">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659" w:type="pct"/>
                  <w:noWrap w:val="0"/>
                  <w:vAlign w:val="center"/>
                </w:tcPr>
                <w:p w14:paraId="282E0B36">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德国艾伦空压机</w:t>
                  </w:r>
                </w:p>
              </w:tc>
              <w:tc>
                <w:tcPr>
                  <w:tcW w:w="1311" w:type="pct"/>
                  <w:tcBorders>
                    <w:right w:val="nil"/>
                  </w:tcBorders>
                  <w:noWrap w:val="0"/>
                  <w:vAlign w:val="center"/>
                </w:tcPr>
                <w:p w14:paraId="089C29F9">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ascii="Times New Roman" w:hAnsi="Times New Roman" w:eastAsia="宋体" w:cs="Times New Roman"/>
                      <w:color w:val="auto"/>
                      <w:sz w:val="21"/>
                      <w:szCs w:val="21"/>
                      <w:highlight w:val="none"/>
                      <w:lang w:val="en-US" w:eastAsia="zh-CN"/>
                    </w:rPr>
                    <w:t>75kg、37kg</w:t>
                  </w:r>
                </w:p>
              </w:tc>
              <w:tc>
                <w:tcPr>
                  <w:tcW w:w="1331" w:type="pct"/>
                  <w:tcBorders>
                    <w:right w:val="nil"/>
                  </w:tcBorders>
                  <w:noWrap w:val="0"/>
                  <w:vAlign w:val="center"/>
                </w:tcPr>
                <w:p w14:paraId="34C3D870">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各1台</w:t>
                  </w:r>
                </w:p>
              </w:tc>
            </w:tr>
            <w:tr w14:paraId="2169F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1954EBA3">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659" w:type="pct"/>
                  <w:noWrap w:val="0"/>
                  <w:vAlign w:val="center"/>
                </w:tcPr>
                <w:p w14:paraId="0A1C905B">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真空机</w:t>
                  </w:r>
                </w:p>
              </w:tc>
              <w:tc>
                <w:tcPr>
                  <w:tcW w:w="1311" w:type="pct"/>
                  <w:tcBorders>
                    <w:right w:val="nil"/>
                  </w:tcBorders>
                  <w:noWrap w:val="0"/>
                  <w:vAlign w:val="center"/>
                </w:tcPr>
                <w:p w14:paraId="4123F328">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卧式</w:t>
                  </w:r>
                </w:p>
              </w:tc>
              <w:tc>
                <w:tcPr>
                  <w:tcW w:w="1331" w:type="pct"/>
                  <w:tcBorders>
                    <w:right w:val="nil"/>
                  </w:tcBorders>
                  <w:noWrap w:val="0"/>
                  <w:vAlign w:val="center"/>
                </w:tcPr>
                <w:p w14:paraId="5906B23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r w14:paraId="7B694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4A34C2F0">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659" w:type="pct"/>
                  <w:noWrap w:val="0"/>
                  <w:vAlign w:val="center"/>
                </w:tcPr>
                <w:p w14:paraId="3ECAB3F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蒸汽储能罐</w:t>
                  </w:r>
                </w:p>
              </w:tc>
              <w:tc>
                <w:tcPr>
                  <w:tcW w:w="1311" w:type="pct"/>
                  <w:tcBorders>
                    <w:right w:val="nil"/>
                  </w:tcBorders>
                  <w:noWrap w:val="0"/>
                  <w:vAlign w:val="center"/>
                </w:tcPr>
                <w:p w14:paraId="4CDDE586">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20m</w:t>
                  </w:r>
                  <w:r>
                    <w:rPr>
                      <w:rFonts w:hint="eastAsia" w:ascii="Times New Roman" w:hAnsi="Times New Roman" w:eastAsia="宋体" w:cs="Times New Roman"/>
                      <w:color w:val="auto"/>
                      <w:sz w:val="21"/>
                      <w:szCs w:val="21"/>
                      <w:highlight w:val="none"/>
                      <w:vertAlign w:val="superscript"/>
                      <w:lang w:val="en-US" w:eastAsia="zh-CN"/>
                    </w:rPr>
                    <w:t>3</w:t>
                  </w:r>
                </w:p>
              </w:tc>
              <w:tc>
                <w:tcPr>
                  <w:tcW w:w="1331" w:type="pct"/>
                  <w:tcBorders>
                    <w:right w:val="nil"/>
                  </w:tcBorders>
                  <w:noWrap w:val="0"/>
                  <w:vAlign w:val="center"/>
                </w:tcPr>
                <w:p w14:paraId="0D64BFAC">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r w14:paraId="561FA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08EE38BE">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1659" w:type="pct"/>
                  <w:noWrap w:val="0"/>
                  <w:vAlign w:val="center"/>
                </w:tcPr>
                <w:p w14:paraId="1756299F">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水泵</w:t>
                  </w:r>
                </w:p>
              </w:tc>
              <w:tc>
                <w:tcPr>
                  <w:tcW w:w="1311" w:type="pct"/>
                  <w:tcBorders>
                    <w:right w:val="nil"/>
                  </w:tcBorders>
                  <w:noWrap w:val="0"/>
                  <w:vAlign w:val="center"/>
                </w:tcPr>
                <w:p w14:paraId="624940D9">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31" w:type="pct"/>
                  <w:tcBorders>
                    <w:right w:val="nil"/>
                  </w:tcBorders>
                  <w:noWrap w:val="0"/>
                  <w:vAlign w:val="center"/>
                </w:tcPr>
                <w:p w14:paraId="1DAECC8D">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4台（2备2用）</w:t>
                  </w:r>
                </w:p>
              </w:tc>
            </w:tr>
            <w:tr w14:paraId="4B440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0F4AA55D">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1659" w:type="pct"/>
                  <w:noWrap w:val="0"/>
                  <w:vAlign w:val="center"/>
                </w:tcPr>
                <w:p w14:paraId="7899AD92">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空气储能罐</w:t>
                  </w:r>
                </w:p>
              </w:tc>
              <w:tc>
                <w:tcPr>
                  <w:tcW w:w="1311" w:type="pct"/>
                  <w:tcBorders>
                    <w:right w:val="nil"/>
                  </w:tcBorders>
                  <w:noWrap w:val="0"/>
                  <w:vAlign w:val="center"/>
                </w:tcPr>
                <w:p w14:paraId="656B1A59">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31" w:type="pct"/>
                  <w:tcBorders>
                    <w:right w:val="nil"/>
                  </w:tcBorders>
                  <w:noWrap w:val="0"/>
                  <w:vAlign w:val="center"/>
                </w:tcPr>
                <w:p w14:paraId="0A49C1FA">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2台</w:t>
                  </w:r>
                </w:p>
              </w:tc>
            </w:tr>
            <w:tr w14:paraId="64C44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131B05B2">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1659" w:type="pct"/>
                  <w:noWrap w:val="0"/>
                  <w:vAlign w:val="center"/>
                </w:tcPr>
                <w:p w14:paraId="11899F14">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悬挂系统</w:t>
                  </w:r>
                </w:p>
              </w:tc>
              <w:tc>
                <w:tcPr>
                  <w:tcW w:w="1311" w:type="pct"/>
                  <w:tcBorders>
                    <w:right w:val="nil"/>
                  </w:tcBorders>
                  <w:noWrap w:val="0"/>
                  <w:vAlign w:val="center"/>
                </w:tcPr>
                <w:p w14:paraId="401E05F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31" w:type="pct"/>
                  <w:tcBorders>
                    <w:right w:val="nil"/>
                  </w:tcBorders>
                  <w:noWrap w:val="0"/>
                  <w:vAlign w:val="center"/>
                </w:tcPr>
                <w:p w14:paraId="7D4F034F">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338m</w:t>
                  </w:r>
                </w:p>
              </w:tc>
            </w:tr>
            <w:tr w14:paraId="38BAA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16B3AAE0">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1659" w:type="pct"/>
                  <w:noWrap w:val="0"/>
                  <w:vAlign w:val="center"/>
                </w:tcPr>
                <w:p w14:paraId="412053B9">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冷却塔</w:t>
                  </w:r>
                </w:p>
              </w:tc>
              <w:tc>
                <w:tcPr>
                  <w:tcW w:w="1311" w:type="pct"/>
                  <w:tcBorders>
                    <w:right w:val="nil"/>
                  </w:tcBorders>
                  <w:noWrap w:val="0"/>
                  <w:vAlign w:val="center"/>
                </w:tcPr>
                <w:p w14:paraId="16D2A878">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31" w:type="pct"/>
                  <w:tcBorders>
                    <w:right w:val="nil"/>
                  </w:tcBorders>
                  <w:noWrap w:val="0"/>
                  <w:vAlign w:val="center"/>
                </w:tcPr>
                <w:p w14:paraId="40702982">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2台</w:t>
                  </w:r>
                </w:p>
              </w:tc>
            </w:tr>
            <w:tr w14:paraId="23BAF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2DFA07B1">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659" w:type="pct"/>
                  <w:noWrap w:val="0"/>
                  <w:vAlign w:val="center"/>
                </w:tcPr>
                <w:p w14:paraId="68334511">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发泡机</w:t>
                  </w:r>
                </w:p>
              </w:tc>
              <w:tc>
                <w:tcPr>
                  <w:tcW w:w="1311" w:type="pct"/>
                  <w:tcBorders>
                    <w:right w:val="nil"/>
                  </w:tcBorders>
                  <w:noWrap w:val="0"/>
                  <w:vAlign w:val="center"/>
                </w:tcPr>
                <w:p w14:paraId="7FBA98BC">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1100</w:t>
                  </w:r>
                </w:p>
              </w:tc>
              <w:tc>
                <w:tcPr>
                  <w:tcW w:w="1331" w:type="pct"/>
                  <w:tcBorders>
                    <w:right w:val="nil"/>
                  </w:tcBorders>
                  <w:noWrap w:val="0"/>
                  <w:vAlign w:val="center"/>
                </w:tcPr>
                <w:p w14:paraId="5C9A4DD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r w14:paraId="48D82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tcBorders>
                    <w:left w:val="nil"/>
                  </w:tcBorders>
                  <w:noWrap w:val="0"/>
                  <w:vAlign w:val="center"/>
                </w:tcPr>
                <w:p w14:paraId="4C228FB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1659" w:type="pct"/>
                  <w:noWrap w:val="0"/>
                  <w:vAlign w:val="center"/>
                </w:tcPr>
                <w:p w14:paraId="581E3AD0">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发泡机</w:t>
                  </w:r>
                </w:p>
              </w:tc>
              <w:tc>
                <w:tcPr>
                  <w:tcW w:w="1311" w:type="pct"/>
                  <w:tcBorders>
                    <w:right w:val="nil"/>
                  </w:tcBorders>
                  <w:noWrap w:val="0"/>
                  <w:vAlign w:val="center"/>
                </w:tcPr>
                <w:p w14:paraId="0E1CE72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750</w:t>
                  </w:r>
                </w:p>
              </w:tc>
              <w:tc>
                <w:tcPr>
                  <w:tcW w:w="1331" w:type="pct"/>
                  <w:tcBorders>
                    <w:right w:val="nil"/>
                  </w:tcBorders>
                  <w:noWrap w:val="0"/>
                  <w:vAlign w:val="center"/>
                </w:tcPr>
                <w:p w14:paraId="75DF1296">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bl>
          <w:p w14:paraId="046FEE57">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66" w:name="_Toc9999"/>
            <w:r>
              <w:rPr>
                <w:rFonts w:hint="eastAsia" w:ascii="Times New Roman" w:hAnsi="Times New Roman" w:eastAsia="宋体" w:cs="Times New Roman"/>
                <w:b/>
                <w:bCs/>
                <w:color w:val="auto"/>
                <w:sz w:val="24"/>
                <w:szCs w:val="24"/>
                <w:lang w:val="en-US" w:eastAsia="zh-CN"/>
              </w:rPr>
              <w:t>2.4.5现有项目工艺流程</w:t>
            </w:r>
            <w:bookmarkEnd w:id="66"/>
          </w:p>
          <w:p w14:paraId="06A3A6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r>
              <w:rPr>
                <w:rFonts w:hint="default" w:cs="Times New Roman"/>
                <w:b w:val="0"/>
                <w:bCs w:val="0"/>
                <w:color w:val="auto"/>
                <w:sz w:val="24"/>
                <w:szCs w:val="24"/>
                <w:highlight w:val="none"/>
                <w:lang w:val="en-US" w:eastAsia="zh-CN"/>
              </w:rPr>
              <w:t>本项目</w:t>
            </w:r>
            <w:r>
              <w:rPr>
                <w:rFonts w:hint="eastAsia" w:cs="Times New Roman"/>
                <w:b w:val="0"/>
                <w:bCs w:val="0"/>
                <w:color w:val="auto"/>
                <w:sz w:val="24"/>
                <w:szCs w:val="24"/>
                <w:highlight w:val="none"/>
                <w:lang w:val="en-US" w:eastAsia="zh-CN"/>
              </w:rPr>
              <w:t>现有工程</w:t>
            </w:r>
            <w:r>
              <w:rPr>
                <w:rFonts w:hint="default" w:cs="Times New Roman"/>
                <w:b w:val="0"/>
                <w:bCs w:val="0"/>
                <w:color w:val="auto"/>
                <w:sz w:val="24"/>
                <w:szCs w:val="24"/>
                <w:highlight w:val="none"/>
                <w:lang w:val="en-US" w:eastAsia="zh-CN"/>
              </w:rPr>
              <w:t>生产工艺流程</w:t>
            </w:r>
            <w:r>
              <w:rPr>
                <w:rFonts w:hint="eastAsia" w:cs="Times New Roman"/>
                <w:b w:val="0"/>
                <w:bCs w:val="0"/>
                <w:color w:val="auto"/>
                <w:sz w:val="24"/>
                <w:szCs w:val="24"/>
                <w:highlight w:val="none"/>
                <w:lang w:val="en-US" w:eastAsia="zh-CN"/>
              </w:rPr>
              <w:t>与本次扩建项目工艺流程一致，本次扩建新增EPP泡沫塑料，生产工艺与EPS生产工艺一致。具体工艺流程详见2.3扩建项目生产工艺流程及产污环节。</w:t>
            </w:r>
          </w:p>
          <w:p w14:paraId="143C2165">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lang w:val="en-US" w:eastAsia="zh-CN"/>
              </w:rPr>
            </w:pPr>
            <w:bookmarkStart w:id="67" w:name="_Toc9775"/>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4.6</w:t>
            </w:r>
            <w:r>
              <w:rPr>
                <w:rFonts w:hint="eastAsia" w:ascii="Times New Roman" w:hAnsi="Times New Roman" w:eastAsia="宋体" w:cs="Times New Roman"/>
                <w:b/>
                <w:bCs/>
                <w:color w:val="auto"/>
                <w:sz w:val="24"/>
                <w:szCs w:val="24"/>
                <w:lang w:val="en-US" w:eastAsia="zh-CN"/>
              </w:rPr>
              <w:t>现有项目污染物产排情况和验收情况说明</w:t>
            </w:r>
            <w:bookmarkEnd w:id="67"/>
          </w:p>
          <w:p w14:paraId="3FF792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（1）废水</w:t>
            </w:r>
          </w:p>
          <w:p w14:paraId="02FC54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68" w:name="_Toc10409"/>
            <w:r>
              <w:rPr>
                <w:rFonts w:hint="eastAsia" w:ascii="Times New Roman" w:hAnsi="Times New Roman" w:eastAsia="宋体" w:cs="Times New Roman"/>
                <w:b w:val="0"/>
                <w:bCs w:val="0"/>
                <w:color w:val="auto"/>
                <w:sz w:val="24"/>
                <w:szCs w:val="24"/>
                <w:highlight w:val="none"/>
                <w:lang w:val="en-US" w:eastAsia="zh-CN"/>
              </w:rPr>
              <w:t>现有项目</w:t>
            </w:r>
            <w:r>
              <w:rPr>
                <w:rFonts w:hint="default" w:ascii="Times New Roman" w:hAnsi="Times New Roman" w:eastAsia="宋体" w:cs="Times New Roman"/>
                <w:b w:val="0"/>
                <w:bCs w:val="0"/>
                <w:color w:val="auto"/>
                <w:sz w:val="24"/>
                <w:szCs w:val="24"/>
                <w:highlight w:val="none"/>
                <w:lang w:val="en-US" w:eastAsia="zh-CN"/>
              </w:rPr>
              <w:t>废水主要来源于该项目生产废水和生活污水。少量生活污水经化粪池处理后经园区污水管网，进入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color w:val="auto"/>
                <w:sz w:val="24"/>
                <w:szCs w:val="24"/>
                <w:highlight w:val="none"/>
                <w:lang w:val="en-US" w:eastAsia="zh-CN"/>
              </w:rPr>
              <w:t>处理。生产废水主要是熟化过程产生的模具冷却水和烘干过程产生的蒸汽冷凝水，经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default" w:ascii="Times New Roman" w:hAnsi="Times New Roman" w:eastAsia="宋体" w:cs="Times New Roman"/>
                <w:b w:val="0"/>
                <w:bCs w:val="0"/>
                <w:color w:val="auto"/>
                <w:sz w:val="24"/>
                <w:szCs w:val="24"/>
                <w:highlight w:val="none"/>
                <w:lang w:val="en-US" w:eastAsia="zh-CN"/>
              </w:rPr>
              <w:t>处理后回用，不外排</w:t>
            </w:r>
            <w:r>
              <w:rPr>
                <w:rFonts w:hint="eastAsia" w:ascii="Times New Roman" w:hAnsi="Times New Roman" w:eastAsia="宋体" w:cs="Times New Roman"/>
                <w:b w:val="0"/>
                <w:bCs w:val="0"/>
                <w:color w:val="auto"/>
                <w:sz w:val="24"/>
                <w:szCs w:val="24"/>
                <w:highlight w:val="none"/>
                <w:lang w:val="en-US" w:eastAsia="zh-CN"/>
              </w:rPr>
              <w:t>。</w:t>
            </w:r>
            <w:bookmarkEnd w:id="68"/>
          </w:p>
          <w:p w14:paraId="470E92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val="0"/>
                <w:color w:val="auto"/>
                <w:sz w:val="24"/>
                <w:szCs w:val="24"/>
                <w:highlight w:val="none"/>
                <w:lang w:val="en-US" w:eastAsia="zh-CN"/>
              </w:rPr>
            </w:pPr>
            <w:bookmarkStart w:id="69" w:name="_Toc9275"/>
            <w:r>
              <w:rPr>
                <w:rFonts w:hint="eastAsia" w:ascii="Times New Roman" w:hAnsi="Times New Roman" w:eastAsia="宋体" w:cs="Times New Roman"/>
                <w:b w:val="0"/>
                <w:bCs w:val="0"/>
                <w:color w:val="auto"/>
                <w:sz w:val="24"/>
                <w:szCs w:val="24"/>
                <w:highlight w:val="none"/>
                <w:lang w:val="en-US" w:eastAsia="zh-CN"/>
              </w:rPr>
              <w:t>（2）废气</w:t>
            </w:r>
            <w:bookmarkEnd w:id="69"/>
          </w:p>
          <w:p w14:paraId="1F153E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bookmarkStart w:id="70" w:name="_Toc27480"/>
            <w:r>
              <w:rPr>
                <w:rFonts w:hint="eastAsia" w:ascii="Times New Roman" w:hAnsi="Times New Roman" w:eastAsia="宋体" w:cs="Times New Roman"/>
                <w:b w:val="0"/>
                <w:bCs w:val="0"/>
                <w:color w:val="auto"/>
                <w:sz w:val="24"/>
                <w:szCs w:val="24"/>
                <w:highlight w:val="none"/>
                <w:lang w:val="en-US" w:eastAsia="zh-CN"/>
              </w:rPr>
              <w:t>现有项目废气主要包括有机废气，</w:t>
            </w:r>
            <w:r>
              <w:rPr>
                <w:rFonts w:hint="eastAsia" w:cs="Times New Roman"/>
                <w:b w:val="0"/>
                <w:bCs w:val="0"/>
                <w:color w:val="auto"/>
                <w:sz w:val="24"/>
                <w:szCs w:val="24"/>
                <w:highlight w:val="none"/>
                <w:lang w:val="en-US" w:eastAsia="zh-CN"/>
              </w:rPr>
              <w:t>该</w:t>
            </w:r>
            <w:r>
              <w:rPr>
                <w:rFonts w:hint="eastAsia" w:ascii="Times New Roman" w:hAnsi="Times New Roman" w:eastAsia="宋体" w:cs="Times New Roman"/>
                <w:b w:val="0"/>
                <w:bCs w:val="0"/>
                <w:color w:val="auto"/>
                <w:sz w:val="24"/>
                <w:szCs w:val="24"/>
                <w:highlight w:val="none"/>
                <w:lang w:val="en-US" w:eastAsia="zh-CN"/>
              </w:rPr>
              <w:t>项目生产中预发、成型</w:t>
            </w:r>
            <w:r>
              <w:rPr>
                <w:rFonts w:hint="eastAsia" w:cs="Times New Roman"/>
                <w:b w:val="0"/>
                <w:bCs w:val="0"/>
                <w:color w:val="auto"/>
                <w:sz w:val="24"/>
                <w:szCs w:val="24"/>
                <w:highlight w:val="none"/>
                <w:lang w:val="en-US" w:eastAsia="zh-CN"/>
              </w:rPr>
              <w:t>等</w:t>
            </w:r>
            <w:r>
              <w:rPr>
                <w:rFonts w:hint="eastAsia" w:ascii="Times New Roman" w:hAnsi="Times New Roman" w:eastAsia="宋体" w:cs="Times New Roman"/>
                <w:b w:val="0"/>
                <w:bCs w:val="0"/>
                <w:color w:val="auto"/>
                <w:sz w:val="24"/>
                <w:szCs w:val="24"/>
                <w:highlight w:val="none"/>
                <w:lang w:val="en-US" w:eastAsia="zh-CN"/>
              </w:rPr>
              <w:t>工序产生的含苯乙烯和非甲烷总烃等有机废气，经收集后无组织排放。</w:t>
            </w:r>
            <w:r>
              <w:rPr>
                <w:rFonts w:hint="eastAsia" w:ascii="Times New Roman" w:hAnsi="Times New Roman" w:eastAsia="宋体" w:cs="Times New Roman"/>
                <w:color w:val="auto"/>
                <w:sz w:val="24"/>
                <w:szCs w:val="24"/>
                <w:highlight w:val="none"/>
                <w:lang w:val="en-US" w:eastAsia="zh-CN"/>
              </w:rPr>
              <w:t>本项目废气主要为预发泡和成型过程产生的微量有机废气。聚苯乙烯（EPS）珠粒为高分子有机聚合物，为无毒、无害的材料，其裂解温度达到395℃。本项目对聚苯乙烯的加热温度在95~105℃，根据文献《气相色谱质谱法分析聚苯乙烯加热分解产物》（林华影、张伟等.中国卫生检验杂志），聚苯乙烯在120以下加热会有少量甲苯、乙苯等有机物产生，以非甲烷总</w:t>
            </w:r>
            <w:r>
              <w:rPr>
                <w:rFonts w:hint="eastAsia" w:cs="Times New Roman"/>
                <w:color w:val="auto"/>
                <w:sz w:val="24"/>
                <w:szCs w:val="24"/>
                <w:highlight w:val="none"/>
                <w:lang w:val="en-US" w:eastAsia="zh-CN"/>
              </w:rPr>
              <w:t>烃</w:t>
            </w:r>
            <w:r>
              <w:rPr>
                <w:rFonts w:hint="eastAsia" w:ascii="Times New Roman" w:hAnsi="Times New Roman" w:eastAsia="宋体" w:cs="Times New Roman"/>
                <w:color w:val="auto"/>
                <w:sz w:val="24"/>
                <w:szCs w:val="24"/>
                <w:highlight w:val="none"/>
                <w:lang w:val="en-US" w:eastAsia="zh-CN"/>
              </w:rPr>
              <w:t>表示。同时，本项目预发泡及成型过程均在封闭的容器内进行，大部分废气通过容器排水管道进入循环水池再逸散空气中，少量废气在容器打开时逸散至空气中。</w:t>
            </w:r>
            <w:bookmarkEnd w:id="70"/>
          </w:p>
          <w:p w14:paraId="3CB118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bookmarkStart w:id="71" w:name="_Toc1080"/>
            <w:r>
              <w:rPr>
                <w:rFonts w:hint="eastAsia" w:ascii="Times New Roman" w:hAnsi="Times New Roman" w:eastAsia="宋体" w:cs="Times New Roman"/>
                <w:color w:val="auto"/>
                <w:sz w:val="24"/>
                <w:szCs w:val="24"/>
                <w:highlight w:val="none"/>
                <w:lang w:val="en-US" w:eastAsia="zh-CN"/>
              </w:rPr>
              <w:t>根据2025年4月11日委托福建省莆阳检测有限公司出具的《福建恒润包装有限公司企业自行监测报告》（莆检</w:t>
            </w:r>
            <w:r>
              <w:rPr>
                <w:rFonts w:hint="eastAsia" w:cs="Times New Roman"/>
                <w:color w:val="auto"/>
                <w:sz w:val="24"/>
                <w:szCs w:val="24"/>
                <w:highlight w:val="none"/>
                <w:lang w:val="en-US" w:eastAsia="zh-CN"/>
              </w:rPr>
              <w:t>〔2025〕</w:t>
            </w:r>
            <w:r>
              <w:rPr>
                <w:rFonts w:hint="eastAsia" w:ascii="Times New Roman" w:hAnsi="Times New Roman" w:eastAsia="宋体" w:cs="Times New Roman"/>
                <w:color w:val="auto"/>
                <w:sz w:val="24"/>
                <w:szCs w:val="24"/>
                <w:highlight w:val="none"/>
                <w:lang w:val="en-US" w:eastAsia="zh-CN"/>
              </w:rPr>
              <w:t>第04036号），项目废气排放均符合排放标准，VOCs排放总量为</w:t>
            </w:r>
            <w:r>
              <w:rPr>
                <w:rFonts w:hint="eastAsia" w:cs="Times New Roman"/>
                <w:color w:val="auto"/>
                <w:sz w:val="24"/>
                <w:szCs w:val="24"/>
                <w:highlight w:val="none"/>
                <w:lang w:val="en-US" w:eastAsia="zh-CN"/>
              </w:rPr>
              <w:t>0.038</w:t>
            </w:r>
            <w:r>
              <w:rPr>
                <w:rFonts w:hint="eastAsia" w:ascii="Times New Roman" w:hAnsi="Times New Roman" w:eastAsia="宋体" w:cs="Times New Roman"/>
                <w:color w:val="auto"/>
                <w:sz w:val="24"/>
                <w:szCs w:val="24"/>
                <w:highlight w:val="none"/>
                <w:lang w:val="en-US" w:eastAsia="zh-CN"/>
              </w:rPr>
              <w:t>t/a。废气排放检测结果详见表2.4-5。（自行检测报告详见</w:t>
            </w:r>
            <w:r>
              <w:rPr>
                <w:rFonts w:hint="eastAsia" w:ascii="Times New Roman" w:hAnsi="Times New Roman" w:eastAsia="宋体" w:cs="Times New Roman"/>
                <w:b/>
                <w:bCs/>
                <w:color w:val="auto"/>
                <w:sz w:val="24"/>
                <w:szCs w:val="24"/>
                <w:highlight w:val="none"/>
                <w:lang w:val="en-US" w:eastAsia="zh-CN"/>
              </w:rPr>
              <w:t>附件十</w:t>
            </w:r>
            <w:r>
              <w:rPr>
                <w:rFonts w:hint="eastAsia" w:cs="Times New Roman"/>
                <w:b/>
                <w:bCs/>
                <w:color w:val="auto"/>
                <w:sz w:val="24"/>
                <w:szCs w:val="24"/>
                <w:highlight w:val="none"/>
                <w:lang w:val="en-US" w:eastAsia="zh-CN"/>
              </w:rPr>
              <w:t>五</w:t>
            </w:r>
            <w:r>
              <w:rPr>
                <w:rFonts w:hint="eastAsia" w:ascii="Times New Roman" w:hAnsi="Times New Roman" w:eastAsia="宋体" w:cs="Times New Roman"/>
                <w:color w:val="auto"/>
                <w:sz w:val="24"/>
                <w:szCs w:val="24"/>
                <w:highlight w:val="none"/>
                <w:lang w:val="en-US" w:eastAsia="zh-CN"/>
              </w:rPr>
              <w:t>）</w:t>
            </w:r>
            <w:bookmarkEnd w:id="71"/>
          </w:p>
          <w:p w14:paraId="17E6F7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表2.4-5厂界无组织废气检测结果</w:t>
            </w:r>
          </w:p>
          <w:tbl>
            <w:tblPr>
              <w:tblStyle w:val="23"/>
              <w:tblW w:w="86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62"/>
              <w:gridCol w:w="706"/>
              <w:gridCol w:w="2128"/>
              <w:gridCol w:w="702"/>
              <w:gridCol w:w="781"/>
              <w:gridCol w:w="767"/>
              <w:gridCol w:w="712"/>
              <w:gridCol w:w="877"/>
              <w:gridCol w:w="980"/>
            </w:tblGrid>
            <w:tr w14:paraId="48FF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0" w:hRule="atLeast"/>
              </w:trPr>
              <w:tc>
                <w:tcPr>
                  <w:tcW w:w="558" w:type="pct"/>
                  <w:vMerge w:val="restart"/>
                  <w:tcBorders>
                    <w:top w:val="single" w:color="000000" w:sz="12" w:space="0"/>
                    <w:left w:val="single" w:color="000000" w:sz="4" w:space="0"/>
                    <w:bottom w:val="single" w:color="000000" w:sz="2" w:space="0"/>
                    <w:right w:val="single" w:color="000000" w:sz="4" w:space="0"/>
                  </w:tcBorders>
                  <w:noWrap w:val="0"/>
                  <w:vAlign w:val="center"/>
                </w:tcPr>
                <w:p w14:paraId="16DACB49">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采样日期</w:t>
                  </w:r>
                </w:p>
              </w:tc>
              <w:tc>
                <w:tcPr>
                  <w:tcW w:w="409" w:type="pct"/>
                  <w:vMerge w:val="restart"/>
                  <w:tcBorders>
                    <w:top w:val="single" w:color="000000" w:sz="12" w:space="0"/>
                    <w:left w:val="single" w:color="000000" w:sz="4" w:space="0"/>
                    <w:bottom w:val="single" w:color="000000" w:sz="4" w:space="0"/>
                    <w:right w:val="single" w:color="000000" w:sz="4" w:space="0"/>
                  </w:tcBorders>
                  <w:noWrap w:val="0"/>
                  <w:vAlign w:val="center"/>
                </w:tcPr>
                <w:p w14:paraId="2980D46E">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检测项目</w:t>
                  </w:r>
                </w:p>
              </w:tc>
              <w:tc>
                <w:tcPr>
                  <w:tcW w:w="1235" w:type="pct"/>
                  <w:vMerge w:val="restart"/>
                  <w:tcBorders>
                    <w:top w:val="single" w:color="000000" w:sz="12" w:space="0"/>
                    <w:left w:val="single" w:color="000000" w:sz="4" w:space="0"/>
                    <w:bottom w:val="single" w:color="000000" w:sz="4" w:space="0"/>
                    <w:right w:val="single" w:color="000000" w:sz="4" w:space="0"/>
                  </w:tcBorders>
                  <w:noWrap w:val="0"/>
                  <w:vAlign w:val="center"/>
                </w:tcPr>
                <w:p w14:paraId="0E34A00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检测点位</w:t>
                  </w:r>
                </w:p>
              </w:tc>
              <w:tc>
                <w:tcPr>
                  <w:tcW w:w="2228" w:type="pct"/>
                  <w:gridSpan w:val="5"/>
                  <w:tcBorders>
                    <w:top w:val="single" w:color="000000" w:sz="12" w:space="0"/>
                    <w:left w:val="single" w:color="000000" w:sz="4" w:space="0"/>
                    <w:bottom w:val="single" w:color="000000" w:sz="4" w:space="0"/>
                    <w:right w:val="single" w:color="000000" w:sz="4" w:space="0"/>
                  </w:tcBorders>
                  <w:noWrap w:val="0"/>
                  <w:vAlign w:val="center"/>
                </w:tcPr>
                <w:p w14:paraId="4A60151D">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检测频次及结果</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superscript"/>
                      <w:lang w:val="en-US" w:eastAsia="zh-CN"/>
                    </w:rPr>
                    <w:t>）</w:t>
                  </w:r>
                </w:p>
              </w:tc>
              <w:tc>
                <w:tcPr>
                  <w:tcW w:w="568" w:type="pct"/>
                  <w:vMerge w:val="restart"/>
                  <w:tcBorders>
                    <w:top w:val="single" w:color="000000" w:sz="12" w:space="0"/>
                    <w:left w:val="single" w:color="000000" w:sz="4" w:space="0"/>
                    <w:bottom w:val="single" w:color="000000" w:sz="4" w:space="0"/>
                    <w:right w:val="nil"/>
                  </w:tcBorders>
                  <w:noWrap w:val="0"/>
                  <w:vAlign w:val="center"/>
                </w:tcPr>
                <w:p w14:paraId="44ACD75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标准限值</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superscript"/>
                      <w:lang w:val="en-US" w:eastAsia="zh-CN"/>
                    </w:rPr>
                    <w:t>）</w:t>
                  </w:r>
                </w:p>
              </w:tc>
            </w:tr>
            <w:tr w14:paraId="30913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5" w:hRule="atLeast"/>
              </w:trPr>
              <w:tc>
                <w:tcPr>
                  <w:tcW w:w="558" w:type="pct"/>
                  <w:vMerge w:val="continue"/>
                  <w:tcBorders>
                    <w:top w:val="single" w:color="000000" w:sz="2" w:space="0"/>
                    <w:left w:val="nil"/>
                    <w:bottom w:val="single" w:color="000000" w:sz="2" w:space="0"/>
                    <w:right w:val="single" w:color="000000" w:sz="4" w:space="0"/>
                  </w:tcBorders>
                  <w:noWrap w:val="0"/>
                  <w:vAlign w:val="center"/>
                </w:tcPr>
                <w:p w14:paraId="41774677">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317BE0">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8CCC1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3FCCDF8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7FA663FE">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245F49A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258BD13F">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053393C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最大值</w:t>
                  </w:r>
                </w:p>
              </w:tc>
              <w:tc>
                <w:tcPr>
                  <w:tcW w:w="568" w:type="pct"/>
                  <w:vMerge w:val="continue"/>
                  <w:tcBorders>
                    <w:top w:val="single" w:color="000000" w:sz="4" w:space="0"/>
                    <w:left w:val="single" w:color="000000" w:sz="4" w:space="0"/>
                    <w:bottom w:val="single" w:color="000000" w:sz="4" w:space="0"/>
                    <w:right w:val="nil"/>
                  </w:tcBorders>
                  <w:noWrap w:val="0"/>
                  <w:vAlign w:val="center"/>
                </w:tcPr>
                <w:p w14:paraId="655C103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6E2B4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restart"/>
                  <w:tcBorders>
                    <w:top w:val="single" w:color="000000" w:sz="2" w:space="0"/>
                    <w:left w:val="nil"/>
                    <w:right w:val="single" w:color="000000" w:sz="4" w:space="0"/>
                  </w:tcBorders>
                  <w:noWrap w:val="0"/>
                  <w:vAlign w:val="center"/>
                </w:tcPr>
                <w:p w14:paraId="192ED9AF">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2024年</w:t>
                  </w:r>
                </w:p>
                <w:p w14:paraId="35FF44E7">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r>
                    <w:rPr>
                      <w:rFonts w:hint="eastAsia" w:ascii="Times New Roman" w:hAnsi="Times New Roman" w:eastAsia="宋体" w:cs="Times New Roman"/>
                      <w:i w:val="0"/>
                      <w:color w:val="auto"/>
                      <w:kern w:val="0"/>
                      <w:sz w:val="21"/>
                      <w:szCs w:val="21"/>
                      <w:u w:val="none"/>
                      <w:lang w:val="en-US" w:eastAsia="zh-CN" w:bidi="ar"/>
                    </w:rPr>
                    <w:t>4</w:t>
                  </w:r>
                  <w:r>
                    <w:rPr>
                      <w:rFonts w:hint="default" w:ascii="Times New Roman" w:hAnsi="Times New Roman" w:eastAsia="宋体" w:cs="Times New Roman"/>
                      <w:i w:val="0"/>
                      <w:color w:val="auto"/>
                      <w:kern w:val="0"/>
                      <w:sz w:val="21"/>
                      <w:szCs w:val="21"/>
                      <w:u w:val="none"/>
                      <w:lang w:val="en-US" w:eastAsia="zh-CN" w:bidi="ar"/>
                    </w:rPr>
                    <w:t>月1</w:t>
                  </w:r>
                  <w:r>
                    <w:rPr>
                      <w:rFonts w:hint="eastAsia" w:ascii="Times New Roman" w:hAnsi="Times New Roman" w:eastAsia="宋体" w:cs="Times New Roman"/>
                      <w:i w:val="0"/>
                      <w:color w:val="auto"/>
                      <w:kern w:val="0"/>
                      <w:sz w:val="21"/>
                      <w:szCs w:val="21"/>
                      <w:u w:val="none"/>
                      <w:lang w:val="en-US" w:eastAsia="zh-CN" w:bidi="ar"/>
                    </w:rPr>
                    <w:t>0</w:t>
                  </w:r>
                  <w:r>
                    <w:rPr>
                      <w:rFonts w:hint="default" w:ascii="Times New Roman" w:hAnsi="Times New Roman" w:eastAsia="宋体" w:cs="Times New Roman"/>
                      <w:i w:val="0"/>
                      <w:color w:val="auto"/>
                      <w:kern w:val="0"/>
                      <w:sz w:val="21"/>
                      <w:szCs w:val="21"/>
                      <w:u w:val="none"/>
                      <w:lang w:val="en-US" w:eastAsia="zh-CN" w:bidi="ar"/>
                    </w:rPr>
                    <w:t>日</w:t>
                  </w:r>
                </w:p>
              </w:tc>
              <w:tc>
                <w:tcPr>
                  <w:tcW w:w="409" w:type="pct"/>
                  <w:vMerge w:val="restart"/>
                  <w:tcBorders>
                    <w:top w:val="single" w:color="000000" w:sz="4" w:space="0"/>
                    <w:left w:val="single" w:color="000000" w:sz="4" w:space="0"/>
                    <w:right w:val="single" w:color="000000" w:sz="4" w:space="0"/>
                  </w:tcBorders>
                  <w:noWrap w:val="0"/>
                  <w:vAlign w:val="center"/>
                </w:tcPr>
                <w:p w14:paraId="4ADFF36F">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非甲烷总烃</w:t>
                  </w: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7CA0A10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厂界上风向Q1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3600B2D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0.40</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47B564A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0.35</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31E67CA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0.34</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18D11A1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0.36</w:t>
                  </w:r>
                </w:p>
              </w:tc>
              <w:tc>
                <w:tcPr>
                  <w:tcW w:w="508" w:type="pct"/>
                  <w:vMerge w:val="restart"/>
                  <w:tcBorders>
                    <w:top w:val="single" w:color="000000" w:sz="4" w:space="0"/>
                    <w:left w:val="single" w:color="000000" w:sz="4" w:space="0"/>
                    <w:right w:val="single" w:color="000000" w:sz="4" w:space="0"/>
                  </w:tcBorders>
                  <w:noWrap w:val="0"/>
                  <w:vAlign w:val="center"/>
                </w:tcPr>
                <w:p w14:paraId="113901E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0.56</w:t>
                  </w:r>
                </w:p>
              </w:tc>
              <w:tc>
                <w:tcPr>
                  <w:tcW w:w="568" w:type="pct"/>
                  <w:vMerge w:val="restart"/>
                  <w:tcBorders>
                    <w:top w:val="single" w:color="000000" w:sz="4" w:space="0"/>
                    <w:left w:val="single" w:color="000000" w:sz="4" w:space="0"/>
                    <w:right w:val="nil"/>
                  </w:tcBorders>
                  <w:noWrap w:val="0"/>
                  <w:vAlign w:val="center"/>
                </w:tcPr>
                <w:p w14:paraId="54BB815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.0</w:t>
                  </w:r>
                </w:p>
              </w:tc>
            </w:tr>
            <w:tr w14:paraId="7292D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4E64AAE0">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left w:val="single" w:color="000000" w:sz="4" w:space="0"/>
                    <w:right w:val="single" w:color="000000" w:sz="4" w:space="0"/>
                  </w:tcBorders>
                  <w:noWrap w:val="0"/>
                  <w:vAlign w:val="center"/>
                </w:tcPr>
                <w:p w14:paraId="2B296D15">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4F04AE7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厂界下风向Q2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1529F11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0.30</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6BC40300">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0.30</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275A0F1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0.28</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012AC1DE">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0.25</w:t>
                  </w:r>
                </w:p>
              </w:tc>
              <w:tc>
                <w:tcPr>
                  <w:tcW w:w="508" w:type="pct"/>
                  <w:vMerge w:val="continue"/>
                  <w:tcBorders>
                    <w:left w:val="single" w:color="000000" w:sz="4" w:space="0"/>
                    <w:right w:val="single" w:color="000000" w:sz="4" w:space="0"/>
                  </w:tcBorders>
                  <w:noWrap w:val="0"/>
                  <w:vAlign w:val="center"/>
                </w:tcPr>
                <w:p w14:paraId="5FE0C81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left w:val="single" w:color="000000" w:sz="4" w:space="0"/>
                    <w:right w:val="nil"/>
                  </w:tcBorders>
                  <w:noWrap w:val="0"/>
                  <w:vAlign w:val="center"/>
                </w:tcPr>
                <w:p w14:paraId="5C9B17F2">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69247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34E5B79D">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left w:val="single" w:color="000000" w:sz="4" w:space="0"/>
                    <w:right w:val="single" w:color="000000" w:sz="4" w:space="0"/>
                  </w:tcBorders>
                  <w:noWrap w:val="0"/>
                  <w:vAlign w:val="center"/>
                </w:tcPr>
                <w:p w14:paraId="01216FFF">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3E851DD8">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厂界下风向Q3</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06F696C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0.31</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3638D3D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0.24</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29EED84F">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0.37</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5FE2D267">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0.32</w:t>
                  </w:r>
                </w:p>
              </w:tc>
              <w:tc>
                <w:tcPr>
                  <w:tcW w:w="508" w:type="pct"/>
                  <w:vMerge w:val="continue"/>
                  <w:tcBorders>
                    <w:left w:val="single" w:color="000000" w:sz="4" w:space="0"/>
                    <w:right w:val="single" w:color="000000" w:sz="4" w:space="0"/>
                  </w:tcBorders>
                  <w:noWrap w:val="0"/>
                  <w:vAlign w:val="center"/>
                </w:tcPr>
                <w:p w14:paraId="6B4A5631">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left w:val="single" w:color="000000" w:sz="4" w:space="0"/>
                    <w:right w:val="nil"/>
                  </w:tcBorders>
                  <w:noWrap w:val="0"/>
                  <w:vAlign w:val="center"/>
                </w:tcPr>
                <w:p w14:paraId="15169E9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26AD4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399C9E7F">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left w:val="single" w:color="000000" w:sz="4" w:space="0"/>
                    <w:bottom w:val="single" w:color="000000" w:sz="4" w:space="0"/>
                    <w:right w:val="single" w:color="000000" w:sz="4" w:space="0"/>
                  </w:tcBorders>
                  <w:noWrap w:val="0"/>
                  <w:vAlign w:val="center"/>
                </w:tcPr>
                <w:p w14:paraId="408CE089">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73B9A14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厂界下风向Q</w:t>
                  </w:r>
                  <w:r>
                    <w:rPr>
                      <w:rFonts w:hint="eastAsia" w:ascii="Times New Roman" w:hAnsi="Times New Roman" w:eastAsia="宋体" w:cs="Times New Roman"/>
                      <w:i w:val="0"/>
                      <w:color w:val="auto"/>
                      <w:kern w:val="0"/>
                      <w:sz w:val="21"/>
                      <w:szCs w:val="21"/>
                      <w:u w:val="none"/>
                      <w:lang w:val="en-US" w:eastAsia="zh-CN" w:bidi="ar"/>
                    </w:rPr>
                    <w:t>4</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48362BBA">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color w:val="auto"/>
                      <w:lang w:val="en-US" w:eastAsia="zh-CN"/>
                    </w:rPr>
                  </w:pPr>
                  <w:r>
                    <w:rPr>
                      <w:rFonts w:hint="eastAsia" w:ascii="Times New Roman" w:hAnsi="Times New Roman" w:eastAsia="宋体" w:cs="Times New Roman"/>
                      <w:i w:val="0"/>
                      <w:color w:val="auto"/>
                      <w:kern w:val="0"/>
                      <w:sz w:val="21"/>
                      <w:szCs w:val="21"/>
                      <w:u w:val="none"/>
                      <w:lang w:val="en-US" w:eastAsia="zh-CN" w:bidi="ar"/>
                    </w:rPr>
                    <w:t>0.50</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28A11D8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0.49</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053184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0.56</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6DDC427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0.53</w:t>
                  </w:r>
                </w:p>
              </w:tc>
              <w:tc>
                <w:tcPr>
                  <w:tcW w:w="508" w:type="pct"/>
                  <w:vMerge w:val="continue"/>
                  <w:tcBorders>
                    <w:left w:val="single" w:color="000000" w:sz="4" w:space="0"/>
                    <w:bottom w:val="single" w:color="000000" w:sz="4" w:space="0"/>
                    <w:right w:val="single" w:color="000000" w:sz="4" w:space="0"/>
                  </w:tcBorders>
                  <w:noWrap w:val="0"/>
                  <w:vAlign w:val="center"/>
                </w:tcPr>
                <w:p w14:paraId="34F6E617">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left w:val="single" w:color="000000" w:sz="4" w:space="0"/>
                    <w:bottom w:val="single" w:color="000000" w:sz="4" w:space="0"/>
                    <w:right w:val="nil"/>
                  </w:tcBorders>
                  <w:noWrap w:val="0"/>
                  <w:vAlign w:val="center"/>
                </w:tcPr>
                <w:p w14:paraId="3954931B">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2F1A3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3C30FAE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color w:val="auto"/>
                      <w:sz w:val="21"/>
                      <w:szCs w:val="21"/>
                    </w:rPr>
                  </w:pPr>
                </w:p>
              </w:tc>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14:paraId="2C7606EE">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非甲烷总烃</w:t>
                  </w: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2F47AD29">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厂区内主要设备旁</w:t>
                  </w: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lang w:val="en-US" w:eastAsia="zh-CN" w:bidi="ar"/>
                    </w:rPr>
                    <w:t>5</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7CC4953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0.68</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528D8FEB">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0.56</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88CC9A2">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0.53</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783B8709">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508" w:type="pct"/>
                  <w:vMerge w:val="restart"/>
                  <w:tcBorders>
                    <w:top w:val="single" w:color="000000" w:sz="4" w:space="0"/>
                    <w:left w:val="single" w:color="000000" w:sz="4" w:space="0"/>
                    <w:bottom w:val="single" w:color="000000" w:sz="4" w:space="0"/>
                    <w:right w:val="single" w:color="000000" w:sz="4" w:space="0"/>
                  </w:tcBorders>
                  <w:noWrap w:val="0"/>
                  <w:vAlign w:val="center"/>
                </w:tcPr>
                <w:p w14:paraId="7AC3F879">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2.39</w:t>
                  </w:r>
                </w:p>
              </w:tc>
              <w:tc>
                <w:tcPr>
                  <w:tcW w:w="568" w:type="pct"/>
                  <w:vMerge w:val="restart"/>
                  <w:tcBorders>
                    <w:top w:val="single" w:color="000000" w:sz="4" w:space="0"/>
                    <w:left w:val="single" w:color="000000" w:sz="4" w:space="0"/>
                    <w:bottom w:val="single" w:color="000000" w:sz="4" w:space="0"/>
                    <w:right w:val="nil"/>
                  </w:tcBorders>
                  <w:noWrap w:val="0"/>
                  <w:vAlign w:val="center"/>
                </w:tcPr>
                <w:p w14:paraId="6E7C15F2">
                  <w:pPr>
                    <w:pStyle w:val="54"/>
                    <w:keepNext w:val="0"/>
                    <w:keepLines w:val="0"/>
                    <w:pageBreakBefore w:val="0"/>
                    <w:kinsoku/>
                    <w:wordWrap/>
                    <w:overflowPunct/>
                    <w:topLinePunct w:val="0"/>
                    <w:autoSpaceDE/>
                    <w:autoSpaceDN/>
                    <w:bidi w:val="0"/>
                    <w:spacing w:before="0" w:beforeLines="0" w:after="0" w:afterLines="0"/>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14:paraId="26E23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33E5B9B0">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C67C7A">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15AF67AB">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厂区内主要设备旁</w:t>
                  </w: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lang w:val="en-US" w:eastAsia="zh-CN" w:bidi="ar"/>
                    </w:rPr>
                    <w:t>6</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0A02D39B">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1.49</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44795D3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1.59</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0A6FFE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1.60</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5E38A53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5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218293">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top w:val="single" w:color="000000" w:sz="4" w:space="0"/>
                    <w:left w:val="single" w:color="000000" w:sz="4" w:space="0"/>
                    <w:bottom w:val="single" w:color="000000" w:sz="4" w:space="0"/>
                    <w:right w:val="nil"/>
                  </w:tcBorders>
                  <w:noWrap w:val="0"/>
                  <w:vAlign w:val="center"/>
                </w:tcPr>
                <w:p w14:paraId="04A5B99A">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62B04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39" w:hRule="atLeast"/>
              </w:trPr>
              <w:tc>
                <w:tcPr>
                  <w:tcW w:w="558" w:type="pct"/>
                  <w:vMerge w:val="continue"/>
                  <w:tcBorders>
                    <w:left w:val="nil"/>
                    <w:bottom w:val="single" w:color="000000" w:sz="2" w:space="0"/>
                    <w:right w:val="single" w:color="000000" w:sz="4" w:space="0"/>
                  </w:tcBorders>
                  <w:noWrap w:val="0"/>
                  <w:vAlign w:val="center"/>
                </w:tcPr>
                <w:p w14:paraId="062971F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F22371">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0E67890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厂区内主要设备旁</w:t>
                  </w: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lang w:val="en-US" w:eastAsia="zh-CN" w:bidi="ar"/>
                    </w:rPr>
                    <w:t>7</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2480A70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2.44</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118B00C0">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2.34</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65C2B7B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2.39</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77EBBDE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5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CAE931">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top w:val="single" w:color="000000" w:sz="4" w:space="0"/>
                    <w:left w:val="single" w:color="000000" w:sz="4" w:space="0"/>
                    <w:bottom w:val="single" w:color="000000" w:sz="4" w:space="0"/>
                    <w:right w:val="nil"/>
                  </w:tcBorders>
                  <w:noWrap w:val="0"/>
                  <w:vAlign w:val="center"/>
                </w:tcPr>
                <w:p w14:paraId="7C5DE56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1CC31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34" w:hRule="atLeast"/>
              </w:trPr>
              <w:tc>
                <w:tcPr>
                  <w:tcW w:w="558" w:type="pct"/>
                  <w:tcBorders>
                    <w:top w:val="single" w:color="000000" w:sz="2" w:space="0"/>
                    <w:left w:val="nil"/>
                    <w:bottom w:val="single" w:color="000000" w:sz="12" w:space="0"/>
                    <w:right w:val="single" w:color="000000" w:sz="4" w:space="0"/>
                  </w:tcBorders>
                  <w:noWrap w:val="0"/>
                  <w:vAlign w:val="center"/>
                </w:tcPr>
                <w:p w14:paraId="371BF6C2">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备注</w:t>
                  </w:r>
                </w:p>
              </w:tc>
              <w:tc>
                <w:tcPr>
                  <w:tcW w:w="4441" w:type="pct"/>
                  <w:gridSpan w:val="8"/>
                  <w:tcBorders>
                    <w:top w:val="single" w:color="000000" w:sz="4" w:space="0"/>
                    <w:left w:val="single" w:color="000000" w:sz="4" w:space="0"/>
                    <w:bottom w:val="single" w:color="000000" w:sz="12" w:space="0"/>
                    <w:right w:val="nil"/>
                  </w:tcBorders>
                  <w:noWrap w:val="0"/>
                  <w:vAlign w:val="center"/>
                </w:tcPr>
                <w:p w14:paraId="6FD56052">
                  <w:pPr>
                    <w:pStyle w:val="54"/>
                    <w:keepNext w:val="0"/>
                    <w:keepLines w:val="0"/>
                    <w:pageBreakBefore w:val="0"/>
                    <w:kinsoku/>
                    <w:wordWrap/>
                    <w:overflowPunct/>
                    <w:topLinePunct w:val="0"/>
                    <w:autoSpaceDE/>
                    <w:autoSpaceDN/>
                    <w:bidi w:val="0"/>
                    <w:spacing w:before="0" w:beforeLines="0" w:after="0" w:afterLines="0"/>
                    <w:jc w:val="left"/>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参照标准限值《大气污染物综合排放标准》（GB16297-1996）表2中无组织排放监控浓度限值</w:t>
                  </w:r>
                  <w:r>
                    <w:rPr>
                      <w:rFonts w:hint="eastAsia" w:cs="Times New Roman"/>
                      <w:color w:val="auto"/>
                      <w:sz w:val="21"/>
                      <w:szCs w:val="21"/>
                      <w:lang w:val="en-US" w:eastAsia="zh-CN"/>
                    </w:rPr>
                    <w:t>，并符合《合成树脂工业污染物排放标》（GB31572-2015（含2024修单））表9企业边界大气污染物浓度限值（非甲烷总烃</w:t>
                  </w:r>
                  <w:r>
                    <w:rPr>
                      <w:rFonts w:hint="default" w:ascii="Arial" w:hAnsi="Arial" w:cs="Arial"/>
                      <w:color w:val="auto"/>
                      <w:sz w:val="21"/>
                      <w:szCs w:val="21"/>
                      <w:lang w:val="en-US" w:eastAsia="zh-CN"/>
                    </w:rPr>
                    <w:t>≤</w:t>
                  </w:r>
                  <w:r>
                    <w:rPr>
                      <w:rFonts w:hint="eastAsia" w:cs="Times New Roman"/>
                      <w:color w:val="auto"/>
                      <w:sz w:val="21"/>
                      <w:szCs w:val="21"/>
                      <w:lang w:val="en-US" w:eastAsia="zh-CN"/>
                    </w:rPr>
                    <w:t>4.0mg/m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）、《挥发性有机物无组织排放控制标准》（GB37822-2019）附录A中表A.1厂区内VOCs无组织特别排放限值（监控点处1h平均浓度值</w:t>
                  </w:r>
                  <w:r>
                    <w:rPr>
                      <w:rFonts w:hint="default" w:ascii="Arial" w:hAnsi="Arial" w:cs="Arial"/>
                      <w:color w:val="auto"/>
                      <w:sz w:val="21"/>
                      <w:szCs w:val="21"/>
                      <w:lang w:val="en-US" w:eastAsia="zh-CN"/>
                    </w:rPr>
                    <w:t>≤</w:t>
                  </w:r>
                  <w:r>
                    <w:rPr>
                      <w:rFonts w:hint="eastAsia" w:ascii="Arial" w:hAnsi="Arial" w:cs="Arial"/>
                      <w:color w:val="auto"/>
                      <w:sz w:val="21"/>
                      <w:szCs w:val="21"/>
                      <w:lang w:val="en-US" w:eastAsia="zh-CN"/>
                    </w:rPr>
                    <w:t>6mg/m</w:t>
                  </w:r>
                  <w:r>
                    <w:rPr>
                      <w:rFonts w:hint="eastAsia" w:ascii="Arial" w:hAnsi="Arial" w:cs="Arial"/>
                      <w:color w:val="auto"/>
                      <w:sz w:val="21"/>
                      <w:szCs w:val="21"/>
                      <w:vertAlign w:val="superscript"/>
                      <w:lang w:val="en-US" w:eastAsia="zh-CN"/>
                    </w:rPr>
                    <w:t>3</w:t>
                  </w:r>
                  <w:r>
                    <w:rPr>
                      <w:rFonts w:hint="eastAsia" w:ascii="Arial" w:hAnsi="Arial" w:cs="Arial"/>
                      <w:color w:val="auto"/>
                      <w:sz w:val="21"/>
                      <w:szCs w:val="21"/>
                      <w:lang w:val="en-US" w:eastAsia="zh-CN"/>
                    </w:rPr>
                    <w:t>；监控点处任意一次浓度值</w:t>
                  </w:r>
                  <w:r>
                    <w:rPr>
                      <w:rFonts w:hint="default" w:ascii="Arial" w:hAnsi="Arial" w:cs="Arial"/>
                      <w:color w:val="auto"/>
                      <w:sz w:val="21"/>
                      <w:szCs w:val="21"/>
                      <w:lang w:val="en-US" w:eastAsia="zh-CN"/>
                    </w:rPr>
                    <w:t>≤</w:t>
                  </w:r>
                  <w:r>
                    <w:rPr>
                      <w:rFonts w:hint="eastAsia" w:ascii="Arial" w:hAnsi="Arial" w:cs="Arial"/>
                      <w:color w:val="auto"/>
                      <w:sz w:val="21"/>
                      <w:szCs w:val="21"/>
                      <w:lang w:val="en-US" w:eastAsia="zh-CN"/>
                    </w:rPr>
                    <w:t>20mg/m</w:t>
                  </w:r>
                  <w:r>
                    <w:rPr>
                      <w:rFonts w:hint="eastAsia" w:ascii="Arial" w:hAnsi="Arial" w:cs="Arial"/>
                      <w:color w:val="auto"/>
                      <w:sz w:val="21"/>
                      <w:szCs w:val="21"/>
                      <w:vertAlign w:val="superscript"/>
                      <w:lang w:val="en-US" w:eastAsia="zh-CN"/>
                    </w:rPr>
                    <w:t>3</w:t>
                  </w:r>
                  <w:r>
                    <w:rPr>
                      <w:rFonts w:hint="eastAsia" w:cs="Times New Roman"/>
                      <w:color w:val="auto"/>
                      <w:sz w:val="21"/>
                      <w:szCs w:val="21"/>
                      <w:lang w:val="en-US" w:eastAsia="zh-CN"/>
                    </w:rPr>
                    <w:t>）</w:t>
                  </w:r>
                </w:p>
              </w:tc>
            </w:tr>
          </w:tbl>
          <w:p w14:paraId="03CC3799">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lang w:val="en-US" w:eastAsia="zh-CN"/>
              </w:rPr>
            </w:pPr>
            <w:bookmarkStart w:id="72" w:name="_Toc10287"/>
            <w:r>
              <w:rPr>
                <w:rFonts w:hint="eastAsia" w:ascii="Times New Roman" w:hAnsi="Times New Roman" w:eastAsia="宋体" w:cs="Times New Roman"/>
                <w:b/>
                <w:bCs/>
                <w:color w:val="auto"/>
                <w:sz w:val="24"/>
                <w:szCs w:val="24"/>
                <w:lang w:val="en-US" w:eastAsia="zh-CN"/>
              </w:rPr>
              <w:t>2.4.7原有工程的环保投诉情况、事故和处罚情况</w:t>
            </w:r>
            <w:bookmarkEnd w:id="72"/>
          </w:p>
          <w:p w14:paraId="66B59D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GB" w:eastAsia="zh-CN"/>
              </w:rPr>
            </w:pPr>
            <w:r>
              <w:rPr>
                <w:rFonts w:hint="default" w:ascii="Times New Roman" w:hAnsi="Times New Roman" w:eastAsia="宋体" w:cs="Times New Roman"/>
                <w:color w:val="auto"/>
                <w:sz w:val="24"/>
                <w:szCs w:val="24"/>
                <w:lang w:val="en-US" w:eastAsia="zh-CN"/>
              </w:rPr>
              <w:t>根据建设单位了解的情况和网络查询，项目投产以来，未收到周边居民及企业的环境污染投诉事件，也未受到生态环境行政主管部门的处罚，未发生环境风险事故等</w:t>
            </w:r>
            <w:r>
              <w:rPr>
                <w:rFonts w:hint="default" w:ascii="Times New Roman" w:hAnsi="Times New Roman" w:eastAsia="宋体" w:cs="Times New Roman"/>
                <w:color w:val="auto"/>
                <w:sz w:val="24"/>
                <w:szCs w:val="24"/>
                <w:lang w:val="en-GB" w:eastAsia="zh-CN"/>
              </w:rPr>
              <w:t>。</w:t>
            </w:r>
          </w:p>
          <w:p w14:paraId="70FB3048">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73" w:name="_Toc5888"/>
            <w:r>
              <w:rPr>
                <w:rFonts w:hint="eastAsia" w:ascii="Times New Roman" w:hAnsi="Times New Roman" w:eastAsia="宋体" w:cs="Times New Roman"/>
                <w:b/>
                <w:bCs/>
                <w:color w:val="auto"/>
                <w:sz w:val="24"/>
                <w:szCs w:val="24"/>
                <w:lang w:val="en-US" w:eastAsia="zh-CN"/>
              </w:rPr>
              <w:t>2.4.8现有项目和环评批复落实情况存在的问题</w:t>
            </w:r>
            <w:bookmarkEnd w:id="73"/>
          </w:p>
          <w:p w14:paraId="11F9CF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根据原环评报告、环评批复及竣工验收检测报告表，结合现场实际勘查，具体问题详见下表2.</w:t>
            </w:r>
            <w:r>
              <w:rPr>
                <w:rFonts w:hint="eastAsia" w:ascii="Times New Roman" w:hAnsi="Times New Roman" w:eastAsia="宋体" w:cs="Times New Roman"/>
                <w:color w:val="auto"/>
                <w:sz w:val="24"/>
                <w:szCs w:val="24"/>
                <w:lang w:val="en-US" w:eastAsia="zh-CN"/>
              </w:rPr>
              <w:t>3-12</w:t>
            </w:r>
            <w:r>
              <w:rPr>
                <w:rFonts w:hint="default" w:ascii="Times New Roman" w:hAnsi="Times New Roman" w:eastAsia="宋体" w:cs="Times New Roman"/>
                <w:color w:val="auto"/>
                <w:sz w:val="24"/>
                <w:szCs w:val="24"/>
                <w:lang w:val="en-US" w:eastAsia="zh-CN"/>
              </w:rPr>
              <w:t>。</w:t>
            </w:r>
          </w:p>
          <w:p w14:paraId="3BC0FD63">
            <w:pPr>
              <w:pStyle w:val="42"/>
              <w:spacing w:before="120" w:after="0"/>
              <w:rPr>
                <w:rFonts w:hint="default"/>
                <w:color w:val="auto"/>
                <w:lang w:val="en-US" w:eastAsia="zh-CN"/>
              </w:rPr>
            </w:pPr>
            <w:r>
              <w:rPr>
                <w:color w:val="auto"/>
              </w:rPr>
              <w:t>表2.</w:t>
            </w:r>
            <w:r>
              <w:rPr>
                <w:rFonts w:hint="eastAsia"/>
                <w:color w:val="auto"/>
                <w:lang w:val="en-US" w:eastAsia="zh-CN"/>
              </w:rPr>
              <w:t>4-6</w:t>
            </w:r>
            <w:r>
              <w:rPr>
                <w:color w:val="auto"/>
              </w:rPr>
              <w:t>项目和环评批复落实情况一览表</w:t>
            </w:r>
          </w:p>
          <w:tbl>
            <w:tblPr>
              <w:tblStyle w:val="23"/>
              <w:tblW w:w="489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05"/>
              <w:gridCol w:w="3804"/>
              <w:gridCol w:w="3243"/>
              <w:gridCol w:w="1042"/>
            </w:tblGrid>
            <w:tr w14:paraId="053DFC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98" w:hRule="atLeast"/>
                <w:jc w:val="center"/>
              </w:trPr>
              <w:tc>
                <w:tcPr>
                  <w:tcW w:w="348" w:type="pct"/>
                  <w:noWrap w:val="0"/>
                  <w:vAlign w:val="center"/>
                </w:tcPr>
                <w:p w14:paraId="7C82F477">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序号</w:t>
                  </w:r>
                </w:p>
              </w:tc>
              <w:tc>
                <w:tcPr>
                  <w:tcW w:w="2187" w:type="pct"/>
                  <w:noWrap w:val="0"/>
                  <w:tcMar>
                    <w:left w:w="85" w:type="dxa"/>
                    <w:right w:w="85" w:type="dxa"/>
                  </w:tcMar>
                  <w:vAlign w:val="center"/>
                </w:tcPr>
                <w:p w14:paraId="15FD4747">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环评批复要求</w:t>
                  </w:r>
                </w:p>
              </w:tc>
              <w:tc>
                <w:tcPr>
                  <w:tcW w:w="1865" w:type="pct"/>
                  <w:noWrap w:val="0"/>
                  <w:tcMar>
                    <w:left w:w="85" w:type="dxa"/>
                    <w:right w:w="85" w:type="dxa"/>
                  </w:tcMar>
                  <w:vAlign w:val="center"/>
                </w:tcPr>
                <w:p w14:paraId="342614B2">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实际落实情况</w:t>
                  </w:r>
                </w:p>
              </w:tc>
              <w:tc>
                <w:tcPr>
                  <w:tcW w:w="598" w:type="pct"/>
                  <w:noWrap w:val="0"/>
                  <w:vAlign w:val="center"/>
                </w:tcPr>
                <w:p w14:paraId="19C33093">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是否落实环评要求</w:t>
                  </w:r>
                </w:p>
              </w:tc>
            </w:tr>
            <w:tr w14:paraId="041B4E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05" w:hRule="atLeast"/>
                <w:jc w:val="center"/>
              </w:trPr>
              <w:tc>
                <w:tcPr>
                  <w:tcW w:w="348" w:type="pct"/>
                  <w:noWrap w:val="0"/>
                  <w:vAlign w:val="center"/>
                </w:tcPr>
                <w:p w14:paraId="45719988">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1</w:t>
                  </w:r>
                </w:p>
              </w:tc>
              <w:tc>
                <w:tcPr>
                  <w:tcW w:w="2187" w:type="pct"/>
                  <w:noWrap w:val="0"/>
                  <w:tcMar>
                    <w:left w:w="85" w:type="dxa"/>
                    <w:right w:w="85" w:type="dxa"/>
                  </w:tcMar>
                  <w:vAlign w:val="center"/>
                </w:tcPr>
                <w:p w14:paraId="4EA2ACA4">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雨、污水应分流，模具冷却水及蒸汽冷凝水经沉淀处理后回用，不得外排；生活污水经化粪池处理后排入</w:t>
                  </w:r>
                  <w:r>
                    <w:rPr>
                      <w:rFonts w:hint="eastAsia" w:cs="Times New Roman"/>
                      <w:snapToGrid w:val="0"/>
                      <w:color w:val="auto"/>
                      <w:kern w:val="18"/>
                      <w:sz w:val="21"/>
                      <w:szCs w:val="21"/>
                      <w:lang w:val="en-US" w:eastAsia="zh-CN"/>
                    </w:rPr>
                    <w:t>污水厂</w:t>
                  </w:r>
                  <w:r>
                    <w:rPr>
                      <w:rFonts w:hint="eastAsia" w:ascii="Times New Roman" w:hAnsi="Times New Roman" w:eastAsia="宋体" w:cs="Times New Roman"/>
                      <w:snapToGrid w:val="0"/>
                      <w:color w:val="auto"/>
                      <w:kern w:val="18"/>
                      <w:sz w:val="21"/>
                      <w:szCs w:val="21"/>
                      <w:lang w:val="en-US" w:eastAsia="zh-CN"/>
                    </w:rPr>
                    <w:t>集中处理，雨水排入市政雨水管网</w:t>
                  </w:r>
                </w:p>
              </w:tc>
              <w:tc>
                <w:tcPr>
                  <w:tcW w:w="1865" w:type="pct"/>
                  <w:noWrap w:val="0"/>
                  <w:tcMar>
                    <w:left w:w="85" w:type="dxa"/>
                    <w:right w:w="85" w:type="dxa"/>
                  </w:tcMar>
                  <w:vAlign w:val="center"/>
                </w:tcPr>
                <w:p w14:paraId="0A6E7FF0">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项目模具冷却水及蒸汽冷凝水经沉淀处理后回用，生活污水经化粪池处理后排入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ascii="Times New Roman" w:hAnsi="Times New Roman" w:eastAsia="宋体" w:cs="Times New Roman"/>
                      <w:snapToGrid w:val="0"/>
                      <w:color w:val="auto"/>
                      <w:kern w:val="18"/>
                      <w:sz w:val="21"/>
                      <w:szCs w:val="21"/>
                      <w:lang w:val="en-US" w:eastAsia="zh-CN"/>
                    </w:rPr>
                    <w:t>集中处理，雨水排入市政雨水管网</w:t>
                  </w:r>
                </w:p>
              </w:tc>
              <w:tc>
                <w:tcPr>
                  <w:tcW w:w="598" w:type="pct"/>
                  <w:noWrap w:val="0"/>
                  <w:vAlign w:val="center"/>
                </w:tcPr>
                <w:p w14:paraId="6DD9E4EA">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已落实</w:t>
                  </w:r>
                </w:p>
              </w:tc>
            </w:tr>
            <w:tr w14:paraId="7E74BD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597" w:hRule="atLeast"/>
                <w:jc w:val="center"/>
              </w:trPr>
              <w:tc>
                <w:tcPr>
                  <w:tcW w:w="348" w:type="pct"/>
                  <w:noWrap w:val="0"/>
                  <w:vAlign w:val="center"/>
                </w:tcPr>
                <w:p w14:paraId="7D8A4291">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2</w:t>
                  </w:r>
                </w:p>
              </w:tc>
              <w:tc>
                <w:tcPr>
                  <w:tcW w:w="2187" w:type="pct"/>
                  <w:noWrap w:val="0"/>
                  <w:tcMar>
                    <w:left w:w="85" w:type="dxa"/>
                    <w:right w:w="85" w:type="dxa"/>
                  </w:tcMar>
                  <w:vAlign w:val="center"/>
                </w:tcPr>
                <w:p w14:paraId="5878684A">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eastAsia="宋体" w:cs="Times New Roman"/>
                      <w:snapToGrid w:val="0"/>
                      <w:color w:val="auto"/>
                      <w:kern w:val="18"/>
                      <w:sz w:val="21"/>
                      <w:szCs w:val="21"/>
                      <w:lang w:val="en-US" w:eastAsia="zh-CN"/>
                    </w:rPr>
                    <w:t>工艺废气应落实《报告表》提出防治措施。本项目卫生防护距离为车间外延50米范围，建设单位应将此卫生防护距离要求报告市规划部门与当地政府管理部门，在此卫生防护距离范围内不得新建学校、村居等环境敏感建筑物。</w:t>
                  </w:r>
                </w:p>
              </w:tc>
              <w:tc>
                <w:tcPr>
                  <w:tcW w:w="1865" w:type="pct"/>
                  <w:noWrap w:val="0"/>
                  <w:tcMar>
                    <w:left w:w="85" w:type="dxa"/>
                    <w:right w:w="85" w:type="dxa"/>
                  </w:tcMar>
                  <w:vAlign w:val="center"/>
                </w:tcPr>
                <w:p w14:paraId="22320DCB">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本项目预发泡及成型过程均在封闭的容器内进行，大部分废气通过容器排水管道进入循环水池再逸散空气中，少量废气在容器打开时逸散至空气中。50m</w:t>
                  </w:r>
                  <w:r>
                    <w:rPr>
                      <w:rFonts w:hint="eastAsia" w:cs="Times New Roman"/>
                      <w:snapToGrid w:val="0"/>
                      <w:color w:val="auto"/>
                      <w:kern w:val="18"/>
                      <w:sz w:val="21"/>
                      <w:szCs w:val="21"/>
                      <w:lang w:val="en-US" w:eastAsia="zh-CN"/>
                    </w:rPr>
                    <w:t>防护距离</w:t>
                  </w:r>
                  <w:r>
                    <w:rPr>
                      <w:rFonts w:hint="eastAsia" w:ascii="Times New Roman" w:hAnsi="Times New Roman" w:eastAsia="宋体" w:cs="Times New Roman"/>
                      <w:snapToGrid w:val="0"/>
                      <w:color w:val="auto"/>
                      <w:kern w:val="18"/>
                      <w:sz w:val="21"/>
                      <w:szCs w:val="21"/>
                      <w:lang w:val="en-US" w:eastAsia="zh-CN"/>
                    </w:rPr>
                    <w:t>范围内</w:t>
                  </w:r>
                  <w:r>
                    <w:rPr>
                      <w:rFonts w:hint="eastAsia" w:cs="Times New Roman"/>
                      <w:snapToGrid w:val="0"/>
                      <w:color w:val="auto"/>
                      <w:kern w:val="18"/>
                      <w:sz w:val="21"/>
                      <w:szCs w:val="21"/>
                      <w:lang w:val="en-US" w:eastAsia="zh-CN"/>
                    </w:rPr>
                    <w:t>现状</w:t>
                  </w:r>
                  <w:r>
                    <w:rPr>
                      <w:rFonts w:hint="eastAsia" w:ascii="Times New Roman" w:hAnsi="Times New Roman" w:eastAsia="宋体" w:cs="Times New Roman"/>
                      <w:snapToGrid w:val="0"/>
                      <w:color w:val="auto"/>
                      <w:kern w:val="18"/>
                      <w:sz w:val="21"/>
                      <w:szCs w:val="21"/>
                      <w:lang w:val="en-US" w:eastAsia="zh-CN"/>
                    </w:rPr>
                    <w:t>无</w:t>
                  </w:r>
                  <w:r>
                    <w:rPr>
                      <w:rFonts w:hint="default" w:ascii="Times New Roman" w:hAnsi="Times New Roman" w:eastAsia="宋体" w:cs="Times New Roman"/>
                      <w:snapToGrid w:val="0"/>
                      <w:color w:val="auto"/>
                      <w:kern w:val="18"/>
                      <w:sz w:val="21"/>
                      <w:szCs w:val="21"/>
                      <w:lang w:val="en-US" w:eastAsia="zh-CN"/>
                    </w:rPr>
                    <w:t>学校、村居等环境敏感建筑物。</w:t>
                  </w:r>
                </w:p>
              </w:tc>
              <w:tc>
                <w:tcPr>
                  <w:tcW w:w="598" w:type="pct"/>
                  <w:noWrap w:val="0"/>
                  <w:vAlign w:val="center"/>
                </w:tcPr>
                <w:p w14:paraId="4E3FF848">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已落实</w:t>
                  </w:r>
                </w:p>
              </w:tc>
            </w:tr>
            <w:tr w14:paraId="23AA60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055" w:hRule="atLeast"/>
                <w:jc w:val="center"/>
              </w:trPr>
              <w:tc>
                <w:tcPr>
                  <w:tcW w:w="348" w:type="pct"/>
                  <w:noWrap w:val="0"/>
                  <w:vAlign w:val="center"/>
                </w:tcPr>
                <w:p w14:paraId="3AB63BFD">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3</w:t>
                  </w:r>
                </w:p>
              </w:tc>
              <w:tc>
                <w:tcPr>
                  <w:tcW w:w="2187" w:type="pct"/>
                  <w:noWrap w:val="0"/>
                  <w:tcMar>
                    <w:left w:w="85" w:type="dxa"/>
                    <w:right w:w="85" w:type="dxa"/>
                  </w:tcMar>
                  <w:vAlign w:val="center"/>
                </w:tcPr>
                <w:p w14:paraId="31EF77E6">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eastAsia="宋体" w:cs="Times New Roman"/>
                      <w:snapToGrid w:val="0"/>
                      <w:color w:val="auto"/>
                      <w:kern w:val="18"/>
                      <w:sz w:val="21"/>
                      <w:szCs w:val="21"/>
                      <w:lang w:val="en-US" w:eastAsia="zh-CN"/>
                    </w:rPr>
                    <w:t>应选用低噪声型设备，并采取隔音、减</w:t>
                  </w:r>
                  <w:r>
                    <w:rPr>
                      <w:rFonts w:hint="eastAsia" w:cs="Times New Roman"/>
                      <w:snapToGrid w:val="0"/>
                      <w:color w:val="auto"/>
                      <w:kern w:val="18"/>
                      <w:sz w:val="21"/>
                      <w:szCs w:val="21"/>
                      <w:lang w:val="en-US" w:eastAsia="zh-CN"/>
                    </w:rPr>
                    <w:t>振</w:t>
                  </w:r>
                  <w:r>
                    <w:rPr>
                      <w:rFonts w:hint="default" w:ascii="Times New Roman" w:hAnsi="Times New Roman" w:eastAsia="宋体" w:cs="Times New Roman"/>
                      <w:snapToGrid w:val="0"/>
                      <w:color w:val="auto"/>
                      <w:kern w:val="18"/>
                      <w:sz w:val="21"/>
                      <w:szCs w:val="21"/>
                      <w:lang w:val="en-US" w:eastAsia="zh-CN"/>
                    </w:rPr>
                    <w:t>等处理，厂界噪声应达标。</w:t>
                  </w:r>
                </w:p>
              </w:tc>
              <w:tc>
                <w:tcPr>
                  <w:tcW w:w="1865" w:type="pct"/>
                  <w:noWrap w:val="0"/>
                  <w:tcMar>
                    <w:left w:w="85" w:type="dxa"/>
                    <w:right w:w="85" w:type="dxa"/>
                  </w:tcMar>
                  <w:vAlign w:val="center"/>
                </w:tcPr>
                <w:p w14:paraId="7C0E3C6F">
                  <w:pPr>
                    <w:spacing w:line="320" w:lineRule="exact"/>
                    <w:jc w:val="center"/>
                    <w:rPr>
                      <w:rFonts w:hint="default" w:ascii="Times New Roman" w:hAnsi="Times New Roman" w:eastAsia="宋体" w:cs="Times New Roman"/>
                      <w:snapToGrid w:val="0"/>
                      <w:color w:val="auto"/>
                      <w:kern w:val="18"/>
                      <w:sz w:val="21"/>
                      <w:szCs w:val="21"/>
                    </w:rPr>
                  </w:pPr>
                  <w:r>
                    <w:rPr>
                      <w:rFonts w:hint="eastAsia" w:cs="Times New Roman"/>
                      <w:color w:val="auto"/>
                      <w:sz w:val="21"/>
                      <w:szCs w:val="21"/>
                      <w:lang w:val="en-US" w:eastAsia="zh-CN"/>
                    </w:rPr>
                    <w:t>已</w:t>
                  </w:r>
                  <w:r>
                    <w:rPr>
                      <w:rFonts w:hint="default" w:ascii="Times New Roman" w:hAnsi="Times New Roman" w:eastAsia="宋体" w:cs="Times New Roman"/>
                      <w:color w:val="auto"/>
                      <w:sz w:val="21"/>
                      <w:szCs w:val="21"/>
                    </w:rPr>
                    <w:t>选用低噪声型设备，并采取隔声、减震等综合措施</w:t>
                  </w:r>
                </w:p>
              </w:tc>
              <w:tc>
                <w:tcPr>
                  <w:tcW w:w="598" w:type="pct"/>
                  <w:noWrap w:val="0"/>
                  <w:vAlign w:val="center"/>
                </w:tcPr>
                <w:p w14:paraId="457E78D1">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已落实</w:t>
                  </w:r>
                </w:p>
              </w:tc>
            </w:tr>
            <w:tr w14:paraId="05BBC4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48" w:type="pct"/>
                  <w:noWrap w:val="0"/>
                  <w:vAlign w:val="center"/>
                </w:tcPr>
                <w:p w14:paraId="4677F97D">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4</w:t>
                  </w:r>
                </w:p>
              </w:tc>
              <w:tc>
                <w:tcPr>
                  <w:tcW w:w="2187" w:type="pct"/>
                  <w:noWrap w:val="0"/>
                  <w:tcMar>
                    <w:left w:w="85" w:type="dxa"/>
                    <w:right w:w="85" w:type="dxa"/>
                  </w:tcMar>
                  <w:vAlign w:val="center"/>
                </w:tcPr>
                <w:p w14:paraId="16D0E6B3">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eastAsia="宋体" w:cs="Times New Roman"/>
                      <w:snapToGrid w:val="0"/>
                      <w:color w:val="auto"/>
                      <w:kern w:val="18"/>
                      <w:sz w:val="21"/>
                      <w:szCs w:val="21"/>
                      <w:lang w:val="en-US" w:eastAsia="zh-CN"/>
                    </w:rPr>
                    <w:t>固体废物应分类管理。一般工业固体废物应建设规范场所进行贮存，回用或外运综合利用</w:t>
                  </w:r>
                  <w:r>
                    <w:rPr>
                      <w:rFonts w:hint="eastAsia" w:cs="Times New Roman"/>
                      <w:snapToGrid w:val="0"/>
                      <w:color w:val="auto"/>
                      <w:kern w:val="18"/>
                      <w:sz w:val="21"/>
                      <w:szCs w:val="21"/>
                      <w:lang w:val="en-US" w:eastAsia="zh-CN"/>
                    </w:rPr>
                    <w:t>；</w:t>
                  </w:r>
                  <w:r>
                    <w:rPr>
                      <w:rFonts w:hint="default" w:ascii="Times New Roman" w:hAnsi="Times New Roman" w:eastAsia="宋体" w:cs="Times New Roman"/>
                      <w:snapToGrid w:val="0"/>
                      <w:color w:val="auto"/>
                      <w:kern w:val="18"/>
                      <w:sz w:val="21"/>
                      <w:szCs w:val="21"/>
                      <w:lang w:val="en-US" w:eastAsia="zh-CN"/>
                    </w:rPr>
                    <w:t>生活垃圾定期委托环卫部门清运。</w:t>
                  </w:r>
                </w:p>
              </w:tc>
              <w:tc>
                <w:tcPr>
                  <w:tcW w:w="1865" w:type="pct"/>
                  <w:noWrap w:val="0"/>
                  <w:tcMar>
                    <w:left w:w="85" w:type="dxa"/>
                    <w:right w:w="85" w:type="dxa"/>
                  </w:tcMar>
                  <w:vAlign w:val="center"/>
                </w:tcPr>
                <w:p w14:paraId="220B7BD2">
                  <w:pPr>
                    <w:spacing w:line="320" w:lineRule="exact"/>
                    <w:jc w:val="center"/>
                    <w:rPr>
                      <w:rFonts w:hint="default" w:ascii="Times New Roman" w:hAnsi="Times New Roman" w:eastAsia="宋体" w:cs="Times New Roman"/>
                      <w:snapToGrid w:val="0"/>
                      <w:color w:val="auto"/>
                      <w:kern w:val="18"/>
                      <w:sz w:val="21"/>
                      <w:szCs w:val="21"/>
                    </w:rPr>
                  </w:pPr>
                  <w:r>
                    <w:rPr>
                      <w:rFonts w:hint="eastAsia" w:cs="Times New Roman"/>
                      <w:color w:val="auto"/>
                      <w:sz w:val="21"/>
                      <w:szCs w:val="21"/>
                      <w:lang w:val="en-US" w:eastAsia="zh-CN"/>
                    </w:rPr>
                    <w:t>已建设</w:t>
                  </w:r>
                  <w:r>
                    <w:rPr>
                      <w:rFonts w:hint="default" w:ascii="Times New Roman" w:hAnsi="Times New Roman" w:eastAsia="宋体" w:cs="Times New Roman"/>
                      <w:color w:val="auto"/>
                      <w:sz w:val="21"/>
                      <w:szCs w:val="21"/>
                    </w:rPr>
                    <w:t>一般固废全部外售给</w:t>
                  </w:r>
                  <w:r>
                    <w:rPr>
                      <w:rFonts w:hint="default" w:ascii="Times New Roman" w:hAnsi="Times New Roman" w:eastAsia="宋体" w:cs="Times New Roman"/>
                      <w:color w:val="auto"/>
                      <w:sz w:val="21"/>
                      <w:szCs w:val="21"/>
                      <w:lang w:val="en-US" w:eastAsia="zh-CN"/>
                    </w:rPr>
                    <w:t>其他</w:t>
                  </w:r>
                  <w:r>
                    <w:rPr>
                      <w:rFonts w:hint="default" w:ascii="Times New Roman" w:hAnsi="Times New Roman" w:eastAsia="宋体" w:cs="Times New Roman"/>
                      <w:color w:val="auto"/>
                      <w:sz w:val="21"/>
                      <w:szCs w:val="21"/>
                    </w:rPr>
                    <w:t>企业综合利用；生活垃圾委托环卫部门外运填埋统一处置；</w:t>
                  </w:r>
                </w:p>
              </w:tc>
              <w:tc>
                <w:tcPr>
                  <w:tcW w:w="598" w:type="pct"/>
                  <w:noWrap w:val="0"/>
                  <w:vAlign w:val="center"/>
                </w:tcPr>
                <w:p w14:paraId="2C323E52">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已落实</w:t>
                  </w:r>
                </w:p>
              </w:tc>
            </w:tr>
          </w:tbl>
          <w:p w14:paraId="1E203B9C">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74" w:name="_Toc21327"/>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9</w:t>
            </w:r>
            <w:r>
              <w:rPr>
                <w:rFonts w:hint="eastAsia" w:ascii="Times New Roman" w:hAnsi="Times New Roman" w:eastAsia="宋体" w:cs="Times New Roman"/>
                <w:b/>
                <w:bCs/>
                <w:color w:val="auto"/>
                <w:sz w:val="24"/>
                <w:szCs w:val="24"/>
                <w:lang w:val="en-US" w:eastAsia="zh-CN"/>
              </w:rPr>
              <w:t>现有项目存在问题</w:t>
            </w:r>
            <w:bookmarkEnd w:id="74"/>
          </w:p>
          <w:p w14:paraId="40F0AF53">
            <w:pPr>
              <w:keepNext w:val="0"/>
              <w:keepLines w:val="0"/>
              <w:pageBreakBefore w:val="0"/>
              <w:kinsoku/>
              <w:wordWrap/>
              <w:overflowPunct/>
              <w:topLinePunct w:val="0"/>
              <w:autoSpaceDE/>
              <w:autoSpaceDN/>
              <w:bidi w:val="0"/>
              <w:snapToGrid/>
              <w:spacing w:line="360" w:lineRule="auto"/>
              <w:ind w:left="0" w:right="0" w:firstLine="480" w:firstLineChars="200"/>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pP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根据企业现场实际情况，</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现有</w:t>
            </w:r>
            <w:r>
              <w:rPr>
                <w:rFonts w:hint="eastAsia" w:cs="Times New Roman"/>
                <w:b w:val="0"/>
                <w:bCs w:val="0"/>
                <w:color w:val="auto"/>
                <w:kern w:val="2"/>
                <w:sz w:val="24"/>
                <w:szCs w:val="24"/>
                <w:highlight w:val="none"/>
                <w:shd w:val="clear" w:color="auto" w:fill="auto"/>
                <w:lang w:val="en-US" w:eastAsia="zh-CN" w:bidi="ar-SA"/>
              </w:rPr>
              <w:t>项目</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于2017年3月通过环评审批（榕环评表〔2017〕26号），2017年7月完成竣工验收。由于还发布</w:t>
            </w:r>
            <w:r>
              <w:rPr>
                <w:rFonts w:hint="eastAsia" w:cs="Times New Roman"/>
                <w:b w:val="0"/>
                <w:bCs w:val="0"/>
                <w:color w:val="auto"/>
                <w:kern w:val="2"/>
                <w:sz w:val="24"/>
                <w:szCs w:val="24"/>
                <w:highlight w:val="none"/>
                <w:shd w:val="clear" w:color="auto" w:fill="auto"/>
                <w:lang w:val="en-US" w:eastAsia="zh-CN" w:bidi="ar-SA"/>
              </w:rPr>
              <w:t>VOCs相关排放</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政策。现有项目所产生的废气污染物VOCs未安装环保设备，无组织排放。本次扩建将把现有项目产生废气与拟扩建项目产生废气一并收集处理。</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现有项目产生时所产生的危险废物</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（废液压油</w:t>
            </w:r>
            <w:r>
              <w:rPr>
                <w:rFonts w:hint="eastAsia" w:cs="Times New Roman"/>
                <w:b w:val="0"/>
                <w:bCs w:val="0"/>
                <w:color w:val="auto"/>
                <w:kern w:val="2"/>
                <w:sz w:val="24"/>
                <w:szCs w:val="24"/>
                <w:highlight w:val="none"/>
                <w:shd w:val="clear" w:color="auto" w:fill="auto"/>
                <w:lang w:val="en-US" w:eastAsia="zh-CN" w:bidi="ar-SA"/>
              </w:rPr>
              <w:t>、污泥（含有机物）</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未放置在危险废物暂存间。企业应当按照</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《危险废物贮存污染控制标准》</w:t>
            </w:r>
            <w:r>
              <w:rPr>
                <w:rFonts w:hint="eastAsia" w:cs="Times New Roman"/>
                <w:b w:val="0"/>
                <w:bCs w:val="0"/>
                <w:color w:val="auto"/>
                <w:kern w:val="2"/>
                <w:sz w:val="24"/>
                <w:szCs w:val="24"/>
                <w:highlight w:val="none"/>
                <w:shd w:val="clear" w:color="auto" w:fill="auto"/>
                <w:lang w:val="en-US" w:eastAsia="zh-CN" w:bidi="ar-SA"/>
              </w:rPr>
              <w:t>（</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GB18597-2023</w:t>
            </w:r>
            <w:r>
              <w:rPr>
                <w:rFonts w:hint="eastAsia" w:cs="Times New Roman"/>
                <w:b w:val="0"/>
                <w:bCs w:val="0"/>
                <w:color w:val="auto"/>
                <w:kern w:val="2"/>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中的规定规范设置危废间。</w:t>
            </w:r>
            <w:r>
              <w:rPr>
                <w:rFonts w:hint="eastAsia" w:cs="Times New Roman"/>
                <w:b w:val="0"/>
                <w:bCs w:val="0"/>
                <w:color w:val="auto"/>
                <w:kern w:val="2"/>
                <w:sz w:val="24"/>
                <w:szCs w:val="24"/>
                <w:highlight w:val="none"/>
                <w:shd w:val="clear" w:color="auto" w:fill="auto"/>
                <w:lang w:val="en-US" w:eastAsia="zh-CN" w:bidi="ar-SA"/>
              </w:rPr>
              <w:t>此外，</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目前</w:t>
            </w:r>
            <w:r>
              <w:rPr>
                <w:rFonts w:hint="eastAsia" w:cs="Times New Roman"/>
                <w:b w:val="0"/>
                <w:bCs w:val="0"/>
                <w:color w:val="auto"/>
                <w:kern w:val="2"/>
                <w:sz w:val="24"/>
                <w:szCs w:val="24"/>
                <w:highlight w:val="none"/>
                <w:shd w:val="clear" w:color="auto" w:fill="auto"/>
                <w:lang w:val="en-US" w:eastAsia="zh-CN" w:bidi="ar-SA"/>
              </w:rPr>
              <w:t>未签订</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危险废物</w:t>
            </w:r>
            <w:r>
              <w:rPr>
                <w:rFonts w:hint="eastAsia" w:cs="Times New Roman"/>
                <w:b w:val="0"/>
                <w:bCs w:val="0"/>
                <w:color w:val="auto"/>
                <w:kern w:val="2"/>
                <w:sz w:val="24"/>
                <w:szCs w:val="24"/>
                <w:highlight w:val="none"/>
                <w:shd w:val="clear" w:color="auto" w:fill="auto"/>
                <w:lang w:val="en-US" w:eastAsia="zh-CN" w:bidi="ar-SA"/>
              </w:rPr>
              <w:t>委托处置</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协议，需要签订危废</w:t>
            </w:r>
            <w:r>
              <w:rPr>
                <w:rFonts w:hint="eastAsia" w:cs="Times New Roman"/>
                <w:b w:val="0"/>
                <w:bCs w:val="0"/>
                <w:color w:val="auto"/>
                <w:kern w:val="2"/>
                <w:sz w:val="24"/>
                <w:szCs w:val="24"/>
                <w:highlight w:val="none"/>
                <w:shd w:val="clear" w:color="auto" w:fill="auto"/>
                <w:lang w:val="en-US" w:eastAsia="zh-CN" w:bidi="ar-SA"/>
              </w:rPr>
              <w:t>委托处置</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协议。</w:t>
            </w:r>
          </w:p>
          <w:p w14:paraId="427270D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p>
          <w:p w14:paraId="3E86B18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75" w:name="_Toc3729"/>
            <w:r>
              <w:rPr>
                <w:rFonts w:hint="eastAsia" w:ascii="Times New Roman" w:hAnsi="Times New Roman" w:eastAsia="宋体" w:cs="Times New Roman"/>
                <w:color w:val="auto"/>
                <w:sz w:val="28"/>
                <w:szCs w:val="28"/>
                <w:u w:val="none"/>
                <w:lang w:val="en-US" w:eastAsia="zh-CN"/>
              </w:rPr>
              <w:t>2.5</w:t>
            </w:r>
            <w:r>
              <w:rPr>
                <w:rFonts w:hint="eastAsia" w:ascii="Times New Roman" w:hAnsi="Times New Roman" w:cs="Times New Roman"/>
                <w:color w:val="auto"/>
                <w:sz w:val="28"/>
                <w:szCs w:val="28"/>
                <w:u w:val="none"/>
                <w:lang w:val="en-US" w:eastAsia="zh-CN"/>
              </w:rPr>
              <w:t>项目“三本账”分析</w:t>
            </w:r>
            <w:bookmarkEnd w:id="75"/>
          </w:p>
          <w:p w14:paraId="7B7ED197">
            <w:pPr>
              <w:keepNext w:val="0"/>
              <w:keepLines w:val="0"/>
              <w:pageBreakBefore w:val="0"/>
              <w:kinsoku/>
              <w:wordWrap/>
              <w:overflowPunct/>
              <w:topLinePunct w:val="0"/>
              <w:autoSpaceDE/>
              <w:autoSpaceDN/>
              <w:bidi w:val="0"/>
              <w:snapToGrid/>
              <w:spacing w:line="360" w:lineRule="auto"/>
              <w:ind w:left="0" w:right="0" w:firstLine="480" w:firstLineChars="200"/>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本项目扩建前后“三本账”分析见表2.5-1。</w:t>
            </w:r>
          </w:p>
          <w:p w14:paraId="33CC3273">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表2.5-1三本账一览表</w:t>
            </w:r>
          </w:p>
          <w:tbl>
            <w:tblPr>
              <w:tblStyle w:val="24"/>
              <w:tblW w:w="50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9"/>
              <w:gridCol w:w="1118"/>
              <w:gridCol w:w="1197"/>
              <w:gridCol w:w="1298"/>
              <w:gridCol w:w="1202"/>
              <w:gridCol w:w="1022"/>
              <w:gridCol w:w="1118"/>
              <w:gridCol w:w="1118"/>
            </w:tblGrid>
            <w:tr w14:paraId="6B41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0" w:type="pct"/>
                  <w:noWrap w:val="0"/>
                  <w:vAlign w:val="center"/>
                </w:tcPr>
                <w:p w14:paraId="681D2E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污染物类别</w:t>
                  </w:r>
                </w:p>
              </w:tc>
              <w:tc>
                <w:tcPr>
                  <w:tcW w:w="628" w:type="pct"/>
                  <w:noWrap w:val="0"/>
                  <w:vAlign w:val="center"/>
                </w:tcPr>
                <w:p w14:paraId="76BCE8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污染物因子</w:t>
                  </w:r>
                </w:p>
              </w:tc>
              <w:tc>
                <w:tcPr>
                  <w:tcW w:w="673" w:type="pct"/>
                  <w:noWrap w:val="0"/>
                  <w:vAlign w:val="center"/>
                </w:tcPr>
                <w:p w14:paraId="3C98D1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highlight w:val="none"/>
                      <w:lang w:val="en-US" w:eastAsia="zh-CN"/>
                    </w:rPr>
                    <w:t>①</w:t>
                  </w:r>
                  <w:r>
                    <w:rPr>
                      <w:rFonts w:hint="eastAsia" w:ascii="Times New Roman" w:hAnsi="Times New Roman" w:eastAsia="宋体" w:cs="Times New Roman"/>
                      <w:color w:val="auto"/>
                      <w:kern w:val="2"/>
                      <w:sz w:val="21"/>
                      <w:szCs w:val="21"/>
                      <w:highlight w:val="none"/>
                      <w:lang w:val="en-US" w:eastAsia="zh-CN"/>
                    </w:rPr>
                    <w:t>现有项目已建工程</w:t>
                  </w:r>
                  <w:r>
                    <w:rPr>
                      <w:rFonts w:hint="default" w:ascii="Times New Roman" w:hAnsi="Times New Roman" w:eastAsia="宋体" w:cs="Times New Roman"/>
                      <w:color w:val="auto"/>
                      <w:kern w:val="2"/>
                      <w:sz w:val="21"/>
                      <w:szCs w:val="21"/>
                      <w:highlight w:val="none"/>
                    </w:rPr>
                    <w:t>排放量</w:t>
                  </w:r>
                  <w:r>
                    <w:rPr>
                      <w:rFonts w:hint="eastAsia" w:ascii="Times New Roman" w:hAnsi="Times New Roman" w:eastAsia="宋体" w:cs="Times New Roman"/>
                      <w:color w:val="auto"/>
                      <w:sz w:val="21"/>
                      <w:szCs w:val="21"/>
                      <w:highlight w:val="none"/>
                      <w:lang w:val="en-US" w:eastAsia="zh-CN"/>
                    </w:rPr>
                    <w:t>t/a</w:t>
                  </w:r>
                </w:p>
              </w:tc>
              <w:tc>
                <w:tcPr>
                  <w:tcW w:w="730" w:type="pct"/>
                  <w:noWrap w:val="0"/>
                  <w:vAlign w:val="center"/>
                </w:tcPr>
                <w:p w14:paraId="41680B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highlight w:val="none"/>
                      <w:lang w:val="en-US" w:eastAsia="zh-CN"/>
                    </w:rPr>
                    <w:t>②</w:t>
                  </w:r>
                  <w:r>
                    <w:rPr>
                      <w:rFonts w:hint="eastAsia" w:ascii="Times New Roman" w:hAnsi="Times New Roman" w:eastAsia="宋体" w:cs="Times New Roman"/>
                      <w:color w:val="auto"/>
                      <w:kern w:val="2"/>
                      <w:sz w:val="21"/>
                      <w:szCs w:val="21"/>
                      <w:highlight w:val="none"/>
                      <w:lang w:val="en-US" w:eastAsia="zh-CN"/>
                    </w:rPr>
                    <w:t>已批在建工程排放量</w:t>
                  </w:r>
                  <w:r>
                    <w:rPr>
                      <w:rFonts w:hint="eastAsia" w:ascii="Times New Roman" w:hAnsi="Times New Roman" w:eastAsia="宋体" w:cs="Times New Roman"/>
                      <w:color w:val="auto"/>
                      <w:sz w:val="21"/>
                      <w:szCs w:val="21"/>
                      <w:highlight w:val="none"/>
                      <w:lang w:val="en-US" w:eastAsia="zh-CN"/>
                    </w:rPr>
                    <w:t>t/a</w:t>
                  </w:r>
                </w:p>
              </w:tc>
              <w:tc>
                <w:tcPr>
                  <w:tcW w:w="676" w:type="pct"/>
                  <w:noWrap w:val="0"/>
                  <w:vAlign w:val="center"/>
                </w:tcPr>
                <w:p w14:paraId="0FD5EC30">
                  <w:pPr>
                    <w:pStyle w:val="54"/>
                    <w:bidi w:val="0"/>
                    <w:rPr>
                      <w:rFonts w:hint="eastAsia"/>
                      <w:color w:val="auto"/>
                      <w:lang w:val="en-US" w:eastAsia="zh-CN"/>
                    </w:rPr>
                  </w:pPr>
                  <w:r>
                    <w:rPr>
                      <w:rFonts w:hint="eastAsia"/>
                      <w:color w:val="auto"/>
                      <w:lang w:val="en-US" w:eastAsia="zh-CN"/>
                    </w:rPr>
                    <w:t>③本次扩建项目排放量</w:t>
                  </w:r>
                </w:p>
                <w:p w14:paraId="1455147A">
                  <w:pPr>
                    <w:pStyle w:val="54"/>
                    <w:bidi w:val="0"/>
                    <w:rPr>
                      <w:rFonts w:hint="default"/>
                      <w:color w:val="auto"/>
                      <w:lang w:val="en-US" w:eastAsia="zh-CN"/>
                    </w:rPr>
                  </w:pPr>
                  <w:r>
                    <w:rPr>
                      <w:rFonts w:hint="eastAsia"/>
                      <w:color w:val="auto"/>
                      <w:lang w:val="en-US" w:eastAsia="zh-CN"/>
                    </w:rPr>
                    <w:t>t/a</w:t>
                  </w:r>
                </w:p>
              </w:tc>
              <w:tc>
                <w:tcPr>
                  <w:tcW w:w="574" w:type="pct"/>
                  <w:noWrap w:val="0"/>
                  <w:vAlign w:val="center"/>
                </w:tcPr>
                <w:p w14:paraId="0DC32064">
                  <w:pPr>
                    <w:pStyle w:val="54"/>
                    <w:bidi w:val="0"/>
                    <w:rPr>
                      <w:rFonts w:hint="eastAsia"/>
                      <w:color w:val="auto"/>
                      <w:lang w:val="en-US" w:eastAsia="zh-CN"/>
                    </w:rPr>
                  </w:pPr>
                  <w:r>
                    <w:rPr>
                      <w:rFonts w:hint="eastAsia"/>
                      <w:color w:val="auto"/>
                      <w:lang w:val="en-US" w:eastAsia="zh-CN"/>
                    </w:rPr>
                    <w:t>④以新带老削减量</w:t>
                  </w:r>
                </w:p>
                <w:p w14:paraId="66C43AD7">
                  <w:pPr>
                    <w:pStyle w:val="54"/>
                    <w:bidi w:val="0"/>
                    <w:rPr>
                      <w:rFonts w:hint="default"/>
                      <w:color w:val="auto"/>
                      <w:lang w:val="en-US" w:eastAsia="zh-CN"/>
                    </w:rPr>
                  </w:pPr>
                  <w:r>
                    <w:rPr>
                      <w:rFonts w:hint="eastAsia"/>
                      <w:color w:val="auto"/>
                      <w:lang w:val="en-US" w:eastAsia="zh-CN"/>
                    </w:rPr>
                    <w:t>t/a</w:t>
                  </w:r>
                </w:p>
              </w:tc>
              <w:tc>
                <w:tcPr>
                  <w:tcW w:w="628" w:type="pct"/>
                  <w:noWrap w:val="0"/>
                  <w:vAlign w:val="center"/>
                </w:tcPr>
                <w:p w14:paraId="65E3E7A1">
                  <w:pPr>
                    <w:pStyle w:val="54"/>
                    <w:bidi w:val="0"/>
                    <w:rPr>
                      <w:rFonts w:hint="eastAsia"/>
                      <w:color w:val="auto"/>
                      <w:lang w:val="en-US" w:eastAsia="zh-CN"/>
                    </w:rPr>
                  </w:pPr>
                  <w:r>
                    <w:rPr>
                      <w:rFonts w:hint="eastAsia"/>
                      <w:color w:val="auto"/>
                      <w:lang w:val="en-US" w:eastAsia="zh-CN"/>
                    </w:rPr>
                    <w:t>⑤总体工程排放量</w:t>
                  </w:r>
                </w:p>
                <w:p w14:paraId="66A31A94">
                  <w:pPr>
                    <w:pStyle w:val="54"/>
                    <w:bidi w:val="0"/>
                    <w:rPr>
                      <w:rFonts w:hint="default"/>
                      <w:color w:val="auto"/>
                      <w:lang w:val="en-US" w:eastAsia="zh-CN"/>
                    </w:rPr>
                  </w:pPr>
                  <w:r>
                    <w:rPr>
                      <w:rFonts w:hint="eastAsia"/>
                      <w:color w:val="auto"/>
                      <w:lang w:val="en-US" w:eastAsia="zh-CN"/>
                    </w:rPr>
                    <w:t>t/a</w:t>
                  </w:r>
                </w:p>
              </w:tc>
              <w:tc>
                <w:tcPr>
                  <w:tcW w:w="628" w:type="pct"/>
                  <w:noWrap w:val="0"/>
                  <w:vAlign w:val="center"/>
                </w:tcPr>
                <w:p w14:paraId="42C8DAA1">
                  <w:pPr>
                    <w:pStyle w:val="54"/>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rPr>
                    <w:t>增减量</w:t>
                  </w:r>
                </w:p>
                <w:p w14:paraId="2298CC69">
                  <w:pPr>
                    <w:pStyle w:val="54"/>
                    <w:bidi w:val="0"/>
                    <w:rPr>
                      <w:rFonts w:hint="eastAsia"/>
                      <w:color w:val="auto"/>
                      <w:lang w:val="en-US" w:eastAsia="zh-CN"/>
                    </w:rPr>
                  </w:pPr>
                  <w:r>
                    <w:rPr>
                      <w:rFonts w:hint="eastAsia" w:ascii="Times New Roman" w:hAnsi="Times New Roman" w:eastAsia="宋体" w:cs="Times New Roman"/>
                      <w:color w:val="auto"/>
                      <w:sz w:val="21"/>
                      <w:szCs w:val="21"/>
                      <w:highlight w:val="none"/>
                      <w:lang w:val="en-US" w:eastAsia="zh-CN"/>
                    </w:rPr>
                    <w:t>t/a</w:t>
                  </w:r>
                </w:p>
              </w:tc>
            </w:tr>
            <w:tr w14:paraId="4FF6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restart"/>
                  <w:noWrap w:val="0"/>
                  <w:vAlign w:val="center"/>
                </w:tcPr>
                <w:p w14:paraId="17DCCD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废水</w:t>
                  </w:r>
                </w:p>
              </w:tc>
              <w:tc>
                <w:tcPr>
                  <w:tcW w:w="628" w:type="pct"/>
                  <w:noWrap w:val="0"/>
                  <w:vAlign w:val="center"/>
                </w:tcPr>
                <w:p w14:paraId="15C396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废水量</w:t>
                  </w:r>
                </w:p>
              </w:tc>
              <w:tc>
                <w:tcPr>
                  <w:tcW w:w="673" w:type="pct"/>
                  <w:noWrap w:val="0"/>
                  <w:vAlign w:val="center"/>
                </w:tcPr>
                <w:p w14:paraId="047638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924</w:t>
                  </w:r>
                </w:p>
              </w:tc>
              <w:tc>
                <w:tcPr>
                  <w:tcW w:w="730" w:type="pct"/>
                  <w:noWrap w:val="0"/>
                  <w:vAlign w:val="center"/>
                </w:tcPr>
                <w:p w14:paraId="427FF9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700BCDF3">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132</w:t>
                  </w:r>
                </w:p>
              </w:tc>
              <w:tc>
                <w:tcPr>
                  <w:tcW w:w="574" w:type="pct"/>
                  <w:noWrap w:val="0"/>
                  <w:vAlign w:val="center"/>
                </w:tcPr>
                <w:p w14:paraId="152EE11D">
                  <w:pPr>
                    <w:pStyle w:val="54"/>
                    <w:bidi w:val="0"/>
                    <w:rPr>
                      <w:rFonts w:hint="default"/>
                      <w:color w:val="auto"/>
                      <w:lang w:val="en-US" w:eastAsia="zh-CN"/>
                    </w:rPr>
                  </w:pPr>
                  <w:r>
                    <w:rPr>
                      <w:rFonts w:hint="eastAsia"/>
                      <w:color w:val="auto"/>
                      <w:lang w:val="en-US" w:eastAsia="zh-CN"/>
                    </w:rPr>
                    <w:t>/</w:t>
                  </w:r>
                </w:p>
              </w:tc>
              <w:tc>
                <w:tcPr>
                  <w:tcW w:w="628" w:type="pct"/>
                  <w:noWrap w:val="0"/>
                  <w:vAlign w:val="center"/>
                </w:tcPr>
                <w:p w14:paraId="6EEB3F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1056</w:t>
                  </w:r>
                </w:p>
              </w:tc>
              <w:tc>
                <w:tcPr>
                  <w:tcW w:w="628" w:type="pct"/>
                  <w:noWrap w:val="0"/>
                  <w:vAlign w:val="center"/>
                </w:tcPr>
                <w:p w14:paraId="382A4A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+132</w:t>
                  </w:r>
                </w:p>
              </w:tc>
            </w:tr>
            <w:tr w14:paraId="06CA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67DC5D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4BCC8C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673" w:type="pct"/>
                  <w:noWrap w:val="0"/>
                  <w:vAlign w:val="center"/>
                </w:tcPr>
                <w:p w14:paraId="68C27F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0.28</w:t>
                  </w:r>
                </w:p>
              </w:tc>
              <w:tc>
                <w:tcPr>
                  <w:tcW w:w="730" w:type="pct"/>
                  <w:noWrap w:val="0"/>
                  <w:vAlign w:val="center"/>
                </w:tcPr>
                <w:p w14:paraId="331567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38CC8ED6">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0.03</w:t>
                  </w:r>
                </w:p>
              </w:tc>
              <w:tc>
                <w:tcPr>
                  <w:tcW w:w="574" w:type="pct"/>
                  <w:noWrap w:val="0"/>
                  <w:vAlign w:val="center"/>
                </w:tcPr>
                <w:p w14:paraId="6C259BA4">
                  <w:pPr>
                    <w:pStyle w:val="54"/>
                    <w:bidi w:val="0"/>
                    <w:rPr>
                      <w:rFonts w:hint="default"/>
                      <w:color w:val="auto"/>
                      <w:lang w:val="en-US" w:eastAsia="zh-CN"/>
                    </w:rPr>
                  </w:pPr>
                  <w:r>
                    <w:rPr>
                      <w:rFonts w:hint="eastAsia"/>
                      <w:color w:val="auto"/>
                      <w:lang w:val="en-US" w:eastAsia="zh-CN"/>
                    </w:rPr>
                    <w:t>0.1</w:t>
                  </w:r>
                </w:p>
              </w:tc>
              <w:tc>
                <w:tcPr>
                  <w:tcW w:w="628" w:type="pct"/>
                  <w:noWrap w:val="0"/>
                  <w:vAlign w:val="center"/>
                </w:tcPr>
                <w:p w14:paraId="79F2FE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0.21</w:t>
                  </w:r>
                </w:p>
              </w:tc>
              <w:tc>
                <w:tcPr>
                  <w:tcW w:w="628" w:type="pct"/>
                  <w:noWrap w:val="0"/>
                  <w:vAlign w:val="center"/>
                </w:tcPr>
                <w:p w14:paraId="694E19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r>
            <w:tr w14:paraId="2472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253892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77BC3A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673" w:type="pct"/>
                  <w:noWrap w:val="0"/>
                  <w:vAlign w:val="center"/>
                </w:tcPr>
                <w:p w14:paraId="312DA9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w:t>
                  </w:r>
                </w:p>
              </w:tc>
              <w:tc>
                <w:tcPr>
                  <w:tcW w:w="730" w:type="pct"/>
                  <w:noWrap w:val="0"/>
                  <w:vAlign w:val="center"/>
                </w:tcPr>
                <w:p w14:paraId="6F87C6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155266F8">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0.01</w:t>
                  </w:r>
                </w:p>
              </w:tc>
              <w:tc>
                <w:tcPr>
                  <w:tcW w:w="574" w:type="pct"/>
                  <w:noWrap w:val="0"/>
                  <w:vAlign w:val="center"/>
                </w:tcPr>
                <w:p w14:paraId="3BF40009">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0.11</w:t>
                  </w:r>
                </w:p>
              </w:tc>
              <w:tc>
                <w:tcPr>
                  <w:tcW w:w="628" w:type="pct"/>
                  <w:noWrap w:val="0"/>
                  <w:vAlign w:val="center"/>
                </w:tcPr>
                <w:p w14:paraId="305466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0.10</w:t>
                  </w:r>
                </w:p>
              </w:tc>
              <w:tc>
                <w:tcPr>
                  <w:tcW w:w="628" w:type="pct"/>
                  <w:noWrap w:val="0"/>
                  <w:vAlign w:val="center"/>
                </w:tcPr>
                <w:p w14:paraId="49C8D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w:t>
                  </w:r>
                </w:p>
              </w:tc>
            </w:tr>
            <w:tr w14:paraId="0E9D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089C2B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1FA49B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673" w:type="pct"/>
                  <w:noWrap w:val="0"/>
                  <w:vAlign w:val="center"/>
                </w:tcPr>
                <w:p w14:paraId="5E626B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14</w:t>
                  </w:r>
                </w:p>
              </w:tc>
              <w:tc>
                <w:tcPr>
                  <w:tcW w:w="730" w:type="pct"/>
                  <w:noWrap w:val="0"/>
                  <w:vAlign w:val="center"/>
                </w:tcPr>
                <w:p w14:paraId="6B40A6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238E5343">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0.01</w:t>
                  </w:r>
                </w:p>
              </w:tc>
              <w:tc>
                <w:tcPr>
                  <w:tcW w:w="574" w:type="pct"/>
                  <w:noWrap w:val="0"/>
                  <w:vAlign w:val="center"/>
                </w:tcPr>
                <w:p w14:paraId="45C5BD6F">
                  <w:pPr>
                    <w:keepNext w:val="0"/>
                    <w:keepLines w:val="0"/>
                    <w:widowControl/>
                    <w:suppressLineNumbers w:val="0"/>
                    <w:jc w:val="center"/>
                    <w:textAlignment w:val="center"/>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0.08</w:t>
                  </w:r>
                </w:p>
              </w:tc>
              <w:tc>
                <w:tcPr>
                  <w:tcW w:w="628" w:type="pct"/>
                  <w:noWrap w:val="0"/>
                  <w:vAlign w:val="center"/>
                </w:tcPr>
                <w:p w14:paraId="363022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c>
                <w:tcPr>
                  <w:tcW w:w="628" w:type="pct"/>
                  <w:noWrap w:val="0"/>
                  <w:vAlign w:val="center"/>
                </w:tcPr>
                <w:p w14:paraId="0ECB0D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r>
            <w:tr w14:paraId="62AE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7EF5B4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369D55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氨氮</w:t>
                  </w:r>
                </w:p>
              </w:tc>
              <w:tc>
                <w:tcPr>
                  <w:tcW w:w="673" w:type="pct"/>
                  <w:noWrap w:val="0"/>
                  <w:vAlign w:val="center"/>
                </w:tcPr>
                <w:p w14:paraId="7EB4F2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03</w:t>
                  </w:r>
                </w:p>
              </w:tc>
              <w:tc>
                <w:tcPr>
                  <w:tcW w:w="730" w:type="pct"/>
                  <w:noWrap w:val="0"/>
                  <w:vAlign w:val="center"/>
                </w:tcPr>
                <w:p w14:paraId="55EC24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76C30CEA">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0.003</w:t>
                  </w:r>
                </w:p>
              </w:tc>
              <w:tc>
                <w:tcPr>
                  <w:tcW w:w="574" w:type="pct"/>
                  <w:noWrap w:val="0"/>
                  <w:vAlign w:val="center"/>
                </w:tcPr>
                <w:p w14:paraId="5268981D">
                  <w:pPr>
                    <w:pStyle w:val="54"/>
                    <w:bidi w:val="0"/>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w:t>
                  </w:r>
                </w:p>
              </w:tc>
              <w:tc>
                <w:tcPr>
                  <w:tcW w:w="628" w:type="pct"/>
                  <w:noWrap w:val="0"/>
                  <w:vAlign w:val="center"/>
                </w:tcPr>
                <w:p w14:paraId="611CEF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w:t>
                  </w:r>
                </w:p>
              </w:tc>
              <w:tc>
                <w:tcPr>
                  <w:tcW w:w="628" w:type="pct"/>
                  <w:noWrap w:val="0"/>
                  <w:vAlign w:val="center"/>
                </w:tcPr>
                <w:p w14:paraId="66A6C8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3640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restart"/>
                  <w:noWrap w:val="0"/>
                  <w:vAlign w:val="center"/>
                </w:tcPr>
                <w:p w14:paraId="0E8212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废气</w:t>
                  </w:r>
                </w:p>
              </w:tc>
              <w:tc>
                <w:tcPr>
                  <w:tcW w:w="628" w:type="pct"/>
                  <w:noWrap w:val="0"/>
                  <w:vAlign w:val="center"/>
                </w:tcPr>
                <w:p w14:paraId="7705F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非甲烷总烃</w:t>
                  </w:r>
                </w:p>
              </w:tc>
              <w:tc>
                <w:tcPr>
                  <w:tcW w:w="673" w:type="pct"/>
                  <w:noWrap w:val="0"/>
                  <w:vAlign w:val="center"/>
                </w:tcPr>
                <w:p w14:paraId="7BC3A3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0.038</w:t>
                  </w:r>
                </w:p>
              </w:tc>
              <w:tc>
                <w:tcPr>
                  <w:tcW w:w="730" w:type="pct"/>
                  <w:noWrap w:val="0"/>
                  <w:vAlign w:val="center"/>
                </w:tcPr>
                <w:p w14:paraId="0D3032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3C6FAE98">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1.1578</w:t>
                  </w:r>
                </w:p>
              </w:tc>
              <w:tc>
                <w:tcPr>
                  <w:tcW w:w="574" w:type="pct"/>
                  <w:noWrap w:val="0"/>
                  <w:vAlign w:val="center"/>
                </w:tcPr>
                <w:p w14:paraId="2D8448A9">
                  <w:pPr>
                    <w:pStyle w:val="54"/>
                    <w:bidi w:val="0"/>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0.029</w:t>
                  </w:r>
                </w:p>
              </w:tc>
              <w:tc>
                <w:tcPr>
                  <w:tcW w:w="628" w:type="pct"/>
                  <w:noWrap w:val="0"/>
                  <w:vAlign w:val="center"/>
                </w:tcPr>
                <w:p w14:paraId="6CA5B2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1.1668</w:t>
                  </w:r>
                </w:p>
              </w:tc>
              <w:tc>
                <w:tcPr>
                  <w:tcW w:w="628" w:type="pct"/>
                  <w:noWrap w:val="0"/>
                  <w:vAlign w:val="center"/>
                </w:tcPr>
                <w:p w14:paraId="3E20D6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+1.1288</w:t>
                  </w:r>
                </w:p>
              </w:tc>
            </w:tr>
            <w:tr w14:paraId="2666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69DA3DE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34CAC0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苯乙烯</w:t>
                  </w:r>
                </w:p>
              </w:tc>
              <w:tc>
                <w:tcPr>
                  <w:tcW w:w="673" w:type="pct"/>
                  <w:noWrap w:val="0"/>
                  <w:vAlign w:val="center"/>
                </w:tcPr>
                <w:p w14:paraId="4F035A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730" w:type="pct"/>
                  <w:noWrap w:val="0"/>
                  <w:vAlign w:val="center"/>
                </w:tcPr>
                <w:p w14:paraId="703CA6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17D02F1E">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0.3374</w:t>
                  </w:r>
                </w:p>
              </w:tc>
              <w:tc>
                <w:tcPr>
                  <w:tcW w:w="574" w:type="pct"/>
                  <w:noWrap w:val="0"/>
                  <w:vAlign w:val="center"/>
                </w:tcPr>
                <w:p w14:paraId="428AB036">
                  <w:pPr>
                    <w:pStyle w:val="54"/>
                    <w:bidi w:val="0"/>
                    <w:rPr>
                      <w:rFonts w:hint="default"/>
                      <w:color w:val="auto"/>
                      <w:lang w:val="en-US" w:eastAsia="zh-CN"/>
                    </w:rPr>
                  </w:pPr>
                  <w:r>
                    <w:rPr>
                      <w:rFonts w:hint="eastAsia"/>
                      <w:color w:val="auto"/>
                      <w:lang w:val="en-US" w:eastAsia="zh-CN"/>
                    </w:rPr>
                    <w:t>/</w:t>
                  </w:r>
                </w:p>
              </w:tc>
              <w:tc>
                <w:tcPr>
                  <w:tcW w:w="628" w:type="pct"/>
                  <w:noWrap w:val="0"/>
                  <w:vAlign w:val="center"/>
                </w:tcPr>
                <w:p w14:paraId="58A959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0.3374</w:t>
                  </w:r>
                </w:p>
              </w:tc>
              <w:tc>
                <w:tcPr>
                  <w:tcW w:w="628" w:type="pct"/>
                  <w:noWrap w:val="0"/>
                  <w:vAlign w:val="center"/>
                </w:tcPr>
                <w:p w14:paraId="59F70D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+0.3374</w:t>
                  </w:r>
                </w:p>
              </w:tc>
            </w:tr>
            <w:tr w14:paraId="19B0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restart"/>
                  <w:noWrap w:val="0"/>
                  <w:vAlign w:val="center"/>
                </w:tcPr>
                <w:p w14:paraId="3289B8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固体废物</w:t>
                  </w:r>
                </w:p>
              </w:tc>
              <w:tc>
                <w:tcPr>
                  <w:tcW w:w="628" w:type="pct"/>
                  <w:noWrap w:val="0"/>
                  <w:vAlign w:val="center"/>
                </w:tcPr>
                <w:p w14:paraId="71A03D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生活垃圾</w:t>
                  </w:r>
                </w:p>
              </w:tc>
              <w:tc>
                <w:tcPr>
                  <w:tcW w:w="673" w:type="pct"/>
                  <w:noWrap w:val="0"/>
                  <w:vAlign w:val="center"/>
                </w:tcPr>
                <w:p w14:paraId="359139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11.55</w:t>
                  </w:r>
                </w:p>
              </w:tc>
              <w:tc>
                <w:tcPr>
                  <w:tcW w:w="730" w:type="pct"/>
                  <w:noWrap w:val="0"/>
                  <w:vAlign w:val="center"/>
                </w:tcPr>
                <w:p w14:paraId="04CD1A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67BF0972">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1.65</w:t>
                  </w:r>
                </w:p>
              </w:tc>
              <w:tc>
                <w:tcPr>
                  <w:tcW w:w="574" w:type="pct"/>
                  <w:noWrap w:val="0"/>
                  <w:vAlign w:val="center"/>
                </w:tcPr>
                <w:p w14:paraId="2C15253E">
                  <w:pPr>
                    <w:pStyle w:val="54"/>
                    <w:bidi w:val="0"/>
                    <w:rPr>
                      <w:rFonts w:hint="default"/>
                      <w:color w:val="auto"/>
                      <w:lang w:val="en-US" w:eastAsia="zh-CN"/>
                    </w:rPr>
                  </w:pPr>
                  <w:r>
                    <w:rPr>
                      <w:rFonts w:hint="eastAsia"/>
                      <w:color w:val="auto"/>
                      <w:lang w:val="en-US" w:eastAsia="zh-CN"/>
                    </w:rPr>
                    <w:t>0.05</w:t>
                  </w:r>
                </w:p>
              </w:tc>
              <w:tc>
                <w:tcPr>
                  <w:tcW w:w="628" w:type="pct"/>
                  <w:noWrap w:val="0"/>
                  <w:vAlign w:val="center"/>
                </w:tcPr>
                <w:p w14:paraId="0C3EC1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13.2</w:t>
                  </w:r>
                </w:p>
              </w:tc>
              <w:tc>
                <w:tcPr>
                  <w:tcW w:w="628" w:type="pct"/>
                  <w:noWrap w:val="0"/>
                  <w:vAlign w:val="center"/>
                </w:tcPr>
                <w:p w14:paraId="3E56E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+1.7</w:t>
                  </w:r>
                </w:p>
              </w:tc>
            </w:tr>
            <w:tr w14:paraId="3660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0F1681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5A6E80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不合格品</w:t>
                  </w:r>
                </w:p>
              </w:tc>
              <w:tc>
                <w:tcPr>
                  <w:tcW w:w="673" w:type="pct"/>
                  <w:noWrap w:val="0"/>
                  <w:vAlign w:val="center"/>
                </w:tcPr>
                <w:p w14:paraId="0957BC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730" w:type="pct"/>
                  <w:noWrap w:val="0"/>
                  <w:vAlign w:val="center"/>
                </w:tcPr>
                <w:p w14:paraId="34A589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144780B1">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356</w:t>
                  </w:r>
                </w:p>
              </w:tc>
              <w:tc>
                <w:tcPr>
                  <w:tcW w:w="574" w:type="pct"/>
                  <w:noWrap w:val="0"/>
                  <w:vAlign w:val="center"/>
                </w:tcPr>
                <w:p w14:paraId="5D0BCAB6">
                  <w:pPr>
                    <w:pStyle w:val="54"/>
                    <w:bidi w:val="0"/>
                    <w:rPr>
                      <w:rFonts w:hint="default"/>
                      <w:color w:val="auto"/>
                      <w:lang w:val="en-US" w:eastAsia="zh-CN"/>
                    </w:rPr>
                  </w:pPr>
                  <w:r>
                    <w:rPr>
                      <w:rFonts w:hint="eastAsia"/>
                      <w:color w:val="auto"/>
                      <w:lang w:val="en-US" w:eastAsia="zh-CN"/>
                    </w:rPr>
                    <w:t>3</w:t>
                  </w:r>
                </w:p>
              </w:tc>
              <w:tc>
                <w:tcPr>
                  <w:tcW w:w="628" w:type="pct"/>
                  <w:noWrap w:val="0"/>
                  <w:vAlign w:val="center"/>
                </w:tcPr>
                <w:p w14:paraId="2A6C6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428</w:t>
                  </w:r>
                </w:p>
              </w:tc>
              <w:tc>
                <w:tcPr>
                  <w:tcW w:w="628" w:type="pct"/>
                  <w:noWrap w:val="0"/>
                  <w:vAlign w:val="center"/>
                </w:tcPr>
                <w:p w14:paraId="1468BE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+353</w:t>
                  </w:r>
                </w:p>
              </w:tc>
            </w:tr>
            <w:tr w14:paraId="39F0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3B7BC6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125F7DF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废活性炭</w:t>
                  </w:r>
                </w:p>
              </w:tc>
              <w:tc>
                <w:tcPr>
                  <w:tcW w:w="673" w:type="pct"/>
                  <w:noWrap w:val="0"/>
                  <w:vAlign w:val="center"/>
                </w:tcPr>
                <w:p w14:paraId="5275C04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730" w:type="pct"/>
                  <w:noWrap w:val="0"/>
                  <w:vAlign w:val="center"/>
                </w:tcPr>
                <w:p w14:paraId="72F87C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202DE7BE">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15.52</w:t>
                  </w:r>
                </w:p>
              </w:tc>
              <w:tc>
                <w:tcPr>
                  <w:tcW w:w="574" w:type="pct"/>
                  <w:noWrap w:val="0"/>
                  <w:vAlign w:val="center"/>
                </w:tcPr>
                <w:p w14:paraId="5DC99272">
                  <w:pPr>
                    <w:pStyle w:val="54"/>
                    <w:bidi w:val="0"/>
                    <w:rPr>
                      <w:rFonts w:hint="default"/>
                      <w:color w:val="auto"/>
                      <w:lang w:val="en-US" w:eastAsia="zh-CN"/>
                    </w:rPr>
                  </w:pPr>
                  <w:r>
                    <w:rPr>
                      <w:rFonts w:hint="eastAsia"/>
                      <w:color w:val="auto"/>
                      <w:lang w:val="en-US" w:eastAsia="zh-CN"/>
                    </w:rPr>
                    <w:t>/</w:t>
                  </w:r>
                </w:p>
              </w:tc>
              <w:tc>
                <w:tcPr>
                  <w:tcW w:w="628" w:type="pct"/>
                  <w:noWrap w:val="0"/>
                  <w:vAlign w:val="center"/>
                </w:tcPr>
                <w:p w14:paraId="7EB926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15.52</w:t>
                  </w:r>
                </w:p>
              </w:tc>
              <w:tc>
                <w:tcPr>
                  <w:tcW w:w="628" w:type="pct"/>
                  <w:noWrap w:val="0"/>
                  <w:vAlign w:val="center"/>
                </w:tcPr>
                <w:p w14:paraId="5CD229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+15.52</w:t>
                  </w:r>
                </w:p>
              </w:tc>
            </w:tr>
            <w:tr w14:paraId="2959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159512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06295CD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废液压油</w:t>
                  </w:r>
                </w:p>
              </w:tc>
              <w:tc>
                <w:tcPr>
                  <w:tcW w:w="673" w:type="pct"/>
                  <w:noWrap w:val="0"/>
                  <w:vAlign w:val="center"/>
                </w:tcPr>
                <w:p w14:paraId="4C75FC7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30" w:type="pct"/>
                  <w:noWrap w:val="0"/>
                  <w:vAlign w:val="center"/>
                </w:tcPr>
                <w:p w14:paraId="254932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6" w:type="pct"/>
                  <w:noWrap w:val="0"/>
                  <w:vAlign w:val="center"/>
                </w:tcPr>
                <w:p w14:paraId="6DA879B4">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0.08</w:t>
                  </w:r>
                </w:p>
              </w:tc>
              <w:tc>
                <w:tcPr>
                  <w:tcW w:w="574" w:type="pct"/>
                  <w:noWrap w:val="0"/>
                  <w:vAlign w:val="center"/>
                </w:tcPr>
                <w:p w14:paraId="77B6DF9E">
                  <w:pPr>
                    <w:pStyle w:val="54"/>
                    <w:bidi w:val="0"/>
                    <w:rPr>
                      <w:rFonts w:hint="default"/>
                      <w:color w:val="auto"/>
                      <w:lang w:val="en-US" w:eastAsia="zh-CN"/>
                    </w:rPr>
                  </w:pPr>
                  <w:r>
                    <w:rPr>
                      <w:rFonts w:hint="eastAsia"/>
                      <w:color w:val="auto"/>
                      <w:lang w:val="en-US" w:eastAsia="zh-CN"/>
                    </w:rPr>
                    <w:t>/</w:t>
                  </w:r>
                </w:p>
              </w:tc>
              <w:tc>
                <w:tcPr>
                  <w:tcW w:w="628" w:type="pct"/>
                  <w:noWrap w:val="0"/>
                  <w:vAlign w:val="center"/>
                </w:tcPr>
                <w:p w14:paraId="3BE109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c>
                <w:tcPr>
                  <w:tcW w:w="628" w:type="pct"/>
                  <w:noWrap w:val="0"/>
                  <w:vAlign w:val="center"/>
                </w:tcPr>
                <w:p w14:paraId="6D2CC3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r>
            <w:tr w14:paraId="4BEB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78050B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3E51C2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污泥</w:t>
                  </w:r>
                </w:p>
              </w:tc>
              <w:tc>
                <w:tcPr>
                  <w:tcW w:w="673" w:type="pct"/>
                  <w:noWrap w:val="0"/>
                  <w:vAlign w:val="center"/>
                </w:tcPr>
                <w:p w14:paraId="5DADBA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730" w:type="pct"/>
                  <w:noWrap w:val="0"/>
                  <w:vAlign w:val="center"/>
                </w:tcPr>
                <w:p w14:paraId="5AF38F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76" w:type="pct"/>
                  <w:noWrap w:val="0"/>
                  <w:vAlign w:val="center"/>
                </w:tcPr>
                <w:p w14:paraId="68F14F59">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3.63</w:t>
                  </w:r>
                </w:p>
              </w:tc>
              <w:tc>
                <w:tcPr>
                  <w:tcW w:w="574" w:type="pct"/>
                  <w:noWrap w:val="0"/>
                  <w:vAlign w:val="center"/>
                </w:tcPr>
                <w:p w14:paraId="39626370">
                  <w:pPr>
                    <w:pStyle w:val="54"/>
                    <w:bidi w:val="0"/>
                    <w:rPr>
                      <w:rFonts w:hint="default"/>
                      <w:color w:val="auto"/>
                      <w:lang w:val="en-US" w:eastAsia="zh-CN"/>
                    </w:rPr>
                  </w:pPr>
                  <w:r>
                    <w:rPr>
                      <w:rFonts w:hint="eastAsia"/>
                      <w:color w:val="auto"/>
                      <w:lang w:val="en-US" w:eastAsia="zh-CN"/>
                    </w:rPr>
                    <w:t>/</w:t>
                  </w:r>
                </w:p>
              </w:tc>
              <w:tc>
                <w:tcPr>
                  <w:tcW w:w="628" w:type="pct"/>
                  <w:noWrap w:val="0"/>
                  <w:vAlign w:val="center"/>
                </w:tcPr>
                <w:p w14:paraId="10C287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3.63</w:t>
                  </w:r>
                </w:p>
              </w:tc>
              <w:tc>
                <w:tcPr>
                  <w:tcW w:w="628" w:type="pct"/>
                  <w:noWrap w:val="0"/>
                  <w:vAlign w:val="center"/>
                </w:tcPr>
                <w:p w14:paraId="33D1DF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+3.63</w:t>
                  </w:r>
                </w:p>
              </w:tc>
            </w:tr>
            <w:tr w14:paraId="7832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5000" w:type="pct"/>
                  <w:gridSpan w:val="8"/>
                  <w:noWrap w:val="0"/>
                  <w:vAlign w:val="center"/>
                </w:tcPr>
                <w:p w14:paraId="1FDBDECC">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注：</w:t>
                  </w:r>
                </w:p>
                <w:p w14:paraId="67C0895C">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④=①×污染物去除效率</w:t>
                  </w:r>
                </w:p>
                <w:p w14:paraId="7EA7C4F9">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⑤=①+③-④=0.038t/a+1.1578t/a-0.029t/a=1.1668t/a</w:t>
                  </w:r>
                </w:p>
                <w:p w14:paraId="51613B93">
                  <w:pPr>
                    <w:keepNext w:val="0"/>
                    <w:keepLines w:val="0"/>
                    <w:widowControl/>
                    <w:suppressLineNumbers w:val="0"/>
                    <w:jc w:val="left"/>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⑥=⑤-①</w:t>
                  </w:r>
                </w:p>
              </w:tc>
            </w:tr>
          </w:tbl>
          <w:p w14:paraId="3A55E10A">
            <w:pPr>
              <w:pStyle w:val="11"/>
              <w:rPr>
                <w:rFonts w:hint="default"/>
                <w:color w:val="auto"/>
                <w:lang w:eastAsia="zh-CN"/>
              </w:rPr>
            </w:pPr>
          </w:p>
        </w:tc>
      </w:tr>
    </w:tbl>
    <w:p w14:paraId="5B565178">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76" w:name="_Toc29722"/>
      <w:bookmarkStart w:id="77" w:name="_Toc11499"/>
      <w:bookmarkStart w:id="78" w:name="_Toc7756"/>
      <w:r>
        <w:rPr>
          <w:rFonts w:hint="default" w:ascii="Times New Roman" w:hAnsi="Times New Roman" w:eastAsia="黑体" w:cs="Times New Roman"/>
          <w:snapToGrid w:val="0"/>
          <w:color w:val="auto"/>
          <w:sz w:val="30"/>
          <w:szCs w:val="30"/>
          <w:u w:val="none"/>
          <w:lang w:val="en-US" w:eastAsia="zh-CN"/>
        </w:rPr>
        <w:t>三、区域环境质量现状、环境保护目标及评价标准</w:t>
      </w:r>
      <w:bookmarkEnd w:id="76"/>
      <w:bookmarkEnd w:id="77"/>
      <w:bookmarkEnd w:id="78"/>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49"/>
      </w:tblGrid>
      <w:tr w14:paraId="34E8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456" w:type="dxa"/>
            <w:vAlign w:val="center"/>
          </w:tcPr>
          <w:p w14:paraId="021708E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
                <w:sz w:val="24"/>
                <w:szCs w:val="24"/>
              </w:rPr>
            </w:pPr>
            <w:r>
              <w:rPr>
                <w:rFonts w:ascii="Times New Roman" w:hAnsi="Times New Roman" w:eastAsia="宋体" w:cs="Times New Roman"/>
                <w:bCs/>
                <w:color w:val="auto"/>
                <w:kern w:val="2"/>
                <w:sz w:val="24"/>
                <w:szCs w:val="24"/>
              </w:rPr>
              <w:t>区域</w:t>
            </w:r>
          </w:p>
          <w:p w14:paraId="39DE063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
                <w:sz w:val="24"/>
                <w:szCs w:val="24"/>
              </w:rPr>
            </w:pPr>
            <w:r>
              <w:rPr>
                <w:rFonts w:ascii="Times New Roman" w:hAnsi="Times New Roman" w:eastAsia="宋体" w:cs="Times New Roman"/>
                <w:bCs/>
                <w:color w:val="auto"/>
                <w:kern w:val="2"/>
                <w:sz w:val="24"/>
                <w:szCs w:val="24"/>
              </w:rPr>
              <w:t>环境</w:t>
            </w:r>
          </w:p>
          <w:p w14:paraId="647E765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
                <w:sz w:val="24"/>
                <w:szCs w:val="24"/>
              </w:rPr>
            </w:pPr>
            <w:r>
              <w:rPr>
                <w:rFonts w:ascii="Times New Roman" w:hAnsi="Times New Roman" w:eastAsia="宋体" w:cs="Times New Roman"/>
                <w:bCs/>
                <w:color w:val="auto"/>
                <w:kern w:val="2"/>
                <w:sz w:val="24"/>
                <w:szCs w:val="24"/>
              </w:rPr>
              <w:t>质量</w:t>
            </w:r>
          </w:p>
          <w:p w14:paraId="71F5519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vertAlign w:val="baseline"/>
                <w:lang w:eastAsia="zh-CN"/>
              </w:rPr>
            </w:pPr>
            <w:r>
              <w:rPr>
                <w:rFonts w:ascii="Times New Roman" w:hAnsi="Times New Roman" w:eastAsia="宋体" w:cs="Times New Roman"/>
                <w:bCs/>
                <w:color w:val="auto"/>
                <w:kern w:val="2"/>
                <w:sz w:val="24"/>
                <w:szCs w:val="24"/>
              </w:rPr>
              <w:t>现状</w:t>
            </w:r>
          </w:p>
        </w:tc>
        <w:tc>
          <w:tcPr>
            <w:tcW w:w="8749" w:type="dxa"/>
          </w:tcPr>
          <w:p w14:paraId="4F2DB76B">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79" w:name="_Toc32076"/>
            <w:bookmarkStart w:id="80" w:name="_Toc16241"/>
            <w:r>
              <w:rPr>
                <w:rFonts w:hint="eastAsia" w:ascii="Times New Roman" w:hAnsi="Times New Roman" w:eastAsia="宋体" w:cs="Times New Roman"/>
                <w:color w:val="auto"/>
                <w:sz w:val="28"/>
                <w:szCs w:val="28"/>
                <w:u w:val="none"/>
                <w:lang w:val="en-US" w:eastAsia="zh-CN"/>
              </w:rPr>
              <w:t>3.1大气环境质量现状</w:t>
            </w:r>
            <w:bookmarkEnd w:id="79"/>
            <w:bookmarkEnd w:id="80"/>
          </w:p>
          <w:p w14:paraId="0F23A53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81" w:name="_Toc4517"/>
            <w:bookmarkStart w:id="82" w:name="_Toc25939"/>
            <w:r>
              <w:rPr>
                <w:rFonts w:hint="eastAsia" w:ascii="Times New Roman" w:hAnsi="Times New Roman" w:eastAsia="宋体" w:cs="Times New Roman"/>
                <w:b/>
                <w:bCs/>
                <w:color w:val="auto"/>
                <w:sz w:val="24"/>
                <w:szCs w:val="24"/>
                <w:u w:val="none"/>
                <w:lang w:val="en-US" w:eastAsia="zh-CN"/>
              </w:rPr>
              <w:t>3.1.1环境空气质量功能区划</w:t>
            </w:r>
            <w:bookmarkEnd w:id="81"/>
            <w:bookmarkEnd w:id="82"/>
          </w:p>
          <w:p w14:paraId="1AC459E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val="0"/>
                <w:bCs w:val="0"/>
                <w:color w:val="auto"/>
                <w:kern w:val="0"/>
                <w:sz w:val="24"/>
                <w:szCs w:val="24"/>
                <w:highlight w:val="none"/>
                <w:u w:val="none"/>
                <w:lang w:val="en-US" w:eastAsia="zh-CN" w:bidi="ar-SA"/>
              </w:rPr>
            </w:pPr>
            <w:bookmarkStart w:id="83" w:name="_Toc338850492"/>
            <w:bookmarkStart w:id="84" w:name="_Toc339964236"/>
            <w:r>
              <w:rPr>
                <w:rFonts w:hint="default" w:ascii="Times New Roman" w:hAnsi="Times New Roman" w:eastAsia="宋体" w:cs="Times New Roman"/>
                <w:b w:val="0"/>
                <w:bCs w:val="0"/>
                <w:color w:val="auto"/>
                <w:kern w:val="0"/>
                <w:sz w:val="24"/>
                <w:szCs w:val="24"/>
                <w:highlight w:val="none"/>
                <w:u w:val="none"/>
                <w:lang w:val="en-US" w:eastAsia="zh-CN" w:bidi="ar-SA"/>
              </w:rPr>
              <w:t>根据福州市人民政府榕政综</w:t>
            </w:r>
            <w:r>
              <w:rPr>
                <w:rFonts w:hint="eastAsia" w:ascii="Times New Roman" w:hAnsi="Times New Roman" w:eastAsia="宋体" w:cs="Times New Roman"/>
                <w:b w:val="0"/>
                <w:bCs w:val="0"/>
                <w:color w:val="auto"/>
                <w:kern w:val="0"/>
                <w:sz w:val="24"/>
                <w:szCs w:val="24"/>
                <w:highlight w:val="none"/>
                <w:u w:val="none"/>
                <w:lang w:val="en-US" w:eastAsia="zh-CN" w:bidi="ar-SA"/>
              </w:rPr>
              <w:t>〔2014〕30号</w:t>
            </w:r>
            <w:r>
              <w:rPr>
                <w:rFonts w:hint="default" w:ascii="Times New Roman" w:hAnsi="Times New Roman" w:eastAsia="宋体" w:cs="Times New Roman"/>
                <w:b w:val="0"/>
                <w:bCs w:val="0"/>
                <w:color w:val="auto"/>
                <w:kern w:val="0"/>
                <w:sz w:val="24"/>
                <w:szCs w:val="24"/>
                <w:highlight w:val="none"/>
                <w:u w:val="none"/>
                <w:lang w:val="en-US" w:eastAsia="zh-CN" w:bidi="ar-SA"/>
              </w:rPr>
              <w:t>文件正式批准实施《福州市环境空气质量功能区划</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报批稿</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》的规定，项目所在区域环境空气功能规划为二类区，环境空气质量执行</w:t>
            </w:r>
            <w:r>
              <w:rPr>
                <w:rFonts w:hint="default" w:ascii="Times New Roman" w:hAnsi="Times New Roman" w:cs="Times New Roman"/>
                <w:color w:val="auto"/>
                <w:lang w:eastAsia="zh-CN"/>
              </w:rPr>
              <w:t>《环境空气质量标准》（GB3095-20</w:t>
            </w:r>
            <w:r>
              <w:rPr>
                <w:rFonts w:hint="eastAsia" w:ascii="Times New Roman" w:hAnsi="Times New Roman" w:cs="Times New Roman"/>
                <w:color w:val="auto"/>
                <w:lang w:val="en-US" w:eastAsia="zh-CN"/>
              </w:rPr>
              <w:t>26</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中过度阶段浓度限值</w:t>
            </w:r>
            <w:r>
              <w:rPr>
                <w:rFonts w:hint="default" w:ascii="Times New Roman" w:hAnsi="Times New Roman" w:cs="Times New Roman"/>
                <w:color w:val="auto"/>
                <w:lang w:eastAsia="zh-CN"/>
              </w:rPr>
              <w:t>二级</w:t>
            </w:r>
            <w:r>
              <w:rPr>
                <w:rFonts w:hint="eastAsia" w:ascii="Times New Roman" w:hAnsi="Times New Roman" w:cs="Times New Roman"/>
                <w:color w:val="auto"/>
                <w:lang w:eastAsia="zh-CN"/>
              </w:rPr>
              <w:t>标准</w:t>
            </w:r>
            <w:r>
              <w:rPr>
                <w:rFonts w:hint="default" w:ascii="Times New Roman" w:hAnsi="Times New Roman" w:eastAsia="宋体" w:cs="Times New Roman"/>
                <w:b w:val="0"/>
                <w:bCs w:val="0"/>
                <w:color w:val="auto"/>
                <w:kern w:val="0"/>
                <w:sz w:val="24"/>
                <w:szCs w:val="24"/>
                <w:highlight w:val="none"/>
                <w:u w:val="none"/>
                <w:lang w:val="en-US" w:eastAsia="zh-CN" w:bidi="ar-SA"/>
              </w:rPr>
              <w:t>。项目</w:t>
            </w:r>
            <w:r>
              <w:rPr>
                <w:rFonts w:hint="eastAsia" w:ascii="Times New Roman" w:hAnsi="Times New Roman" w:eastAsia="宋体" w:cs="Times New Roman"/>
                <w:b w:val="0"/>
                <w:bCs w:val="0"/>
                <w:color w:val="auto"/>
                <w:kern w:val="0"/>
                <w:sz w:val="24"/>
                <w:szCs w:val="24"/>
                <w:highlight w:val="none"/>
                <w:u w:val="none"/>
                <w:lang w:val="en-US" w:eastAsia="zh-CN" w:bidi="ar-SA"/>
              </w:rPr>
              <w:t>其他污染因子</w:t>
            </w:r>
            <w:r>
              <w:rPr>
                <w:rFonts w:hint="default" w:ascii="Times New Roman" w:hAnsi="Times New Roman" w:eastAsia="宋体" w:cs="Times New Roman"/>
                <w:b w:val="0"/>
                <w:bCs w:val="0"/>
                <w:color w:val="auto"/>
                <w:kern w:val="0"/>
                <w:sz w:val="24"/>
                <w:szCs w:val="24"/>
                <w:highlight w:val="none"/>
                <w:u w:val="none"/>
                <w:lang w:val="en-US" w:eastAsia="zh-CN" w:bidi="ar-SA"/>
              </w:rPr>
              <w:t>非甲烷总烃参照执行《大气污染物综合排放标准详解》</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国家</w:t>
            </w:r>
            <w:r>
              <w:rPr>
                <w:rFonts w:hint="eastAsia" w:ascii="Times New Roman" w:hAnsi="Times New Roman" w:eastAsia="宋体" w:cs="Times New Roman"/>
                <w:b w:val="0"/>
                <w:bCs w:val="0"/>
                <w:color w:val="auto"/>
                <w:kern w:val="0"/>
                <w:sz w:val="24"/>
                <w:szCs w:val="24"/>
                <w:highlight w:val="none"/>
                <w:u w:val="none"/>
                <w:lang w:val="en-US" w:eastAsia="zh-CN" w:bidi="ar-SA"/>
              </w:rPr>
              <w:t>生态环境局</w:t>
            </w:r>
            <w:r>
              <w:rPr>
                <w:rFonts w:hint="default" w:ascii="Times New Roman" w:hAnsi="Times New Roman" w:eastAsia="宋体" w:cs="Times New Roman"/>
                <w:b w:val="0"/>
                <w:bCs w:val="0"/>
                <w:color w:val="auto"/>
                <w:kern w:val="0"/>
                <w:sz w:val="24"/>
                <w:szCs w:val="24"/>
                <w:highlight w:val="none"/>
                <w:u w:val="none"/>
                <w:lang w:val="en-US" w:eastAsia="zh-CN" w:bidi="ar-SA"/>
              </w:rPr>
              <w:t>科技标准司</w:t>
            </w:r>
            <w:r>
              <w:rPr>
                <w:rFonts w:hint="eastAsia" w:ascii="Times New Roman" w:hAnsi="Times New Roman" w:eastAsia="宋体" w:cs="Times New Roman"/>
                <w:b w:val="0"/>
                <w:bCs w:val="0"/>
                <w:color w:val="auto"/>
                <w:kern w:val="0"/>
                <w:sz w:val="24"/>
                <w:szCs w:val="24"/>
                <w:highlight w:val="none"/>
                <w:u w:val="none"/>
                <w:lang w:val="en-US" w:eastAsia="zh-CN" w:bidi="ar-SA"/>
              </w:rPr>
              <w:t>，1996年8月</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中规定的标准限值，具体详见表3.1-1。</w:t>
            </w:r>
            <w:bookmarkEnd w:id="83"/>
            <w:bookmarkEnd w:id="84"/>
          </w:p>
          <w:p w14:paraId="2FFA32A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表3.1-1项目环境空气标准一览表</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504"/>
              <w:gridCol w:w="1980"/>
              <w:gridCol w:w="1229"/>
              <w:gridCol w:w="3820"/>
            </w:tblGrid>
            <w:tr w14:paraId="55B095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noWrap w:val="0"/>
                  <w:vAlign w:val="center"/>
                </w:tcPr>
                <w:p w14:paraId="051763A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160" w:type="pct"/>
                  <w:noWrap w:val="0"/>
                  <w:vAlign w:val="center"/>
                </w:tcPr>
                <w:p w14:paraId="1B63E8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720" w:type="pct"/>
                  <w:noWrap w:val="0"/>
                  <w:vAlign w:val="center"/>
                </w:tcPr>
                <w:p w14:paraId="0D48D5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c>
                <w:tcPr>
                  <w:tcW w:w="2237" w:type="pct"/>
                  <w:noWrap w:val="0"/>
                  <w:vAlign w:val="center"/>
                </w:tcPr>
                <w:p w14:paraId="17BA828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1F9224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17D0D35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160" w:type="pct"/>
                  <w:noWrap w:val="0"/>
                  <w:vAlign w:val="center"/>
                </w:tcPr>
                <w:p w14:paraId="5369CC4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720" w:type="pct"/>
                  <w:noWrap w:val="0"/>
                  <w:vAlign w:val="center"/>
                </w:tcPr>
                <w:p w14:paraId="3A5A04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restart"/>
                  <w:noWrap w:val="0"/>
                  <w:vAlign w:val="center"/>
                </w:tcPr>
                <w:p w14:paraId="2B34A07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lang w:eastAsia="zh-CN"/>
                    </w:rPr>
                    <w:t>《环境空气质量标准》（GB3095-20</w:t>
                  </w:r>
                  <w:r>
                    <w:rPr>
                      <w:rFonts w:hint="eastAsia" w:ascii="Times New Roman" w:hAnsi="Times New Roman" w:cs="Times New Roman"/>
                      <w:color w:val="auto"/>
                      <w:lang w:val="en-US" w:eastAsia="zh-CN"/>
                    </w:rPr>
                    <w:t>26</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中过度阶段浓度限值</w:t>
                  </w:r>
                  <w:r>
                    <w:rPr>
                      <w:rFonts w:hint="default" w:ascii="Times New Roman" w:hAnsi="Times New Roman" w:cs="Times New Roman"/>
                      <w:color w:val="auto"/>
                      <w:lang w:eastAsia="zh-CN"/>
                    </w:rPr>
                    <w:t>二级</w:t>
                  </w:r>
                  <w:r>
                    <w:rPr>
                      <w:rFonts w:hint="eastAsia" w:ascii="Times New Roman" w:hAnsi="Times New Roman" w:cs="Times New Roman"/>
                      <w:color w:val="auto"/>
                      <w:lang w:eastAsia="zh-CN"/>
                    </w:rPr>
                    <w:t>标准</w:t>
                  </w:r>
                </w:p>
              </w:tc>
            </w:tr>
            <w:tr w14:paraId="464649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0087F55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51D2096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0C21FE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66B1C5F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309110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78B37F50">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160" w:type="pct"/>
                  <w:noWrap w:val="0"/>
                  <w:vAlign w:val="center"/>
                </w:tcPr>
                <w:p w14:paraId="4EA38CF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720" w:type="pct"/>
                  <w:noWrap w:val="0"/>
                  <w:vAlign w:val="center"/>
                </w:tcPr>
                <w:p w14:paraId="5B37634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7398D7B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89194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417FA4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27754D3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15F8FDB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635CAC6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FFD13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6B6373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160" w:type="pct"/>
                  <w:noWrap w:val="0"/>
                  <w:vAlign w:val="center"/>
                </w:tcPr>
                <w:p w14:paraId="6B3AA7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720" w:type="pct"/>
                  <w:noWrap w:val="0"/>
                  <w:vAlign w:val="center"/>
                </w:tcPr>
                <w:p w14:paraId="71898EA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4189660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306C9F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7B2FC1B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5DD556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228833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59E22D5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4FC7D7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664D25B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0A42B75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720" w:type="pct"/>
                  <w:noWrap w:val="0"/>
                  <w:vAlign w:val="center"/>
                </w:tcPr>
                <w:p w14:paraId="36AE8FA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3AD287E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96E0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4C9956E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160" w:type="pct"/>
                  <w:noWrap w:val="0"/>
                  <w:vAlign w:val="center"/>
                </w:tcPr>
                <w:p w14:paraId="36D0D4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720" w:type="pct"/>
                  <w:noWrap w:val="0"/>
                  <w:vAlign w:val="center"/>
                </w:tcPr>
                <w:p w14:paraId="76066D0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159D7E99">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31DDB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6E2A489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22058DD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67E08E1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3286BE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7A5D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4DB1103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0560EE4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720" w:type="pct"/>
                  <w:noWrap w:val="0"/>
                  <w:vAlign w:val="center"/>
                </w:tcPr>
                <w:p w14:paraId="6216B64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4A93AC1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ADDDA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0B1D020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CO</w:t>
                  </w:r>
                </w:p>
              </w:tc>
              <w:tc>
                <w:tcPr>
                  <w:tcW w:w="1160" w:type="pct"/>
                  <w:noWrap w:val="0"/>
                  <w:vAlign w:val="center"/>
                </w:tcPr>
                <w:p w14:paraId="0CF18B0F">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6AEC3E7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4mg/m</w:t>
                  </w:r>
                  <w:r>
                    <w:rPr>
                      <w:rFonts w:hint="default" w:ascii="Times New Roman" w:hAnsi="Times New Roman" w:eastAsia="宋体" w:cs="Times New Roman"/>
                      <w:color w:val="auto"/>
                      <w:sz w:val="21"/>
                      <w:szCs w:val="21"/>
                      <w:vertAlign w:val="superscript"/>
                      <w:lang w:bidi="ar"/>
                    </w:rPr>
                    <w:t>3</w:t>
                  </w:r>
                </w:p>
              </w:tc>
              <w:tc>
                <w:tcPr>
                  <w:tcW w:w="2237" w:type="pct"/>
                  <w:vMerge w:val="continue"/>
                  <w:noWrap w:val="0"/>
                  <w:vAlign w:val="center"/>
                </w:tcPr>
                <w:p w14:paraId="6D191F1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84C9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6BF1A948">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60" w:type="pct"/>
                  <w:noWrap w:val="0"/>
                  <w:vAlign w:val="center"/>
                </w:tcPr>
                <w:p w14:paraId="6E89505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720" w:type="pct"/>
                  <w:noWrap w:val="0"/>
                  <w:vAlign w:val="center"/>
                </w:tcPr>
                <w:p w14:paraId="6E6F279C">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10mg/m</w:t>
                  </w:r>
                  <w:r>
                    <w:rPr>
                      <w:rFonts w:hint="default" w:ascii="Times New Roman" w:hAnsi="Times New Roman" w:eastAsia="宋体" w:cs="Times New Roman"/>
                      <w:color w:val="auto"/>
                      <w:sz w:val="21"/>
                      <w:szCs w:val="21"/>
                      <w:vertAlign w:val="superscript"/>
                      <w:lang w:bidi="ar"/>
                    </w:rPr>
                    <w:t>3</w:t>
                  </w:r>
                </w:p>
              </w:tc>
              <w:tc>
                <w:tcPr>
                  <w:tcW w:w="2237" w:type="pct"/>
                  <w:vMerge w:val="continue"/>
                  <w:noWrap w:val="0"/>
                  <w:vAlign w:val="center"/>
                </w:tcPr>
                <w:p w14:paraId="36B6810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F5DDA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4EE852C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O</w:t>
                  </w:r>
                  <w:r>
                    <w:rPr>
                      <w:rFonts w:hint="default" w:ascii="Times New Roman" w:hAnsi="Times New Roman" w:eastAsia="宋体" w:cs="Times New Roman"/>
                      <w:color w:val="auto"/>
                      <w:sz w:val="21"/>
                      <w:szCs w:val="21"/>
                      <w:vertAlign w:val="subscript"/>
                      <w:lang w:bidi="ar"/>
                    </w:rPr>
                    <w:t>3</w:t>
                  </w:r>
                </w:p>
              </w:tc>
              <w:tc>
                <w:tcPr>
                  <w:tcW w:w="1160" w:type="pct"/>
                  <w:noWrap w:val="0"/>
                  <w:vAlign w:val="center"/>
                </w:tcPr>
                <w:p w14:paraId="4097354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日最大8小时平均</w:t>
                  </w:r>
                </w:p>
              </w:tc>
              <w:tc>
                <w:tcPr>
                  <w:tcW w:w="720" w:type="pct"/>
                  <w:noWrap w:val="0"/>
                  <w:vAlign w:val="center"/>
                </w:tcPr>
                <w:p w14:paraId="6F8934A7">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2381B86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5046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29E97A3B">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60" w:type="pct"/>
                  <w:noWrap w:val="0"/>
                  <w:vAlign w:val="center"/>
                </w:tcPr>
                <w:p w14:paraId="366276BB">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720" w:type="pct"/>
                  <w:noWrap w:val="0"/>
                  <w:vAlign w:val="center"/>
                </w:tcPr>
                <w:p w14:paraId="2B27298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200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0D243AD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B677E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noWrap w:val="0"/>
                  <w:vAlign w:val="center"/>
                </w:tcPr>
                <w:p w14:paraId="74B58C1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160" w:type="pct"/>
                  <w:noWrap w:val="0"/>
                  <w:vAlign w:val="center"/>
                </w:tcPr>
                <w:p w14:paraId="6AF439B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1小时均值</w:t>
                  </w:r>
                </w:p>
              </w:tc>
              <w:tc>
                <w:tcPr>
                  <w:tcW w:w="720" w:type="pct"/>
                  <w:noWrap w:val="0"/>
                  <w:vAlign w:val="center"/>
                </w:tcPr>
                <w:p w14:paraId="623908B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p>
              </w:tc>
              <w:tc>
                <w:tcPr>
                  <w:tcW w:w="2237" w:type="pct"/>
                  <w:noWrap w:val="0"/>
                  <w:vAlign w:val="center"/>
                </w:tcPr>
                <w:p w14:paraId="521DCD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eastAsia"/>
                      <w:color w:val="auto"/>
                    </w:rPr>
                    <w:t>《大气污染物综合排放标准详解》</w:t>
                  </w:r>
                  <w:r>
                    <w:rPr>
                      <w:rFonts w:hint="eastAsia"/>
                      <w:color w:val="auto"/>
                      <w:lang w:eastAsia="zh-CN"/>
                    </w:rPr>
                    <w:t>（</w:t>
                  </w:r>
                  <w:r>
                    <w:rPr>
                      <w:color w:val="auto"/>
                    </w:rPr>
                    <w:t>GB16297-1996</w:t>
                  </w:r>
                  <w:r>
                    <w:rPr>
                      <w:rFonts w:hint="eastAsia"/>
                      <w:color w:val="auto"/>
                      <w:lang w:eastAsia="zh-CN"/>
                    </w:rPr>
                    <w:t>）</w:t>
                  </w:r>
                  <w:r>
                    <w:rPr>
                      <w:rFonts w:hint="eastAsia"/>
                      <w:color w:val="auto"/>
                    </w:rPr>
                    <w:t>中的环境背景浓度取值</w:t>
                  </w:r>
                </w:p>
              </w:tc>
            </w:tr>
          </w:tbl>
          <w:p w14:paraId="1AEC688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85" w:name="_Toc4542"/>
            <w:bookmarkStart w:id="86" w:name="_Toc10431"/>
            <w:r>
              <w:rPr>
                <w:rFonts w:hint="default" w:ascii="Times New Roman" w:hAnsi="Times New Roman" w:eastAsia="宋体" w:cs="Times New Roman"/>
                <w:b/>
                <w:bCs/>
                <w:color w:val="auto"/>
                <w:sz w:val="24"/>
                <w:szCs w:val="24"/>
                <w:u w:val="none"/>
                <w:lang w:val="en-US" w:eastAsia="zh-CN"/>
              </w:rPr>
              <w:t>3.1.2环境空气质量现状</w:t>
            </w:r>
            <w:bookmarkEnd w:id="85"/>
            <w:bookmarkEnd w:id="86"/>
          </w:p>
          <w:p w14:paraId="1D8237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常规</w:t>
            </w:r>
            <w:r>
              <w:rPr>
                <w:rFonts w:hint="default" w:ascii="Times New Roman" w:hAnsi="Times New Roman" w:eastAsia="宋体" w:cs="Times New Roman"/>
                <w:color w:val="auto"/>
                <w:sz w:val="24"/>
                <w:szCs w:val="24"/>
              </w:rPr>
              <w:t>污染因子</w:t>
            </w:r>
          </w:p>
          <w:p w14:paraId="21001848">
            <w:pPr>
              <w:keepLines w:val="0"/>
              <w:pageBreakBefore w:val="0"/>
              <w:widowControl w:val="0"/>
              <w:tabs>
                <w:tab w:val="left" w:pos="840"/>
              </w:tabs>
              <w:kinsoku/>
              <w:wordWrap/>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①环境质量现状：</w:t>
            </w:r>
            <w:r>
              <w:rPr>
                <w:rFonts w:hint="default" w:ascii="Times New Roman" w:hAnsi="Times New Roman" w:eastAsia="宋体" w:cs="Times New Roman"/>
                <w:color w:val="auto"/>
                <w:kern w:val="0"/>
                <w:sz w:val="24"/>
                <w:szCs w:val="24"/>
              </w:rPr>
              <w:t>按《环境影响评价技术导则大气环境》</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HJ2.2-2018</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要求，城市环境空气质量达标情况评价指标为SO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、NO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、CO和O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，六项污染物全部达标即为城市环境空气质量达标。项目所在区域达标判定，优先采用国家或地方生态环境主管部门公开公布的评价基准年环境质量公告或环境质量报告中的数据或结论。</w:t>
            </w:r>
          </w:p>
          <w:p w14:paraId="6318F058">
            <w:pPr>
              <w:pStyle w:val="44"/>
              <w:keepLines w:val="0"/>
              <w:pageBreakBefore w:val="0"/>
              <w:widowControl w:val="0"/>
              <w:kinsoku/>
              <w:wordWrap/>
              <w:topLinePunct w:val="0"/>
              <w:autoSpaceDE/>
              <w:autoSpaceDN/>
              <w:bidi w:val="0"/>
              <w:ind w:firstLine="480"/>
              <w:textAlignment w:val="auto"/>
              <w:outlineLvl w:val="9"/>
              <w:rPr>
                <w:rFonts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lang w:val="en-US" w:eastAsia="zh-CN"/>
              </w:rPr>
              <w:t>本次评价</w:t>
            </w:r>
            <w:r>
              <w:rPr>
                <w:rFonts w:hint="default" w:ascii="Times New Roman" w:hAnsi="Times New Roman" w:eastAsia="宋体" w:cs="Times New Roman"/>
                <w:color w:val="auto"/>
                <w:kern w:val="0"/>
                <w:sz w:val="24"/>
                <w:szCs w:val="24"/>
              </w:rPr>
              <w:t>根据</w:t>
            </w:r>
            <w:r>
              <w:rPr>
                <w:rFonts w:cs="Times New Roman"/>
                <w:color w:val="auto"/>
                <w:highlight w:val="none"/>
              </w:rPr>
              <w:t>福建省生态环境厅发布的</w:t>
            </w:r>
            <w:r>
              <w:rPr>
                <w:rFonts w:hint="eastAsia" w:cs="Times New Roman"/>
                <w:color w:val="auto"/>
                <w:highlight w:val="none"/>
              </w:rPr>
              <w:t>“202</w:t>
            </w:r>
            <w:r>
              <w:rPr>
                <w:rFonts w:hint="eastAsia" w:cs="Times New Roman"/>
                <w:color w:val="auto"/>
                <w:highlight w:val="none"/>
                <w:lang w:val="en-US" w:eastAsia="zh-CN"/>
              </w:rPr>
              <w:t>5</w:t>
            </w:r>
            <w:r>
              <w:rPr>
                <w:rFonts w:hint="eastAsia" w:cs="Times New Roman"/>
                <w:color w:val="auto"/>
                <w:highlight w:val="none"/>
              </w:rPr>
              <w:t>年12月福建省城市环境空气质量状况”</w:t>
            </w:r>
            <w:r>
              <w:rPr>
                <w:rFonts w:cs="Times New Roman"/>
                <w:color w:val="auto"/>
                <w:highlight w:val="none"/>
              </w:rPr>
              <w:t>（</w:t>
            </w:r>
            <w:r>
              <w:rPr>
                <w:rFonts w:hint="eastAsia" w:cs="Times New Roman"/>
                <w:color w:val="auto"/>
                <w:highlight w:val="none"/>
              </w:rPr>
              <w:t>https://sthjt.fujian.gov.cn/zwgk/sjfb/hjsj/zlph/202601/t20260126_7085242.htm</w:t>
            </w:r>
            <w:r>
              <w:rPr>
                <w:rFonts w:cs="Times New Roman"/>
                <w:color w:val="auto"/>
                <w:highlight w:val="none"/>
              </w:rPr>
              <w:t>）</w:t>
            </w:r>
            <w:r>
              <w:rPr>
                <w:rFonts w:hint="eastAsia" w:cs="Times New Roman"/>
                <w:color w:val="auto"/>
                <w:highlight w:val="none"/>
              </w:rPr>
              <w:t>显示：</w:t>
            </w:r>
            <w:r>
              <w:rPr>
                <w:rFonts w:hint="eastAsia" w:cs="Times New Roman"/>
                <w:color w:val="auto"/>
                <w:kern w:val="0"/>
                <w:sz w:val="24"/>
                <w:szCs w:val="24"/>
                <w:lang w:val="en-US" w:eastAsia="zh-CN"/>
              </w:rPr>
              <w:t>2025年</w:t>
            </w:r>
            <w:r>
              <w:rPr>
                <w:rFonts w:ascii="宋体" w:hAnsi="宋体" w:eastAsia="宋体" w:cs="宋体"/>
                <w:color w:val="auto"/>
                <w:sz w:val="24"/>
                <w:szCs w:val="24"/>
              </w:rPr>
              <w:t>1</w:t>
            </w:r>
            <w:r>
              <w:rPr>
                <w:rFonts w:ascii="Times New Roman" w:hAnsi="Times New Roman" w:eastAsia="宋体" w:cs="Times New Roman"/>
                <w:color w:val="auto"/>
                <w:highlight w:val="none"/>
              </w:rPr>
              <w:t>―12月，9个设区城市环境空气质量优良天数比例平均为98.3%，同比持平。环境空气质量综合指数范围为2.19～2.84，首要污染物为臭氧。1-12月，58个县级城市环境空气质量优良天数比例平均为99.3%，同比下降0.1个百分点；环境空气质量综合指数范围为1.24～2.47，首要污染物为细颗粒物、臭氧。</w:t>
            </w:r>
            <w:r>
              <w:rPr>
                <w:rFonts w:hint="eastAsia" w:ascii="Times New Roman" w:hAnsi="Times New Roman" w:eastAsia="宋体" w:cs="Times New Roman"/>
                <w:color w:val="auto"/>
                <w:highlight w:val="none"/>
                <w:lang w:val="en-US" w:eastAsia="zh-CN"/>
              </w:rPr>
              <w:t>福清市优良天数比例99.7%，综合指数2.13，PU</w:t>
            </w:r>
            <w:r>
              <w:rPr>
                <w:rFonts w:hint="eastAsia" w:ascii="Times New Roman" w:hAnsi="Times New Roman" w:eastAsia="宋体" w:cs="Times New Roman"/>
                <w:color w:val="auto"/>
                <w:highlight w:val="none"/>
                <w:vertAlign w:val="subscript"/>
                <w:lang w:val="en-US" w:eastAsia="zh-CN"/>
              </w:rPr>
              <w:t>2.5</w:t>
            </w:r>
            <w:r>
              <w:rPr>
                <w:rFonts w:hint="eastAsia" w:ascii="Times New Roman" w:hAnsi="Times New Roman" w:eastAsia="宋体" w:cs="Times New Roman"/>
                <w:color w:val="auto"/>
                <w:highlight w:val="none"/>
                <w:lang w:val="en-US" w:eastAsia="zh-CN"/>
              </w:rPr>
              <w:t>16ug/m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，首要污染物为臭氧。</w:t>
            </w:r>
            <w:r>
              <w:rPr>
                <w:rFonts w:ascii="Times New Roman" w:hAnsi="Times New Roman" w:eastAsia="宋体" w:cs="Times New Roman"/>
                <w:color w:val="auto"/>
                <w:highlight w:val="none"/>
              </w:rPr>
              <w:t>因此</w:t>
            </w:r>
            <w:r>
              <w:rPr>
                <w:rFonts w:hint="eastAsia" w:ascii="Times New Roman" w:hAnsi="Times New Roman" w:eastAsia="宋体" w:cs="Times New Roman"/>
                <w:color w:val="auto"/>
                <w:highlight w:val="none"/>
              </w:rPr>
              <w:t>福清市</w:t>
            </w:r>
            <w:r>
              <w:rPr>
                <w:rFonts w:ascii="Times New Roman" w:hAnsi="Times New Roman" w:eastAsia="宋体" w:cs="Times New Roman"/>
                <w:color w:val="auto"/>
                <w:highlight w:val="none"/>
              </w:rPr>
              <w:t>属于达标区</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详见图3.1-1</w:t>
            </w:r>
            <w:r>
              <w:rPr>
                <w:rFonts w:hint="eastAsia" w:ascii="Times New Roman" w:hAnsi="Times New Roman" w:eastAsia="宋体" w:cs="Times New Roman"/>
                <w:color w:val="auto"/>
                <w:highlight w:val="none"/>
              </w:rPr>
              <w:t>和图3.1-2</w:t>
            </w:r>
            <w:r>
              <w:rPr>
                <w:rFonts w:ascii="Times New Roman" w:hAnsi="Times New Roman" w:eastAsia="宋体" w:cs="Times New Roman"/>
                <w:color w:val="auto"/>
                <w:highlight w:val="none"/>
              </w:rPr>
              <w:t>。</w:t>
            </w:r>
          </w:p>
          <w:p w14:paraId="37901496">
            <w:pPr>
              <w:keepLines w:val="0"/>
              <w:pageBreakBefore w:val="0"/>
              <w:widowControl w:val="0"/>
              <w:tabs>
                <w:tab w:val="left" w:pos="840"/>
              </w:tabs>
              <w:kinsoku/>
              <w:wordWrap/>
              <w:topLinePunct w:val="0"/>
              <w:autoSpaceDE/>
              <w:autoSpaceDN/>
              <w:bidi w:val="0"/>
              <w:adjustRightInd/>
              <w:spacing w:line="240" w:lineRule="auto"/>
              <w:ind w:left="0" w:firstLine="0"/>
              <w:textAlignment w:val="auto"/>
              <w:outlineLvl w:val="9"/>
              <w:rPr>
                <w:rFonts w:hint="eastAsia" w:ascii="Times New Roman" w:hAnsi="Times New Roman" w:eastAsia="宋体" w:cs="Times New Roman"/>
                <w:b/>
                <w:bCs w:val="0"/>
                <w:color w:val="auto"/>
                <w:sz w:val="24"/>
                <w:szCs w:val="24"/>
                <w:lang w:val="en-US" w:eastAsia="zh-CN"/>
              </w:rPr>
            </w:pPr>
            <w:bookmarkStart w:id="87" w:name="_Toc17982"/>
            <w:r>
              <w:rPr>
                <w:color w:val="auto"/>
              </w:rPr>
              <w:drawing>
                <wp:inline distT="0" distB="0" distL="114300" distR="114300">
                  <wp:extent cx="5412105" cy="4054475"/>
                  <wp:effectExtent l="0" t="0" r="17145"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7"/>
                          <a:stretch>
                            <a:fillRect/>
                          </a:stretch>
                        </pic:blipFill>
                        <pic:spPr>
                          <a:xfrm>
                            <a:off x="0" y="0"/>
                            <a:ext cx="5412105" cy="4054475"/>
                          </a:xfrm>
                          <a:prstGeom prst="rect">
                            <a:avLst/>
                          </a:prstGeom>
                          <a:noFill/>
                          <a:ln>
                            <a:noFill/>
                          </a:ln>
                        </pic:spPr>
                      </pic:pic>
                    </a:graphicData>
                  </a:graphic>
                </wp:inline>
              </w:drawing>
            </w:r>
          </w:p>
          <w:p w14:paraId="3974FB12">
            <w:pPr>
              <w:pStyle w:val="40"/>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color w:val="auto"/>
                <w:sz w:val="21"/>
              </w:rPr>
            </w:pPr>
            <w:r>
              <w:rPr>
                <w:rFonts w:hint="eastAsia" w:ascii="Times New Roman" w:hAnsi="Times New Roman" w:eastAsia="宋体" w:cs="Times New Roman"/>
                <w:b/>
                <w:bCs w:val="0"/>
                <w:color w:val="auto"/>
                <w:sz w:val="24"/>
                <w:szCs w:val="24"/>
                <w:lang w:val="en-US" w:eastAsia="zh-CN"/>
              </w:rPr>
              <w:t>图3.1-1</w:t>
            </w:r>
            <w:r>
              <w:rPr>
                <w:rFonts w:hint="eastAsia" w:cs="Times New Roman"/>
                <w:b/>
                <w:bCs w:val="0"/>
                <w:color w:val="auto"/>
                <w:sz w:val="24"/>
                <w:szCs w:val="24"/>
                <w:lang w:val="en-US" w:eastAsia="zh-CN"/>
              </w:rPr>
              <w:t xml:space="preserve">  </w:t>
            </w:r>
            <w:r>
              <w:rPr>
                <w:rFonts w:hint="eastAsia" w:ascii="Times New Roman" w:hAnsi="Times New Roman" w:eastAsia="宋体" w:cs="Times New Roman"/>
                <w:b/>
                <w:bCs w:val="0"/>
                <w:color w:val="auto"/>
                <w:sz w:val="24"/>
                <w:szCs w:val="24"/>
                <w:lang w:val="en-US" w:eastAsia="zh-CN"/>
              </w:rPr>
              <w:t>202</w:t>
            </w:r>
            <w:r>
              <w:rPr>
                <w:rFonts w:hint="eastAsia" w:cs="Times New Roman"/>
                <w:b/>
                <w:bCs w:val="0"/>
                <w:color w:val="auto"/>
                <w:sz w:val="24"/>
                <w:szCs w:val="24"/>
                <w:lang w:val="en-US" w:eastAsia="zh-CN"/>
              </w:rPr>
              <w:t>5</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月设区城市环境空气质量状况截图</w:t>
            </w:r>
            <w:bookmarkEnd w:id="87"/>
            <w:bookmarkStart w:id="88" w:name="_Toc24363"/>
          </w:p>
          <w:p w14:paraId="49066737">
            <w:pPr>
              <w:pStyle w:val="40"/>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eastAsia" w:ascii="Times New Roman" w:hAnsi="Times New Roman" w:eastAsia="宋体" w:cs="Times New Roman"/>
                <w:b/>
                <w:bCs w:val="0"/>
                <w:color w:val="auto"/>
                <w:sz w:val="24"/>
                <w:szCs w:val="24"/>
                <w:lang w:val="en-US" w:eastAsia="zh-CN"/>
              </w:rPr>
            </w:pPr>
            <w:r>
              <w:rPr>
                <w:color w:val="auto"/>
              </w:rPr>
              <w:drawing>
                <wp:inline distT="0" distB="0" distL="114300" distR="114300">
                  <wp:extent cx="5417185" cy="2957195"/>
                  <wp:effectExtent l="0" t="0" r="12065" b="146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tretch>
                            <a:fillRect/>
                          </a:stretch>
                        </pic:blipFill>
                        <pic:spPr>
                          <a:xfrm>
                            <a:off x="0" y="0"/>
                            <a:ext cx="5417185" cy="2957195"/>
                          </a:xfrm>
                          <a:prstGeom prst="rect">
                            <a:avLst/>
                          </a:prstGeom>
                          <a:noFill/>
                          <a:ln>
                            <a:noFill/>
                          </a:ln>
                        </pic:spPr>
                      </pic:pic>
                    </a:graphicData>
                  </a:graphic>
                </wp:inline>
              </w:drawing>
            </w:r>
          </w:p>
          <w:p w14:paraId="5E2A5677">
            <w:pPr>
              <w:pStyle w:val="40"/>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图3.1-</w:t>
            </w:r>
            <w:r>
              <w:rPr>
                <w:rFonts w:hint="eastAsia" w:cs="Times New Roman"/>
                <w:b/>
                <w:bCs w:val="0"/>
                <w:color w:val="auto"/>
                <w:sz w:val="24"/>
                <w:szCs w:val="24"/>
                <w:lang w:val="en-US" w:eastAsia="zh-CN"/>
              </w:rPr>
              <w:t xml:space="preserve">2  </w:t>
            </w:r>
            <w:r>
              <w:rPr>
                <w:rFonts w:hint="eastAsia" w:ascii="Times New Roman" w:hAnsi="Times New Roman" w:eastAsia="宋体" w:cs="Times New Roman"/>
                <w:b/>
                <w:bCs w:val="0"/>
                <w:color w:val="auto"/>
                <w:sz w:val="24"/>
                <w:szCs w:val="24"/>
                <w:lang w:val="en-US" w:eastAsia="zh-CN"/>
              </w:rPr>
              <w:t>202</w:t>
            </w:r>
            <w:r>
              <w:rPr>
                <w:rFonts w:hint="eastAsia" w:cs="Times New Roman"/>
                <w:b/>
                <w:bCs w:val="0"/>
                <w:color w:val="auto"/>
                <w:sz w:val="24"/>
                <w:szCs w:val="24"/>
                <w:lang w:val="en-US" w:eastAsia="zh-CN"/>
              </w:rPr>
              <w:t>5</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月县级城市环境空气质量状况截图</w:t>
            </w:r>
            <w:bookmarkEnd w:id="88"/>
          </w:p>
          <w:p w14:paraId="48ECA894">
            <w:pPr>
              <w:keepLines w:val="0"/>
              <w:pageBreakBefore w:val="0"/>
              <w:widowControl w:val="0"/>
              <w:kinsoku/>
              <w:wordWrap/>
              <w:topLinePunct w:val="0"/>
              <w:autoSpaceDE/>
              <w:autoSpaceDN/>
              <w:bidi w:val="0"/>
              <w:spacing w:line="360"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②引用</w:t>
            </w:r>
            <w:r>
              <w:rPr>
                <w:rFonts w:ascii="Times New Roman" w:hAnsi="Times New Roman" w:eastAsia="宋体" w:cs="Times New Roman"/>
                <w:color w:val="auto"/>
                <w:kern w:val="2"/>
                <w:sz w:val="24"/>
                <w:szCs w:val="24"/>
                <w:highlight w:val="none"/>
                <w:lang w:val="en-US" w:eastAsia="zh-CN" w:bidi="ar-SA"/>
              </w:rPr>
              <w:t>数据有效性分析</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1732ABA6">
            <w:pPr>
              <w:keepLines w:val="0"/>
              <w:pageBreakBefore w:val="0"/>
              <w:widowControl w:val="0"/>
              <w:kinsoku/>
              <w:wordWrap/>
              <w:topLinePunct w:val="0"/>
              <w:autoSpaceDE/>
              <w:autoSpaceDN/>
              <w:bidi w:val="0"/>
              <w:spacing w:line="336"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本次评价选取福建省生态环境厅发布的关于202</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年1</w:t>
            </w:r>
            <w:r>
              <w:rPr>
                <w:rFonts w:hint="eastAsia" w:cs="Times New Roman"/>
                <w:color w:val="auto"/>
                <w:kern w:val="2"/>
                <w:sz w:val="24"/>
                <w:szCs w:val="24"/>
                <w:highlight w:val="none"/>
                <w:lang w:val="en-US" w:eastAsia="zh-CN" w:bidi="ar-SA"/>
              </w:rPr>
              <w:t>—12</w:t>
            </w:r>
            <w:r>
              <w:rPr>
                <w:rFonts w:hint="eastAsia" w:ascii="Times New Roman" w:hAnsi="Times New Roman" w:eastAsia="宋体" w:cs="Times New Roman"/>
                <w:color w:val="auto"/>
                <w:kern w:val="2"/>
                <w:sz w:val="24"/>
                <w:szCs w:val="24"/>
                <w:highlight w:val="none"/>
                <w:lang w:val="en-US" w:eastAsia="zh-CN" w:bidi="ar-SA"/>
              </w:rPr>
              <w:t>月设区城市环境空气质量状况</w:t>
            </w:r>
            <w:r>
              <w:rPr>
                <w:rFonts w:ascii="Times New Roman" w:hAnsi="Times New Roman" w:eastAsia="宋体" w:cs="Times New Roman"/>
                <w:color w:val="auto"/>
                <w:kern w:val="2"/>
                <w:sz w:val="24"/>
                <w:szCs w:val="24"/>
                <w:highlight w:val="none"/>
                <w:lang w:val="en-US" w:eastAsia="zh-CN" w:bidi="ar-SA"/>
              </w:rPr>
              <w:t>，符合《建设项目环境影响报告表编制技术指南（污染影响类）（试行）》（环办环评〔2020〕33号）的要求。</w:t>
            </w:r>
          </w:p>
          <w:p w14:paraId="7E196359">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（2）其他</w:t>
            </w:r>
            <w:r>
              <w:rPr>
                <w:rFonts w:hint="eastAsia" w:ascii="Times New Roman" w:hAnsi="Times New Roman" w:eastAsia="宋体" w:cs="Times New Roman"/>
                <w:color w:val="auto"/>
                <w:kern w:val="0"/>
                <w:sz w:val="24"/>
                <w:highlight w:val="none"/>
              </w:rPr>
              <w:t>污染因子</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非甲烷总烃、苯乙烯、甲苯、乙苯）</w:t>
            </w:r>
          </w:p>
          <w:p w14:paraId="226DAF40">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default" w:ascii="Times New Roman" w:hAnsi="Times New Roman" w:eastAsia="宋体" w:cs="Times New Roman"/>
                <w:color w:val="auto"/>
                <w:kern w:val="0"/>
                <w:sz w:val="24"/>
                <w:highlight w:val="none"/>
                <w:lang w:val="en-US" w:eastAsia="zh-CN"/>
              </w:rPr>
              <w:t>根据环境影响评价网</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zh-CN" w:eastAsia="zh-CN"/>
              </w:rPr>
              <w:t>生态环境部环</w:t>
            </w:r>
            <w:r>
              <w:rPr>
                <w:rFonts w:hint="default" w:ascii="Times New Roman" w:hAnsi="Times New Roman" w:eastAsia="宋体" w:cs="Times New Roman"/>
                <w:color w:val="auto"/>
                <w:sz w:val="24"/>
                <w:szCs w:val="22"/>
                <w:highlight w:val="none"/>
                <w:lang w:val="zh-CN" w:eastAsia="zh-CN"/>
              </w:rPr>
              <w:t>境工程评估中心</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关于</w:t>
            </w:r>
            <w:r>
              <w:rPr>
                <w:rFonts w:hint="default" w:ascii="Times New Roman" w:hAnsi="Times New Roman" w:eastAsia="宋体" w:cs="Times New Roman"/>
                <w:color w:val="auto"/>
                <w:sz w:val="24"/>
                <w:szCs w:val="22"/>
                <w:highlight w:val="none"/>
                <w:lang w:val="zh-CN" w:eastAsia="zh-CN"/>
              </w:rPr>
              <w:t>《建设项目环境影响报告表》内容、格式及编制技术指南常见问题解答：</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技术指南中提到</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排放国家、地方环境空气质量标准中有标准限值要求的特征污染物</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，其中环境空气质量标准指《环境空气质量标准》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cs="Times New Roman"/>
                <w:color w:val="auto"/>
                <w:sz w:val="24"/>
                <w:szCs w:val="22"/>
                <w:highlight w:val="none"/>
                <w:lang w:val="en-US" w:eastAsia="zh-CN"/>
              </w:rPr>
              <w:t>-2026）</w:t>
            </w:r>
            <w:r>
              <w:rPr>
                <w:rFonts w:hint="default" w:ascii="Times New Roman" w:hAnsi="Times New Roman" w:eastAsia="宋体" w:cs="Times New Roman"/>
                <w:color w:val="auto"/>
                <w:sz w:val="24"/>
                <w:szCs w:val="22"/>
                <w:highlight w:val="none"/>
                <w:lang w:val="en-US" w:eastAsia="zh-CN"/>
              </w:rPr>
              <w:t>和地方的环境空气质量标准，不包括《环境影响评价技术导则大气环境》</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HJ2.2-2018</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附录D、《大气污染物综合排放标准详解》等导则或参考资料。排放的特征污染物需要在国家、地方环境空气质量标准中有限值要求才涉及现状监测</w:t>
            </w:r>
            <w:r>
              <w:rPr>
                <w:rFonts w:hint="eastAsia" w:cs="Times New Roman"/>
                <w:color w:val="auto"/>
                <w:sz w:val="24"/>
                <w:szCs w:val="22"/>
                <w:highlight w:val="none"/>
                <w:lang w:val="en-US" w:eastAsia="zh-CN"/>
              </w:rPr>
              <w:t>且</w:t>
            </w:r>
            <w:r>
              <w:rPr>
                <w:rFonts w:hint="default" w:ascii="Times New Roman" w:hAnsi="Times New Roman" w:eastAsia="宋体" w:cs="Times New Roman"/>
                <w:color w:val="auto"/>
                <w:sz w:val="24"/>
                <w:szCs w:val="22"/>
                <w:highlight w:val="none"/>
                <w:lang w:val="en-US" w:eastAsia="zh-CN"/>
              </w:rPr>
              <w:t>优先引用现有监测数据</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w:t>
            </w:r>
          </w:p>
          <w:p w14:paraId="3920FC4E">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eastAsia" w:cs="Times New Roman"/>
                <w:color w:val="auto"/>
                <w:kern w:val="0"/>
                <w:sz w:val="24"/>
                <w:lang w:val="en-US" w:eastAsia="zh-CN"/>
              </w:rPr>
              <w:t>根据建设项目区域环境情况，结合本项目的特征因子，</w:t>
            </w:r>
            <w:r>
              <w:rPr>
                <w:rFonts w:hint="eastAsia" w:cs="Times New Roman"/>
                <w:b w:val="0"/>
                <w:bCs w:val="0"/>
                <w:color w:val="auto"/>
                <w:sz w:val="24"/>
                <w:szCs w:val="24"/>
                <w:highlight w:val="none"/>
                <w:lang w:val="en-US" w:eastAsia="zh-CN"/>
              </w:rPr>
              <w:t>由于本项目所使用原料颗粒物较大，在投料过程中不产生投料粉尘且发泡机设置单独封闭式发泡车间，定期对车间内地面进行清扫。</w:t>
            </w:r>
            <w:r>
              <w:rPr>
                <w:rFonts w:hint="eastAsia" w:cs="Times New Roman"/>
                <w:color w:val="auto"/>
                <w:kern w:val="0"/>
                <w:sz w:val="24"/>
                <w:lang w:val="en-US" w:eastAsia="zh-CN"/>
              </w:rPr>
              <w:t>确定本项目大气环境现状调查特征因子为非甲烷总烃、苯乙烯、甲苯、乙苯，</w:t>
            </w:r>
            <w:r>
              <w:rPr>
                <w:rFonts w:hint="default" w:ascii="Times New Roman" w:hAnsi="Times New Roman" w:eastAsia="宋体" w:cs="Times New Roman"/>
                <w:color w:val="auto"/>
                <w:sz w:val="24"/>
                <w:szCs w:val="22"/>
                <w:highlight w:val="none"/>
                <w:lang w:val="en-US" w:eastAsia="zh-CN"/>
              </w:rPr>
              <w:t>不属于《环境空气质量标准》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ascii="Times New Roman" w:hAnsi="Times New Roman" w:eastAsia="宋体" w:cs="Times New Roman"/>
                <w:color w:val="auto"/>
                <w:sz w:val="24"/>
                <w:szCs w:val="22"/>
                <w:highlight w:val="none"/>
                <w:lang w:val="en-US" w:eastAsia="zh-CN"/>
              </w:rPr>
              <w:t>-20</w:t>
            </w:r>
            <w:r>
              <w:rPr>
                <w:rFonts w:hint="eastAsia" w:cs="Times New Roman"/>
                <w:color w:val="auto"/>
                <w:sz w:val="24"/>
                <w:szCs w:val="22"/>
                <w:highlight w:val="none"/>
                <w:lang w:val="en-US" w:eastAsia="zh-CN"/>
              </w:rPr>
              <w:t>26）</w:t>
            </w:r>
            <w:r>
              <w:rPr>
                <w:rFonts w:hint="default" w:ascii="Times New Roman" w:hAnsi="Times New Roman" w:eastAsia="宋体" w:cs="Times New Roman"/>
                <w:color w:val="auto"/>
                <w:sz w:val="24"/>
                <w:szCs w:val="22"/>
                <w:highlight w:val="none"/>
                <w:lang w:val="en-US" w:eastAsia="zh-CN"/>
              </w:rPr>
              <w:t>和</w:t>
            </w:r>
            <w:r>
              <w:rPr>
                <w:rFonts w:hint="eastAsia" w:cs="Times New Roman"/>
                <w:color w:val="auto"/>
                <w:sz w:val="24"/>
                <w:szCs w:val="22"/>
                <w:highlight w:val="none"/>
                <w:lang w:val="en-US" w:eastAsia="zh-CN"/>
              </w:rPr>
              <w:t>地方</w:t>
            </w:r>
            <w:r>
              <w:rPr>
                <w:rFonts w:hint="default" w:ascii="Times New Roman" w:hAnsi="Times New Roman" w:eastAsia="宋体" w:cs="Times New Roman"/>
                <w:color w:val="auto"/>
                <w:sz w:val="24"/>
                <w:szCs w:val="22"/>
                <w:highlight w:val="none"/>
                <w:lang w:val="en-US" w:eastAsia="zh-CN"/>
              </w:rPr>
              <w:t>环境空气质量中有标准限值要求的污染物，因此，不进行现状检测评价。</w:t>
            </w:r>
          </w:p>
          <w:p w14:paraId="6B47C8D0">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89" w:name="_Toc5875"/>
            <w:bookmarkStart w:id="90" w:name="_Toc13108"/>
            <w:r>
              <w:rPr>
                <w:rFonts w:hint="eastAsia" w:ascii="Times New Roman" w:hAnsi="Times New Roman" w:eastAsia="宋体" w:cs="Times New Roman"/>
                <w:color w:val="auto"/>
                <w:sz w:val="28"/>
                <w:szCs w:val="28"/>
                <w:u w:val="none"/>
                <w:lang w:val="en-US" w:eastAsia="zh-CN"/>
              </w:rPr>
              <w:t>3.2水环境质量现状</w:t>
            </w:r>
            <w:bookmarkEnd w:id="89"/>
            <w:bookmarkEnd w:id="90"/>
          </w:p>
          <w:p w14:paraId="051249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91" w:name="_Toc23515"/>
            <w:bookmarkStart w:id="92" w:name="_Toc7675"/>
            <w:r>
              <w:rPr>
                <w:rFonts w:hint="eastAsia" w:ascii="Times New Roman" w:hAnsi="Times New Roman" w:eastAsia="宋体" w:cs="Times New Roman"/>
                <w:b/>
                <w:bCs/>
                <w:color w:val="auto"/>
                <w:sz w:val="24"/>
                <w:szCs w:val="24"/>
                <w:u w:val="none"/>
                <w:lang w:val="en-US" w:eastAsia="zh-CN"/>
              </w:rPr>
              <w:t>3.2.1地表水功能区划</w:t>
            </w:r>
            <w:bookmarkEnd w:id="91"/>
            <w:bookmarkEnd w:id="92"/>
          </w:p>
          <w:p w14:paraId="5EF8412B">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生产过程中用水主要为模具冷却水及蒸汽冷凝水。所产生</w:t>
            </w:r>
            <w:r>
              <w:rPr>
                <w:rFonts w:hint="eastAsia" w:cs="Times New Roman"/>
                <w:color w:val="auto"/>
                <w:sz w:val="24"/>
                <w:highlight w:val="none"/>
                <w:lang w:val="en-US" w:eastAsia="zh-CN"/>
              </w:rPr>
              <w:t>生产废水</w:t>
            </w:r>
            <w:r>
              <w:rPr>
                <w:rFonts w:hint="eastAsia" w:ascii="Times New Roman" w:hAnsi="Times New Roman" w:eastAsia="宋体" w:cs="Times New Roman"/>
                <w:color w:val="auto"/>
                <w:sz w:val="24"/>
                <w:highlight w:val="none"/>
                <w:lang w:val="en-US" w:eastAsia="zh-CN"/>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color w:val="auto"/>
                <w:sz w:val="24"/>
                <w:highlight w:val="none"/>
                <w:lang w:val="en-US" w:eastAsia="zh-CN"/>
              </w:rPr>
              <w:t>冷却后回用于模具冷却，循环使用不外排。生活污水依托厂内已建的化粪池处理后进入市政污水管网纳入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z w:val="24"/>
                <w:highlight w:val="none"/>
                <w:lang w:val="en-US" w:eastAsia="zh-CN"/>
              </w:rPr>
              <w:t>集中处理，</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sz w:val="24"/>
                <w:highlight w:val="none"/>
                <w:lang w:val="en-US" w:eastAsia="zh-CN"/>
              </w:rPr>
              <w:t>尾水排入</w:t>
            </w:r>
            <w:r>
              <w:rPr>
                <w:rFonts w:hint="eastAsia" w:ascii="Times New Roman" w:hAnsi="Times New Roman" w:eastAsia="宋体" w:cs="Times New Roman"/>
                <w:color w:val="auto"/>
                <w:sz w:val="24"/>
                <w:highlight w:val="none"/>
                <w:lang w:val="en-US" w:eastAsia="zh-CN"/>
              </w:rPr>
              <w:t>兴化湾。根据《福建省人民政府关于印发福建省近岸海域环境功能区划（修编）的通知》闽政</w:t>
            </w:r>
            <w:r>
              <w:rPr>
                <w:rFonts w:hint="eastAsia" w:cs="Times New Roman"/>
                <w:color w:val="auto"/>
                <w:sz w:val="24"/>
                <w:highlight w:val="none"/>
                <w:lang w:val="en-US" w:eastAsia="zh-CN"/>
              </w:rPr>
              <w:t>〔2011〕45号</w:t>
            </w:r>
            <w:r>
              <w:rPr>
                <w:rFonts w:hint="eastAsia" w:ascii="Times New Roman" w:hAnsi="Times New Roman" w:eastAsia="宋体" w:cs="Times New Roman"/>
                <w:color w:val="auto"/>
                <w:sz w:val="24"/>
                <w:highlight w:val="none"/>
                <w:lang w:val="en-US" w:eastAsia="zh-CN"/>
              </w:rPr>
              <w:t>，兴化湾主体海域为二类区，江阴港区近岸海域环境功能为四类区。兴化湾主体海域为二类功能区，海水水质执行《海水水质标准》（GB3097-1997）中的第二类标准；江阴港区附近海域为四类区，四类区外侧划定一定范围三类区，考虑到近岸海域环境保护的需要，江阴港区附近海域海水水质近期仍执行第三类海水水质标准。具体</w:t>
            </w:r>
            <w:r>
              <w:rPr>
                <w:rFonts w:hint="default" w:ascii="Times New Roman" w:hAnsi="Times New Roman" w:eastAsia="宋体" w:cs="Times New Roman"/>
                <w:color w:val="auto"/>
                <w:sz w:val="24"/>
                <w:highlight w:val="none"/>
                <w:lang w:val="en-US" w:eastAsia="zh-CN"/>
              </w:rPr>
              <w:t>详见表3.2-1。</w:t>
            </w:r>
          </w:p>
          <w:p w14:paraId="45DF3C8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表3.2-1</w:t>
            </w:r>
            <w:r>
              <w:rPr>
                <w:rFonts w:hint="eastAsia" w:ascii="Times New Roman" w:hAnsi="Times New Roman" w:eastAsia="宋体" w:cs="Times New Roman"/>
                <w:b/>
                <w:bCs/>
                <w:color w:val="auto"/>
                <w:sz w:val="24"/>
                <w:szCs w:val="24"/>
                <w:u w:val="none"/>
                <w:lang w:val="en-US" w:eastAsia="zh-CN"/>
              </w:rPr>
              <w:t>海</w:t>
            </w:r>
            <w:r>
              <w:rPr>
                <w:rFonts w:hint="default" w:ascii="Times New Roman" w:hAnsi="Times New Roman" w:eastAsia="宋体" w:cs="Times New Roman"/>
                <w:b/>
                <w:bCs/>
                <w:color w:val="auto"/>
                <w:sz w:val="24"/>
                <w:szCs w:val="24"/>
                <w:u w:val="none"/>
                <w:lang w:val="en-US" w:eastAsia="zh-CN"/>
              </w:rPr>
              <w:t>环境质量标准</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GB3838-2002</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摘录</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单位：mg/L</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678"/>
              <w:gridCol w:w="2340"/>
              <w:gridCol w:w="1620"/>
              <w:gridCol w:w="1515"/>
              <w:gridCol w:w="1290"/>
              <w:gridCol w:w="1087"/>
            </w:tblGrid>
            <w:tr w14:paraId="7E5798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11A19163">
                  <w:pPr>
                    <w:spacing w:line="340" w:lineRule="exact"/>
                    <w:jc w:val="center"/>
                    <w:rPr>
                      <w:snapToGrid w:val="0"/>
                      <w:color w:val="auto"/>
                      <w:kern w:val="18"/>
                      <w:szCs w:val="21"/>
                    </w:rPr>
                  </w:pPr>
                  <w:r>
                    <w:rPr>
                      <w:snapToGrid w:val="0"/>
                      <w:color w:val="auto"/>
                      <w:kern w:val="18"/>
                      <w:szCs w:val="21"/>
                    </w:rPr>
                    <w:t>序号</w:t>
                  </w:r>
                </w:p>
              </w:tc>
              <w:tc>
                <w:tcPr>
                  <w:tcW w:w="1371" w:type="pct"/>
                  <w:shd w:val="clear" w:color="auto" w:fill="auto"/>
                  <w:noWrap w:val="0"/>
                  <w:vAlign w:val="center"/>
                </w:tcPr>
                <w:p w14:paraId="4CFCA972">
                  <w:pPr>
                    <w:spacing w:line="340" w:lineRule="exact"/>
                    <w:jc w:val="center"/>
                    <w:rPr>
                      <w:snapToGrid w:val="0"/>
                      <w:color w:val="auto"/>
                      <w:kern w:val="18"/>
                      <w:szCs w:val="21"/>
                    </w:rPr>
                  </w:pPr>
                  <w:r>
                    <w:rPr>
                      <w:snapToGrid w:val="0"/>
                      <w:color w:val="auto"/>
                      <w:kern w:val="18"/>
                      <w:szCs w:val="21"/>
                    </w:rPr>
                    <w:t>项目</w:t>
                  </w:r>
                </w:p>
              </w:tc>
              <w:tc>
                <w:tcPr>
                  <w:tcW w:w="949" w:type="pct"/>
                  <w:shd w:val="clear" w:color="auto" w:fill="auto"/>
                  <w:noWrap w:val="0"/>
                  <w:vAlign w:val="center"/>
                </w:tcPr>
                <w:p w14:paraId="77A6FFB1">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第一类</w:t>
                  </w:r>
                </w:p>
              </w:tc>
              <w:tc>
                <w:tcPr>
                  <w:tcW w:w="888" w:type="pct"/>
                  <w:shd w:val="clear" w:color="auto" w:fill="auto"/>
                  <w:noWrap w:val="0"/>
                  <w:vAlign w:val="center"/>
                </w:tcPr>
                <w:p w14:paraId="0B1051D8">
                  <w:pPr>
                    <w:spacing w:line="340" w:lineRule="exact"/>
                    <w:jc w:val="center"/>
                    <w:rPr>
                      <w:rFonts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第二</w:t>
                  </w:r>
                  <w:r>
                    <w:rPr>
                      <w:rFonts w:ascii="Times New Roman" w:hAnsi="Times New Roman" w:eastAsia="宋体" w:cs="Times New Roman"/>
                      <w:snapToGrid w:val="0"/>
                      <w:color w:val="auto"/>
                      <w:kern w:val="18"/>
                      <w:szCs w:val="21"/>
                    </w:rPr>
                    <w:t>类</w:t>
                  </w:r>
                </w:p>
              </w:tc>
              <w:tc>
                <w:tcPr>
                  <w:tcW w:w="756" w:type="pct"/>
                  <w:shd w:val="clear" w:color="auto" w:fill="auto"/>
                  <w:noWrap w:val="0"/>
                  <w:vAlign w:val="center"/>
                </w:tcPr>
                <w:p w14:paraId="73344D38">
                  <w:pPr>
                    <w:spacing w:line="340" w:lineRule="exact"/>
                    <w:jc w:val="center"/>
                    <w:rPr>
                      <w:rFonts w:ascii="Times New Roman" w:hAnsi="Times New Roman" w:eastAsia="宋体" w:cs="Times New Roman"/>
                      <w:snapToGrid w:val="0"/>
                      <w:color w:val="auto"/>
                      <w:kern w:val="18"/>
                      <w:sz w:val="21"/>
                      <w:szCs w:val="21"/>
                      <w:lang w:val="en-US" w:eastAsia="zh-CN" w:bidi="ar-SA"/>
                    </w:rPr>
                  </w:pPr>
                  <w:r>
                    <w:rPr>
                      <w:rFonts w:hint="eastAsia"/>
                      <w:snapToGrid w:val="0"/>
                      <w:color w:val="auto"/>
                      <w:kern w:val="18"/>
                      <w:szCs w:val="21"/>
                      <w:lang w:val="en-US" w:eastAsia="zh-CN"/>
                    </w:rPr>
                    <w:t>第三</w:t>
                  </w:r>
                  <w:r>
                    <w:rPr>
                      <w:snapToGrid w:val="0"/>
                      <w:color w:val="auto"/>
                      <w:kern w:val="18"/>
                      <w:szCs w:val="21"/>
                    </w:rPr>
                    <w:t>类</w:t>
                  </w:r>
                </w:p>
              </w:tc>
              <w:tc>
                <w:tcPr>
                  <w:tcW w:w="637" w:type="pct"/>
                  <w:shd w:val="clear" w:color="auto" w:fill="auto"/>
                  <w:noWrap w:val="0"/>
                  <w:vAlign w:val="center"/>
                </w:tcPr>
                <w:p w14:paraId="1CF0E9BE">
                  <w:pPr>
                    <w:spacing w:line="340" w:lineRule="exact"/>
                    <w:jc w:val="center"/>
                    <w:rPr>
                      <w:rFonts w:hint="eastAsia"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第四类</w:t>
                  </w:r>
                </w:p>
              </w:tc>
            </w:tr>
            <w:tr w14:paraId="10D392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64" w:hRule="atLeast"/>
                <w:jc w:val="center"/>
              </w:trPr>
              <w:tc>
                <w:tcPr>
                  <w:tcW w:w="397" w:type="pct"/>
                  <w:shd w:val="clear" w:color="auto" w:fill="auto"/>
                  <w:noWrap w:val="0"/>
                  <w:vAlign w:val="center"/>
                </w:tcPr>
                <w:p w14:paraId="6018D258">
                  <w:pPr>
                    <w:spacing w:line="340" w:lineRule="exact"/>
                    <w:jc w:val="center"/>
                    <w:rPr>
                      <w:snapToGrid w:val="0"/>
                      <w:color w:val="auto"/>
                      <w:kern w:val="18"/>
                      <w:szCs w:val="21"/>
                    </w:rPr>
                  </w:pPr>
                  <w:r>
                    <w:rPr>
                      <w:snapToGrid w:val="0"/>
                      <w:color w:val="auto"/>
                      <w:kern w:val="18"/>
                      <w:szCs w:val="21"/>
                    </w:rPr>
                    <w:t>1</w:t>
                  </w:r>
                </w:p>
              </w:tc>
              <w:tc>
                <w:tcPr>
                  <w:tcW w:w="1371" w:type="pct"/>
                  <w:shd w:val="clear" w:color="auto" w:fill="auto"/>
                  <w:noWrap w:val="0"/>
                  <w:vAlign w:val="center"/>
                </w:tcPr>
                <w:p w14:paraId="7677BFAB">
                  <w:pPr>
                    <w:spacing w:line="340" w:lineRule="exact"/>
                    <w:jc w:val="center"/>
                    <w:rPr>
                      <w:snapToGrid w:val="0"/>
                      <w:color w:val="auto"/>
                      <w:kern w:val="18"/>
                      <w:szCs w:val="21"/>
                    </w:rPr>
                  </w:pPr>
                  <w:r>
                    <w:rPr>
                      <w:snapToGrid w:val="0"/>
                      <w:color w:val="auto"/>
                      <w:kern w:val="18"/>
                      <w:szCs w:val="21"/>
                    </w:rPr>
                    <w:t>pH</w:t>
                  </w:r>
                  <w:r>
                    <w:rPr>
                      <w:rFonts w:hint="eastAsia"/>
                      <w:snapToGrid w:val="0"/>
                      <w:color w:val="auto"/>
                      <w:kern w:val="18"/>
                      <w:szCs w:val="21"/>
                      <w:lang w:eastAsia="zh-CN"/>
                    </w:rPr>
                    <w:t>（</w:t>
                  </w:r>
                  <w:r>
                    <w:rPr>
                      <w:snapToGrid w:val="0"/>
                      <w:color w:val="auto"/>
                      <w:kern w:val="18"/>
                      <w:szCs w:val="21"/>
                    </w:rPr>
                    <w:t>无量纲</w:t>
                  </w:r>
                  <w:r>
                    <w:rPr>
                      <w:rFonts w:hint="eastAsia"/>
                      <w:snapToGrid w:val="0"/>
                      <w:color w:val="auto"/>
                      <w:kern w:val="18"/>
                      <w:szCs w:val="21"/>
                      <w:lang w:eastAsia="zh-CN"/>
                    </w:rPr>
                    <w:t>）</w:t>
                  </w:r>
                </w:p>
              </w:tc>
              <w:tc>
                <w:tcPr>
                  <w:tcW w:w="1837" w:type="pct"/>
                  <w:gridSpan w:val="2"/>
                  <w:shd w:val="clear" w:color="auto" w:fill="auto"/>
                  <w:noWrap w:val="0"/>
                  <w:vAlign w:val="center"/>
                </w:tcPr>
                <w:p w14:paraId="1EFAAD0F">
                  <w:pPr>
                    <w:spacing w:line="340" w:lineRule="exact"/>
                    <w:jc w:val="center"/>
                    <w:rPr>
                      <w:rFonts w:hint="eastAsia"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7.8</w:t>
                  </w:r>
                  <w:r>
                    <w:rPr>
                      <w:rFonts w:hint="default" w:ascii="Times New Roman" w:hAnsi="Times New Roman" w:eastAsia="宋体" w:cs="Times New Roman"/>
                      <w:snapToGrid w:val="0"/>
                      <w:color w:val="auto"/>
                      <w:kern w:val="18"/>
                      <w:szCs w:val="21"/>
                      <w:lang w:val="en-US" w:eastAsia="zh-CN"/>
                    </w:rPr>
                    <w:t>⁓</w:t>
                  </w:r>
                  <w:r>
                    <w:rPr>
                      <w:rFonts w:hint="eastAsia" w:ascii="Times New Roman" w:hAnsi="Times New Roman" w:eastAsia="宋体" w:cs="Times New Roman"/>
                      <w:snapToGrid w:val="0"/>
                      <w:color w:val="auto"/>
                      <w:kern w:val="18"/>
                      <w:szCs w:val="21"/>
                      <w:lang w:val="en-US" w:eastAsia="zh-CN"/>
                    </w:rPr>
                    <w:t>8.5</w:t>
                  </w:r>
                </w:p>
                <w:p w14:paraId="5DB8DA67">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同时不超出该海域正常变动范围的0.2pH单位</w:t>
                  </w:r>
                </w:p>
              </w:tc>
              <w:tc>
                <w:tcPr>
                  <w:tcW w:w="1393" w:type="pct"/>
                  <w:gridSpan w:val="2"/>
                  <w:shd w:val="clear" w:color="auto" w:fill="auto"/>
                  <w:noWrap w:val="0"/>
                  <w:vAlign w:val="center"/>
                </w:tcPr>
                <w:p w14:paraId="4EA050B2">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6.8</w:t>
                  </w:r>
                  <w:r>
                    <w:rPr>
                      <w:rFonts w:hint="default" w:ascii="Times New Roman" w:hAnsi="Times New Roman" w:eastAsia="宋体" w:cs="Times New Roman"/>
                      <w:snapToGrid w:val="0"/>
                      <w:color w:val="auto"/>
                      <w:kern w:val="18"/>
                      <w:szCs w:val="21"/>
                      <w:lang w:val="en-US" w:eastAsia="zh-CN"/>
                    </w:rPr>
                    <w:t>⁓</w:t>
                  </w:r>
                  <w:r>
                    <w:rPr>
                      <w:rFonts w:hint="eastAsia" w:ascii="Times New Roman" w:hAnsi="Times New Roman" w:eastAsia="宋体" w:cs="Times New Roman"/>
                      <w:snapToGrid w:val="0"/>
                      <w:color w:val="auto"/>
                      <w:kern w:val="18"/>
                      <w:szCs w:val="21"/>
                      <w:lang w:val="en-US" w:eastAsia="zh-CN"/>
                    </w:rPr>
                    <w:t>8.8</w:t>
                  </w:r>
                </w:p>
                <w:p w14:paraId="06816B5C">
                  <w:pPr>
                    <w:spacing w:line="340" w:lineRule="exact"/>
                    <w:jc w:val="center"/>
                    <w:rPr>
                      <w:rFonts w:hint="eastAsia"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同时不超出该海域正常变动范围的0.5pH单位</w:t>
                  </w:r>
                </w:p>
              </w:tc>
            </w:tr>
            <w:tr w14:paraId="4E61EB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15" w:hRule="atLeast"/>
                <w:jc w:val="center"/>
              </w:trPr>
              <w:tc>
                <w:tcPr>
                  <w:tcW w:w="397" w:type="pct"/>
                  <w:shd w:val="clear" w:color="auto" w:fill="auto"/>
                  <w:noWrap w:val="0"/>
                  <w:vAlign w:val="center"/>
                </w:tcPr>
                <w:p w14:paraId="752F7061">
                  <w:pPr>
                    <w:spacing w:line="340" w:lineRule="exact"/>
                    <w:jc w:val="center"/>
                    <w:rPr>
                      <w:snapToGrid w:val="0"/>
                      <w:color w:val="auto"/>
                      <w:kern w:val="18"/>
                      <w:szCs w:val="21"/>
                    </w:rPr>
                  </w:pPr>
                  <w:r>
                    <w:rPr>
                      <w:snapToGrid w:val="0"/>
                      <w:color w:val="auto"/>
                      <w:kern w:val="18"/>
                      <w:szCs w:val="21"/>
                    </w:rPr>
                    <w:t>2</w:t>
                  </w:r>
                </w:p>
              </w:tc>
              <w:tc>
                <w:tcPr>
                  <w:tcW w:w="1371" w:type="pct"/>
                  <w:shd w:val="clear" w:color="auto" w:fill="auto"/>
                  <w:noWrap w:val="0"/>
                  <w:vAlign w:val="center"/>
                </w:tcPr>
                <w:p w14:paraId="7DEB72C3">
                  <w:pPr>
                    <w:spacing w:line="340" w:lineRule="exact"/>
                    <w:jc w:val="center"/>
                    <w:rPr>
                      <w:snapToGrid w:val="0"/>
                      <w:color w:val="auto"/>
                      <w:kern w:val="18"/>
                      <w:szCs w:val="21"/>
                    </w:rPr>
                  </w:pPr>
                  <w:r>
                    <w:rPr>
                      <w:rFonts w:hint="eastAsia"/>
                      <w:snapToGrid w:val="0"/>
                      <w:color w:val="auto"/>
                      <w:kern w:val="18"/>
                      <w:szCs w:val="21"/>
                      <w:lang w:val="en-US" w:eastAsia="zh-CN"/>
                    </w:rPr>
                    <w:t>溶解氧</w:t>
                  </w:r>
                  <w:r>
                    <w:rPr>
                      <w:rFonts w:hint="eastAsia"/>
                      <w:snapToGrid w:val="0"/>
                      <w:color w:val="auto"/>
                      <w:kern w:val="18"/>
                      <w:szCs w:val="21"/>
                      <w:lang w:eastAsia="zh-CN"/>
                    </w:rPr>
                    <w:t>（</w:t>
                  </w:r>
                  <w:r>
                    <w:rPr>
                      <w:rFonts w:hint="eastAsia"/>
                      <w:snapToGrid w:val="0"/>
                      <w:color w:val="auto"/>
                      <w:kern w:val="18"/>
                      <w:szCs w:val="21"/>
                      <w:lang w:val="en-US" w:eastAsia="zh-CN"/>
                    </w:rPr>
                    <w:t>DO</w:t>
                  </w:r>
                  <w:r>
                    <w:rPr>
                      <w:rFonts w:hint="eastAsia"/>
                      <w:snapToGrid w:val="0"/>
                      <w:color w:val="auto"/>
                      <w:kern w:val="18"/>
                      <w:szCs w:val="21"/>
                      <w:lang w:eastAsia="zh-CN"/>
                    </w:rPr>
                    <w:t>）</w:t>
                  </w:r>
                  <w:r>
                    <w:rPr>
                      <w:snapToGrid w:val="0"/>
                      <w:color w:val="auto"/>
                      <w:kern w:val="18"/>
                      <w:szCs w:val="21"/>
                    </w:rPr>
                    <w:t>≥</w:t>
                  </w:r>
                </w:p>
              </w:tc>
              <w:tc>
                <w:tcPr>
                  <w:tcW w:w="949" w:type="pct"/>
                  <w:shd w:val="clear" w:color="auto" w:fill="auto"/>
                  <w:noWrap w:val="0"/>
                  <w:vAlign w:val="center"/>
                </w:tcPr>
                <w:p w14:paraId="466BAB4E">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6</w:t>
                  </w:r>
                </w:p>
              </w:tc>
              <w:tc>
                <w:tcPr>
                  <w:tcW w:w="888" w:type="pct"/>
                  <w:shd w:val="clear" w:color="auto" w:fill="auto"/>
                  <w:noWrap w:val="0"/>
                  <w:vAlign w:val="center"/>
                </w:tcPr>
                <w:p w14:paraId="164CD429">
                  <w:pPr>
                    <w:spacing w:line="340" w:lineRule="exact"/>
                    <w:jc w:val="center"/>
                    <w:rPr>
                      <w:rFonts w:hint="eastAsia"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5</w:t>
                  </w:r>
                </w:p>
              </w:tc>
              <w:tc>
                <w:tcPr>
                  <w:tcW w:w="756" w:type="pct"/>
                  <w:shd w:val="clear" w:color="auto" w:fill="auto"/>
                  <w:noWrap w:val="0"/>
                  <w:vAlign w:val="center"/>
                </w:tcPr>
                <w:p w14:paraId="01385E5A">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4</w:t>
                  </w:r>
                </w:p>
              </w:tc>
              <w:tc>
                <w:tcPr>
                  <w:tcW w:w="637" w:type="pct"/>
                  <w:shd w:val="clear" w:color="auto" w:fill="auto"/>
                  <w:noWrap w:val="0"/>
                  <w:vAlign w:val="center"/>
                </w:tcPr>
                <w:p w14:paraId="2E5D60E6">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3</w:t>
                  </w:r>
                </w:p>
              </w:tc>
            </w:tr>
            <w:tr w14:paraId="2D7380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7BEC337F">
                  <w:pPr>
                    <w:spacing w:line="340" w:lineRule="exact"/>
                    <w:jc w:val="center"/>
                    <w:rPr>
                      <w:snapToGrid w:val="0"/>
                      <w:color w:val="auto"/>
                      <w:kern w:val="18"/>
                      <w:szCs w:val="21"/>
                    </w:rPr>
                  </w:pPr>
                  <w:r>
                    <w:rPr>
                      <w:snapToGrid w:val="0"/>
                      <w:color w:val="auto"/>
                      <w:kern w:val="18"/>
                      <w:szCs w:val="21"/>
                    </w:rPr>
                    <w:t>3</w:t>
                  </w:r>
                </w:p>
              </w:tc>
              <w:tc>
                <w:tcPr>
                  <w:tcW w:w="1371" w:type="pct"/>
                  <w:shd w:val="clear" w:color="auto" w:fill="auto"/>
                  <w:noWrap w:val="0"/>
                  <w:vAlign w:val="center"/>
                </w:tcPr>
                <w:p w14:paraId="0EF52C38">
                  <w:pPr>
                    <w:spacing w:line="340" w:lineRule="exact"/>
                    <w:jc w:val="center"/>
                    <w:rPr>
                      <w:snapToGrid w:val="0"/>
                      <w:color w:val="auto"/>
                      <w:kern w:val="18"/>
                      <w:szCs w:val="21"/>
                    </w:rPr>
                  </w:pPr>
                  <w:r>
                    <w:rPr>
                      <w:snapToGrid w:val="0"/>
                      <w:color w:val="auto"/>
                      <w:kern w:val="18"/>
                      <w:szCs w:val="21"/>
                    </w:rPr>
                    <w:t>COD≤</w:t>
                  </w:r>
                </w:p>
              </w:tc>
              <w:tc>
                <w:tcPr>
                  <w:tcW w:w="949" w:type="pct"/>
                  <w:shd w:val="clear" w:color="auto" w:fill="auto"/>
                  <w:noWrap w:val="0"/>
                  <w:vAlign w:val="center"/>
                </w:tcPr>
                <w:p w14:paraId="30772968">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2</w:t>
                  </w:r>
                </w:p>
              </w:tc>
              <w:tc>
                <w:tcPr>
                  <w:tcW w:w="888" w:type="pct"/>
                  <w:shd w:val="clear" w:color="auto" w:fill="auto"/>
                  <w:noWrap w:val="0"/>
                  <w:vAlign w:val="center"/>
                </w:tcPr>
                <w:p w14:paraId="3678B590">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3</w:t>
                  </w:r>
                </w:p>
              </w:tc>
              <w:tc>
                <w:tcPr>
                  <w:tcW w:w="756" w:type="pct"/>
                  <w:shd w:val="clear" w:color="auto" w:fill="auto"/>
                  <w:noWrap w:val="0"/>
                  <w:vAlign w:val="center"/>
                </w:tcPr>
                <w:p w14:paraId="51C942B9">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4</w:t>
                  </w:r>
                </w:p>
              </w:tc>
              <w:tc>
                <w:tcPr>
                  <w:tcW w:w="637" w:type="pct"/>
                  <w:shd w:val="clear" w:color="auto" w:fill="auto"/>
                  <w:noWrap w:val="0"/>
                  <w:vAlign w:val="center"/>
                </w:tcPr>
                <w:p w14:paraId="665DDA66">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5</w:t>
                  </w:r>
                </w:p>
              </w:tc>
            </w:tr>
            <w:tr w14:paraId="3FD1BF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6717F48B">
                  <w:pPr>
                    <w:spacing w:line="340" w:lineRule="exact"/>
                    <w:jc w:val="center"/>
                    <w:rPr>
                      <w:snapToGrid w:val="0"/>
                      <w:color w:val="auto"/>
                      <w:kern w:val="18"/>
                      <w:szCs w:val="21"/>
                    </w:rPr>
                  </w:pPr>
                  <w:r>
                    <w:rPr>
                      <w:snapToGrid w:val="0"/>
                      <w:color w:val="auto"/>
                      <w:kern w:val="18"/>
                      <w:szCs w:val="21"/>
                    </w:rPr>
                    <w:t>4</w:t>
                  </w:r>
                </w:p>
              </w:tc>
              <w:tc>
                <w:tcPr>
                  <w:tcW w:w="1371" w:type="pct"/>
                  <w:shd w:val="clear" w:color="auto" w:fill="auto"/>
                  <w:noWrap w:val="0"/>
                  <w:vAlign w:val="center"/>
                </w:tcPr>
                <w:p w14:paraId="158DE907">
                  <w:pPr>
                    <w:spacing w:line="340" w:lineRule="exact"/>
                    <w:jc w:val="center"/>
                    <w:rPr>
                      <w:snapToGrid w:val="0"/>
                      <w:color w:val="auto"/>
                      <w:kern w:val="18"/>
                      <w:szCs w:val="21"/>
                    </w:rPr>
                  </w:pPr>
                  <w:r>
                    <w:rPr>
                      <w:snapToGrid w:val="0"/>
                      <w:color w:val="auto"/>
                      <w:kern w:val="18"/>
                      <w:szCs w:val="21"/>
                    </w:rPr>
                    <w:t>BOD</w:t>
                  </w:r>
                  <w:r>
                    <w:rPr>
                      <w:snapToGrid w:val="0"/>
                      <w:color w:val="auto"/>
                      <w:kern w:val="18"/>
                      <w:szCs w:val="21"/>
                      <w:vertAlign w:val="subscript"/>
                    </w:rPr>
                    <w:t>5</w:t>
                  </w:r>
                  <w:r>
                    <w:rPr>
                      <w:snapToGrid w:val="0"/>
                      <w:color w:val="auto"/>
                      <w:kern w:val="18"/>
                      <w:szCs w:val="21"/>
                    </w:rPr>
                    <w:t>≤</w:t>
                  </w:r>
                </w:p>
              </w:tc>
              <w:tc>
                <w:tcPr>
                  <w:tcW w:w="949" w:type="pct"/>
                  <w:shd w:val="clear" w:color="auto" w:fill="auto"/>
                  <w:noWrap w:val="0"/>
                  <w:vAlign w:val="center"/>
                </w:tcPr>
                <w:p w14:paraId="3FB5685B">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1</w:t>
                  </w:r>
                </w:p>
              </w:tc>
              <w:tc>
                <w:tcPr>
                  <w:tcW w:w="888" w:type="pct"/>
                  <w:shd w:val="clear" w:color="auto" w:fill="auto"/>
                  <w:noWrap w:val="0"/>
                  <w:vAlign w:val="center"/>
                </w:tcPr>
                <w:p w14:paraId="7B04DDBC">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3</w:t>
                  </w:r>
                </w:p>
              </w:tc>
              <w:tc>
                <w:tcPr>
                  <w:tcW w:w="756" w:type="pct"/>
                  <w:shd w:val="clear" w:color="auto" w:fill="auto"/>
                  <w:noWrap w:val="0"/>
                  <w:vAlign w:val="center"/>
                </w:tcPr>
                <w:p w14:paraId="70C99B9B">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4</w:t>
                  </w:r>
                </w:p>
              </w:tc>
              <w:tc>
                <w:tcPr>
                  <w:tcW w:w="637" w:type="pct"/>
                  <w:shd w:val="clear" w:color="auto" w:fill="auto"/>
                  <w:noWrap w:val="0"/>
                  <w:vAlign w:val="center"/>
                </w:tcPr>
                <w:p w14:paraId="1B962334">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5</w:t>
                  </w:r>
                </w:p>
              </w:tc>
            </w:tr>
            <w:tr w14:paraId="7588AA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442B4CFF">
                  <w:pPr>
                    <w:spacing w:line="340" w:lineRule="exact"/>
                    <w:jc w:val="center"/>
                    <w:rPr>
                      <w:snapToGrid w:val="0"/>
                      <w:color w:val="auto"/>
                      <w:kern w:val="18"/>
                      <w:szCs w:val="21"/>
                    </w:rPr>
                  </w:pPr>
                  <w:r>
                    <w:rPr>
                      <w:snapToGrid w:val="0"/>
                      <w:color w:val="auto"/>
                      <w:kern w:val="18"/>
                      <w:szCs w:val="21"/>
                    </w:rPr>
                    <w:t>5</w:t>
                  </w:r>
                </w:p>
              </w:tc>
              <w:tc>
                <w:tcPr>
                  <w:tcW w:w="1371" w:type="pct"/>
                  <w:shd w:val="clear" w:color="auto" w:fill="auto"/>
                  <w:noWrap w:val="0"/>
                  <w:vAlign w:val="center"/>
                </w:tcPr>
                <w:p w14:paraId="2402AFBC">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悬浮物（SS）</w:t>
                  </w:r>
                </w:p>
              </w:tc>
              <w:tc>
                <w:tcPr>
                  <w:tcW w:w="949" w:type="pct"/>
                  <w:shd w:val="clear" w:color="auto" w:fill="auto"/>
                  <w:noWrap w:val="0"/>
                  <w:vAlign w:val="center"/>
                </w:tcPr>
                <w:p w14:paraId="6ACCD7B3">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人为增加的量</w:t>
                  </w:r>
                  <w:r>
                    <w:rPr>
                      <w:snapToGrid w:val="0"/>
                      <w:color w:val="auto"/>
                      <w:kern w:val="18"/>
                      <w:szCs w:val="21"/>
                    </w:rPr>
                    <w:t>≤</w:t>
                  </w:r>
                  <w:r>
                    <w:rPr>
                      <w:rFonts w:hint="eastAsia"/>
                      <w:snapToGrid w:val="0"/>
                      <w:color w:val="auto"/>
                      <w:kern w:val="18"/>
                      <w:szCs w:val="21"/>
                      <w:lang w:val="en-US" w:eastAsia="zh-CN"/>
                    </w:rPr>
                    <w:t>10</w:t>
                  </w:r>
                </w:p>
              </w:tc>
              <w:tc>
                <w:tcPr>
                  <w:tcW w:w="888" w:type="pct"/>
                  <w:shd w:val="clear" w:color="auto" w:fill="auto"/>
                  <w:noWrap w:val="0"/>
                  <w:vAlign w:val="center"/>
                </w:tcPr>
                <w:p w14:paraId="21649DE5">
                  <w:pPr>
                    <w:spacing w:line="340" w:lineRule="exact"/>
                    <w:jc w:val="center"/>
                    <w:rPr>
                      <w:rFonts w:hint="default"/>
                      <w:snapToGrid w:val="0"/>
                      <w:color w:val="auto"/>
                      <w:kern w:val="18"/>
                      <w:szCs w:val="21"/>
                      <w:lang w:val="en-US"/>
                    </w:rPr>
                  </w:pPr>
                  <w:r>
                    <w:rPr>
                      <w:rFonts w:hint="eastAsia"/>
                      <w:snapToGrid w:val="0"/>
                      <w:color w:val="auto"/>
                      <w:kern w:val="18"/>
                      <w:szCs w:val="21"/>
                      <w:lang w:val="en-US" w:eastAsia="zh-CN"/>
                    </w:rPr>
                    <w:t>人为增加的量</w:t>
                  </w:r>
                  <w:r>
                    <w:rPr>
                      <w:snapToGrid w:val="0"/>
                      <w:color w:val="auto"/>
                      <w:kern w:val="18"/>
                      <w:szCs w:val="21"/>
                    </w:rPr>
                    <w:t>≤</w:t>
                  </w:r>
                  <w:r>
                    <w:rPr>
                      <w:rFonts w:hint="eastAsia"/>
                      <w:snapToGrid w:val="0"/>
                      <w:color w:val="auto"/>
                      <w:kern w:val="18"/>
                      <w:szCs w:val="21"/>
                      <w:lang w:val="en-US" w:eastAsia="zh-CN"/>
                    </w:rPr>
                    <w:t>100</w:t>
                  </w:r>
                </w:p>
              </w:tc>
              <w:tc>
                <w:tcPr>
                  <w:tcW w:w="1393" w:type="pct"/>
                  <w:gridSpan w:val="2"/>
                  <w:shd w:val="clear" w:color="auto" w:fill="auto"/>
                  <w:noWrap w:val="0"/>
                  <w:vAlign w:val="center"/>
                </w:tcPr>
                <w:p w14:paraId="13E9BD8B">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snapToGrid w:val="0"/>
                      <w:color w:val="auto"/>
                      <w:kern w:val="18"/>
                      <w:szCs w:val="21"/>
                      <w:lang w:val="en-US" w:eastAsia="zh-CN"/>
                    </w:rPr>
                    <w:t>人为增加的量</w:t>
                  </w:r>
                  <w:r>
                    <w:rPr>
                      <w:snapToGrid w:val="0"/>
                      <w:color w:val="auto"/>
                      <w:kern w:val="18"/>
                      <w:szCs w:val="21"/>
                    </w:rPr>
                    <w:t>≤</w:t>
                  </w:r>
                  <w:r>
                    <w:rPr>
                      <w:rFonts w:hint="eastAsia"/>
                      <w:snapToGrid w:val="0"/>
                      <w:color w:val="auto"/>
                      <w:kern w:val="18"/>
                      <w:szCs w:val="21"/>
                      <w:lang w:val="en-US" w:eastAsia="zh-CN"/>
                    </w:rPr>
                    <w:t>150</w:t>
                  </w:r>
                </w:p>
              </w:tc>
            </w:tr>
            <w:tr w14:paraId="0561AE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3611740A">
                  <w:pPr>
                    <w:spacing w:line="340" w:lineRule="exact"/>
                    <w:jc w:val="center"/>
                    <w:rPr>
                      <w:snapToGrid w:val="0"/>
                      <w:color w:val="auto"/>
                      <w:kern w:val="18"/>
                      <w:szCs w:val="21"/>
                    </w:rPr>
                  </w:pPr>
                  <w:r>
                    <w:rPr>
                      <w:snapToGrid w:val="0"/>
                      <w:color w:val="auto"/>
                      <w:kern w:val="18"/>
                      <w:szCs w:val="21"/>
                    </w:rPr>
                    <w:t>6</w:t>
                  </w:r>
                </w:p>
              </w:tc>
              <w:tc>
                <w:tcPr>
                  <w:tcW w:w="1371" w:type="pct"/>
                  <w:shd w:val="clear" w:color="auto" w:fill="auto"/>
                  <w:noWrap w:val="0"/>
                  <w:vAlign w:val="center"/>
                </w:tcPr>
                <w:p w14:paraId="5E1FD74E">
                  <w:pPr>
                    <w:spacing w:line="340" w:lineRule="exact"/>
                    <w:jc w:val="center"/>
                    <w:rPr>
                      <w:snapToGrid w:val="0"/>
                      <w:color w:val="auto"/>
                      <w:kern w:val="18"/>
                      <w:szCs w:val="21"/>
                    </w:rPr>
                  </w:pPr>
                  <w:r>
                    <w:rPr>
                      <w:rFonts w:hint="eastAsia"/>
                      <w:snapToGrid w:val="0"/>
                      <w:color w:val="auto"/>
                      <w:kern w:val="18"/>
                      <w:szCs w:val="21"/>
                      <w:lang w:val="en-US" w:eastAsia="zh-CN"/>
                    </w:rPr>
                    <w:t>无机氮（以N计）</w:t>
                  </w:r>
                  <w:r>
                    <w:rPr>
                      <w:snapToGrid w:val="0"/>
                      <w:color w:val="auto"/>
                      <w:kern w:val="18"/>
                      <w:szCs w:val="21"/>
                    </w:rPr>
                    <w:t>≤</w:t>
                  </w:r>
                </w:p>
              </w:tc>
              <w:tc>
                <w:tcPr>
                  <w:tcW w:w="949" w:type="pct"/>
                  <w:shd w:val="clear" w:color="auto" w:fill="auto"/>
                  <w:noWrap w:val="0"/>
                  <w:vAlign w:val="center"/>
                </w:tcPr>
                <w:p w14:paraId="13BD5803">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0.20</w:t>
                  </w:r>
                </w:p>
              </w:tc>
              <w:tc>
                <w:tcPr>
                  <w:tcW w:w="888" w:type="pct"/>
                  <w:shd w:val="clear" w:color="auto" w:fill="auto"/>
                  <w:noWrap w:val="0"/>
                  <w:vAlign w:val="center"/>
                </w:tcPr>
                <w:p w14:paraId="10C36085">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0.30</w:t>
                  </w:r>
                </w:p>
              </w:tc>
              <w:tc>
                <w:tcPr>
                  <w:tcW w:w="756" w:type="pct"/>
                  <w:shd w:val="clear" w:color="auto" w:fill="auto"/>
                  <w:noWrap w:val="0"/>
                  <w:vAlign w:val="center"/>
                </w:tcPr>
                <w:p w14:paraId="52C31124">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0.40</w:t>
                  </w:r>
                </w:p>
              </w:tc>
              <w:tc>
                <w:tcPr>
                  <w:tcW w:w="637" w:type="pct"/>
                  <w:shd w:val="clear" w:color="auto" w:fill="auto"/>
                  <w:noWrap w:val="0"/>
                  <w:vAlign w:val="center"/>
                </w:tcPr>
                <w:p w14:paraId="42BE0B03">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0.50</w:t>
                  </w:r>
                </w:p>
              </w:tc>
            </w:tr>
            <w:tr w14:paraId="10CC29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73520704">
                  <w:pPr>
                    <w:spacing w:line="340" w:lineRule="exact"/>
                    <w:jc w:val="center"/>
                    <w:rPr>
                      <w:rFonts w:hint="default" w:eastAsia="宋体"/>
                      <w:snapToGrid w:val="0"/>
                      <w:color w:val="auto"/>
                      <w:kern w:val="18"/>
                      <w:szCs w:val="21"/>
                      <w:lang w:val="en-US" w:eastAsia="zh-CN"/>
                    </w:rPr>
                  </w:pPr>
                  <w:bookmarkStart w:id="93" w:name="_Toc4828"/>
                  <w:r>
                    <w:rPr>
                      <w:rFonts w:hint="eastAsia"/>
                      <w:snapToGrid w:val="0"/>
                      <w:color w:val="auto"/>
                      <w:kern w:val="18"/>
                      <w:szCs w:val="21"/>
                      <w:lang w:val="en-US" w:eastAsia="zh-CN"/>
                    </w:rPr>
                    <w:t>5</w:t>
                  </w:r>
                </w:p>
              </w:tc>
              <w:tc>
                <w:tcPr>
                  <w:tcW w:w="1371" w:type="pct"/>
                  <w:shd w:val="clear" w:color="auto" w:fill="auto"/>
                  <w:noWrap w:val="0"/>
                  <w:vAlign w:val="center"/>
                </w:tcPr>
                <w:p w14:paraId="1907FD5E">
                  <w:pPr>
                    <w:spacing w:line="340" w:lineRule="exact"/>
                    <w:jc w:val="center"/>
                    <w:rPr>
                      <w:snapToGrid w:val="0"/>
                      <w:color w:val="auto"/>
                      <w:kern w:val="18"/>
                      <w:szCs w:val="21"/>
                    </w:rPr>
                  </w:pPr>
                  <w:r>
                    <w:rPr>
                      <w:rFonts w:hint="eastAsia"/>
                      <w:snapToGrid w:val="0"/>
                      <w:color w:val="auto"/>
                      <w:kern w:val="18"/>
                      <w:szCs w:val="21"/>
                      <w:lang w:val="en-US" w:eastAsia="zh-CN"/>
                    </w:rPr>
                    <w:t>非离子氮（以N计）</w:t>
                  </w:r>
                  <w:r>
                    <w:rPr>
                      <w:snapToGrid w:val="0"/>
                      <w:color w:val="auto"/>
                      <w:kern w:val="18"/>
                      <w:szCs w:val="21"/>
                    </w:rPr>
                    <w:t>≤</w:t>
                  </w:r>
                </w:p>
              </w:tc>
              <w:tc>
                <w:tcPr>
                  <w:tcW w:w="3230" w:type="pct"/>
                  <w:gridSpan w:val="4"/>
                  <w:shd w:val="clear" w:color="auto" w:fill="auto"/>
                  <w:noWrap w:val="0"/>
                  <w:vAlign w:val="center"/>
                </w:tcPr>
                <w:p w14:paraId="3D460930">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0.020</w:t>
                  </w:r>
                </w:p>
              </w:tc>
            </w:tr>
            <w:tr w14:paraId="0C7C79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54895E33">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8</w:t>
                  </w:r>
                </w:p>
              </w:tc>
              <w:tc>
                <w:tcPr>
                  <w:tcW w:w="1371" w:type="pct"/>
                  <w:shd w:val="clear" w:color="auto" w:fill="auto"/>
                  <w:noWrap w:val="0"/>
                  <w:vAlign w:val="center"/>
                </w:tcPr>
                <w:p w14:paraId="328ED7AE">
                  <w:pPr>
                    <w:spacing w:line="340" w:lineRule="exact"/>
                    <w:jc w:val="center"/>
                    <w:rPr>
                      <w:snapToGrid w:val="0"/>
                      <w:color w:val="auto"/>
                      <w:kern w:val="18"/>
                      <w:szCs w:val="21"/>
                    </w:rPr>
                  </w:pPr>
                  <w:r>
                    <w:rPr>
                      <w:rFonts w:hint="eastAsia"/>
                      <w:snapToGrid w:val="0"/>
                      <w:color w:val="auto"/>
                      <w:kern w:val="18"/>
                      <w:szCs w:val="21"/>
                      <w:lang w:val="en-US" w:eastAsia="zh-CN"/>
                    </w:rPr>
                    <w:t>活性磷酸盐（以P计）</w:t>
                  </w:r>
                  <w:r>
                    <w:rPr>
                      <w:snapToGrid w:val="0"/>
                      <w:color w:val="auto"/>
                      <w:kern w:val="18"/>
                      <w:szCs w:val="21"/>
                    </w:rPr>
                    <w:t>≤</w:t>
                  </w:r>
                </w:p>
              </w:tc>
              <w:tc>
                <w:tcPr>
                  <w:tcW w:w="949" w:type="pct"/>
                  <w:shd w:val="clear" w:color="auto" w:fill="auto"/>
                  <w:noWrap w:val="0"/>
                  <w:vAlign w:val="center"/>
                </w:tcPr>
                <w:p w14:paraId="6DD241DE">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0.015</w:t>
                  </w:r>
                </w:p>
              </w:tc>
              <w:tc>
                <w:tcPr>
                  <w:tcW w:w="1644" w:type="pct"/>
                  <w:gridSpan w:val="2"/>
                  <w:shd w:val="clear" w:color="auto" w:fill="auto"/>
                  <w:noWrap w:val="0"/>
                  <w:vAlign w:val="center"/>
                </w:tcPr>
                <w:p w14:paraId="58C9779F">
                  <w:pPr>
                    <w:spacing w:line="340" w:lineRule="exact"/>
                    <w:jc w:val="center"/>
                    <w:rPr>
                      <w:snapToGrid w:val="0"/>
                      <w:color w:val="auto"/>
                      <w:kern w:val="18"/>
                      <w:szCs w:val="21"/>
                    </w:rPr>
                  </w:pPr>
                  <w:r>
                    <w:rPr>
                      <w:rFonts w:hint="eastAsia"/>
                      <w:snapToGrid w:val="0"/>
                      <w:color w:val="auto"/>
                      <w:kern w:val="18"/>
                      <w:szCs w:val="21"/>
                      <w:lang w:val="en-US" w:eastAsia="zh-CN"/>
                    </w:rPr>
                    <w:t>0.030</w:t>
                  </w:r>
                </w:p>
              </w:tc>
              <w:tc>
                <w:tcPr>
                  <w:tcW w:w="637" w:type="pct"/>
                  <w:shd w:val="clear" w:color="auto" w:fill="auto"/>
                  <w:noWrap w:val="0"/>
                  <w:vAlign w:val="center"/>
                </w:tcPr>
                <w:p w14:paraId="71326852">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0.045</w:t>
                  </w:r>
                </w:p>
              </w:tc>
            </w:tr>
            <w:tr w14:paraId="4F11A2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0378BA4C">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9</w:t>
                  </w:r>
                </w:p>
              </w:tc>
              <w:tc>
                <w:tcPr>
                  <w:tcW w:w="1371" w:type="pct"/>
                  <w:shd w:val="clear" w:color="auto" w:fill="auto"/>
                  <w:noWrap w:val="0"/>
                  <w:vAlign w:val="center"/>
                </w:tcPr>
                <w:p w14:paraId="4A9B75D2">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石油类</w:t>
                  </w:r>
                  <w:r>
                    <w:rPr>
                      <w:snapToGrid w:val="0"/>
                      <w:color w:val="auto"/>
                      <w:kern w:val="18"/>
                      <w:szCs w:val="21"/>
                    </w:rPr>
                    <w:t>≤</w:t>
                  </w:r>
                </w:p>
              </w:tc>
              <w:tc>
                <w:tcPr>
                  <w:tcW w:w="1837" w:type="pct"/>
                  <w:gridSpan w:val="2"/>
                  <w:shd w:val="clear" w:color="auto" w:fill="auto"/>
                  <w:noWrap w:val="0"/>
                  <w:vAlign w:val="center"/>
                </w:tcPr>
                <w:p w14:paraId="0655860B">
                  <w:pPr>
                    <w:spacing w:line="340" w:lineRule="exact"/>
                    <w:jc w:val="center"/>
                    <w:rPr>
                      <w:snapToGrid w:val="0"/>
                      <w:color w:val="auto"/>
                      <w:kern w:val="18"/>
                      <w:szCs w:val="21"/>
                    </w:rPr>
                  </w:pPr>
                  <w:r>
                    <w:rPr>
                      <w:rFonts w:hint="eastAsia"/>
                      <w:snapToGrid w:val="0"/>
                      <w:color w:val="auto"/>
                      <w:kern w:val="18"/>
                      <w:szCs w:val="21"/>
                      <w:lang w:val="en-US" w:eastAsia="zh-CN"/>
                    </w:rPr>
                    <w:t>0.05</w:t>
                  </w:r>
                </w:p>
              </w:tc>
              <w:tc>
                <w:tcPr>
                  <w:tcW w:w="756" w:type="pct"/>
                  <w:shd w:val="clear" w:color="auto" w:fill="auto"/>
                  <w:noWrap w:val="0"/>
                  <w:vAlign w:val="center"/>
                </w:tcPr>
                <w:p w14:paraId="36D9B8CD">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0.30</w:t>
                  </w:r>
                </w:p>
              </w:tc>
              <w:tc>
                <w:tcPr>
                  <w:tcW w:w="637" w:type="pct"/>
                  <w:shd w:val="clear" w:color="auto" w:fill="auto"/>
                  <w:noWrap w:val="0"/>
                  <w:vAlign w:val="center"/>
                </w:tcPr>
                <w:p w14:paraId="0AC4789B">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0.50</w:t>
                  </w:r>
                </w:p>
              </w:tc>
            </w:tr>
          </w:tbl>
          <w:p w14:paraId="73E4C38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94" w:name="_Toc29642"/>
            <w:r>
              <w:rPr>
                <w:rFonts w:hint="eastAsia" w:ascii="Times New Roman" w:hAnsi="Times New Roman" w:eastAsia="宋体" w:cs="Times New Roman"/>
                <w:b/>
                <w:bCs/>
                <w:color w:val="auto"/>
                <w:sz w:val="24"/>
                <w:szCs w:val="24"/>
                <w:u w:val="none"/>
                <w:lang w:val="en-US" w:eastAsia="zh-CN"/>
              </w:rPr>
              <w:t>3.2.2地表水环境质量现状</w:t>
            </w:r>
            <w:bookmarkEnd w:id="93"/>
            <w:bookmarkEnd w:id="94"/>
          </w:p>
          <w:p w14:paraId="441189FA">
            <w:pPr>
              <w:widowControl/>
              <w:spacing w:line="360" w:lineRule="auto"/>
              <w:ind w:firstLine="480" w:firstLineChars="200"/>
              <w:jc w:val="both"/>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①环境质量现状：</w:t>
            </w:r>
            <w:r>
              <w:rPr>
                <w:rFonts w:hint="default" w:ascii="Times New Roman" w:hAnsi="Times New Roman" w:eastAsia="宋体" w:cs="Times New Roman"/>
                <w:color w:val="auto"/>
                <w:sz w:val="24"/>
                <w:szCs w:val="22"/>
                <w:highlight w:val="none"/>
                <w:lang w:val="en-US" w:eastAsia="zh-CN"/>
              </w:rPr>
              <w:t>为了解项目地表水水质环境质量现状，根据福建省生态环境厅网站发布的福建省近岸海域水质状况</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202</w:t>
            </w:r>
            <w:r>
              <w:rPr>
                <w:rFonts w:hint="eastAsia" w:ascii="Times New Roman" w:hAnsi="Times New Roman" w:eastAsia="宋体" w:cs="Times New Roman"/>
                <w:color w:val="auto"/>
                <w:sz w:val="24"/>
                <w:szCs w:val="22"/>
                <w:highlight w:val="none"/>
                <w:lang w:val="en-US" w:eastAsia="zh-CN"/>
              </w:rPr>
              <w:t>5</w:t>
            </w:r>
            <w:r>
              <w:rPr>
                <w:rFonts w:hint="default" w:ascii="Times New Roman" w:hAnsi="Times New Roman" w:eastAsia="宋体" w:cs="Times New Roman"/>
                <w:color w:val="auto"/>
                <w:sz w:val="24"/>
                <w:szCs w:val="22"/>
                <w:highlight w:val="none"/>
                <w:lang w:val="en-US" w:eastAsia="zh-CN"/>
              </w:rPr>
              <w:t>年</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网址：https://sthjt.fujian.gov.cn/zwgk/sjfb/hjsj/jahysz_1/202601/t20260104_7070768.htm），2025年，全省近岸海域水质状况如下：按照面积法评价，142个国控点位优良（一、二类）水质比例94.6%，各类水质比例如下：一类占81.4％，二类占13.2％，三类占1.5％，四类占2.5％，劣四类占1.4％；235个国省控点位优良（一、二类）水质比例为95.5%。按照点位法评价，国控点位优良（一、二类）水质占85.2%，国省控点位优良（一、二类）水质占83.8%。2025年，全省35个海湾（湾区、岸段）各类水质状况比例如下：优的占42.9%，良好的占25.7%，一般的占20.0%，差的占8.6%，极差的占2.8%。</w:t>
            </w:r>
            <w:r>
              <w:rPr>
                <w:rFonts w:hint="eastAsia"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highlight w:val="none"/>
                <w:lang w:val="en-US" w:eastAsia="zh-CN"/>
              </w:rPr>
              <w:t>详见图3.2-1）</w:t>
            </w:r>
          </w:p>
          <w:p w14:paraId="6679B9C4">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4"/>
                <w:highlight w:val="none"/>
                <w:lang w:val="en-US" w:eastAsia="zh-CN"/>
              </w:rPr>
            </w:pPr>
            <w:r>
              <w:rPr>
                <w:color w:val="auto"/>
              </w:rPr>
              <w:drawing>
                <wp:inline distT="0" distB="0" distL="114300" distR="114300">
                  <wp:extent cx="5415915" cy="4338320"/>
                  <wp:effectExtent l="0" t="0" r="13335"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415915" cy="4338320"/>
                          </a:xfrm>
                          <a:prstGeom prst="rect">
                            <a:avLst/>
                          </a:prstGeom>
                          <a:noFill/>
                          <a:ln>
                            <a:noFill/>
                          </a:ln>
                        </pic:spPr>
                      </pic:pic>
                    </a:graphicData>
                  </a:graphic>
                </wp:inline>
              </w:drawing>
            </w:r>
          </w:p>
          <w:p w14:paraId="4B2FE36D">
            <w:pPr>
              <w:pStyle w:val="40"/>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eastAsia" w:cs="Times New Roman"/>
                <w:b/>
                <w:bCs w:val="0"/>
                <w:color w:val="auto"/>
                <w:sz w:val="24"/>
                <w:szCs w:val="24"/>
                <w:lang w:val="en-US" w:eastAsia="zh-CN"/>
              </w:rPr>
            </w:pPr>
            <w:bookmarkStart w:id="95" w:name="_Toc17711"/>
            <w:r>
              <w:rPr>
                <w:rFonts w:hint="eastAsia" w:ascii="Times New Roman" w:hAnsi="Times New Roman" w:eastAsia="宋体" w:cs="Times New Roman"/>
                <w:b/>
                <w:bCs w:val="0"/>
                <w:color w:val="auto"/>
                <w:sz w:val="24"/>
                <w:szCs w:val="24"/>
                <w:lang w:val="en-US" w:eastAsia="zh-CN"/>
              </w:rPr>
              <w:t>图3.</w:t>
            </w:r>
            <w:r>
              <w:rPr>
                <w:rFonts w:hint="eastAsia"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1  福建省近岸海域水质状况（2025年）截图</w:t>
            </w:r>
            <w:bookmarkEnd w:id="95"/>
          </w:p>
          <w:p w14:paraId="126AD857">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综上，项目所在区域水质状况良好，属于达标区。项目</w:t>
            </w:r>
            <w:r>
              <w:rPr>
                <w:rFonts w:hint="default" w:ascii="Times New Roman" w:hAnsi="Times New Roman" w:eastAsia="宋体" w:cs="Times New Roman"/>
                <w:color w:val="auto"/>
                <w:sz w:val="24"/>
                <w:szCs w:val="24"/>
                <w:highlight w:val="none"/>
                <w:lang w:eastAsia="zh-CN"/>
              </w:rPr>
              <w:t>生产过程中</w:t>
            </w:r>
            <w:r>
              <w:rPr>
                <w:rFonts w:hint="eastAsia" w:cs="Times New Roman"/>
                <w:color w:val="auto"/>
                <w:sz w:val="24"/>
                <w:szCs w:val="24"/>
                <w:highlight w:val="none"/>
                <w:lang w:val="en-US" w:eastAsia="zh-CN"/>
              </w:rPr>
              <w:t>所产生的生产废水均循环使用</w:t>
            </w:r>
            <w:r>
              <w:rPr>
                <w:rFonts w:hint="default" w:ascii="Times New Roman" w:hAnsi="Times New Roman" w:eastAsia="宋体" w:cs="Times New Roman"/>
                <w:color w:val="auto"/>
                <w:sz w:val="24"/>
                <w:szCs w:val="24"/>
                <w:highlight w:val="none"/>
                <w:lang w:eastAsia="zh-CN"/>
              </w:rPr>
              <w:t>，不外排。生活污水经化粪池处理后排入市政污水管网</w:t>
            </w:r>
            <w:r>
              <w:rPr>
                <w:rFonts w:hint="eastAsia"/>
                <w:color w:val="auto"/>
                <w:kern w:val="0"/>
                <w:sz w:val="24"/>
                <w:highlight w:val="none"/>
                <w:lang w:val="en-US" w:eastAsia="zh-CN" w:bidi="ar"/>
              </w:rPr>
              <w:t>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color w:val="auto"/>
                <w:kern w:val="0"/>
                <w:sz w:val="24"/>
                <w:highlight w:val="none"/>
                <w:lang w:val="en-US" w:eastAsia="zh-CN" w:bidi="ar"/>
              </w:rPr>
              <w:t>集中处理</w:t>
            </w:r>
            <w:r>
              <w:rPr>
                <w:rFonts w:hint="eastAsia"/>
                <w:color w:val="auto"/>
                <w:kern w:val="0"/>
                <w:sz w:val="24"/>
                <w:highlight w:val="none"/>
                <w:lang w:bidi="ar"/>
              </w:rPr>
              <w:t>。</w:t>
            </w:r>
            <w:r>
              <w:rPr>
                <w:rFonts w:hint="default" w:ascii="Times New Roman" w:hAnsi="Times New Roman" w:eastAsia="宋体" w:cs="Times New Roman"/>
                <w:color w:val="auto"/>
                <w:sz w:val="24"/>
                <w:highlight w:val="none"/>
                <w:lang w:val="en-US" w:eastAsia="zh-CN"/>
              </w:rPr>
              <w:t>不直接排入周边地表水体，几乎不会改变周边水环境质量现状。</w:t>
            </w:r>
          </w:p>
          <w:p w14:paraId="5406193E">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bottom"/>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②引用资料的有效性分析</w:t>
            </w:r>
          </w:p>
          <w:p w14:paraId="5193CEAC">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根据《建设项目环境影响报告表编制技术指南（污染影响类）（试行）》（环办环评〔2020〕33号）的要求：</w:t>
            </w:r>
            <w:r>
              <w:rPr>
                <w:rFonts w:hint="eastAsia"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本次评价选取福建省生态环境厅网站发布的海水水质环境质量状况</w:t>
            </w:r>
            <w:r>
              <w:rPr>
                <w:rFonts w:hint="default" w:ascii="Times New Roman" w:hAnsi="Times New Roman" w:eastAsia="宋体" w:cs="Times New Roman"/>
                <w:color w:val="auto"/>
                <w:kern w:val="0"/>
                <w:sz w:val="24"/>
                <w:highlight w:val="none"/>
                <w:lang w:val="en-US" w:eastAsia="zh-CN" w:bidi="ar"/>
              </w:rPr>
              <w:t>符合《建设项目环境影响报告表编制技术指南（污染影响类）（试行）》（环办环评〔2020〕33号）的要求。</w:t>
            </w:r>
          </w:p>
          <w:p w14:paraId="64B0FE7F">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96" w:name="_Toc27787"/>
            <w:bookmarkStart w:id="97" w:name="_Toc30844"/>
            <w:r>
              <w:rPr>
                <w:rFonts w:hint="eastAsia" w:ascii="Times New Roman" w:hAnsi="Times New Roman" w:eastAsia="宋体" w:cs="Times New Roman"/>
                <w:color w:val="auto"/>
                <w:sz w:val="28"/>
                <w:szCs w:val="28"/>
                <w:u w:val="none"/>
                <w:lang w:val="en-US" w:eastAsia="zh-CN"/>
              </w:rPr>
              <w:t>3.3声环境质量现状</w:t>
            </w:r>
            <w:bookmarkEnd w:id="96"/>
            <w:bookmarkEnd w:id="97"/>
          </w:p>
          <w:p w14:paraId="07921D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98" w:name="_Toc28348"/>
            <w:bookmarkStart w:id="99" w:name="_Toc17303"/>
            <w:r>
              <w:rPr>
                <w:rFonts w:hint="default" w:ascii="Times New Roman" w:hAnsi="Times New Roman" w:eastAsia="宋体" w:cs="Times New Roman"/>
                <w:b/>
                <w:bCs/>
                <w:color w:val="auto"/>
                <w:sz w:val="24"/>
                <w:szCs w:val="24"/>
                <w:u w:val="none"/>
                <w:lang w:val="en-US" w:eastAsia="zh-CN"/>
              </w:rPr>
              <w:t>3.</w:t>
            </w:r>
            <w:r>
              <w:rPr>
                <w:rFonts w:hint="eastAsia" w:ascii="Times New Roman" w:hAnsi="Times New Roman" w:eastAsia="宋体"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声环境质量标准</w:t>
            </w:r>
            <w:bookmarkEnd w:id="98"/>
            <w:bookmarkEnd w:id="99"/>
          </w:p>
          <w:p w14:paraId="29FE6FEA">
            <w:pPr>
              <w:widowControl/>
              <w:spacing w:line="360" w:lineRule="auto"/>
              <w:ind w:firstLine="480" w:firstLineChars="200"/>
              <w:jc w:val="left"/>
              <w:rPr>
                <w:color w:val="auto"/>
                <w:sz w:val="24"/>
              </w:rPr>
            </w:pPr>
            <w:r>
              <w:rPr>
                <w:rFonts w:hint="eastAsia" w:cs="Times New Roman"/>
                <w:color w:val="auto"/>
                <w:kern w:val="0"/>
                <w:sz w:val="24"/>
                <w:szCs w:val="28"/>
                <w:highlight w:val="none"/>
                <w:lang w:val="en-US" w:eastAsia="zh-CN" w:bidi="ar-SA"/>
              </w:rPr>
              <w:t>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江阴港城经济区福建力峰机械实业有限公司（租赁福建力峰机械实业有限公司2号金属配件车间、1号组装车间），属于以工业生产、仓储物流为主要功能的区域，</w:t>
            </w:r>
            <w:r>
              <w:rPr>
                <w:rFonts w:hint="default" w:ascii="Times New Roman" w:hAnsi="Times New Roman" w:eastAsia="宋体" w:cs="Times New Roman"/>
                <w:color w:val="auto"/>
                <w:kern w:val="0"/>
                <w:sz w:val="24"/>
                <w:szCs w:val="28"/>
                <w:highlight w:val="none"/>
                <w:lang w:val="en-US" w:eastAsia="zh-CN" w:bidi="ar-SA"/>
              </w:rPr>
              <w:t>根据《福清市人民政府办公室关于印发福清市城市建成区声环境功能区划的通知》融政办〔2022〕48号可知，项目所在区域划为3类功能区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执行GB3096-2008《声环境质量标准》中的3类标准</w:t>
            </w:r>
            <w:r>
              <w:rPr>
                <w:rFonts w:hint="eastAsia" w:ascii="Times New Roman" w:hAnsi="Times New Roman" w:eastAsia="宋体" w:cs="Times New Roman"/>
                <w:color w:val="auto"/>
                <w:kern w:val="0"/>
                <w:sz w:val="24"/>
                <w:szCs w:val="28"/>
                <w:highlight w:val="none"/>
                <w:lang w:val="en-US" w:eastAsia="zh-CN" w:bidi="ar-SA"/>
              </w:rPr>
              <w:t>，详见表3.3-1</w:t>
            </w:r>
            <w:r>
              <w:rPr>
                <w:rFonts w:hint="eastAsia"/>
                <w:color w:val="auto"/>
                <w:sz w:val="24"/>
              </w:rPr>
              <w:t>。</w:t>
            </w:r>
          </w:p>
          <w:p w14:paraId="2C9C244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表3.3-1《声环境质量标准》（</w:t>
            </w:r>
            <w:r>
              <w:rPr>
                <w:rFonts w:hint="default" w:ascii="Times New Roman" w:hAnsi="Times New Roman" w:eastAsia="宋体" w:cs="Times New Roman"/>
                <w:b/>
                <w:bCs/>
                <w:color w:val="auto"/>
                <w:sz w:val="24"/>
                <w:szCs w:val="24"/>
                <w:u w:val="none"/>
                <w:lang w:val="en-US" w:eastAsia="zh-CN"/>
              </w:rPr>
              <w:t>GB3096-2008</w:t>
            </w:r>
            <w:r>
              <w:rPr>
                <w:rFonts w:hint="eastAsia"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（单位：dB）</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535"/>
              <w:gridCol w:w="852"/>
              <w:gridCol w:w="759"/>
            </w:tblGrid>
            <w:tr w14:paraId="08F3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3" w:hRule="atLeast"/>
                <w:tblHeader/>
              </w:trPr>
              <w:tc>
                <w:tcPr>
                  <w:tcW w:w="811" w:type="pct"/>
                  <w:noWrap w:val="0"/>
                  <w:vAlign w:val="center"/>
                </w:tcPr>
                <w:p w14:paraId="52564316">
                  <w:pPr>
                    <w:jc w:val="center"/>
                    <w:rPr>
                      <w:color w:val="auto"/>
                      <w:szCs w:val="21"/>
                    </w:rPr>
                  </w:pPr>
                  <w:r>
                    <w:rPr>
                      <w:color w:val="auto"/>
                      <w:szCs w:val="21"/>
                    </w:rPr>
                    <w:t>类别</w:t>
                  </w:r>
                </w:p>
              </w:tc>
              <w:tc>
                <w:tcPr>
                  <w:tcW w:w="3243" w:type="pct"/>
                  <w:noWrap w:val="0"/>
                  <w:vAlign w:val="center"/>
                </w:tcPr>
                <w:p w14:paraId="20AB74F7">
                  <w:pPr>
                    <w:jc w:val="center"/>
                    <w:rPr>
                      <w:color w:val="auto"/>
                      <w:szCs w:val="21"/>
                    </w:rPr>
                  </w:pPr>
                  <w:r>
                    <w:rPr>
                      <w:color w:val="auto"/>
                      <w:szCs w:val="21"/>
                    </w:rPr>
                    <w:t>适用区域</w:t>
                  </w:r>
                </w:p>
              </w:tc>
              <w:tc>
                <w:tcPr>
                  <w:tcW w:w="499" w:type="pct"/>
                  <w:noWrap w:val="0"/>
                  <w:vAlign w:val="center"/>
                </w:tcPr>
                <w:p w14:paraId="40CAF3BB">
                  <w:pPr>
                    <w:jc w:val="center"/>
                    <w:rPr>
                      <w:color w:val="auto"/>
                      <w:szCs w:val="21"/>
                    </w:rPr>
                  </w:pPr>
                  <w:r>
                    <w:rPr>
                      <w:color w:val="auto"/>
                      <w:szCs w:val="21"/>
                    </w:rPr>
                    <w:t>昼间</w:t>
                  </w:r>
                </w:p>
              </w:tc>
              <w:tc>
                <w:tcPr>
                  <w:tcW w:w="445" w:type="pct"/>
                  <w:noWrap w:val="0"/>
                  <w:vAlign w:val="center"/>
                </w:tcPr>
                <w:p w14:paraId="263B0BE6">
                  <w:pPr>
                    <w:jc w:val="center"/>
                    <w:rPr>
                      <w:color w:val="auto"/>
                      <w:szCs w:val="21"/>
                    </w:rPr>
                  </w:pPr>
                  <w:r>
                    <w:rPr>
                      <w:color w:val="auto"/>
                      <w:szCs w:val="21"/>
                    </w:rPr>
                    <w:t>夜间</w:t>
                  </w:r>
                </w:p>
              </w:tc>
            </w:tr>
            <w:tr w14:paraId="77983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811" w:type="pct"/>
                  <w:noWrap w:val="0"/>
                  <w:vAlign w:val="center"/>
                </w:tcPr>
                <w:p w14:paraId="43BFA7A4">
                  <w:pPr>
                    <w:jc w:val="center"/>
                    <w:rPr>
                      <w:color w:val="auto"/>
                      <w:szCs w:val="21"/>
                    </w:rPr>
                  </w:pPr>
                  <w:r>
                    <w:rPr>
                      <w:rFonts w:hint="eastAsia"/>
                      <w:color w:val="auto"/>
                      <w:szCs w:val="21"/>
                    </w:rPr>
                    <w:t>3</w:t>
                  </w:r>
                  <w:r>
                    <w:rPr>
                      <w:color w:val="auto"/>
                      <w:szCs w:val="21"/>
                    </w:rPr>
                    <w:t>类</w:t>
                  </w:r>
                </w:p>
              </w:tc>
              <w:tc>
                <w:tcPr>
                  <w:tcW w:w="3243" w:type="pct"/>
                  <w:noWrap w:val="0"/>
                  <w:vAlign w:val="center"/>
                </w:tcPr>
                <w:p w14:paraId="22BB0B0B">
                  <w:pPr>
                    <w:jc w:val="center"/>
                    <w:rPr>
                      <w:color w:val="auto"/>
                      <w:szCs w:val="21"/>
                    </w:rPr>
                  </w:pPr>
                  <w:r>
                    <w:rPr>
                      <w:color w:val="auto"/>
                      <w:szCs w:val="21"/>
                    </w:rPr>
                    <w:t>以工业生产、仓储物流为主要功能，需要防止工业噪声对周围环境产生严重影响的区域</w:t>
                  </w:r>
                </w:p>
              </w:tc>
              <w:tc>
                <w:tcPr>
                  <w:tcW w:w="499" w:type="pct"/>
                  <w:noWrap w:val="0"/>
                  <w:vAlign w:val="center"/>
                </w:tcPr>
                <w:p w14:paraId="099CB0AE">
                  <w:pPr>
                    <w:jc w:val="center"/>
                    <w:rPr>
                      <w:rFonts w:hint="eastAsia"/>
                      <w:color w:val="auto"/>
                      <w:szCs w:val="21"/>
                    </w:rPr>
                  </w:pPr>
                  <w:r>
                    <w:rPr>
                      <w:rFonts w:hint="eastAsia"/>
                      <w:color w:val="auto"/>
                      <w:szCs w:val="21"/>
                      <w:lang w:val="en-US" w:eastAsia="zh-CN"/>
                    </w:rPr>
                    <w:t>≤</w:t>
                  </w:r>
                  <w:r>
                    <w:rPr>
                      <w:color w:val="auto"/>
                      <w:szCs w:val="21"/>
                    </w:rPr>
                    <w:t>6</w:t>
                  </w:r>
                  <w:r>
                    <w:rPr>
                      <w:rFonts w:hint="eastAsia"/>
                      <w:color w:val="auto"/>
                      <w:szCs w:val="21"/>
                    </w:rPr>
                    <w:t>5</w:t>
                  </w:r>
                </w:p>
              </w:tc>
              <w:tc>
                <w:tcPr>
                  <w:tcW w:w="445" w:type="pct"/>
                  <w:noWrap w:val="0"/>
                  <w:vAlign w:val="center"/>
                </w:tcPr>
                <w:p w14:paraId="0D17D597">
                  <w:pPr>
                    <w:jc w:val="center"/>
                    <w:rPr>
                      <w:rFonts w:hint="eastAsia"/>
                      <w:color w:val="auto"/>
                      <w:szCs w:val="21"/>
                    </w:rPr>
                  </w:pPr>
                  <w:r>
                    <w:rPr>
                      <w:rFonts w:hint="eastAsia"/>
                      <w:color w:val="auto"/>
                      <w:szCs w:val="21"/>
                      <w:lang w:val="en-US" w:eastAsia="zh-CN"/>
                    </w:rPr>
                    <w:t>≤</w:t>
                  </w:r>
                  <w:r>
                    <w:rPr>
                      <w:color w:val="auto"/>
                      <w:szCs w:val="21"/>
                    </w:rPr>
                    <w:t>5</w:t>
                  </w:r>
                  <w:r>
                    <w:rPr>
                      <w:rFonts w:hint="eastAsia"/>
                      <w:color w:val="auto"/>
                      <w:szCs w:val="21"/>
                    </w:rPr>
                    <w:t>5</w:t>
                  </w:r>
                </w:p>
              </w:tc>
            </w:tr>
          </w:tbl>
          <w:p w14:paraId="3F9B5B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100" w:name="_Toc20954"/>
            <w:bookmarkStart w:id="101" w:name="_Toc23205"/>
            <w:r>
              <w:rPr>
                <w:rFonts w:hint="eastAsia" w:ascii="Times New Roman" w:hAnsi="Times New Roman" w:eastAsia="宋体" w:cs="Times New Roman"/>
                <w:b/>
                <w:bCs/>
                <w:color w:val="auto"/>
                <w:sz w:val="24"/>
                <w:szCs w:val="24"/>
                <w:u w:val="none"/>
                <w:lang w:val="en-US" w:eastAsia="zh-CN"/>
              </w:rPr>
              <w:t>3.3.2声环境质量现状</w:t>
            </w:r>
            <w:bookmarkEnd w:id="100"/>
            <w:bookmarkEnd w:id="101"/>
          </w:p>
          <w:p w14:paraId="04FE6B5B">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14098745">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根据现场踏勘可知，项目周边50米范围内无声环境保护目标</w:t>
            </w:r>
            <w:r>
              <w:rPr>
                <w:rFonts w:hint="eastAsia" w:ascii="Times New Roman" w:hAnsi="Times New Roman" w:eastAsia="宋体" w:cs="Times New Roman"/>
                <w:color w:val="auto"/>
                <w:kern w:val="0"/>
                <w:sz w:val="24"/>
                <w:szCs w:val="28"/>
                <w:highlight w:val="none"/>
                <w:lang w:val="en-US" w:eastAsia="zh-CN" w:bidi="ar-SA"/>
              </w:rPr>
              <w:t>，依据《建设项目环境影响报告表编制技术指南（污染影响类）（试行）》，故本项目不需要开展声环境现状监测。</w:t>
            </w:r>
          </w:p>
          <w:p w14:paraId="00F16D4E">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2" w:name="_Toc24717"/>
            <w:bookmarkStart w:id="103" w:name="_Toc25881"/>
            <w:r>
              <w:rPr>
                <w:rFonts w:hint="eastAsia" w:ascii="Times New Roman" w:hAnsi="Times New Roman" w:eastAsia="宋体" w:cs="Times New Roman"/>
                <w:color w:val="auto"/>
                <w:sz w:val="28"/>
                <w:szCs w:val="28"/>
                <w:u w:val="none"/>
                <w:lang w:val="en-US" w:eastAsia="zh-CN"/>
              </w:rPr>
              <w:t>3.4生态环境</w:t>
            </w:r>
            <w:bookmarkEnd w:id="102"/>
            <w:bookmarkEnd w:id="103"/>
          </w:p>
          <w:p w14:paraId="7FE4E1FA">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zh-CN" w:eastAsia="zh-CN" w:bidi="ar-SA"/>
              </w:rPr>
            </w:pPr>
            <w:r>
              <w:rPr>
                <w:rFonts w:hint="eastAsia" w:cs="Times New Roman"/>
                <w:color w:val="auto"/>
                <w:kern w:val="0"/>
                <w:sz w:val="24"/>
                <w:szCs w:val="28"/>
                <w:highlight w:val="none"/>
                <w:lang w:val="en-US" w:eastAsia="zh-CN" w:bidi="ar-SA"/>
              </w:rPr>
              <w:t>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eastAsia="宋体" w:cs="Times New Roman"/>
                <w:color w:val="auto"/>
                <w:kern w:val="0"/>
                <w:sz w:val="24"/>
                <w:szCs w:val="28"/>
                <w:highlight w:val="none"/>
                <w:lang w:val="en-US" w:eastAsia="zh-CN" w:bidi="ar-SA"/>
              </w:rPr>
              <w:t>项目</w:t>
            </w:r>
            <w:r>
              <w:rPr>
                <w:rFonts w:hint="default" w:ascii="Times New Roman" w:hAnsi="Times New Roman" w:eastAsia="宋体" w:cs="Times New Roman"/>
                <w:color w:val="auto"/>
                <w:sz w:val="24"/>
                <w:szCs w:val="24"/>
                <w:highlight w:val="none"/>
                <w:lang w:val="en-US" w:eastAsia="zh-CN"/>
              </w:rPr>
              <w:t>租赁福建力峰机械实业有限公司的闲置厂房</w:t>
            </w:r>
            <w:r>
              <w:rPr>
                <w:rFonts w:hint="eastAsia" w:ascii="Times New Roman" w:hAnsi="Times New Roman" w:eastAsia="宋体" w:cs="Times New Roman"/>
                <w:color w:val="auto"/>
                <w:kern w:val="0"/>
                <w:sz w:val="24"/>
                <w:szCs w:val="28"/>
                <w:highlight w:val="none"/>
                <w:lang w:val="en-US" w:eastAsia="zh-CN" w:bidi="ar-SA"/>
              </w:rPr>
              <w:t>作为生产经营场所</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sz w:val="24"/>
                <w:szCs w:val="24"/>
                <w:highlight w:val="none"/>
                <w:lang w:val="en-US" w:eastAsia="zh-CN"/>
              </w:rPr>
              <w:t>福建力峰机械实业有限公司的征地面积为</w:t>
            </w:r>
            <w:r>
              <w:rPr>
                <w:rFonts w:hint="eastAsia" w:cs="Times New Roman"/>
                <w:color w:val="auto"/>
                <w:sz w:val="24"/>
                <w:szCs w:val="24"/>
                <w:highlight w:val="none"/>
                <w:lang w:val="en-US" w:eastAsia="zh-CN"/>
              </w:rPr>
              <w:t>15359.17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房屋面积9131.1m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建设</w:t>
            </w:r>
            <w:r>
              <w:rPr>
                <w:rFonts w:hint="eastAsia" w:cs="Times New Roman"/>
                <w:color w:val="auto"/>
                <w:sz w:val="24"/>
                <w:szCs w:val="24"/>
                <w:highlight w:val="none"/>
                <w:lang w:val="en-US" w:eastAsia="zh-CN"/>
              </w:rPr>
              <w:t>两幢车间分别为1号组装车间面积3</w:t>
            </w:r>
            <w:r>
              <w:rPr>
                <w:rFonts w:hint="default" w:ascii="Times New Roman" w:hAnsi="Times New Roman" w:eastAsia="宋体" w:cs="Times New Roman"/>
                <w:color w:val="auto"/>
                <w:sz w:val="24"/>
                <w:szCs w:val="24"/>
                <w:highlight w:val="none"/>
                <w:lang w:val="en-US" w:eastAsia="zh-CN"/>
              </w:rPr>
              <w:t>086.lm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2号金属配件车间面积6065m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目前将该处厂房全租给福建恒润包装有限公司，其余</w:t>
            </w:r>
            <w:r>
              <w:rPr>
                <w:rFonts w:hint="eastAsia" w:cs="Times New Roman"/>
                <w:color w:val="auto"/>
                <w:sz w:val="24"/>
                <w:szCs w:val="24"/>
                <w:highlight w:val="none"/>
                <w:lang w:val="en-US" w:eastAsia="zh-CN"/>
              </w:rPr>
              <w:t>6228.07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空地暂时闲置。项目租赁厂房</w:t>
            </w:r>
            <w:r>
              <w:rPr>
                <w:rFonts w:hint="eastAsia" w:cs="Times New Roman"/>
                <w:color w:val="auto"/>
                <w:sz w:val="24"/>
                <w:szCs w:val="24"/>
                <w:highlight w:val="none"/>
                <w:lang w:val="en-US" w:eastAsia="zh-CN"/>
              </w:rPr>
              <w:t>建筑</w:t>
            </w:r>
            <w:r>
              <w:rPr>
                <w:rFonts w:hint="default" w:ascii="Times New Roman" w:hAnsi="Times New Roman" w:eastAsia="宋体" w:cs="Times New Roman"/>
                <w:color w:val="auto"/>
                <w:sz w:val="24"/>
                <w:szCs w:val="24"/>
                <w:highlight w:val="none"/>
                <w:lang w:val="en-US" w:eastAsia="zh-CN"/>
              </w:rPr>
              <w:t>面积</w:t>
            </w:r>
            <w:r>
              <w:rPr>
                <w:rFonts w:hint="eastAsia" w:cs="Times New Roman"/>
                <w:color w:val="auto"/>
                <w:sz w:val="24"/>
                <w:szCs w:val="24"/>
                <w:highlight w:val="none"/>
                <w:lang w:val="en-US" w:eastAsia="zh-CN"/>
              </w:rPr>
              <w:t>9131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vertAlign w:val="baseline"/>
                <w:lang w:val="en-US" w:eastAsia="zh-CN"/>
              </w:rPr>
              <w:t>。本次扩建</w:t>
            </w:r>
            <w:r>
              <w:rPr>
                <w:rFonts w:hint="eastAsia" w:ascii="Times New Roman" w:hAnsi="Times New Roman" w:eastAsia="宋体" w:cs="Times New Roman"/>
                <w:color w:val="auto"/>
                <w:kern w:val="0"/>
                <w:sz w:val="24"/>
                <w:szCs w:val="28"/>
                <w:highlight w:val="none"/>
                <w:lang w:val="en-US" w:eastAsia="zh-CN" w:bidi="ar-SA"/>
              </w:rPr>
              <w:t>新增土地用地面积</w:t>
            </w:r>
            <w:r>
              <w:rPr>
                <w:rFonts w:hint="eastAsia" w:cs="Times New Roman"/>
                <w:color w:val="auto"/>
                <w:kern w:val="0"/>
                <w:sz w:val="24"/>
                <w:szCs w:val="28"/>
                <w:highlight w:val="none"/>
                <w:lang w:val="en-US" w:eastAsia="zh-CN" w:bidi="ar-SA"/>
              </w:rPr>
              <w:t>6065</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根据调查，</w:t>
            </w:r>
            <w:r>
              <w:rPr>
                <w:rFonts w:hint="default" w:ascii="Times New Roman" w:hAnsi="Times New Roman" w:eastAsia="宋体" w:cs="Times New Roman"/>
                <w:color w:val="auto"/>
                <w:kern w:val="0"/>
                <w:sz w:val="24"/>
                <w:szCs w:val="28"/>
                <w:highlight w:val="none"/>
                <w:lang w:val="zh-CN" w:eastAsia="zh-CN" w:bidi="ar-SA"/>
              </w:rPr>
              <w:t>项目用地周边</w:t>
            </w:r>
            <w:r>
              <w:rPr>
                <w:rFonts w:hint="eastAsia" w:ascii="Times New Roman" w:hAnsi="Times New Roman" w:eastAsia="宋体" w:cs="Times New Roman"/>
                <w:color w:val="auto"/>
                <w:kern w:val="0"/>
                <w:sz w:val="24"/>
                <w:szCs w:val="28"/>
                <w:highlight w:val="none"/>
                <w:lang w:val="zh-CN" w:eastAsia="zh-CN" w:bidi="ar-SA"/>
              </w:rPr>
              <w:t>以</w:t>
            </w:r>
            <w:r>
              <w:rPr>
                <w:rFonts w:hint="default" w:ascii="Times New Roman" w:hAnsi="Times New Roman" w:eastAsia="宋体" w:cs="Times New Roman"/>
                <w:color w:val="auto"/>
                <w:kern w:val="0"/>
                <w:sz w:val="24"/>
                <w:szCs w:val="28"/>
                <w:highlight w:val="none"/>
                <w:lang w:val="zh-CN" w:eastAsia="zh-CN" w:bidi="ar-SA"/>
              </w:rPr>
              <w:t>城市道路、其他</w:t>
            </w:r>
            <w:r>
              <w:rPr>
                <w:rFonts w:hint="eastAsia" w:ascii="Times New Roman" w:hAnsi="Times New Roman" w:eastAsia="宋体" w:cs="Times New Roman"/>
                <w:color w:val="auto"/>
                <w:kern w:val="0"/>
                <w:sz w:val="24"/>
                <w:szCs w:val="28"/>
                <w:highlight w:val="none"/>
                <w:lang w:val="zh-CN" w:eastAsia="zh-CN" w:bidi="ar-SA"/>
              </w:rPr>
              <w:t>工业</w:t>
            </w:r>
            <w:r>
              <w:rPr>
                <w:rFonts w:hint="default" w:ascii="Times New Roman" w:hAnsi="Times New Roman" w:eastAsia="宋体" w:cs="Times New Roman"/>
                <w:color w:val="auto"/>
                <w:kern w:val="0"/>
                <w:sz w:val="24"/>
                <w:szCs w:val="28"/>
                <w:highlight w:val="none"/>
                <w:lang w:val="zh-CN" w:eastAsia="zh-CN" w:bidi="ar-SA"/>
              </w:rPr>
              <w:t>企业</w:t>
            </w:r>
            <w:r>
              <w:rPr>
                <w:rFonts w:hint="eastAsia" w:ascii="Times New Roman" w:hAnsi="Times New Roman" w:eastAsia="宋体" w:cs="Times New Roman"/>
                <w:color w:val="auto"/>
                <w:kern w:val="0"/>
                <w:sz w:val="24"/>
                <w:szCs w:val="28"/>
                <w:highlight w:val="none"/>
                <w:lang w:val="zh-CN" w:eastAsia="zh-CN" w:bidi="ar-SA"/>
              </w:rPr>
              <w:t>、</w:t>
            </w:r>
            <w:r>
              <w:rPr>
                <w:rFonts w:hint="eastAsia" w:ascii="Times New Roman" w:hAnsi="Times New Roman" w:eastAsia="宋体" w:cs="Times New Roman"/>
                <w:color w:val="auto"/>
                <w:kern w:val="0"/>
                <w:sz w:val="24"/>
                <w:szCs w:val="28"/>
                <w:highlight w:val="none"/>
                <w:lang w:val="en-US" w:eastAsia="zh-CN" w:bidi="ar-SA"/>
              </w:rPr>
              <w:t>居住区</w:t>
            </w:r>
            <w:r>
              <w:rPr>
                <w:rFonts w:hint="default" w:ascii="Times New Roman" w:hAnsi="Times New Roman" w:eastAsia="宋体" w:cs="Times New Roman"/>
                <w:color w:val="auto"/>
                <w:kern w:val="0"/>
                <w:sz w:val="24"/>
                <w:szCs w:val="28"/>
                <w:highlight w:val="none"/>
                <w:lang w:val="zh-CN" w:eastAsia="zh-CN" w:bidi="ar-SA"/>
              </w:rPr>
              <w:t>等</w:t>
            </w:r>
            <w:r>
              <w:rPr>
                <w:rFonts w:hint="eastAsia" w:ascii="Times New Roman" w:hAnsi="Times New Roman" w:eastAsia="宋体" w:cs="Times New Roman"/>
                <w:color w:val="auto"/>
                <w:kern w:val="0"/>
                <w:sz w:val="24"/>
                <w:szCs w:val="28"/>
                <w:highlight w:val="none"/>
                <w:lang w:val="zh-CN" w:eastAsia="zh-CN" w:bidi="ar-SA"/>
              </w:rPr>
              <w:t>为主</w:t>
            </w:r>
            <w:r>
              <w:rPr>
                <w:rFonts w:hint="default" w:ascii="Times New Roman" w:hAnsi="Times New Roman" w:eastAsia="宋体" w:cs="Times New Roman"/>
                <w:color w:val="auto"/>
                <w:kern w:val="0"/>
                <w:sz w:val="24"/>
                <w:szCs w:val="28"/>
                <w:highlight w:val="none"/>
                <w:lang w:val="zh-CN" w:eastAsia="zh-CN" w:bidi="ar-SA"/>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570D485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4" w:name="_Toc4366"/>
            <w:bookmarkStart w:id="105" w:name="_Toc18566"/>
            <w:r>
              <w:rPr>
                <w:rFonts w:hint="eastAsia" w:ascii="Times New Roman" w:hAnsi="Times New Roman" w:eastAsia="宋体" w:cs="Times New Roman"/>
                <w:color w:val="auto"/>
                <w:sz w:val="28"/>
                <w:szCs w:val="28"/>
                <w:u w:val="none"/>
                <w:lang w:val="en-US" w:eastAsia="zh-CN"/>
              </w:rPr>
              <w:t>3.</w:t>
            </w:r>
            <w:r>
              <w:rPr>
                <w:rFonts w:hint="eastAsia" w:ascii="Times New Roman" w:hAnsi="Times New Roman" w:cs="Times New Roman"/>
                <w:color w:val="auto"/>
                <w:sz w:val="28"/>
                <w:szCs w:val="28"/>
                <w:u w:val="none"/>
                <w:lang w:val="en-US" w:eastAsia="zh-CN"/>
              </w:rPr>
              <w:t>5</w:t>
            </w:r>
            <w:r>
              <w:rPr>
                <w:rFonts w:hint="eastAsia" w:ascii="Times New Roman" w:hAnsi="Times New Roman" w:eastAsia="宋体" w:cs="Times New Roman"/>
                <w:color w:val="auto"/>
                <w:sz w:val="28"/>
                <w:szCs w:val="28"/>
                <w:u w:val="none"/>
                <w:lang w:val="en-US" w:eastAsia="zh-CN"/>
              </w:rPr>
              <w:t>土壤、地下水环境</w:t>
            </w:r>
            <w:bookmarkEnd w:id="104"/>
            <w:bookmarkEnd w:id="105"/>
          </w:p>
          <w:p w14:paraId="1E03A132">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污染影响类</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试行</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环办环评〔2020〕33号</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规定，“</w:t>
            </w:r>
            <w:r>
              <w:rPr>
                <w:rFonts w:hint="default" w:ascii="Times New Roman" w:hAnsi="Times New Roman" w:eastAsia="宋体" w:cs="Times New Roman"/>
                <w:color w:val="auto"/>
                <w:kern w:val="0"/>
                <w:sz w:val="24"/>
                <w:szCs w:val="28"/>
                <w:highlight w:val="none"/>
                <w:lang w:val="en-US" w:eastAsia="zh-CN" w:bidi="ar-SA"/>
              </w:rPr>
              <w:t>地下水、土壤环境</w:t>
            </w:r>
            <w:r>
              <w:rPr>
                <w:rFonts w:hint="eastAsia" w:ascii="Times New Roman" w:hAnsi="Times New Roman" w:eastAsia="宋体" w:cs="Times New Roman"/>
                <w:color w:val="auto"/>
                <w:kern w:val="0"/>
                <w:sz w:val="24"/>
                <w:szCs w:val="28"/>
                <w:highlight w:val="none"/>
                <w:lang w:val="en-US" w:eastAsia="zh-CN" w:bidi="ar-SA"/>
              </w:rPr>
              <w:t>原则上不开展环境质量现状调查。建设项目存在土壤、地下水环境污染途径的，应结合污染源、保护目标分布情况开展现状调查以留作背景值。</w:t>
            </w:r>
          </w:p>
          <w:p w14:paraId="05DFECF7">
            <w:pPr>
              <w:widowControl/>
              <w:spacing w:line="360" w:lineRule="auto"/>
              <w:ind w:firstLine="480" w:firstLineChars="200"/>
              <w:jc w:val="left"/>
              <w:rPr>
                <w:rFonts w:hint="eastAsia"/>
                <w:color w:val="auto"/>
                <w:vertAlign w:val="baseline"/>
                <w:lang w:eastAsia="zh-CN"/>
              </w:rPr>
            </w:pPr>
            <w:r>
              <w:rPr>
                <w:rFonts w:hint="eastAsia" w:cs="Times New Roman"/>
                <w:color w:val="auto"/>
                <w:kern w:val="0"/>
                <w:sz w:val="24"/>
                <w:szCs w:val="28"/>
                <w:highlight w:val="none"/>
                <w:lang w:val="en-US" w:eastAsia="zh-CN" w:bidi="ar-SA"/>
              </w:rPr>
              <w:t>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eastAsia="宋体" w:cs="Times New Roman"/>
                <w:color w:val="auto"/>
                <w:kern w:val="0"/>
                <w:sz w:val="24"/>
                <w:szCs w:val="28"/>
                <w:highlight w:val="none"/>
                <w:lang w:val="en-US" w:eastAsia="zh-CN" w:bidi="ar-SA"/>
              </w:rPr>
              <w:t>项目</w:t>
            </w:r>
            <w:r>
              <w:rPr>
                <w:rFonts w:hint="default" w:ascii="Times New Roman" w:hAnsi="Times New Roman" w:eastAsia="宋体" w:cs="Times New Roman"/>
                <w:color w:val="auto"/>
                <w:sz w:val="24"/>
                <w:szCs w:val="24"/>
                <w:highlight w:val="none"/>
                <w:lang w:val="en-US" w:eastAsia="zh-CN"/>
              </w:rPr>
              <w:t>租赁福建力峰机械实业有限公司的闲置厂房</w:t>
            </w:r>
            <w:r>
              <w:rPr>
                <w:rFonts w:hint="eastAsia" w:ascii="Times New Roman" w:hAnsi="Times New Roman" w:eastAsia="宋体" w:cs="Times New Roman"/>
                <w:color w:val="auto"/>
                <w:kern w:val="0"/>
                <w:sz w:val="24"/>
                <w:szCs w:val="28"/>
                <w:highlight w:val="none"/>
                <w:lang w:val="en-US" w:eastAsia="zh-CN" w:bidi="ar-SA"/>
              </w:rPr>
              <w:t>作为生产经营场所</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根据调查，项目厂区车间地面全部硬化，生产过</w:t>
            </w:r>
            <w:r>
              <w:rPr>
                <w:rFonts w:hint="eastAsia" w:cs="Times New Roman"/>
                <w:color w:val="auto"/>
                <w:kern w:val="0"/>
                <w:sz w:val="24"/>
                <w:szCs w:val="28"/>
                <w:highlight w:val="none"/>
                <w:lang w:val="en-US" w:eastAsia="zh-CN" w:bidi="ar-SA"/>
              </w:rPr>
              <w:t>程中</w:t>
            </w:r>
            <w:r>
              <w:rPr>
                <w:rFonts w:hint="eastAsia" w:ascii="Times New Roman" w:hAnsi="Times New Roman" w:eastAsia="宋体" w:cs="Times New Roman"/>
                <w:color w:val="auto"/>
                <w:kern w:val="0"/>
                <w:sz w:val="24"/>
                <w:szCs w:val="28"/>
                <w:highlight w:val="none"/>
                <w:lang w:val="en-US" w:eastAsia="zh-CN" w:bidi="ar-SA"/>
              </w:rPr>
              <w:t>不排放重点重金属或持久性有机污染物，严格按照要求进行分区防渗防控，</w:t>
            </w:r>
            <w:r>
              <w:rPr>
                <w:rFonts w:hint="default" w:ascii="Times New Roman" w:hAnsi="Times New Roman" w:eastAsia="宋体" w:cs="Times New Roman"/>
                <w:color w:val="auto"/>
                <w:kern w:val="0"/>
                <w:sz w:val="24"/>
                <w:szCs w:val="28"/>
                <w:highlight w:val="none"/>
                <w:lang w:val="en-US" w:eastAsia="zh-CN" w:bidi="ar-SA"/>
              </w:rPr>
              <w:t>采取有效的防渗措施后，</w:t>
            </w:r>
            <w:r>
              <w:rPr>
                <w:rFonts w:hint="eastAsia" w:ascii="Times New Roman" w:hAnsi="Times New Roman" w:eastAsia="宋体" w:cs="Times New Roman"/>
                <w:color w:val="auto"/>
                <w:kern w:val="0"/>
                <w:sz w:val="24"/>
                <w:szCs w:val="28"/>
                <w:highlight w:val="none"/>
                <w:lang w:val="en-US" w:eastAsia="zh-CN" w:bidi="ar-SA"/>
              </w:rPr>
              <w:t>几乎不存在地下水、土壤环境污染途径；</w:t>
            </w:r>
            <w:r>
              <w:rPr>
                <w:rFonts w:hint="default" w:ascii="Times New Roman" w:hAnsi="Times New Roman" w:eastAsia="宋体" w:cs="Times New Roman"/>
                <w:color w:val="auto"/>
                <w:kern w:val="0"/>
                <w:sz w:val="24"/>
                <w:szCs w:val="28"/>
                <w:highlight w:val="none"/>
                <w:lang w:val="en-US" w:eastAsia="zh-CN" w:bidi="ar-SA"/>
              </w:rPr>
              <w:t>根据</w:t>
            </w:r>
            <w:r>
              <w:rPr>
                <w:rFonts w:hint="eastAsia" w:ascii="Times New Roman" w:hAnsi="Times New Roman" w:eastAsia="宋体" w:cs="Times New Roman"/>
                <w:color w:val="auto"/>
                <w:kern w:val="0"/>
                <w:sz w:val="24"/>
                <w:szCs w:val="28"/>
                <w:highlight w:val="none"/>
                <w:lang w:val="en-US" w:eastAsia="zh-CN" w:bidi="ar-SA"/>
              </w:rPr>
              <w:t>调查，项目周边地下水、土壤环境相对不敏感，</w:t>
            </w:r>
            <w:r>
              <w:rPr>
                <w:rFonts w:hint="default" w:ascii="Times New Roman" w:hAnsi="Times New Roman" w:eastAsia="宋体" w:cs="Times New Roman"/>
                <w:color w:val="auto"/>
                <w:kern w:val="0"/>
                <w:sz w:val="24"/>
                <w:szCs w:val="28"/>
                <w:highlight w:val="none"/>
                <w:lang w:val="en-US" w:eastAsia="zh-CN" w:bidi="ar-SA"/>
              </w:rPr>
              <w:t>项目对地下水、土壤环境</w:t>
            </w:r>
            <w:r>
              <w:rPr>
                <w:rFonts w:hint="default" w:ascii="Times New Roman" w:hAnsi="Times New Roman" w:eastAsia="宋体" w:cs="Times New Roman"/>
                <w:color w:val="auto"/>
                <w:sz w:val="24"/>
                <w:szCs w:val="24"/>
                <w:highlight w:val="none"/>
                <w:lang w:val="en-US" w:eastAsia="zh-CN"/>
              </w:rPr>
              <w:t>影响很小，因此，本评价不对项目地下水、土壤环境质量进行补充监测。</w:t>
            </w:r>
          </w:p>
        </w:tc>
      </w:tr>
      <w:tr w14:paraId="5F02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4" w:hRule="atLeast"/>
        </w:trPr>
        <w:tc>
          <w:tcPr>
            <w:tcW w:w="456" w:type="dxa"/>
            <w:vAlign w:val="center"/>
          </w:tcPr>
          <w:p w14:paraId="6F7748B8">
            <w:pPr>
              <w:jc w:val="center"/>
              <w:rPr>
                <w:rFonts w:hint="eastAsia"/>
                <w:color w:val="auto"/>
                <w:vertAlign w:val="baseline"/>
                <w:lang w:eastAsia="zh-CN"/>
              </w:rPr>
            </w:pPr>
            <w:r>
              <w:rPr>
                <w:rFonts w:hint="eastAsia"/>
                <w:color w:val="auto"/>
                <w:sz w:val="24"/>
                <w:szCs w:val="24"/>
                <w:vertAlign w:val="baseline"/>
                <w:lang w:eastAsia="zh-CN"/>
              </w:rPr>
              <w:t>环境保护目标</w:t>
            </w:r>
          </w:p>
        </w:tc>
        <w:tc>
          <w:tcPr>
            <w:tcW w:w="8749" w:type="dxa"/>
          </w:tcPr>
          <w:p w14:paraId="6BCD398D">
            <w:pPr>
              <w:pStyle w:val="47"/>
              <w:keepNext w:val="0"/>
              <w:keepLines w:val="0"/>
              <w:pageBreakBefore w:val="0"/>
              <w:widowControl w:val="0"/>
              <w:kinsoku/>
              <w:wordWrap/>
              <w:overflowPunct/>
              <w:topLinePunct w:val="0"/>
              <w:autoSpaceDE/>
              <w:autoSpaceDN/>
              <w:bidi w:val="0"/>
              <w:adjustRightInd w:val="0"/>
              <w:snapToGrid/>
              <w:textAlignment w:val="auto"/>
              <w:outlineLvl w:val="1"/>
              <w:rPr>
                <w:color w:val="auto"/>
                <w:szCs w:val="28"/>
              </w:rPr>
            </w:pPr>
            <w:bookmarkStart w:id="106" w:name="_Toc3725"/>
            <w:bookmarkStart w:id="107" w:name="_Toc3574"/>
            <w:r>
              <w:rPr>
                <w:color w:val="auto"/>
                <w:szCs w:val="28"/>
              </w:rPr>
              <w:t>3.</w:t>
            </w:r>
            <w:r>
              <w:rPr>
                <w:rFonts w:hint="eastAsia"/>
                <w:color w:val="auto"/>
                <w:szCs w:val="28"/>
                <w:lang w:val="en-US" w:eastAsia="zh-CN"/>
              </w:rPr>
              <w:t>6</w:t>
            </w:r>
            <w:r>
              <w:rPr>
                <w:color w:val="auto"/>
                <w:szCs w:val="28"/>
              </w:rPr>
              <w:t>主要环境保护目标</w:t>
            </w:r>
            <w:bookmarkEnd w:id="106"/>
            <w:bookmarkEnd w:id="107"/>
          </w:p>
          <w:p w14:paraId="74457774">
            <w:pPr>
              <w:spacing w:line="360" w:lineRule="auto"/>
              <w:ind w:firstLine="480" w:firstLineChars="200"/>
              <w:rPr>
                <w:color w:val="auto"/>
                <w:sz w:val="24"/>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（厂界外50m）、地下水环境（厂界外50m）等环境保护目标详</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bCs/>
                <w:color w:val="auto"/>
                <w:kern w:val="0"/>
                <w:sz w:val="24"/>
                <w:highlight w:val="none"/>
              </w:rPr>
              <w:t>附图</w:t>
            </w:r>
            <w:r>
              <w:rPr>
                <w:rFonts w:hint="eastAsia" w:cs="Times New Roman"/>
                <w:b/>
                <w:bCs/>
                <w:color w:val="auto"/>
                <w:kern w:val="0"/>
                <w:sz w:val="24"/>
                <w:highlight w:val="none"/>
                <w:lang w:val="en-US" w:eastAsia="zh-CN"/>
              </w:rPr>
              <w:t>三</w:t>
            </w:r>
            <w:r>
              <w:rPr>
                <w:color w:val="auto"/>
                <w:sz w:val="24"/>
              </w:rPr>
              <w:t>。</w:t>
            </w:r>
          </w:p>
          <w:p w14:paraId="1BDC757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表3.6-1项目主要环境保护目标一览表</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1"/>
              <w:gridCol w:w="1107"/>
              <w:gridCol w:w="2208"/>
              <w:gridCol w:w="1064"/>
              <w:gridCol w:w="2933"/>
            </w:tblGrid>
            <w:tr w14:paraId="7D83A3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1" w:hRule="atLeast"/>
                <w:jc w:val="center"/>
              </w:trPr>
              <w:tc>
                <w:tcPr>
                  <w:tcW w:w="711" w:type="pct"/>
                  <w:noWrap w:val="0"/>
                  <w:vAlign w:val="center"/>
                </w:tcPr>
                <w:p w14:paraId="260E2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649" w:type="pct"/>
                  <w:noWrap w:val="0"/>
                  <w:vAlign w:val="center"/>
                </w:tcPr>
                <w:p w14:paraId="0F7A91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环境保护对象名称</w:t>
                  </w:r>
                </w:p>
              </w:tc>
              <w:tc>
                <w:tcPr>
                  <w:tcW w:w="1295" w:type="pct"/>
                  <w:noWrap w:val="0"/>
                  <w:vAlign w:val="center"/>
                </w:tcPr>
                <w:p w14:paraId="09786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相对项目的方</w:t>
                  </w:r>
                </w:p>
                <w:p w14:paraId="11479F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位和最近距离</w:t>
                  </w:r>
                </w:p>
              </w:tc>
              <w:tc>
                <w:tcPr>
                  <w:tcW w:w="624" w:type="pct"/>
                  <w:noWrap w:val="0"/>
                  <w:vAlign w:val="center"/>
                </w:tcPr>
                <w:p w14:paraId="204D7E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目标规模</w:t>
                  </w:r>
                </w:p>
              </w:tc>
              <w:tc>
                <w:tcPr>
                  <w:tcW w:w="1718" w:type="pct"/>
                  <w:noWrap w:val="0"/>
                  <w:vAlign w:val="center"/>
                </w:tcPr>
                <w:p w14:paraId="25B54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w:t>
                  </w:r>
                </w:p>
              </w:tc>
            </w:tr>
            <w:tr w14:paraId="3C5404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711" w:type="pct"/>
                  <w:noWrap w:val="0"/>
                  <w:vAlign w:val="center"/>
                </w:tcPr>
                <w:p w14:paraId="0AEA81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49" w:type="pct"/>
                  <w:noWrap w:val="0"/>
                  <w:vAlign w:val="center"/>
                </w:tcPr>
                <w:p w14:paraId="33C301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双屿村</w:t>
                  </w:r>
                </w:p>
              </w:tc>
              <w:tc>
                <w:tcPr>
                  <w:tcW w:w="1295" w:type="pct"/>
                  <w:noWrap w:val="0"/>
                  <w:vAlign w:val="center"/>
                </w:tcPr>
                <w:p w14:paraId="6C143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西北侧约1400m</w:t>
                  </w:r>
                </w:p>
              </w:tc>
              <w:tc>
                <w:tcPr>
                  <w:tcW w:w="624" w:type="pct"/>
                  <w:noWrap w:val="0"/>
                  <w:vAlign w:val="center"/>
                </w:tcPr>
                <w:p w14:paraId="662FA0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村庄</w:t>
                  </w:r>
                </w:p>
              </w:tc>
              <w:tc>
                <w:tcPr>
                  <w:tcW w:w="1718" w:type="pct"/>
                  <w:noWrap w:val="0"/>
                  <w:vAlign w:val="center"/>
                </w:tcPr>
                <w:p w14:paraId="52DBD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default" w:ascii="Times New Roman" w:hAnsi="Times New Roman" w:cs="Times New Roman"/>
                      <w:color w:val="auto"/>
                      <w:lang w:eastAsia="zh-CN"/>
                    </w:rPr>
                    <w:t>《环境空气质量标准》（GB3095-20</w:t>
                  </w:r>
                  <w:r>
                    <w:rPr>
                      <w:rFonts w:hint="eastAsia" w:ascii="Times New Roman" w:hAnsi="Times New Roman" w:cs="Times New Roman"/>
                      <w:color w:val="auto"/>
                      <w:lang w:val="en-US" w:eastAsia="zh-CN"/>
                    </w:rPr>
                    <w:t>26</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中过度阶段浓度限值</w:t>
                  </w:r>
                  <w:r>
                    <w:rPr>
                      <w:rFonts w:hint="default" w:ascii="Times New Roman" w:hAnsi="Times New Roman" w:cs="Times New Roman"/>
                      <w:color w:val="auto"/>
                      <w:lang w:eastAsia="zh-CN"/>
                    </w:rPr>
                    <w:t>二级</w:t>
                  </w:r>
                  <w:r>
                    <w:rPr>
                      <w:rFonts w:hint="eastAsia" w:ascii="Times New Roman" w:hAnsi="Times New Roman" w:cs="Times New Roman"/>
                      <w:color w:val="auto"/>
                      <w:lang w:eastAsia="zh-CN"/>
                    </w:rPr>
                    <w:t>标准</w:t>
                  </w:r>
                </w:p>
              </w:tc>
            </w:tr>
            <w:tr w14:paraId="2BAF61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711" w:type="pct"/>
                  <w:noWrap w:val="0"/>
                  <w:vAlign w:val="center"/>
                </w:tcPr>
                <w:p w14:paraId="7D2A0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649" w:type="pct"/>
                  <w:noWrap w:val="0"/>
                  <w:vAlign w:val="center"/>
                </w:tcPr>
                <w:p w14:paraId="27A40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兴化湾</w:t>
                  </w:r>
                </w:p>
              </w:tc>
              <w:tc>
                <w:tcPr>
                  <w:tcW w:w="1295" w:type="pct"/>
                  <w:noWrap w:val="0"/>
                  <w:vAlign w:val="center"/>
                </w:tcPr>
                <w:p w14:paraId="55F4B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侧约</w:t>
                  </w:r>
                  <w:r>
                    <w:rPr>
                      <w:rFonts w:hint="eastAsia" w:cs="Times New Roman"/>
                      <w:color w:val="auto"/>
                      <w:sz w:val="21"/>
                      <w:szCs w:val="21"/>
                      <w:highlight w:val="none"/>
                      <w:lang w:val="en-US" w:eastAsia="zh-CN"/>
                    </w:rPr>
                    <w:t>700</w:t>
                  </w:r>
                  <w:r>
                    <w:rPr>
                      <w:rFonts w:hint="default" w:ascii="Times New Roman" w:hAnsi="Times New Roman" w:eastAsia="宋体" w:cs="Times New Roman"/>
                      <w:color w:val="auto"/>
                      <w:sz w:val="21"/>
                      <w:szCs w:val="21"/>
                      <w:highlight w:val="none"/>
                      <w:lang w:val="en-US" w:eastAsia="zh-CN"/>
                    </w:rPr>
                    <w:t>m</w:t>
                  </w:r>
                </w:p>
              </w:tc>
              <w:tc>
                <w:tcPr>
                  <w:tcW w:w="624" w:type="pct"/>
                  <w:noWrap w:val="0"/>
                  <w:vAlign w:val="center"/>
                </w:tcPr>
                <w:p w14:paraId="773784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海湾</w:t>
                  </w:r>
                </w:p>
              </w:tc>
              <w:tc>
                <w:tcPr>
                  <w:tcW w:w="1718" w:type="pct"/>
                  <w:noWrap w:val="0"/>
                  <w:vAlign w:val="center"/>
                </w:tcPr>
                <w:p w14:paraId="0302A0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海水水质标准</w:t>
                  </w:r>
                  <w:r>
                    <w:rPr>
                      <w:rFonts w:hint="eastAsia" w:cs="Times New Roman"/>
                      <w:color w:val="auto"/>
                      <w:sz w:val="21"/>
                      <w:szCs w:val="21"/>
                      <w:lang w:eastAsia="zh-CN"/>
                    </w:rPr>
                    <w:t>》（</w:t>
                  </w:r>
                  <w:r>
                    <w:rPr>
                      <w:rFonts w:hint="eastAsia" w:cs="Times New Roman"/>
                      <w:color w:val="auto"/>
                      <w:sz w:val="21"/>
                      <w:szCs w:val="21"/>
                      <w:lang w:val="en-US" w:eastAsia="zh-CN"/>
                    </w:rPr>
                    <w:t>GB3097-1997</w:t>
                  </w:r>
                  <w:r>
                    <w:rPr>
                      <w:rFonts w:hint="eastAsia" w:cs="Times New Roman"/>
                      <w:color w:val="auto"/>
                      <w:sz w:val="21"/>
                      <w:szCs w:val="21"/>
                      <w:lang w:eastAsia="zh-CN"/>
                    </w:rPr>
                    <w:t>）</w:t>
                  </w:r>
                  <w:r>
                    <w:rPr>
                      <w:rFonts w:hint="eastAsia" w:cs="Times New Roman"/>
                      <w:color w:val="auto"/>
                      <w:sz w:val="21"/>
                      <w:szCs w:val="21"/>
                      <w:lang w:val="en-US" w:eastAsia="zh-CN"/>
                    </w:rPr>
                    <w:t>中第二类标准</w:t>
                  </w:r>
                </w:p>
              </w:tc>
            </w:tr>
            <w:tr w14:paraId="03E49F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1" w:type="pct"/>
                  <w:noWrap w:val="0"/>
                  <w:vAlign w:val="center"/>
                </w:tcPr>
                <w:p w14:paraId="7A605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4288" w:type="pct"/>
                  <w:gridSpan w:val="4"/>
                  <w:noWrap w:val="0"/>
                  <w:vAlign w:val="center"/>
                </w:tcPr>
                <w:p w14:paraId="59F3D7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500米范围内无地下水集中式饮用水水源和热水、矿泉水、温泉等特殊地下水资源</w:t>
                  </w:r>
                </w:p>
              </w:tc>
            </w:tr>
            <w:tr w14:paraId="654A79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711" w:type="pct"/>
                  <w:noWrap w:val="0"/>
                  <w:vAlign w:val="center"/>
                </w:tcPr>
                <w:p w14:paraId="2C256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288" w:type="pct"/>
                  <w:gridSpan w:val="4"/>
                  <w:noWrap w:val="0"/>
                  <w:vAlign w:val="center"/>
                </w:tcPr>
                <w:p w14:paraId="574B64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项目厂界外50m无声环境保护目标</w:t>
                  </w:r>
                </w:p>
              </w:tc>
            </w:tr>
            <w:tr w14:paraId="191B95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711" w:type="pct"/>
                  <w:noWrap w:val="0"/>
                  <w:vAlign w:val="center"/>
                </w:tcPr>
                <w:p w14:paraId="2F08B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4288" w:type="pct"/>
                  <w:gridSpan w:val="4"/>
                  <w:noWrap w:val="0"/>
                  <w:vAlign w:val="center"/>
                </w:tcPr>
                <w:p w14:paraId="2423F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val="en-US" w:eastAsia="zh-CN"/>
                    </w:rPr>
                    <w:t>工业</w:t>
                  </w:r>
                  <w:r>
                    <w:rPr>
                      <w:rFonts w:hint="default" w:ascii="Times New Roman" w:hAnsi="Times New Roman" w:eastAsia="宋体" w:cs="Times New Roman"/>
                      <w:color w:val="auto"/>
                      <w:sz w:val="21"/>
                      <w:szCs w:val="21"/>
                    </w:rPr>
                    <w:t>园区内，无生态环境保护目标</w:t>
                  </w:r>
                </w:p>
              </w:tc>
            </w:tr>
          </w:tbl>
          <w:p w14:paraId="77C84E6F">
            <w:pPr>
              <w:rPr>
                <w:rFonts w:hint="eastAsia"/>
                <w:color w:val="auto"/>
                <w:vertAlign w:val="baseline"/>
                <w:lang w:eastAsia="zh-CN"/>
              </w:rPr>
            </w:pPr>
          </w:p>
        </w:tc>
      </w:tr>
      <w:tr w14:paraId="7634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6" w:hRule="atLeast"/>
        </w:trPr>
        <w:tc>
          <w:tcPr>
            <w:tcW w:w="456" w:type="dxa"/>
            <w:vAlign w:val="center"/>
          </w:tcPr>
          <w:p w14:paraId="2CD633C6">
            <w:pPr>
              <w:jc w:val="center"/>
              <w:rPr>
                <w:rFonts w:hint="eastAsia"/>
                <w:color w:val="auto"/>
                <w:sz w:val="24"/>
                <w:szCs w:val="24"/>
                <w:vertAlign w:val="baseline"/>
                <w:lang w:eastAsia="zh-CN"/>
              </w:rPr>
            </w:pPr>
            <w:r>
              <w:rPr>
                <w:rFonts w:hint="default" w:ascii="Times New Roman" w:hAnsi="Times New Roman" w:eastAsia="宋体" w:cs="Times New Roman"/>
                <w:color w:val="auto"/>
                <w:kern w:val="0"/>
                <w:sz w:val="24"/>
                <w:szCs w:val="24"/>
              </w:rPr>
              <w:t>污染物排放控制标准</w:t>
            </w:r>
          </w:p>
        </w:tc>
        <w:tc>
          <w:tcPr>
            <w:tcW w:w="8749" w:type="dxa"/>
          </w:tcPr>
          <w:p w14:paraId="1A27950B">
            <w:pPr>
              <w:pStyle w:val="47"/>
              <w:keepNext w:val="0"/>
              <w:keepLines w:val="0"/>
              <w:pageBreakBefore w:val="0"/>
              <w:widowControl w:val="0"/>
              <w:kinsoku/>
              <w:wordWrap/>
              <w:overflowPunct/>
              <w:topLinePunct w:val="0"/>
              <w:autoSpaceDE/>
              <w:autoSpaceDN/>
              <w:bidi w:val="0"/>
              <w:adjustRightInd w:val="0"/>
              <w:snapToGrid/>
              <w:textAlignment w:val="auto"/>
              <w:outlineLvl w:val="1"/>
              <w:rPr>
                <w:rFonts w:hint="default"/>
                <w:color w:val="auto"/>
                <w:szCs w:val="28"/>
                <w:highlight w:val="none"/>
                <w:lang w:val="en-US" w:eastAsia="zh-CN"/>
              </w:rPr>
            </w:pPr>
            <w:bookmarkStart w:id="108" w:name="_Toc10661"/>
            <w:bookmarkStart w:id="109" w:name="_Toc10233"/>
            <w:bookmarkStart w:id="110" w:name="_Toc10339"/>
            <w:bookmarkStart w:id="111" w:name="_Toc5981"/>
            <w:bookmarkStart w:id="112" w:name="_Toc15260"/>
            <w:bookmarkStart w:id="113" w:name="_Toc22767"/>
            <w:r>
              <w:rPr>
                <w:rFonts w:hint="default"/>
                <w:color w:val="auto"/>
                <w:szCs w:val="28"/>
                <w:highlight w:val="none"/>
                <w:lang w:val="en-US" w:eastAsia="zh-CN"/>
              </w:rPr>
              <w:t>3.7污染物排放标准</w:t>
            </w:r>
            <w:bookmarkEnd w:id="108"/>
            <w:bookmarkEnd w:id="109"/>
            <w:bookmarkEnd w:id="110"/>
            <w:bookmarkEnd w:id="111"/>
            <w:bookmarkEnd w:id="112"/>
            <w:bookmarkEnd w:id="113"/>
          </w:p>
          <w:p w14:paraId="6CCDFE4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114" w:name="_Toc10544"/>
            <w:bookmarkStart w:id="115" w:name="_Toc9944"/>
            <w:r>
              <w:rPr>
                <w:rFonts w:hint="eastAsia" w:ascii="Times New Roman" w:hAnsi="Times New Roman" w:eastAsia="宋体" w:cs="Times New Roman"/>
                <w:b/>
                <w:bCs/>
                <w:color w:val="auto"/>
                <w:sz w:val="24"/>
                <w:szCs w:val="24"/>
                <w:highlight w:val="none"/>
                <w:u w:val="none"/>
                <w:lang w:val="en-US" w:eastAsia="zh-CN"/>
              </w:rPr>
              <w:t>3.7.1</w:t>
            </w:r>
            <w:r>
              <w:rPr>
                <w:rFonts w:hint="default" w:ascii="Times New Roman" w:hAnsi="Times New Roman" w:eastAsia="宋体" w:cs="Times New Roman"/>
                <w:b/>
                <w:bCs/>
                <w:color w:val="auto"/>
                <w:sz w:val="24"/>
                <w:szCs w:val="24"/>
                <w:highlight w:val="none"/>
                <w:u w:val="none"/>
                <w:lang w:val="en-US" w:eastAsia="zh-CN"/>
              </w:rPr>
              <w:t>废水</w:t>
            </w:r>
            <w:bookmarkEnd w:id="114"/>
            <w:bookmarkEnd w:id="115"/>
          </w:p>
          <w:p w14:paraId="69A74290">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（1）项目水污染物排放标准</w:t>
            </w:r>
          </w:p>
          <w:p w14:paraId="3A0F4C11">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生产过程中用水主要为模具冷却水及蒸汽冷凝水。所产生</w:t>
            </w:r>
            <w:r>
              <w:rPr>
                <w:rFonts w:hint="eastAsia" w:cs="Times New Roman"/>
                <w:color w:val="auto"/>
                <w:sz w:val="24"/>
                <w:highlight w:val="none"/>
                <w:lang w:val="en-US" w:eastAsia="zh-CN"/>
              </w:rPr>
              <w:t>生产废水</w:t>
            </w:r>
            <w:r>
              <w:rPr>
                <w:rFonts w:hint="eastAsia" w:ascii="Times New Roman" w:hAnsi="Times New Roman" w:eastAsia="宋体" w:cs="Times New Roman"/>
                <w:color w:val="auto"/>
                <w:sz w:val="24"/>
                <w:highlight w:val="none"/>
                <w:lang w:val="en-US" w:eastAsia="zh-CN"/>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color w:val="auto"/>
                <w:sz w:val="24"/>
                <w:highlight w:val="none"/>
                <w:lang w:val="en-US" w:eastAsia="zh-CN"/>
              </w:rPr>
              <w:t>冷却后回用于模具冷却，循环使用不外排。仅生活污水依托厂内已建的化粪池处理后进入市政污水管网纳入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z w:val="24"/>
                <w:highlight w:val="none"/>
                <w:lang w:val="en-US" w:eastAsia="zh-CN"/>
              </w:rPr>
              <w:t>集中处理，</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sz w:val="24"/>
                <w:highlight w:val="none"/>
                <w:lang w:val="en-US" w:eastAsia="zh-CN"/>
              </w:rPr>
              <w:t>尾水排入</w:t>
            </w:r>
            <w:r>
              <w:rPr>
                <w:rFonts w:hint="eastAsia" w:ascii="Times New Roman" w:hAnsi="Times New Roman" w:eastAsia="宋体" w:cs="Times New Roman"/>
                <w:color w:val="auto"/>
                <w:sz w:val="24"/>
                <w:highlight w:val="none"/>
                <w:lang w:val="en-US" w:eastAsia="zh-CN"/>
              </w:rPr>
              <w:t>兴化湾。</w:t>
            </w:r>
            <w:r>
              <w:rPr>
                <w:rFonts w:hint="default" w:ascii="Times New Roman" w:hAnsi="Times New Roman" w:cs="Times New Roman"/>
                <w:color w:val="auto"/>
                <w:sz w:val="24"/>
                <w:szCs w:val="24"/>
                <w:highlight w:val="none"/>
                <w:lang w:val="en-US" w:eastAsia="zh-CN"/>
              </w:rPr>
              <w:t>外排废水需</w:t>
            </w:r>
            <w:r>
              <w:rPr>
                <w:rFonts w:hint="default" w:ascii="Times New Roman" w:hAnsi="Times New Roman" w:cs="Times New Roman"/>
                <w:color w:val="auto"/>
                <w:sz w:val="24"/>
                <w:szCs w:val="24"/>
                <w:highlight w:val="none"/>
              </w:rPr>
              <w:t>达到《污水综合排放标准》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GB8978-1996</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表4中的三级标准后排</w:t>
            </w:r>
            <w:r>
              <w:rPr>
                <w:rFonts w:hint="eastAsia" w:ascii="Times New Roman" w:hAnsi="Times New Roman" w:eastAsia="宋体" w:cs="Times New Roman"/>
                <w:color w:val="auto"/>
                <w:sz w:val="24"/>
                <w:highlight w:val="none"/>
                <w:lang w:val="en-US" w:eastAsia="zh-CN"/>
              </w:rPr>
              <w:t>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z w:val="24"/>
                <w:highlight w:val="none"/>
                <w:lang w:val="en-US" w:eastAsia="zh-CN"/>
              </w:rPr>
              <w:t>集中处理</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rPr>
              <w:t>参照执行《污水排入城镇下水道水质标准》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GB/T31962-2015</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表1中B级标准，详见表3.7-1。</w:t>
            </w:r>
          </w:p>
          <w:p w14:paraId="68B1E9A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表3.7-1</w:t>
            </w:r>
            <w:r>
              <w:rPr>
                <w:rFonts w:hint="default" w:ascii="Times New Roman" w:hAnsi="Times New Roman" w:eastAsia="宋体" w:cs="Times New Roman"/>
                <w:b/>
                <w:bCs/>
                <w:color w:val="auto"/>
                <w:sz w:val="24"/>
                <w:szCs w:val="24"/>
                <w:highlight w:val="none"/>
                <w:u w:val="none"/>
                <w:lang w:val="en-US" w:eastAsia="zh-CN"/>
              </w:rPr>
              <w:t>项目污水排放标准限值一览表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07"/>
              <w:gridCol w:w="3908"/>
              <w:gridCol w:w="1512"/>
              <w:gridCol w:w="1701"/>
            </w:tblGrid>
            <w:tr w14:paraId="3D8594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1" w:hRule="exact"/>
                <w:jc w:val="center"/>
              </w:trPr>
              <w:tc>
                <w:tcPr>
                  <w:tcW w:w="824" w:type="pct"/>
                  <w:tcBorders>
                    <w:top w:val="single" w:color="auto" w:sz="12" w:space="0"/>
                  </w:tcBorders>
                  <w:noWrap w:val="0"/>
                  <w:vAlign w:val="center"/>
                </w:tcPr>
                <w:p w14:paraId="2AAC3CE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2291" w:type="pct"/>
                  <w:tcBorders>
                    <w:top w:val="single" w:color="auto" w:sz="12" w:space="0"/>
                  </w:tcBorders>
                  <w:noWrap w:val="0"/>
                  <w:vAlign w:val="center"/>
                </w:tcPr>
                <w:p w14:paraId="61C10A6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标准名称</w:t>
                  </w:r>
                </w:p>
              </w:tc>
              <w:tc>
                <w:tcPr>
                  <w:tcW w:w="886" w:type="pct"/>
                  <w:tcBorders>
                    <w:top w:val="single" w:color="auto" w:sz="12" w:space="0"/>
                  </w:tcBorders>
                  <w:noWrap w:val="0"/>
                  <w:vAlign w:val="center"/>
                </w:tcPr>
                <w:p w14:paraId="709AF6B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997" w:type="pct"/>
                  <w:tcBorders>
                    <w:top w:val="single" w:color="auto" w:sz="12" w:space="0"/>
                  </w:tcBorders>
                  <w:noWrap w:val="0"/>
                  <w:vAlign w:val="center"/>
                </w:tcPr>
                <w:p w14:paraId="58A3020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r>
            <w:tr w14:paraId="5B14AC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53" w:hRule="exact"/>
                <w:jc w:val="center"/>
              </w:trPr>
              <w:tc>
                <w:tcPr>
                  <w:tcW w:w="824" w:type="pct"/>
                  <w:vMerge w:val="restart"/>
                  <w:noWrap w:val="0"/>
                  <w:vAlign w:val="center"/>
                </w:tcPr>
                <w:p w14:paraId="0BA2CE5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2291" w:type="pct"/>
                  <w:vMerge w:val="restart"/>
                  <w:noWrap w:val="0"/>
                  <w:vAlign w:val="center"/>
                </w:tcPr>
                <w:p w14:paraId="5424DB0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《污水综合排放标准》</w:t>
                  </w:r>
                </w:p>
                <w:p w14:paraId="2C920B2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GB8978-1996</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表4三级标准</w:t>
                  </w:r>
                </w:p>
              </w:tc>
              <w:tc>
                <w:tcPr>
                  <w:tcW w:w="886" w:type="pct"/>
                  <w:noWrap w:val="0"/>
                  <w:vAlign w:val="center"/>
                </w:tcPr>
                <w:p w14:paraId="5AF2D5E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997" w:type="pct"/>
                  <w:noWrap w:val="0"/>
                  <w:vAlign w:val="center"/>
                </w:tcPr>
                <w:p w14:paraId="6C70CB3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w:t>
                  </w:r>
                </w:p>
              </w:tc>
            </w:tr>
            <w:tr w14:paraId="54FA93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0" w:hRule="exact"/>
                <w:jc w:val="center"/>
              </w:trPr>
              <w:tc>
                <w:tcPr>
                  <w:tcW w:w="824" w:type="pct"/>
                  <w:vMerge w:val="continue"/>
                  <w:noWrap w:val="0"/>
                  <w:vAlign w:val="center"/>
                </w:tcPr>
                <w:p w14:paraId="7D1DD5F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2291" w:type="pct"/>
                  <w:vMerge w:val="continue"/>
                  <w:noWrap w:val="0"/>
                  <w:vAlign w:val="center"/>
                </w:tcPr>
                <w:p w14:paraId="784ECC3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886" w:type="pct"/>
                  <w:noWrap w:val="0"/>
                  <w:vAlign w:val="center"/>
                </w:tcPr>
                <w:p w14:paraId="4708C4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997" w:type="pct"/>
                  <w:noWrap w:val="0"/>
                  <w:vAlign w:val="center"/>
                </w:tcPr>
                <w:p w14:paraId="3E78F60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500mg/L</w:t>
                  </w:r>
                </w:p>
              </w:tc>
            </w:tr>
            <w:tr w14:paraId="6BDD5E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exact"/>
                <w:jc w:val="center"/>
              </w:trPr>
              <w:tc>
                <w:tcPr>
                  <w:tcW w:w="824" w:type="pct"/>
                  <w:vMerge w:val="continue"/>
                  <w:noWrap w:val="0"/>
                  <w:vAlign w:val="center"/>
                </w:tcPr>
                <w:p w14:paraId="6C34EAB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2291" w:type="pct"/>
                  <w:vMerge w:val="continue"/>
                  <w:noWrap w:val="0"/>
                  <w:vAlign w:val="center"/>
                </w:tcPr>
                <w:p w14:paraId="15C3355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886" w:type="pct"/>
                  <w:noWrap w:val="0"/>
                  <w:vAlign w:val="center"/>
                </w:tcPr>
                <w:p w14:paraId="758C3D9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997" w:type="pct"/>
                  <w:noWrap w:val="0"/>
                  <w:vAlign w:val="center"/>
                </w:tcPr>
                <w:p w14:paraId="14B89C6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300mg/L</w:t>
                  </w:r>
                </w:p>
              </w:tc>
            </w:tr>
            <w:tr w14:paraId="432D92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57" w:hRule="exact"/>
                <w:jc w:val="center"/>
              </w:trPr>
              <w:tc>
                <w:tcPr>
                  <w:tcW w:w="824" w:type="pct"/>
                  <w:vMerge w:val="continue"/>
                  <w:noWrap w:val="0"/>
                  <w:vAlign w:val="center"/>
                </w:tcPr>
                <w:p w14:paraId="7477FEE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2291" w:type="pct"/>
                  <w:vMerge w:val="continue"/>
                  <w:noWrap w:val="0"/>
                  <w:vAlign w:val="center"/>
                </w:tcPr>
                <w:p w14:paraId="7FB66FD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886" w:type="pct"/>
                  <w:noWrap w:val="0"/>
                  <w:vAlign w:val="center"/>
                </w:tcPr>
                <w:p w14:paraId="747A2ED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997" w:type="pct"/>
                  <w:noWrap w:val="0"/>
                  <w:vAlign w:val="center"/>
                </w:tcPr>
                <w:p w14:paraId="2A29546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400mg/L</w:t>
                  </w:r>
                </w:p>
              </w:tc>
            </w:tr>
            <w:tr w14:paraId="2F40FA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90" w:hRule="exact"/>
                <w:jc w:val="center"/>
              </w:trPr>
              <w:tc>
                <w:tcPr>
                  <w:tcW w:w="824" w:type="pct"/>
                  <w:vMerge w:val="continue"/>
                  <w:noWrap w:val="0"/>
                  <w:vAlign w:val="center"/>
                </w:tcPr>
                <w:p w14:paraId="4839DE2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2291" w:type="pct"/>
                  <w:noWrap w:val="0"/>
                  <w:vAlign w:val="center"/>
                </w:tcPr>
                <w:p w14:paraId="361A053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《污水排入城镇下水道水质标准》</w:t>
                  </w:r>
                </w:p>
                <w:p w14:paraId="1B3D4F0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（GB/T31962-2015）</w:t>
                  </w:r>
                  <w:r>
                    <w:rPr>
                      <w:rFonts w:hint="default" w:ascii="Times New Roman" w:hAnsi="Times New Roman" w:eastAsia="宋体" w:cs="Times New Roman"/>
                      <w:color w:val="auto"/>
                      <w:sz w:val="21"/>
                      <w:szCs w:val="21"/>
                      <w:highlight w:val="none"/>
                      <w:lang w:val="en-US" w:eastAsia="zh-CN"/>
                    </w:rPr>
                    <w:t>表1中B级标准</w:t>
                  </w:r>
                </w:p>
              </w:tc>
              <w:tc>
                <w:tcPr>
                  <w:tcW w:w="886" w:type="pct"/>
                  <w:noWrap w:val="0"/>
                  <w:vAlign w:val="center"/>
                </w:tcPr>
                <w:p w14:paraId="194ADDD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997" w:type="pct"/>
                  <w:noWrap w:val="0"/>
                  <w:vAlign w:val="center"/>
                </w:tcPr>
                <w:p w14:paraId="0C245EF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45mg/L</w:t>
                  </w:r>
                </w:p>
              </w:tc>
            </w:tr>
          </w:tbl>
          <w:p w14:paraId="4FF61A2A">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（2）</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bCs/>
                <w:color w:val="auto"/>
                <w:kern w:val="2"/>
                <w:sz w:val="24"/>
                <w:szCs w:val="24"/>
                <w:highlight w:val="none"/>
                <w:lang w:val="en-US" w:eastAsia="zh-CN" w:bidi="ar-SA"/>
              </w:rPr>
              <w:t>尾水排放标准</w:t>
            </w:r>
          </w:p>
          <w:p w14:paraId="150C7C05">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根据调查，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Cs/>
                <w:color w:val="auto"/>
                <w:kern w:val="2"/>
                <w:sz w:val="24"/>
                <w:szCs w:val="24"/>
                <w:highlight w:val="none"/>
                <w:lang w:val="en-US" w:eastAsia="zh-CN" w:bidi="ar-SA"/>
              </w:rPr>
              <w:t>尾水</w:t>
            </w:r>
            <w:r>
              <w:rPr>
                <w:rFonts w:hint="eastAsia" w:ascii="Times New Roman" w:hAnsi="Times New Roman" w:eastAsia="宋体" w:cs="Times New Roman"/>
                <w:bCs/>
                <w:color w:val="auto"/>
                <w:kern w:val="2"/>
                <w:sz w:val="24"/>
                <w:szCs w:val="24"/>
                <w:highlight w:val="none"/>
                <w:lang w:val="en-US" w:eastAsia="zh-CN" w:bidi="ar-SA"/>
              </w:rPr>
              <w:t>目前</w:t>
            </w:r>
            <w:r>
              <w:rPr>
                <w:rFonts w:hint="default" w:ascii="Times New Roman" w:hAnsi="Times New Roman" w:eastAsia="宋体" w:cs="Times New Roman"/>
                <w:bCs/>
                <w:color w:val="auto"/>
                <w:kern w:val="2"/>
                <w:sz w:val="24"/>
                <w:szCs w:val="24"/>
                <w:highlight w:val="none"/>
                <w:lang w:val="en-US" w:eastAsia="zh-CN" w:bidi="ar-SA"/>
              </w:rPr>
              <w:t>排放执行《城镇</w:t>
            </w:r>
            <w:r>
              <w:rPr>
                <w:rFonts w:hint="eastAsia" w:cs="Times New Roman"/>
                <w:bCs/>
                <w:color w:val="auto"/>
                <w:kern w:val="2"/>
                <w:sz w:val="24"/>
                <w:szCs w:val="24"/>
                <w:highlight w:val="none"/>
                <w:lang w:val="en-US" w:eastAsia="zh-CN" w:bidi="ar-SA"/>
              </w:rPr>
              <w:t>污水厂</w:t>
            </w:r>
            <w:r>
              <w:rPr>
                <w:rFonts w:hint="default" w:ascii="Times New Roman" w:hAnsi="Times New Roman" w:eastAsia="宋体" w:cs="Times New Roman"/>
                <w:bCs/>
                <w:color w:val="auto"/>
                <w:kern w:val="2"/>
                <w:sz w:val="24"/>
                <w:szCs w:val="24"/>
                <w:highlight w:val="none"/>
                <w:lang w:val="en-US" w:eastAsia="zh-CN" w:bidi="ar-SA"/>
              </w:rPr>
              <w:t>污染物排放标准》</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GB</w:t>
            </w:r>
            <w:r>
              <w:rPr>
                <w:rFonts w:hint="eastAsia" w:cs="Times New Roman"/>
                <w:bCs/>
                <w:color w:val="auto"/>
                <w:kern w:val="2"/>
                <w:sz w:val="24"/>
                <w:szCs w:val="24"/>
                <w:highlight w:val="none"/>
                <w:lang w:val="en-US" w:eastAsia="zh-CN" w:bidi="ar-SA"/>
              </w:rPr>
              <w:t>18918-2012</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及其修改单表1的一级</w:t>
            </w:r>
            <w:r>
              <w:rPr>
                <w:rFonts w:hint="eastAsia" w:ascii="Times New Roman" w:hAnsi="Times New Roman" w:eastAsia="宋体" w:cs="Times New Roman"/>
                <w:bCs/>
                <w:color w:val="auto"/>
                <w:kern w:val="2"/>
                <w:sz w:val="24"/>
                <w:szCs w:val="24"/>
                <w:highlight w:val="none"/>
                <w:lang w:val="en-US" w:eastAsia="zh-CN" w:bidi="ar-SA"/>
              </w:rPr>
              <w:t>标准A</w:t>
            </w:r>
            <w:r>
              <w:rPr>
                <w:rFonts w:hint="default" w:ascii="Times New Roman" w:hAnsi="Times New Roman" w:eastAsia="宋体" w:cs="Times New Roman"/>
                <w:bCs/>
                <w:color w:val="auto"/>
                <w:kern w:val="2"/>
                <w:sz w:val="24"/>
                <w:szCs w:val="24"/>
                <w:highlight w:val="none"/>
                <w:lang w:val="en-US" w:eastAsia="zh-CN" w:bidi="ar-SA"/>
              </w:rPr>
              <w:t>标准，具体详见表3.</w:t>
            </w:r>
            <w:r>
              <w:rPr>
                <w:rFonts w:hint="eastAsia" w:ascii="Times New Roman" w:hAnsi="Times New Roman" w:eastAsia="宋体" w:cs="Times New Roman"/>
                <w:bCs/>
                <w:color w:val="auto"/>
                <w:kern w:val="2"/>
                <w:sz w:val="24"/>
                <w:szCs w:val="24"/>
                <w:highlight w:val="none"/>
                <w:lang w:val="en-US" w:eastAsia="zh-CN" w:bidi="ar-SA"/>
              </w:rPr>
              <w:t>7</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kern w:val="2"/>
                <w:sz w:val="24"/>
                <w:szCs w:val="24"/>
                <w:highlight w:val="none"/>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w:t>
            </w:r>
          </w:p>
          <w:p w14:paraId="658D15B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表3.</w:t>
            </w:r>
            <w:r>
              <w:rPr>
                <w:rFonts w:hint="eastAsia" w:ascii="Times New Roman" w:hAnsi="Times New Roman" w:eastAsia="宋体" w:cs="Times New Roman"/>
                <w:b/>
                <w:bCs/>
                <w:color w:val="auto"/>
                <w:sz w:val="24"/>
                <w:szCs w:val="24"/>
                <w:highlight w:val="none"/>
                <w:u w:val="none"/>
                <w:lang w:val="en-US" w:eastAsia="zh-CN"/>
              </w:rPr>
              <w:t>7-2</w:t>
            </w:r>
            <w:r>
              <w:rPr>
                <w:rFonts w:hint="eastAsia" w:cs="Times New Roman"/>
                <w:b/>
                <w:bCs/>
                <w:color w:val="auto"/>
                <w:sz w:val="24"/>
                <w:szCs w:val="24"/>
                <w:highlight w:val="none"/>
                <w:u w:val="none"/>
                <w:lang w:val="en-US" w:eastAsia="zh-CN"/>
              </w:rPr>
              <w:t>江阴工业集中区污水厂</w:t>
            </w:r>
            <w:r>
              <w:rPr>
                <w:rFonts w:hint="default" w:ascii="Times New Roman" w:hAnsi="Times New Roman" w:eastAsia="宋体" w:cs="Times New Roman"/>
                <w:b/>
                <w:bCs/>
                <w:color w:val="auto"/>
                <w:sz w:val="24"/>
                <w:szCs w:val="24"/>
                <w:highlight w:val="none"/>
                <w:u w:val="none"/>
                <w:lang w:val="en-US" w:eastAsia="zh-CN"/>
              </w:rPr>
              <w:t>尾水排放标准一览表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401"/>
              <w:gridCol w:w="2701"/>
              <w:gridCol w:w="3395"/>
            </w:tblGrid>
            <w:tr w14:paraId="3E64B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5921BF0B">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序号</w:t>
                  </w:r>
                </w:p>
              </w:tc>
              <w:tc>
                <w:tcPr>
                  <w:tcW w:w="821" w:type="pct"/>
                  <w:noWrap w:val="0"/>
                  <w:vAlign w:val="center"/>
                </w:tcPr>
                <w:p w14:paraId="4C93F61A">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污染物名称</w:t>
                  </w:r>
                </w:p>
              </w:tc>
              <w:tc>
                <w:tcPr>
                  <w:tcW w:w="1583" w:type="pct"/>
                  <w:noWrap w:val="0"/>
                  <w:vAlign w:val="center"/>
                </w:tcPr>
                <w:p w14:paraId="6AB29107">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一级标准</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rPr>
                    <w:t>标准</w:t>
                  </w:r>
                </w:p>
              </w:tc>
              <w:tc>
                <w:tcPr>
                  <w:tcW w:w="1990" w:type="pct"/>
                  <w:noWrap w:val="0"/>
                  <w:vAlign w:val="center"/>
                </w:tcPr>
                <w:p w14:paraId="748F9E2E">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标准来源</w:t>
                  </w:r>
                </w:p>
              </w:tc>
            </w:tr>
            <w:tr w14:paraId="1C338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CD075FB">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1</w:t>
                  </w:r>
                </w:p>
              </w:tc>
              <w:tc>
                <w:tcPr>
                  <w:tcW w:w="821" w:type="pct"/>
                  <w:noWrap w:val="0"/>
                  <w:vAlign w:val="center"/>
                </w:tcPr>
                <w:p w14:paraId="4B450256">
                  <w:pPr>
                    <w:spacing w:line="340" w:lineRule="exact"/>
                    <w:jc w:val="center"/>
                    <w:rPr>
                      <w:rFonts w:hint="eastAsia"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pH</w:t>
                  </w:r>
                </w:p>
              </w:tc>
              <w:tc>
                <w:tcPr>
                  <w:tcW w:w="1583" w:type="pct"/>
                  <w:noWrap w:val="0"/>
                  <w:vAlign w:val="center"/>
                </w:tcPr>
                <w:p w14:paraId="0106CEF5">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rPr>
                    <w:t>6～9</w:t>
                  </w:r>
                  <w:r>
                    <w:rPr>
                      <w:rFonts w:hint="eastAsia" w:cs="Times New Roman"/>
                      <w:color w:val="auto"/>
                      <w:kern w:val="18"/>
                      <w:sz w:val="21"/>
                      <w:szCs w:val="21"/>
                      <w:highlight w:val="none"/>
                      <w:lang w:eastAsia="zh-CN"/>
                    </w:rPr>
                    <w:t>（</w:t>
                  </w:r>
                  <w:r>
                    <w:rPr>
                      <w:rFonts w:hint="default" w:ascii="Times New Roman" w:hAnsi="Times New Roman" w:eastAsia="宋体" w:cs="Times New Roman"/>
                      <w:color w:val="auto"/>
                      <w:sz w:val="21"/>
                      <w:szCs w:val="21"/>
                      <w:highlight w:val="none"/>
                    </w:rPr>
                    <w:t>无量纲</w:t>
                  </w:r>
                  <w:r>
                    <w:rPr>
                      <w:rFonts w:hint="eastAsia" w:cs="Times New Roman"/>
                      <w:color w:val="auto"/>
                      <w:sz w:val="21"/>
                      <w:szCs w:val="21"/>
                      <w:highlight w:val="none"/>
                      <w:lang w:eastAsia="zh-CN"/>
                    </w:rPr>
                    <w:t>）</w:t>
                  </w:r>
                </w:p>
              </w:tc>
              <w:tc>
                <w:tcPr>
                  <w:tcW w:w="1990" w:type="pct"/>
                  <w:vMerge w:val="restart"/>
                  <w:noWrap w:val="0"/>
                  <w:vAlign w:val="center"/>
                </w:tcPr>
                <w:p w14:paraId="6419DAA0">
                  <w:pPr>
                    <w:widowControl/>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《城镇</w:t>
                  </w:r>
                  <w:r>
                    <w:rPr>
                      <w:rFonts w:hint="eastAsia" w:cs="Times New Roman"/>
                      <w:color w:val="auto"/>
                      <w:sz w:val="21"/>
                      <w:szCs w:val="21"/>
                      <w:highlight w:val="none"/>
                      <w:lang w:eastAsia="zh-CN"/>
                    </w:rPr>
                    <w:t>污水厂</w:t>
                  </w:r>
                  <w:r>
                    <w:rPr>
                      <w:rFonts w:hint="default" w:ascii="Times New Roman" w:hAnsi="Times New Roman" w:eastAsia="宋体" w:cs="Times New Roman"/>
                      <w:color w:val="auto"/>
                      <w:sz w:val="21"/>
                      <w:szCs w:val="21"/>
                      <w:highlight w:val="none"/>
                    </w:rPr>
                    <w:t>污染物排放标准》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GB18918-2002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及其修改单表1</w:t>
                  </w:r>
                </w:p>
              </w:tc>
            </w:tr>
            <w:tr w14:paraId="7791A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E5E3C16">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2</w:t>
                  </w:r>
                </w:p>
              </w:tc>
              <w:tc>
                <w:tcPr>
                  <w:tcW w:w="821" w:type="pct"/>
                  <w:noWrap w:val="0"/>
                  <w:vAlign w:val="center"/>
                </w:tcPr>
                <w:p w14:paraId="7D75E13D">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r>
                    <w:rPr>
                      <w:rFonts w:hint="default" w:ascii="Times New Roman" w:hAnsi="Times New Roman" w:eastAsia="宋体" w:cs="Times New Roman"/>
                      <w:color w:val="auto"/>
                      <w:kern w:val="18"/>
                      <w:sz w:val="21"/>
                      <w:szCs w:val="21"/>
                      <w:highlight w:val="none"/>
                      <w:lang w:val="en-US" w:eastAsia="zh-CN"/>
                    </w:rPr>
                    <w:t>cr</w:t>
                  </w:r>
                </w:p>
              </w:tc>
              <w:tc>
                <w:tcPr>
                  <w:tcW w:w="1583" w:type="pct"/>
                  <w:noWrap w:val="0"/>
                  <w:vAlign w:val="center"/>
                </w:tcPr>
                <w:p w14:paraId="565B27A4">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5</w:t>
                  </w:r>
                  <w:r>
                    <w:rPr>
                      <w:rFonts w:hint="default" w:ascii="Times New Roman" w:hAnsi="Times New Roman" w:eastAsia="宋体" w:cs="Times New Roman"/>
                      <w:color w:val="auto"/>
                      <w:kern w:val="18"/>
                      <w:sz w:val="21"/>
                      <w:szCs w:val="21"/>
                      <w:highlight w:val="none"/>
                    </w:rPr>
                    <w:t>0mg/L</w:t>
                  </w:r>
                </w:p>
              </w:tc>
              <w:tc>
                <w:tcPr>
                  <w:tcW w:w="1990" w:type="pct"/>
                  <w:vMerge w:val="continue"/>
                  <w:noWrap w:val="0"/>
                  <w:vAlign w:val="center"/>
                </w:tcPr>
                <w:p w14:paraId="790FFC34">
                  <w:pPr>
                    <w:widowControl/>
                    <w:spacing w:line="340" w:lineRule="exact"/>
                    <w:jc w:val="left"/>
                    <w:rPr>
                      <w:rFonts w:hint="default" w:ascii="Times New Roman" w:hAnsi="Times New Roman" w:eastAsia="宋体" w:cs="Times New Roman"/>
                      <w:color w:val="auto"/>
                      <w:kern w:val="18"/>
                      <w:sz w:val="21"/>
                      <w:szCs w:val="21"/>
                      <w:highlight w:val="none"/>
                    </w:rPr>
                  </w:pPr>
                </w:p>
              </w:tc>
            </w:tr>
            <w:tr w14:paraId="36B8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412BD3FC">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3</w:t>
                  </w:r>
                </w:p>
              </w:tc>
              <w:tc>
                <w:tcPr>
                  <w:tcW w:w="821" w:type="pct"/>
                  <w:noWrap w:val="0"/>
                  <w:vAlign w:val="center"/>
                </w:tcPr>
                <w:p w14:paraId="0E35AC94">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BOD</w:t>
                  </w:r>
                  <w:r>
                    <w:rPr>
                      <w:rFonts w:hint="default" w:ascii="Times New Roman" w:hAnsi="Times New Roman" w:eastAsia="宋体" w:cs="Times New Roman"/>
                      <w:color w:val="auto"/>
                      <w:kern w:val="18"/>
                      <w:sz w:val="21"/>
                      <w:szCs w:val="21"/>
                      <w:highlight w:val="none"/>
                      <w:vertAlign w:val="subscript"/>
                    </w:rPr>
                    <w:t>5</w:t>
                  </w:r>
                </w:p>
              </w:tc>
              <w:tc>
                <w:tcPr>
                  <w:tcW w:w="1583" w:type="pct"/>
                  <w:noWrap w:val="0"/>
                  <w:vAlign w:val="center"/>
                </w:tcPr>
                <w:p w14:paraId="6F5BBC70">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1</w:t>
                  </w:r>
                  <w:r>
                    <w:rPr>
                      <w:rFonts w:hint="default" w:ascii="Times New Roman" w:hAnsi="Times New Roman" w:eastAsia="宋体" w:cs="Times New Roman"/>
                      <w:color w:val="auto"/>
                      <w:kern w:val="18"/>
                      <w:sz w:val="21"/>
                      <w:szCs w:val="21"/>
                      <w:highlight w:val="none"/>
                    </w:rPr>
                    <w:t>0mg/L</w:t>
                  </w:r>
                </w:p>
              </w:tc>
              <w:tc>
                <w:tcPr>
                  <w:tcW w:w="1990" w:type="pct"/>
                  <w:vMerge w:val="continue"/>
                  <w:noWrap w:val="0"/>
                  <w:vAlign w:val="center"/>
                </w:tcPr>
                <w:p w14:paraId="1CE4EBD9">
                  <w:pPr>
                    <w:widowControl/>
                    <w:spacing w:line="340" w:lineRule="exact"/>
                    <w:jc w:val="left"/>
                    <w:rPr>
                      <w:rFonts w:hint="default" w:ascii="Times New Roman" w:hAnsi="Times New Roman" w:eastAsia="宋体" w:cs="Times New Roman"/>
                      <w:color w:val="auto"/>
                      <w:kern w:val="18"/>
                      <w:sz w:val="21"/>
                      <w:szCs w:val="21"/>
                      <w:highlight w:val="none"/>
                    </w:rPr>
                  </w:pPr>
                </w:p>
              </w:tc>
            </w:tr>
            <w:tr w14:paraId="3838D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7617E488">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w:t>
                  </w:r>
                </w:p>
              </w:tc>
              <w:tc>
                <w:tcPr>
                  <w:tcW w:w="821" w:type="pct"/>
                  <w:noWrap w:val="0"/>
                  <w:vAlign w:val="center"/>
                </w:tcPr>
                <w:p w14:paraId="40101D1A">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1583" w:type="pct"/>
                  <w:noWrap w:val="0"/>
                  <w:vAlign w:val="center"/>
                </w:tcPr>
                <w:p w14:paraId="1A62E7DE">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1</w:t>
                  </w:r>
                  <w:r>
                    <w:rPr>
                      <w:rFonts w:hint="default" w:ascii="Times New Roman" w:hAnsi="Times New Roman" w:eastAsia="宋体" w:cs="Times New Roman"/>
                      <w:color w:val="auto"/>
                      <w:kern w:val="18"/>
                      <w:sz w:val="21"/>
                      <w:szCs w:val="21"/>
                      <w:highlight w:val="none"/>
                    </w:rPr>
                    <w:t>0mg/L</w:t>
                  </w:r>
                </w:p>
              </w:tc>
              <w:tc>
                <w:tcPr>
                  <w:tcW w:w="1990" w:type="pct"/>
                  <w:vMerge w:val="continue"/>
                  <w:noWrap w:val="0"/>
                  <w:vAlign w:val="center"/>
                </w:tcPr>
                <w:p w14:paraId="18B4CD5E">
                  <w:pPr>
                    <w:widowControl/>
                    <w:spacing w:line="340" w:lineRule="exact"/>
                    <w:jc w:val="left"/>
                    <w:rPr>
                      <w:rFonts w:hint="default" w:ascii="Times New Roman" w:hAnsi="Times New Roman" w:eastAsia="宋体" w:cs="Times New Roman"/>
                      <w:color w:val="auto"/>
                      <w:kern w:val="18"/>
                      <w:sz w:val="21"/>
                      <w:szCs w:val="21"/>
                      <w:highlight w:val="none"/>
                    </w:rPr>
                  </w:pPr>
                </w:p>
              </w:tc>
            </w:tr>
            <w:tr w14:paraId="585D5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5C81949">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5</w:t>
                  </w:r>
                </w:p>
              </w:tc>
              <w:tc>
                <w:tcPr>
                  <w:tcW w:w="821" w:type="pct"/>
                  <w:noWrap w:val="0"/>
                  <w:vAlign w:val="center"/>
                </w:tcPr>
                <w:p w14:paraId="1D63E0C1">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1583" w:type="pct"/>
                  <w:noWrap w:val="0"/>
                  <w:vAlign w:val="center"/>
                </w:tcPr>
                <w:p w14:paraId="45B61811">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5</w:t>
                  </w:r>
                  <w:r>
                    <w:rPr>
                      <w:rFonts w:hint="default" w:ascii="Times New Roman" w:hAnsi="Times New Roman" w:eastAsia="宋体" w:cs="Times New Roman"/>
                      <w:color w:val="auto"/>
                      <w:kern w:val="18"/>
                      <w:sz w:val="21"/>
                      <w:szCs w:val="21"/>
                      <w:highlight w:val="none"/>
                    </w:rPr>
                    <w:t>mg/L</w:t>
                  </w:r>
                </w:p>
              </w:tc>
              <w:tc>
                <w:tcPr>
                  <w:tcW w:w="1990" w:type="pct"/>
                  <w:vMerge w:val="continue"/>
                  <w:noWrap w:val="0"/>
                  <w:vAlign w:val="center"/>
                </w:tcPr>
                <w:p w14:paraId="6DAA2E7C">
                  <w:pPr>
                    <w:widowControl/>
                    <w:spacing w:line="340" w:lineRule="exact"/>
                    <w:jc w:val="center"/>
                    <w:rPr>
                      <w:rFonts w:hint="default" w:ascii="Times New Roman" w:hAnsi="Times New Roman" w:eastAsia="宋体" w:cs="Times New Roman"/>
                      <w:color w:val="auto"/>
                      <w:kern w:val="18"/>
                      <w:sz w:val="21"/>
                      <w:szCs w:val="21"/>
                      <w:highlight w:val="none"/>
                    </w:rPr>
                  </w:pPr>
                </w:p>
              </w:tc>
            </w:tr>
            <w:tr w14:paraId="6322B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48325D1A">
                  <w:pPr>
                    <w:spacing w:line="340" w:lineRule="exact"/>
                    <w:jc w:val="center"/>
                    <w:rPr>
                      <w:rFonts w:hint="eastAsia" w:ascii="Times New Roman" w:hAnsi="Times New Roman" w:eastAsia="宋体" w:cs="Times New Roman"/>
                      <w:color w:val="auto"/>
                      <w:kern w:val="18"/>
                      <w:sz w:val="21"/>
                      <w:szCs w:val="21"/>
                      <w:highlight w:val="none"/>
                      <w:lang w:val="en-US" w:eastAsia="zh-CN"/>
                    </w:rPr>
                  </w:pPr>
                  <w:bookmarkStart w:id="116" w:name="_Toc28297"/>
                  <w:r>
                    <w:rPr>
                      <w:rFonts w:hint="eastAsia" w:cs="Times New Roman"/>
                      <w:color w:val="auto"/>
                      <w:kern w:val="18"/>
                      <w:sz w:val="21"/>
                      <w:szCs w:val="21"/>
                      <w:highlight w:val="none"/>
                      <w:lang w:val="en-US" w:eastAsia="zh-CN"/>
                    </w:rPr>
                    <w:t>6</w:t>
                  </w:r>
                </w:p>
              </w:tc>
              <w:tc>
                <w:tcPr>
                  <w:tcW w:w="821" w:type="pct"/>
                  <w:noWrap w:val="0"/>
                  <w:vAlign w:val="center"/>
                </w:tcPr>
                <w:p w14:paraId="44DE1CE5">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石油类</w:t>
                  </w:r>
                </w:p>
              </w:tc>
              <w:tc>
                <w:tcPr>
                  <w:tcW w:w="1583" w:type="pct"/>
                  <w:noWrap w:val="0"/>
                  <w:vAlign w:val="center"/>
                </w:tcPr>
                <w:p w14:paraId="35FBB94B">
                  <w:pPr>
                    <w:spacing w:line="340" w:lineRule="exact"/>
                    <w:jc w:val="center"/>
                    <w:rPr>
                      <w:rFonts w:hint="default"/>
                      <w:color w:val="auto"/>
                      <w:lang w:val="en-US" w:eastAsia="zh-CN"/>
                    </w:rPr>
                  </w:pPr>
                  <w:r>
                    <w:rPr>
                      <w:rFonts w:hint="eastAsia" w:cs="Times New Roman"/>
                      <w:color w:val="auto"/>
                      <w:kern w:val="18"/>
                      <w:sz w:val="21"/>
                      <w:szCs w:val="21"/>
                      <w:highlight w:val="none"/>
                      <w:lang w:val="en-US" w:eastAsia="zh-CN"/>
                    </w:rPr>
                    <w:t>1mg/L</w:t>
                  </w:r>
                </w:p>
              </w:tc>
              <w:tc>
                <w:tcPr>
                  <w:tcW w:w="1990" w:type="pct"/>
                  <w:vMerge w:val="continue"/>
                  <w:noWrap w:val="0"/>
                  <w:vAlign w:val="center"/>
                </w:tcPr>
                <w:p w14:paraId="7B3CA7B7">
                  <w:pPr>
                    <w:widowControl/>
                    <w:spacing w:line="340" w:lineRule="exact"/>
                    <w:jc w:val="center"/>
                    <w:rPr>
                      <w:rFonts w:hint="default" w:ascii="Times New Roman" w:hAnsi="Times New Roman" w:eastAsia="宋体" w:cs="Times New Roman"/>
                      <w:color w:val="auto"/>
                      <w:kern w:val="18"/>
                      <w:sz w:val="21"/>
                      <w:szCs w:val="21"/>
                      <w:highlight w:val="none"/>
                    </w:rPr>
                  </w:pPr>
                </w:p>
              </w:tc>
            </w:tr>
            <w:tr w14:paraId="0EE90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739CE22A">
                  <w:pPr>
                    <w:spacing w:line="340" w:lineRule="exact"/>
                    <w:jc w:val="center"/>
                    <w:rPr>
                      <w:rFonts w:hint="eastAsia"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7</w:t>
                  </w:r>
                </w:p>
              </w:tc>
              <w:tc>
                <w:tcPr>
                  <w:tcW w:w="821" w:type="pct"/>
                  <w:noWrap w:val="0"/>
                  <w:vAlign w:val="center"/>
                </w:tcPr>
                <w:p w14:paraId="701CD952">
                  <w:pPr>
                    <w:spacing w:line="340" w:lineRule="exact"/>
                    <w:jc w:val="center"/>
                    <w:rPr>
                      <w:rFonts w:hint="default"/>
                      <w:color w:val="auto"/>
                      <w:lang w:val="en-US" w:eastAsia="zh-CN"/>
                    </w:rPr>
                  </w:pPr>
                  <w:r>
                    <w:rPr>
                      <w:rFonts w:hint="eastAsia" w:cs="Times New Roman"/>
                      <w:color w:val="auto"/>
                      <w:kern w:val="18"/>
                      <w:sz w:val="21"/>
                      <w:szCs w:val="21"/>
                      <w:highlight w:val="none"/>
                      <w:lang w:val="en-US" w:eastAsia="zh-CN"/>
                    </w:rPr>
                    <w:t>TP</w:t>
                  </w:r>
                </w:p>
              </w:tc>
              <w:tc>
                <w:tcPr>
                  <w:tcW w:w="1583" w:type="pct"/>
                  <w:noWrap w:val="0"/>
                  <w:vAlign w:val="center"/>
                </w:tcPr>
                <w:p w14:paraId="0864EF0C">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0.5mg/L</w:t>
                  </w:r>
                </w:p>
              </w:tc>
              <w:tc>
                <w:tcPr>
                  <w:tcW w:w="1990" w:type="pct"/>
                  <w:vMerge w:val="continue"/>
                  <w:noWrap w:val="0"/>
                  <w:vAlign w:val="center"/>
                </w:tcPr>
                <w:p w14:paraId="5C44159D">
                  <w:pPr>
                    <w:widowControl/>
                    <w:spacing w:line="340" w:lineRule="exact"/>
                    <w:jc w:val="center"/>
                    <w:rPr>
                      <w:rFonts w:hint="default" w:ascii="Times New Roman" w:hAnsi="Times New Roman" w:eastAsia="宋体" w:cs="Times New Roman"/>
                      <w:color w:val="auto"/>
                      <w:kern w:val="18"/>
                      <w:sz w:val="21"/>
                      <w:szCs w:val="21"/>
                      <w:highlight w:val="none"/>
                    </w:rPr>
                  </w:pPr>
                </w:p>
              </w:tc>
            </w:tr>
            <w:tr w14:paraId="4650C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2EEC000F">
                  <w:pPr>
                    <w:spacing w:line="340" w:lineRule="exact"/>
                    <w:jc w:val="center"/>
                    <w:rPr>
                      <w:rFonts w:hint="eastAsia"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8</w:t>
                  </w:r>
                </w:p>
              </w:tc>
              <w:tc>
                <w:tcPr>
                  <w:tcW w:w="821" w:type="pct"/>
                  <w:noWrap w:val="0"/>
                  <w:vAlign w:val="center"/>
                </w:tcPr>
                <w:p w14:paraId="77F9FB6C">
                  <w:pPr>
                    <w:spacing w:line="340" w:lineRule="exact"/>
                    <w:jc w:val="center"/>
                    <w:rPr>
                      <w:rFonts w:hint="default"/>
                      <w:color w:val="auto"/>
                      <w:lang w:val="en-US" w:eastAsia="zh-CN"/>
                    </w:rPr>
                  </w:pPr>
                  <w:r>
                    <w:rPr>
                      <w:rFonts w:hint="eastAsia" w:cs="Times New Roman"/>
                      <w:color w:val="auto"/>
                      <w:kern w:val="18"/>
                      <w:sz w:val="21"/>
                      <w:szCs w:val="21"/>
                      <w:highlight w:val="none"/>
                      <w:lang w:val="en-US" w:eastAsia="zh-CN"/>
                    </w:rPr>
                    <w:t>TN</w:t>
                  </w:r>
                </w:p>
              </w:tc>
              <w:tc>
                <w:tcPr>
                  <w:tcW w:w="1583" w:type="pct"/>
                  <w:noWrap w:val="0"/>
                  <w:vAlign w:val="center"/>
                </w:tcPr>
                <w:p w14:paraId="33171DA2">
                  <w:pPr>
                    <w:spacing w:line="340" w:lineRule="exact"/>
                    <w:jc w:val="center"/>
                    <w:rPr>
                      <w:rFonts w:hint="default"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15mg/L</w:t>
                  </w:r>
                </w:p>
              </w:tc>
              <w:tc>
                <w:tcPr>
                  <w:tcW w:w="1990" w:type="pct"/>
                  <w:vMerge w:val="continue"/>
                  <w:noWrap w:val="0"/>
                  <w:vAlign w:val="center"/>
                </w:tcPr>
                <w:p w14:paraId="413AC211">
                  <w:pPr>
                    <w:widowControl/>
                    <w:spacing w:line="340" w:lineRule="exact"/>
                    <w:jc w:val="center"/>
                    <w:rPr>
                      <w:rFonts w:hint="default" w:ascii="Times New Roman" w:hAnsi="Times New Roman" w:eastAsia="宋体" w:cs="Times New Roman"/>
                      <w:color w:val="auto"/>
                      <w:kern w:val="18"/>
                      <w:sz w:val="21"/>
                      <w:szCs w:val="21"/>
                      <w:highlight w:val="none"/>
                    </w:rPr>
                  </w:pPr>
                </w:p>
              </w:tc>
            </w:tr>
          </w:tbl>
          <w:p w14:paraId="737E7B5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17" w:name="_Toc29579"/>
            <w:r>
              <w:rPr>
                <w:rFonts w:hint="eastAsia" w:ascii="Times New Roman" w:hAnsi="Times New Roman" w:eastAsia="宋体" w:cs="Times New Roman"/>
                <w:b/>
                <w:bCs/>
                <w:color w:val="auto"/>
                <w:sz w:val="24"/>
                <w:szCs w:val="24"/>
                <w:highlight w:val="none"/>
                <w:u w:val="none"/>
                <w:lang w:val="en-US" w:eastAsia="zh-CN"/>
              </w:rPr>
              <w:t>3.7.2废气</w:t>
            </w:r>
            <w:bookmarkEnd w:id="116"/>
            <w:bookmarkEnd w:id="117"/>
          </w:p>
          <w:p w14:paraId="37CF6791">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rPr>
              <w:t>现有项目废气主要包括有机废气，</w:t>
            </w:r>
            <w:r>
              <w:rPr>
                <w:rFonts w:hint="eastAsia" w:cs="Times New Roman"/>
                <w:b w:val="0"/>
                <w:bCs w:val="0"/>
                <w:color w:val="auto"/>
                <w:sz w:val="24"/>
                <w:szCs w:val="24"/>
                <w:highlight w:val="none"/>
                <w:lang w:val="en-US" w:eastAsia="zh-CN"/>
              </w:rPr>
              <w:t>该</w:t>
            </w:r>
            <w:r>
              <w:rPr>
                <w:rFonts w:hint="eastAsia" w:ascii="Times New Roman" w:hAnsi="Times New Roman" w:eastAsia="宋体" w:cs="Times New Roman"/>
                <w:b w:val="0"/>
                <w:bCs w:val="0"/>
                <w:color w:val="auto"/>
                <w:sz w:val="24"/>
                <w:szCs w:val="24"/>
                <w:highlight w:val="none"/>
                <w:lang w:val="en-US" w:eastAsia="zh-CN"/>
              </w:rPr>
              <w:t>项目生产中预发、成型工序产生的含苯乙烯和非甲烷总烃等有机废气。</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由于还发布</w:t>
            </w:r>
            <w:r>
              <w:rPr>
                <w:rFonts w:hint="eastAsia" w:cs="Times New Roman"/>
                <w:b w:val="0"/>
                <w:bCs w:val="0"/>
                <w:color w:val="auto"/>
                <w:kern w:val="2"/>
                <w:sz w:val="24"/>
                <w:szCs w:val="24"/>
                <w:highlight w:val="none"/>
                <w:shd w:val="clear" w:color="auto" w:fill="auto"/>
                <w:lang w:val="en-US" w:eastAsia="zh-CN" w:bidi="ar-SA"/>
              </w:rPr>
              <w:t>VOCs相关排放</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政策。现有项目</w:t>
            </w:r>
            <w:r>
              <w:rPr>
                <w:rFonts w:hint="eastAsia" w:cs="Times New Roman"/>
                <w:b w:val="0"/>
                <w:bCs w:val="0"/>
                <w:color w:val="auto"/>
                <w:sz w:val="24"/>
                <w:szCs w:val="24"/>
                <w:highlight w:val="none"/>
                <w:lang w:val="en-US" w:eastAsia="zh-CN"/>
              </w:rPr>
              <w:t>预发及成型过程均在密闭的容器内进行，大部分废气通过容器排水管道进入循环水池再逸散空气中，少量废气在容器打开时逸散至空气中</w:t>
            </w:r>
            <w:r>
              <w:rPr>
                <w:rFonts w:hint="eastAsia" w:ascii="Times New Roman" w:hAnsi="Times New Roman" w:eastAsia="宋体"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在加强车间通风排气的情况下，项目无组织废气排放是对周边环境的影响较小。排放满足《大气污染物综合排放标准》（GB16297-1996）新污染源无组织排放监控浓度限值（4.0mg/m</w:t>
            </w:r>
            <w:r>
              <w:rPr>
                <w:rFonts w:hint="eastAsia" w:cs="Times New Roman"/>
                <w:bCs/>
                <w:color w:val="auto"/>
                <w:kern w:val="2"/>
                <w:sz w:val="24"/>
                <w:szCs w:val="24"/>
                <w:highlight w:val="none"/>
                <w:vertAlign w:val="superscript"/>
                <w:lang w:val="en-US" w:eastAsia="zh-CN" w:bidi="ar-SA"/>
              </w:rPr>
              <w:t>3</w:t>
            </w:r>
            <w:r>
              <w:rPr>
                <w:rFonts w:hint="eastAsia" w:cs="Times New Roman"/>
                <w:bCs/>
                <w:color w:val="auto"/>
                <w:kern w:val="2"/>
                <w:sz w:val="24"/>
                <w:szCs w:val="24"/>
                <w:highlight w:val="none"/>
                <w:lang w:val="en-US" w:eastAsia="zh-CN" w:bidi="ar-SA"/>
              </w:rPr>
              <w:t>），本次扩建项目为确保非甲烷总烃、苯乙烯等有机废气稳定达标排放，</w:t>
            </w:r>
            <w:r>
              <w:rPr>
                <w:rFonts w:hint="eastAsia" w:cs="Times New Roman"/>
                <w:color w:val="auto"/>
                <w:sz w:val="24"/>
                <w:szCs w:val="24"/>
                <w:highlight w:val="none"/>
                <w:lang w:val="en-US" w:eastAsia="zh-CN"/>
              </w:rPr>
              <w:t>拟新增活性炭吸附装置及15m高废气排气筒（DA001）。</w:t>
            </w:r>
            <w:r>
              <w:rPr>
                <w:rFonts w:hint="eastAsia" w:ascii="Times New Roman" w:hAnsi="Times New Roman" w:eastAsia="宋体" w:cs="Times New Roman"/>
                <w:color w:val="auto"/>
                <w:sz w:val="24"/>
                <w:szCs w:val="24"/>
                <w:highlight w:val="none"/>
                <w:lang w:val="en-US" w:eastAsia="zh-CN"/>
              </w:rPr>
              <w:t>根据文献《气相色谱质谱法分析聚苯乙烯加热分解产物》（林华影、张伟等.中国卫生检验杂志），聚苯乙烯在120</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以下加热会有少量甲苯、乙苯等有机物产生。</w:t>
            </w:r>
          </w:p>
          <w:p w14:paraId="6F39CC88">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（1）项目</w:t>
            </w:r>
            <w:r>
              <w:rPr>
                <w:rFonts w:hint="eastAsia" w:cs="Times New Roman"/>
                <w:bCs/>
                <w:color w:val="auto"/>
                <w:kern w:val="2"/>
                <w:sz w:val="24"/>
                <w:szCs w:val="24"/>
                <w:highlight w:val="none"/>
                <w:lang w:val="en-US" w:eastAsia="zh-CN" w:bidi="ar-SA"/>
              </w:rPr>
              <w:t>有机</w:t>
            </w:r>
            <w:r>
              <w:rPr>
                <w:rFonts w:hint="eastAsia" w:ascii="Times New Roman" w:hAnsi="Times New Roman" w:eastAsia="宋体" w:cs="Times New Roman"/>
                <w:bCs/>
                <w:color w:val="auto"/>
                <w:kern w:val="2"/>
                <w:sz w:val="24"/>
                <w:szCs w:val="24"/>
                <w:highlight w:val="none"/>
                <w:lang w:val="en-US" w:eastAsia="zh-CN" w:bidi="ar-SA"/>
              </w:rPr>
              <w:t>废气污染物排放标准</w:t>
            </w:r>
          </w:p>
          <w:p w14:paraId="1237BA6F">
            <w:pPr>
              <w:pageBreakBefore w:val="0"/>
              <w:widowControl w:val="0"/>
              <w:kinsoku/>
              <w:wordWrap/>
              <w:overflowPunct/>
              <w:topLinePunct w:val="0"/>
              <w:autoSpaceDE/>
              <w:autoSpaceDN/>
              <w:bidi w:val="0"/>
              <w:spacing w:line="360" w:lineRule="auto"/>
              <w:ind w:firstLine="480" w:firstLineChars="200"/>
              <w:textAlignment w:val="auto"/>
              <w:rPr>
                <w:rFonts w:hint="eastAsia"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预发、成型过程产生的废气污染物为（非甲烷总烃、苯乙烯、甲苯、乙苯）执行《合成树脂工业污染物排放标准》（GB31572-2015）（及其修改单）表5特别排放标准限值。及表9企业边界大气污染物浓度限值。</w:t>
            </w:r>
          </w:p>
          <w:p w14:paraId="49221466">
            <w:pPr>
              <w:pageBreakBefore w:val="0"/>
              <w:widowControl w:val="0"/>
              <w:kinsoku/>
              <w:wordWrap/>
              <w:overflowPunct/>
              <w:topLinePunct w:val="0"/>
              <w:autoSpaceDE/>
              <w:autoSpaceDN/>
              <w:bidi w:val="0"/>
              <w:spacing w:line="360" w:lineRule="auto"/>
              <w:ind w:firstLine="480" w:firstLineChars="200"/>
              <w:textAlignment w:val="auto"/>
              <w:rPr>
                <w:rFonts w:hint="eastAsia"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厂区内有机废气无组织排放执行《挥发性有机物无组织排放控制标准》（GB37822-2019）附录A中表A.1相关排放限值。</w:t>
            </w:r>
          </w:p>
          <w:p w14:paraId="665FAC98">
            <w:pPr>
              <w:pageBreakBefore w:val="0"/>
              <w:widowControl w:val="0"/>
              <w:numPr>
                <w:ilvl w:val="0"/>
                <w:numId w:val="7"/>
              </w:numPr>
              <w:kinsoku/>
              <w:wordWrap/>
              <w:overflowPunct/>
              <w:topLinePunct w:val="0"/>
              <w:autoSpaceDE/>
              <w:autoSpaceDN/>
              <w:bidi w:val="0"/>
              <w:spacing w:line="360" w:lineRule="auto"/>
              <w:ind w:left="0" w:leftChars="0" w:firstLine="480" w:firstLineChars="200"/>
              <w:textAlignment w:val="auto"/>
              <w:rPr>
                <w:rFonts w:hint="eastAsia"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恶臭</w:t>
            </w:r>
          </w:p>
          <w:p w14:paraId="6AAF0310">
            <w:pPr>
              <w:pageBreakBefore w:val="0"/>
              <w:widowControl w:val="0"/>
              <w:kinsoku/>
              <w:wordWrap/>
              <w:overflowPunct/>
              <w:topLinePunct w:val="0"/>
              <w:autoSpaceDE/>
              <w:autoSpaceDN/>
              <w:bidi w:val="0"/>
              <w:spacing w:line="360" w:lineRule="auto"/>
              <w:ind w:firstLine="480" w:firstLineChars="200"/>
              <w:textAlignment w:val="auto"/>
              <w:rPr>
                <w:rFonts w:hint="default"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项目生产过程中产生的恶臭，主要为臭气浓度。臭气浓度排放执行《恶臭污染物排放标准》（</w:t>
            </w:r>
            <w:r>
              <w:rPr>
                <w:rFonts w:hint="default" w:cs="Times New Roman"/>
                <w:bCs/>
                <w:color w:val="auto"/>
                <w:kern w:val="2"/>
                <w:sz w:val="24"/>
                <w:szCs w:val="24"/>
                <w:highlight w:val="none"/>
                <w:lang w:val="en-US" w:eastAsia="zh-CN" w:bidi="ar-SA"/>
              </w:rPr>
              <w:t>GB14554-93</w:t>
            </w:r>
            <w:r>
              <w:rPr>
                <w:rFonts w:hint="eastAsia" w:cs="Times New Roman"/>
                <w:bCs/>
                <w:color w:val="auto"/>
                <w:kern w:val="2"/>
                <w:sz w:val="24"/>
                <w:szCs w:val="24"/>
                <w:highlight w:val="none"/>
                <w:lang w:val="en-US" w:eastAsia="zh-CN" w:bidi="ar-SA"/>
              </w:rPr>
              <w:t>）表</w:t>
            </w:r>
            <w:r>
              <w:rPr>
                <w:rFonts w:hint="default" w:cs="Times New Roman"/>
                <w:bCs/>
                <w:color w:val="auto"/>
                <w:kern w:val="2"/>
                <w:sz w:val="24"/>
                <w:szCs w:val="24"/>
                <w:highlight w:val="none"/>
                <w:lang w:val="en-US" w:eastAsia="zh-CN" w:bidi="ar-SA"/>
              </w:rPr>
              <w:t>2</w:t>
            </w:r>
            <w:r>
              <w:rPr>
                <w:rFonts w:hint="eastAsia" w:cs="Times New Roman"/>
                <w:bCs/>
                <w:color w:val="auto"/>
                <w:kern w:val="2"/>
                <w:sz w:val="24"/>
                <w:szCs w:val="24"/>
                <w:highlight w:val="none"/>
                <w:lang w:val="en-US" w:eastAsia="zh-CN" w:bidi="ar-SA"/>
              </w:rPr>
              <w:t>相应排气筒排放限值及表</w:t>
            </w:r>
            <w:r>
              <w:rPr>
                <w:rFonts w:hint="default" w:cs="Times New Roman"/>
                <w:bCs/>
                <w:color w:val="auto"/>
                <w:kern w:val="2"/>
                <w:sz w:val="24"/>
                <w:szCs w:val="24"/>
                <w:highlight w:val="none"/>
                <w:lang w:val="en-US" w:eastAsia="zh-CN" w:bidi="ar-SA"/>
              </w:rPr>
              <w:t>1</w:t>
            </w:r>
            <w:r>
              <w:rPr>
                <w:rFonts w:hint="eastAsia" w:cs="Times New Roman"/>
                <w:bCs/>
                <w:color w:val="auto"/>
                <w:kern w:val="2"/>
                <w:sz w:val="24"/>
                <w:szCs w:val="24"/>
                <w:highlight w:val="none"/>
                <w:lang w:val="en-US" w:eastAsia="zh-CN" w:bidi="ar-SA"/>
              </w:rPr>
              <w:t>新改扩建项目厂界二级标准要求。</w:t>
            </w:r>
          </w:p>
          <w:p w14:paraId="7F14C74F">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项目废气污染物排放标准限值详见表3.7-3。</w:t>
            </w:r>
          </w:p>
          <w:p w14:paraId="229FEC23">
            <w:pPr>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表3.7-3有组织废气污染物排放标准</w:t>
            </w:r>
          </w:p>
          <w:tbl>
            <w:tblPr>
              <w:tblStyle w:val="24"/>
              <w:tblW w:w="86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848"/>
              <w:gridCol w:w="930"/>
              <w:gridCol w:w="1245"/>
              <w:gridCol w:w="720"/>
              <w:gridCol w:w="795"/>
              <w:gridCol w:w="705"/>
              <w:gridCol w:w="2745"/>
            </w:tblGrid>
            <w:tr w14:paraId="12697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90" w:type="pct"/>
                  <w:tcBorders>
                    <w:tl2br w:val="nil"/>
                    <w:tr2bl w:val="nil"/>
                  </w:tcBorders>
                  <w:vAlign w:val="center"/>
                </w:tcPr>
                <w:p w14:paraId="4A49C7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排放方式</w:t>
                  </w:r>
                </w:p>
              </w:tc>
              <w:tc>
                <w:tcPr>
                  <w:tcW w:w="489" w:type="pct"/>
                  <w:tcBorders>
                    <w:tl2br w:val="nil"/>
                    <w:tr2bl w:val="nil"/>
                  </w:tcBorders>
                  <w:vAlign w:val="center"/>
                </w:tcPr>
                <w:p w14:paraId="27B4D2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污染物产生工段</w:t>
                  </w:r>
                </w:p>
              </w:tc>
              <w:tc>
                <w:tcPr>
                  <w:tcW w:w="536" w:type="pct"/>
                  <w:tcBorders>
                    <w:tl2br w:val="nil"/>
                    <w:tr2bl w:val="nil"/>
                  </w:tcBorders>
                  <w:vAlign w:val="center"/>
                </w:tcPr>
                <w:p w14:paraId="3C0555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污染物名称</w:t>
                  </w:r>
                </w:p>
              </w:tc>
              <w:tc>
                <w:tcPr>
                  <w:tcW w:w="718" w:type="pct"/>
                  <w:tcBorders>
                    <w:tl2br w:val="nil"/>
                    <w:tr2bl w:val="nil"/>
                  </w:tcBorders>
                  <w:vAlign w:val="center"/>
                </w:tcPr>
                <w:p w14:paraId="7ED4631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最高允许排放浓度</w:t>
                  </w:r>
                  <w:r>
                    <w:rPr>
                      <w:rFonts w:hint="default" w:ascii="Times New Roman" w:hAnsi="Times New Roman" w:eastAsia="宋体" w:cs="Times New Roman"/>
                      <w:b w:val="0"/>
                      <w:bCs w:val="0"/>
                      <w:color w:val="auto"/>
                      <w:sz w:val="21"/>
                      <w:szCs w:val="21"/>
                      <w:highlight w:val="none"/>
                      <w:u w:val="none"/>
                      <w:lang w:val="en-US" w:eastAsia="zh-CN"/>
                    </w:rPr>
                    <w:t>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415" w:type="pct"/>
                  <w:tcBorders>
                    <w:tl2br w:val="nil"/>
                    <w:tr2bl w:val="nil"/>
                  </w:tcBorders>
                  <w:vAlign w:val="center"/>
                </w:tcPr>
                <w:p w14:paraId="559970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污染源名称</w:t>
                  </w:r>
                </w:p>
              </w:tc>
              <w:tc>
                <w:tcPr>
                  <w:tcW w:w="458" w:type="pct"/>
                  <w:tcBorders>
                    <w:tl2br w:val="nil"/>
                    <w:tr2bl w:val="nil"/>
                  </w:tcBorders>
                  <w:vAlign w:val="center"/>
                </w:tcPr>
                <w:p w14:paraId="3EFE63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排气筒编号</w:t>
                  </w:r>
                </w:p>
              </w:tc>
              <w:tc>
                <w:tcPr>
                  <w:tcW w:w="406" w:type="pct"/>
                  <w:tcBorders>
                    <w:tl2br w:val="nil"/>
                    <w:tr2bl w:val="nil"/>
                  </w:tcBorders>
                  <w:vAlign w:val="center"/>
                </w:tcPr>
                <w:p w14:paraId="4AFA1D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排气筒高度</w:t>
                  </w:r>
                </w:p>
              </w:tc>
              <w:tc>
                <w:tcPr>
                  <w:tcW w:w="1584" w:type="pct"/>
                  <w:tcBorders>
                    <w:tl2br w:val="nil"/>
                    <w:tr2bl w:val="nil"/>
                  </w:tcBorders>
                  <w:vAlign w:val="center"/>
                </w:tcPr>
                <w:p w14:paraId="0766F4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执行标准</w:t>
                  </w:r>
                </w:p>
              </w:tc>
            </w:tr>
            <w:tr w14:paraId="35E9A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restart"/>
                  <w:tcBorders>
                    <w:tl2br w:val="nil"/>
                    <w:tr2bl w:val="nil"/>
                  </w:tcBorders>
                  <w:vAlign w:val="center"/>
                </w:tcPr>
                <w:p w14:paraId="3DD5ED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有组织</w:t>
                  </w:r>
                </w:p>
              </w:tc>
              <w:tc>
                <w:tcPr>
                  <w:tcW w:w="489" w:type="pct"/>
                  <w:vMerge w:val="restart"/>
                  <w:tcBorders>
                    <w:tl2br w:val="nil"/>
                    <w:tr2bl w:val="nil"/>
                  </w:tcBorders>
                  <w:vAlign w:val="center"/>
                </w:tcPr>
                <w:p w14:paraId="4F02A3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预发</w:t>
                  </w:r>
                  <w:r>
                    <w:rPr>
                      <w:rFonts w:hint="eastAsia" w:cs="Times New Roman"/>
                      <w:b w:val="0"/>
                      <w:bCs w:val="0"/>
                      <w:color w:val="auto"/>
                      <w:sz w:val="21"/>
                      <w:szCs w:val="21"/>
                      <w:highlight w:val="none"/>
                      <w:vertAlign w:val="baseline"/>
                      <w:lang w:val="en-US" w:eastAsia="zh-CN"/>
                    </w:rPr>
                    <w:t>、成型</w:t>
                  </w:r>
                </w:p>
              </w:tc>
              <w:tc>
                <w:tcPr>
                  <w:tcW w:w="536" w:type="pct"/>
                  <w:tcBorders>
                    <w:tl2br w:val="nil"/>
                    <w:tr2bl w:val="nil"/>
                  </w:tcBorders>
                  <w:vAlign w:val="center"/>
                </w:tcPr>
                <w:p w14:paraId="427AD4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p>
              </w:tc>
              <w:tc>
                <w:tcPr>
                  <w:tcW w:w="718" w:type="pct"/>
                  <w:tcBorders>
                    <w:tl2br w:val="nil"/>
                    <w:tr2bl w:val="nil"/>
                  </w:tcBorders>
                  <w:vAlign w:val="center"/>
                </w:tcPr>
                <w:p w14:paraId="144088E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60</w:t>
                  </w:r>
                </w:p>
              </w:tc>
              <w:tc>
                <w:tcPr>
                  <w:tcW w:w="415" w:type="pct"/>
                  <w:vMerge w:val="restart"/>
                  <w:tcBorders>
                    <w:tl2br w:val="nil"/>
                    <w:tr2bl w:val="nil"/>
                  </w:tcBorders>
                  <w:vAlign w:val="center"/>
                </w:tcPr>
                <w:p w14:paraId="219FD9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生产废气排气筒</w:t>
                  </w:r>
                </w:p>
              </w:tc>
              <w:tc>
                <w:tcPr>
                  <w:tcW w:w="458" w:type="pct"/>
                  <w:vMerge w:val="restart"/>
                  <w:tcBorders>
                    <w:tl2br w:val="nil"/>
                    <w:tr2bl w:val="nil"/>
                  </w:tcBorders>
                  <w:vAlign w:val="center"/>
                </w:tcPr>
                <w:p w14:paraId="2DF95D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DA001</w:t>
                  </w:r>
                </w:p>
              </w:tc>
              <w:tc>
                <w:tcPr>
                  <w:tcW w:w="406" w:type="pct"/>
                  <w:vMerge w:val="restart"/>
                  <w:tcBorders>
                    <w:tl2br w:val="nil"/>
                    <w:tr2bl w:val="nil"/>
                  </w:tcBorders>
                  <w:vAlign w:val="center"/>
                </w:tcPr>
                <w:p w14:paraId="78F2D3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15</w:t>
                  </w:r>
                  <w:r>
                    <w:rPr>
                      <w:rFonts w:hint="eastAsia" w:cs="Times New Roman"/>
                      <w:b w:val="0"/>
                      <w:bCs w:val="0"/>
                      <w:color w:val="auto"/>
                      <w:sz w:val="21"/>
                      <w:szCs w:val="21"/>
                      <w:highlight w:val="none"/>
                      <w:vertAlign w:val="baseline"/>
                      <w:lang w:val="en-US" w:eastAsia="zh-CN"/>
                    </w:rPr>
                    <w:t>m</w:t>
                  </w:r>
                </w:p>
              </w:tc>
              <w:tc>
                <w:tcPr>
                  <w:tcW w:w="1584" w:type="pct"/>
                  <w:vMerge w:val="restart"/>
                  <w:tcBorders>
                    <w:tl2br w:val="nil"/>
                    <w:tr2bl w:val="nil"/>
                  </w:tcBorders>
                  <w:vAlign w:val="center"/>
                </w:tcPr>
                <w:p w14:paraId="47D73B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Cs/>
                      <w:color w:val="auto"/>
                      <w:kern w:val="2"/>
                      <w:sz w:val="21"/>
                      <w:szCs w:val="21"/>
                      <w:highlight w:val="none"/>
                      <w:lang w:val="en-US" w:eastAsia="zh-CN" w:bidi="ar-SA"/>
                    </w:rPr>
                    <w:t>《合成树脂工艺污染物排放标准限值》（GB31572-2015）表5特别标准限值</w:t>
                  </w:r>
                </w:p>
              </w:tc>
            </w:tr>
            <w:tr w14:paraId="4EC5C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F3DE7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489" w:type="pct"/>
                  <w:vMerge w:val="continue"/>
                  <w:tcBorders>
                    <w:tl2br w:val="nil"/>
                    <w:tr2bl w:val="nil"/>
                  </w:tcBorders>
                  <w:vAlign w:val="center"/>
                </w:tcPr>
                <w:p w14:paraId="2E16D7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536" w:type="pct"/>
                  <w:tcBorders>
                    <w:tl2br w:val="nil"/>
                    <w:tr2bl w:val="nil"/>
                  </w:tcBorders>
                  <w:vAlign w:val="center"/>
                </w:tcPr>
                <w:p w14:paraId="203F0C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苯乙烯</w:t>
                  </w:r>
                </w:p>
              </w:tc>
              <w:tc>
                <w:tcPr>
                  <w:tcW w:w="718" w:type="pct"/>
                  <w:tcBorders>
                    <w:tl2br w:val="nil"/>
                    <w:tr2bl w:val="nil"/>
                  </w:tcBorders>
                  <w:vAlign w:val="center"/>
                </w:tcPr>
                <w:p w14:paraId="79E023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w:t>
                  </w:r>
                </w:p>
              </w:tc>
              <w:tc>
                <w:tcPr>
                  <w:tcW w:w="415" w:type="pct"/>
                  <w:vMerge w:val="continue"/>
                  <w:tcBorders>
                    <w:tl2br w:val="nil"/>
                    <w:tr2bl w:val="nil"/>
                  </w:tcBorders>
                  <w:vAlign w:val="center"/>
                </w:tcPr>
                <w:p w14:paraId="40D190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1E8D18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2E664E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0BD39E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227DB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3FBEF9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vAlign w:val="center"/>
                </w:tcPr>
                <w:p w14:paraId="72ADDC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vAlign w:val="center"/>
                </w:tcPr>
                <w:p w14:paraId="48B0FA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p>
              </w:tc>
              <w:tc>
                <w:tcPr>
                  <w:tcW w:w="718" w:type="pct"/>
                  <w:tcBorders>
                    <w:tl2br w:val="nil"/>
                    <w:tr2bl w:val="nil"/>
                  </w:tcBorders>
                  <w:vAlign w:val="center"/>
                </w:tcPr>
                <w:p w14:paraId="1BA68D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w:t>
                  </w:r>
                </w:p>
              </w:tc>
              <w:tc>
                <w:tcPr>
                  <w:tcW w:w="415" w:type="pct"/>
                  <w:vMerge w:val="continue"/>
                  <w:tcBorders>
                    <w:tl2br w:val="nil"/>
                    <w:tr2bl w:val="nil"/>
                  </w:tcBorders>
                  <w:vAlign w:val="center"/>
                </w:tcPr>
                <w:p w14:paraId="14F24F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46D976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1D8143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1EB3A5A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6BA09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390" w:type="pct"/>
                  <w:vMerge w:val="continue"/>
                  <w:tcBorders>
                    <w:tl2br w:val="nil"/>
                    <w:tr2bl w:val="nil"/>
                  </w:tcBorders>
                  <w:vAlign w:val="center"/>
                </w:tcPr>
                <w:p w14:paraId="2BAA7E4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vAlign w:val="center"/>
                </w:tcPr>
                <w:p w14:paraId="19BCA9E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vAlign w:val="center"/>
                </w:tcPr>
                <w:p w14:paraId="0105B0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乙苯</w:t>
                  </w:r>
                </w:p>
              </w:tc>
              <w:tc>
                <w:tcPr>
                  <w:tcW w:w="718" w:type="pct"/>
                  <w:tcBorders>
                    <w:tl2br w:val="nil"/>
                    <w:tr2bl w:val="nil"/>
                  </w:tcBorders>
                  <w:vAlign w:val="center"/>
                </w:tcPr>
                <w:p w14:paraId="648443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50</w:t>
                  </w:r>
                </w:p>
              </w:tc>
              <w:tc>
                <w:tcPr>
                  <w:tcW w:w="415" w:type="pct"/>
                  <w:vMerge w:val="continue"/>
                  <w:tcBorders>
                    <w:tl2br w:val="nil"/>
                    <w:tr2bl w:val="nil"/>
                  </w:tcBorders>
                  <w:vAlign w:val="center"/>
                </w:tcPr>
                <w:p w14:paraId="0D4203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49148F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6E30F2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631FC99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4D83C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390" w:type="pct"/>
                  <w:vMerge w:val="continue"/>
                  <w:tcBorders>
                    <w:tl2br w:val="nil"/>
                    <w:tr2bl w:val="nil"/>
                  </w:tcBorders>
                  <w:vAlign w:val="center"/>
                </w:tcPr>
                <w:p w14:paraId="4533909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vAlign w:val="center"/>
                </w:tcPr>
                <w:p w14:paraId="66031A1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vAlign w:val="center"/>
                </w:tcPr>
                <w:p w14:paraId="295160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臭气浓度</w:t>
                  </w:r>
                </w:p>
              </w:tc>
              <w:tc>
                <w:tcPr>
                  <w:tcW w:w="718" w:type="pct"/>
                  <w:tcBorders>
                    <w:tl2br w:val="nil"/>
                    <w:tr2bl w:val="nil"/>
                  </w:tcBorders>
                  <w:vAlign w:val="center"/>
                </w:tcPr>
                <w:p w14:paraId="4633FC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2000</w:t>
                  </w:r>
                </w:p>
                <w:p w14:paraId="237BE0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（无量纲）</w:t>
                  </w:r>
                </w:p>
              </w:tc>
              <w:tc>
                <w:tcPr>
                  <w:tcW w:w="415" w:type="pct"/>
                  <w:vMerge w:val="continue"/>
                  <w:tcBorders>
                    <w:tl2br w:val="nil"/>
                    <w:tr2bl w:val="nil"/>
                  </w:tcBorders>
                  <w:vAlign w:val="center"/>
                </w:tcPr>
                <w:p w14:paraId="45E3FA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060C65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4A0492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tcBorders>
                    <w:tl2br w:val="nil"/>
                    <w:tr2bl w:val="nil"/>
                  </w:tcBorders>
                  <w:vAlign w:val="center"/>
                </w:tcPr>
                <w:p w14:paraId="5EB1773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Cs/>
                      <w:color w:val="auto"/>
                      <w:kern w:val="2"/>
                      <w:sz w:val="21"/>
                      <w:szCs w:val="21"/>
                      <w:highlight w:val="none"/>
                      <w:lang w:val="en-US" w:eastAsia="zh-CN" w:bidi="ar-SA"/>
                    </w:rPr>
                    <w:t>《恶臭污染物排放标准》（</w:t>
                  </w:r>
                  <w:r>
                    <w:rPr>
                      <w:rFonts w:hint="default" w:cs="Times New Roman"/>
                      <w:bCs/>
                      <w:color w:val="auto"/>
                      <w:kern w:val="2"/>
                      <w:sz w:val="21"/>
                      <w:szCs w:val="21"/>
                      <w:highlight w:val="none"/>
                      <w:lang w:val="en-US" w:eastAsia="zh-CN" w:bidi="ar-SA"/>
                    </w:rPr>
                    <w:t>GB14554-93</w:t>
                  </w:r>
                  <w:r>
                    <w:rPr>
                      <w:rFonts w:hint="eastAsia" w:cs="Times New Roman"/>
                      <w:bCs/>
                      <w:color w:val="auto"/>
                      <w:kern w:val="2"/>
                      <w:sz w:val="21"/>
                      <w:szCs w:val="21"/>
                      <w:highlight w:val="none"/>
                      <w:lang w:val="en-US" w:eastAsia="zh-CN" w:bidi="ar-SA"/>
                    </w:rPr>
                    <w:t>）表</w:t>
                  </w:r>
                  <w:r>
                    <w:rPr>
                      <w:rFonts w:hint="default" w:cs="Times New Roman"/>
                      <w:bCs/>
                      <w:color w:val="auto"/>
                      <w:kern w:val="2"/>
                      <w:sz w:val="21"/>
                      <w:szCs w:val="21"/>
                      <w:highlight w:val="none"/>
                      <w:lang w:val="en-US" w:eastAsia="zh-CN" w:bidi="ar-SA"/>
                    </w:rPr>
                    <w:t>2</w:t>
                  </w:r>
                  <w:r>
                    <w:rPr>
                      <w:rFonts w:hint="eastAsia" w:cs="Times New Roman"/>
                      <w:bCs/>
                      <w:color w:val="auto"/>
                      <w:kern w:val="2"/>
                      <w:sz w:val="21"/>
                      <w:szCs w:val="21"/>
                      <w:highlight w:val="none"/>
                      <w:lang w:val="en-US" w:eastAsia="zh-CN" w:bidi="ar-SA"/>
                    </w:rPr>
                    <w:t>相应排气筒排放限值</w:t>
                  </w:r>
                </w:p>
              </w:tc>
            </w:tr>
            <w:tr w14:paraId="46715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90" w:type="pct"/>
                  <w:vMerge w:val="restart"/>
                  <w:tcBorders>
                    <w:tl2br w:val="nil"/>
                    <w:tr2bl w:val="nil"/>
                  </w:tcBorders>
                  <w:vAlign w:val="center"/>
                </w:tcPr>
                <w:p w14:paraId="4E9CFA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无组织</w:t>
                  </w:r>
                </w:p>
              </w:tc>
              <w:tc>
                <w:tcPr>
                  <w:tcW w:w="489" w:type="pct"/>
                  <w:vMerge w:val="restart"/>
                  <w:tcBorders>
                    <w:tl2br w:val="nil"/>
                    <w:tr2bl w:val="nil"/>
                  </w:tcBorders>
                  <w:shd w:val="clear" w:color="auto" w:fill="auto"/>
                  <w:vAlign w:val="center"/>
                </w:tcPr>
                <w:p w14:paraId="0223C8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企业边界</w:t>
                  </w:r>
                </w:p>
              </w:tc>
              <w:tc>
                <w:tcPr>
                  <w:tcW w:w="536" w:type="pct"/>
                  <w:tcBorders>
                    <w:tl2br w:val="nil"/>
                    <w:tr2bl w:val="nil"/>
                  </w:tcBorders>
                  <w:vAlign w:val="center"/>
                </w:tcPr>
                <w:p w14:paraId="41C273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颗粒物</w:t>
                  </w:r>
                </w:p>
              </w:tc>
              <w:tc>
                <w:tcPr>
                  <w:tcW w:w="718" w:type="pct"/>
                  <w:tcBorders>
                    <w:tl2br w:val="nil"/>
                    <w:tr2bl w:val="nil"/>
                  </w:tcBorders>
                  <w:vAlign w:val="center"/>
                </w:tcPr>
                <w:p w14:paraId="225F62C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w:t>
                  </w:r>
                </w:p>
              </w:tc>
              <w:tc>
                <w:tcPr>
                  <w:tcW w:w="415" w:type="pct"/>
                  <w:vMerge w:val="restart"/>
                  <w:tcBorders>
                    <w:tl2br w:val="nil"/>
                    <w:tr2bl w:val="nil"/>
                  </w:tcBorders>
                  <w:vAlign w:val="center"/>
                </w:tcPr>
                <w:p w14:paraId="198630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458" w:type="pct"/>
                  <w:vMerge w:val="restart"/>
                  <w:tcBorders>
                    <w:tl2br w:val="nil"/>
                    <w:tr2bl w:val="nil"/>
                  </w:tcBorders>
                  <w:vAlign w:val="center"/>
                </w:tcPr>
                <w:p w14:paraId="4BEE72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406" w:type="pct"/>
                  <w:vMerge w:val="restart"/>
                  <w:tcBorders>
                    <w:tl2br w:val="nil"/>
                    <w:tr2bl w:val="nil"/>
                  </w:tcBorders>
                  <w:vAlign w:val="center"/>
                </w:tcPr>
                <w:p w14:paraId="3721AF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584" w:type="pct"/>
                  <w:vMerge w:val="restart"/>
                  <w:tcBorders>
                    <w:tl2br w:val="nil"/>
                    <w:tr2bl w:val="nil"/>
                  </w:tcBorders>
                  <w:vAlign w:val="center"/>
                </w:tcPr>
                <w:p w14:paraId="0017AB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Cs/>
                      <w:color w:val="auto"/>
                      <w:kern w:val="2"/>
                      <w:sz w:val="21"/>
                      <w:szCs w:val="21"/>
                      <w:highlight w:val="none"/>
                      <w:lang w:val="en-US" w:eastAsia="zh-CN" w:bidi="ar-SA"/>
                    </w:rPr>
                    <w:t>《合成树脂工艺污染物排放标准限值》（GB31572-2015）表9标准限值</w:t>
                  </w:r>
                </w:p>
              </w:tc>
            </w:tr>
            <w:tr w14:paraId="287F6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FEDB4E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489" w:type="pct"/>
                  <w:vMerge w:val="continue"/>
                  <w:tcBorders>
                    <w:tl2br w:val="nil"/>
                    <w:tr2bl w:val="nil"/>
                  </w:tcBorders>
                  <w:shd w:val="clear" w:color="auto" w:fill="auto"/>
                  <w:vAlign w:val="center"/>
                </w:tcPr>
                <w:p w14:paraId="13506B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536" w:type="pct"/>
                  <w:tcBorders>
                    <w:tl2br w:val="nil"/>
                    <w:tr2bl w:val="nil"/>
                  </w:tcBorders>
                  <w:vAlign w:val="center"/>
                </w:tcPr>
                <w:p w14:paraId="7AA108D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p>
              </w:tc>
              <w:tc>
                <w:tcPr>
                  <w:tcW w:w="718" w:type="pct"/>
                  <w:tcBorders>
                    <w:tl2br w:val="nil"/>
                    <w:tr2bl w:val="nil"/>
                  </w:tcBorders>
                  <w:vAlign w:val="center"/>
                </w:tcPr>
                <w:p w14:paraId="6456B61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0.8</w:t>
                  </w:r>
                </w:p>
              </w:tc>
              <w:tc>
                <w:tcPr>
                  <w:tcW w:w="415" w:type="pct"/>
                  <w:vMerge w:val="continue"/>
                  <w:tcBorders>
                    <w:tl2br w:val="nil"/>
                    <w:tr2bl w:val="nil"/>
                  </w:tcBorders>
                  <w:vAlign w:val="center"/>
                </w:tcPr>
                <w:p w14:paraId="14B8D0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620903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70E4A8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1B4DD3F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5FA73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11EB9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shd w:val="clear" w:color="auto" w:fill="auto"/>
                  <w:vAlign w:val="center"/>
                </w:tcPr>
                <w:p w14:paraId="75D8AE5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vAlign w:val="center"/>
                </w:tcPr>
                <w:p w14:paraId="0DD5492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p>
              </w:tc>
              <w:tc>
                <w:tcPr>
                  <w:tcW w:w="718" w:type="pct"/>
                  <w:tcBorders>
                    <w:tl2br w:val="nil"/>
                    <w:tr2bl w:val="nil"/>
                  </w:tcBorders>
                  <w:vAlign w:val="center"/>
                </w:tcPr>
                <w:p w14:paraId="6AB05A4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4.0</w:t>
                  </w:r>
                </w:p>
              </w:tc>
              <w:tc>
                <w:tcPr>
                  <w:tcW w:w="415" w:type="pct"/>
                  <w:vMerge w:val="continue"/>
                  <w:tcBorders>
                    <w:tl2br w:val="nil"/>
                    <w:tr2bl w:val="nil"/>
                  </w:tcBorders>
                  <w:vAlign w:val="center"/>
                </w:tcPr>
                <w:p w14:paraId="0BCC9AA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03C610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35B06D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3063B6F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5BE8D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90" w:type="pct"/>
                  <w:vMerge w:val="continue"/>
                  <w:tcBorders>
                    <w:tl2br w:val="nil"/>
                    <w:tr2bl w:val="nil"/>
                  </w:tcBorders>
                  <w:vAlign w:val="center"/>
                </w:tcPr>
                <w:p w14:paraId="10BD40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shd w:val="clear" w:color="auto" w:fill="auto"/>
                  <w:vAlign w:val="center"/>
                </w:tcPr>
                <w:p w14:paraId="421B898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shd w:val="clear" w:color="auto" w:fill="auto"/>
                  <w:vAlign w:val="center"/>
                </w:tcPr>
                <w:p w14:paraId="1E3E16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臭气浓度</w:t>
                  </w:r>
                </w:p>
              </w:tc>
              <w:tc>
                <w:tcPr>
                  <w:tcW w:w="718" w:type="pct"/>
                  <w:tcBorders>
                    <w:tl2br w:val="nil"/>
                    <w:tr2bl w:val="nil"/>
                  </w:tcBorders>
                  <w:shd w:val="clear" w:color="auto" w:fill="auto"/>
                  <w:vAlign w:val="center"/>
                </w:tcPr>
                <w:p w14:paraId="1C73BE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w:t>
                  </w:r>
                </w:p>
                <w:p w14:paraId="5BCB13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（无量纲）</w:t>
                  </w:r>
                </w:p>
              </w:tc>
              <w:tc>
                <w:tcPr>
                  <w:tcW w:w="415" w:type="pct"/>
                  <w:vMerge w:val="continue"/>
                  <w:tcBorders>
                    <w:tl2br w:val="nil"/>
                    <w:tr2bl w:val="nil"/>
                  </w:tcBorders>
                  <w:vAlign w:val="center"/>
                </w:tcPr>
                <w:p w14:paraId="3BF913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7995E8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7395FE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tcBorders>
                    <w:tl2br w:val="nil"/>
                    <w:tr2bl w:val="nil"/>
                  </w:tcBorders>
                  <w:vAlign w:val="center"/>
                </w:tcPr>
                <w:p w14:paraId="568813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Cs/>
                      <w:color w:val="auto"/>
                      <w:kern w:val="2"/>
                      <w:sz w:val="21"/>
                      <w:szCs w:val="21"/>
                      <w:highlight w:val="none"/>
                      <w:lang w:val="en-US" w:eastAsia="zh-CN" w:bidi="ar-SA"/>
                    </w:rPr>
                    <w:t>《恶臭污染物排放标准》（</w:t>
                  </w:r>
                  <w:r>
                    <w:rPr>
                      <w:rFonts w:hint="default" w:cs="Times New Roman"/>
                      <w:bCs/>
                      <w:color w:val="auto"/>
                      <w:kern w:val="2"/>
                      <w:sz w:val="21"/>
                      <w:szCs w:val="21"/>
                      <w:highlight w:val="none"/>
                      <w:lang w:val="en-US" w:eastAsia="zh-CN" w:bidi="ar-SA"/>
                    </w:rPr>
                    <w:t>GB14554-93</w:t>
                  </w:r>
                  <w:r>
                    <w:rPr>
                      <w:rFonts w:hint="eastAsia" w:cs="Times New Roman"/>
                      <w:bCs/>
                      <w:color w:val="auto"/>
                      <w:kern w:val="2"/>
                      <w:sz w:val="21"/>
                      <w:szCs w:val="21"/>
                      <w:highlight w:val="none"/>
                      <w:lang w:val="en-US" w:eastAsia="zh-CN" w:bidi="ar-SA"/>
                    </w:rPr>
                    <w:t>）表</w:t>
                  </w:r>
                  <w:r>
                    <w:rPr>
                      <w:rFonts w:hint="default" w:cs="Times New Roman"/>
                      <w:bCs/>
                      <w:color w:val="auto"/>
                      <w:kern w:val="2"/>
                      <w:sz w:val="21"/>
                      <w:szCs w:val="21"/>
                      <w:highlight w:val="none"/>
                      <w:lang w:val="en-US" w:eastAsia="zh-CN" w:bidi="ar-SA"/>
                    </w:rPr>
                    <w:t>1</w:t>
                  </w:r>
                  <w:r>
                    <w:rPr>
                      <w:rFonts w:hint="eastAsia" w:cs="Times New Roman"/>
                      <w:bCs/>
                      <w:color w:val="auto"/>
                      <w:kern w:val="2"/>
                      <w:sz w:val="21"/>
                      <w:szCs w:val="21"/>
                      <w:highlight w:val="none"/>
                      <w:lang w:val="en-US" w:eastAsia="zh-CN" w:bidi="ar-SA"/>
                    </w:rPr>
                    <w:t>新改扩建项目厂界二级标准要求</w:t>
                  </w:r>
                </w:p>
              </w:tc>
            </w:tr>
            <w:tr w14:paraId="75E99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90" w:type="pct"/>
                  <w:vMerge w:val="continue"/>
                  <w:tcBorders>
                    <w:tl2br w:val="nil"/>
                    <w:tr2bl w:val="nil"/>
                  </w:tcBorders>
                  <w:vAlign w:val="center"/>
                </w:tcPr>
                <w:p w14:paraId="609395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restart"/>
                  <w:tcBorders>
                    <w:tl2br w:val="nil"/>
                    <w:tr2bl w:val="nil"/>
                  </w:tcBorders>
                  <w:vAlign w:val="center"/>
                </w:tcPr>
                <w:p w14:paraId="1402E5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厂区内</w:t>
                  </w:r>
                </w:p>
              </w:tc>
              <w:tc>
                <w:tcPr>
                  <w:tcW w:w="536" w:type="pct"/>
                  <w:vMerge w:val="restart"/>
                  <w:tcBorders>
                    <w:tl2br w:val="nil"/>
                    <w:tr2bl w:val="nil"/>
                  </w:tcBorders>
                  <w:shd w:val="clear" w:color="auto" w:fill="auto"/>
                  <w:vAlign w:val="center"/>
                </w:tcPr>
                <w:p w14:paraId="7DCC603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非甲烷总烃</w:t>
                  </w:r>
                </w:p>
              </w:tc>
              <w:tc>
                <w:tcPr>
                  <w:tcW w:w="718" w:type="pct"/>
                  <w:tcBorders>
                    <w:tl2br w:val="nil"/>
                    <w:tr2bl w:val="nil"/>
                  </w:tcBorders>
                  <w:shd w:val="clear" w:color="auto" w:fill="auto"/>
                  <w:vAlign w:val="center"/>
                </w:tcPr>
                <w:p w14:paraId="3362C9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6（1h平均浓度值）</w:t>
                  </w:r>
                </w:p>
              </w:tc>
              <w:tc>
                <w:tcPr>
                  <w:tcW w:w="415" w:type="pct"/>
                  <w:vMerge w:val="restart"/>
                  <w:tcBorders>
                    <w:tl2br w:val="nil"/>
                    <w:tr2bl w:val="nil"/>
                  </w:tcBorders>
                  <w:vAlign w:val="center"/>
                </w:tcPr>
                <w:p w14:paraId="6F1640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主要设备旁</w:t>
                  </w:r>
                </w:p>
              </w:tc>
              <w:tc>
                <w:tcPr>
                  <w:tcW w:w="458" w:type="pct"/>
                  <w:vMerge w:val="restart"/>
                  <w:tcBorders>
                    <w:tl2br w:val="nil"/>
                    <w:tr2bl w:val="nil"/>
                  </w:tcBorders>
                  <w:vAlign w:val="center"/>
                </w:tcPr>
                <w:p w14:paraId="3B3731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406" w:type="pct"/>
                  <w:vMerge w:val="restart"/>
                  <w:tcBorders>
                    <w:tl2br w:val="nil"/>
                    <w:tr2bl w:val="nil"/>
                  </w:tcBorders>
                  <w:vAlign w:val="center"/>
                </w:tcPr>
                <w:p w14:paraId="5A2BB0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584" w:type="pct"/>
                  <w:vMerge w:val="restart"/>
                  <w:tcBorders>
                    <w:tl2br w:val="nil"/>
                    <w:tr2bl w:val="nil"/>
                  </w:tcBorders>
                  <w:vAlign w:val="center"/>
                </w:tcPr>
                <w:p w14:paraId="60D254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Cs/>
                      <w:color w:val="auto"/>
                      <w:kern w:val="2"/>
                      <w:sz w:val="21"/>
                      <w:szCs w:val="21"/>
                      <w:highlight w:val="none"/>
                      <w:lang w:val="en-US" w:eastAsia="zh-CN" w:bidi="ar-SA"/>
                    </w:rPr>
                    <w:t>《挥发性有机物无组织排放控制标准》（GB37822-2019）附录A中表A.1相关排放限值</w:t>
                  </w:r>
                </w:p>
              </w:tc>
            </w:tr>
            <w:tr w14:paraId="539BD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344F8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489" w:type="pct"/>
                  <w:vMerge w:val="continue"/>
                  <w:tcBorders>
                    <w:tl2br w:val="nil"/>
                    <w:tr2bl w:val="nil"/>
                  </w:tcBorders>
                  <w:vAlign w:val="center"/>
                </w:tcPr>
                <w:p w14:paraId="551212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536" w:type="pct"/>
                  <w:vMerge w:val="continue"/>
                  <w:tcBorders>
                    <w:tl2br w:val="nil"/>
                    <w:tr2bl w:val="nil"/>
                  </w:tcBorders>
                  <w:shd w:val="clear" w:color="auto" w:fill="auto"/>
                  <w:vAlign w:val="center"/>
                </w:tcPr>
                <w:p w14:paraId="03CEEF1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718" w:type="pct"/>
                  <w:tcBorders>
                    <w:tl2br w:val="nil"/>
                    <w:tr2bl w:val="nil"/>
                  </w:tcBorders>
                  <w:shd w:val="clear" w:color="auto" w:fill="auto"/>
                  <w:vAlign w:val="center"/>
                </w:tcPr>
                <w:p w14:paraId="5879D3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20（任意一次浓度值）</w:t>
                  </w:r>
                </w:p>
              </w:tc>
              <w:tc>
                <w:tcPr>
                  <w:tcW w:w="415" w:type="pct"/>
                  <w:vMerge w:val="continue"/>
                  <w:tcBorders>
                    <w:tl2br w:val="nil"/>
                    <w:tr2bl w:val="nil"/>
                  </w:tcBorders>
                  <w:vAlign w:val="center"/>
                </w:tcPr>
                <w:p w14:paraId="6D6EB66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165FE9D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0A3B2D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61EFD37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bl>
          <w:p w14:paraId="32D0171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18" w:name="_Toc18219"/>
            <w:bookmarkStart w:id="119" w:name="_Toc2403"/>
            <w:r>
              <w:rPr>
                <w:rFonts w:hint="eastAsia" w:ascii="Times New Roman" w:hAnsi="Times New Roman" w:eastAsia="宋体" w:cs="Times New Roman"/>
                <w:b/>
                <w:bCs/>
                <w:color w:val="auto"/>
                <w:sz w:val="24"/>
                <w:szCs w:val="24"/>
                <w:highlight w:val="none"/>
                <w:u w:val="none"/>
                <w:lang w:val="en-US" w:eastAsia="zh-CN"/>
              </w:rPr>
              <w:t>3.7.3噪声</w:t>
            </w:r>
            <w:bookmarkEnd w:id="118"/>
            <w:bookmarkEnd w:id="119"/>
          </w:p>
          <w:p w14:paraId="0BC0FB06">
            <w:pPr>
              <w:widowControl/>
              <w:spacing w:line="360" w:lineRule="auto"/>
              <w:ind w:firstLine="480" w:firstLineChars="200"/>
              <w:jc w:val="both"/>
              <w:rPr>
                <w:rFonts w:hint="default" w:eastAsia="宋体"/>
                <w:color w:val="auto"/>
                <w:sz w:val="24"/>
                <w:highlight w:val="none"/>
                <w:lang w:val="en-US" w:eastAsia="zh-CN"/>
              </w:rPr>
            </w:pPr>
            <w:r>
              <w:rPr>
                <w:rFonts w:hint="eastAsia"/>
                <w:color w:val="auto"/>
                <w:sz w:val="24"/>
                <w:highlight w:val="none"/>
                <w:lang w:val="en-US" w:eastAsia="zh-CN"/>
              </w:rPr>
              <w:t>本</w:t>
            </w:r>
            <w:r>
              <w:rPr>
                <w:color w:val="auto"/>
                <w:sz w:val="24"/>
                <w:highlight w:val="none"/>
                <w:lang w:val="zh-CN"/>
              </w:rPr>
              <w:t>项目</w:t>
            </w:r>
            <w:r>
              <w:rPr>
                <w:rFonts w:hint="eastAsia"/>
                <w:color w:val="auto"/>
                <w:sz w:val="24"/>
                <w:highlight w:val="none"/>
                <w:lang w:val="en-US" w:eastAsia="zh-CN"/>
              </w:rPr>
              <w:t>生产工作时间为</w:t>
            </w:r>
            <w:r>
              <w:rPr>
                <w:rFonts w:hint="eastAsia" w:cs="Times New Roman"/>
                <w:color w:val="auto"/>
                <w:sz w:val="24"/>
                <w:szCs w:val="24"/>
                <w:highlight w:val="none"/>
                <w:u w:val="none"/>
                <w:vertAlign w:val="baseline"/>
                <w:lang w:val="en-US" w:eastAsia="zh-CN"/>
              </w:rPr>
              <w:t>两班制</w:t>
            </w:r>
            <w:r>
              <w:rPr>
                <w:rFonts w:hint="eastAsia" w:ascii="Times New Roman" w:hAnsi="Times New Roman" w:eastAsia="宋体" w:cs="Times New Roman"/>
                <w:color w:val="auto"/>
                <w:sz w:val="24"/>
                <w:szCs w:val="24"/>
                <w:highlight w:val="none"/>
                <w:u w:val="none"/>
                <w:vertAlign w:val="baseline"/>
                <w:lang w:val="en-US" w:eastAsia="zh-CN"/>
              </w:rPr>
              <w:t>，每班</w:t>
            </w:r>
            <w:r>
              <w:rPr>
                <w:rFonts w:hint="eastAsia" w:cs="Times New Roman"/>
                <w:color w:val="auto"/>
                <w:sz w:val="24"/>
                <w:szCs w:val="24"/>
                <w:highlight w:val="none"/>
                <w:u w:val="none"/>
                <w:vertAlign w:val="baseline"/>
                <w:lang w:val="en-US" w:eastAsia="zh-CN"/>
              </w:rPr>
              <w:t>12</w:t>
            </w:r>
            <w:r>
              <w:rPr>
                <w:rFonts w:hint="eastAsia" w:ascii="Times New Roman" w:hAnsi="Times New Roman" w:eastAsia="宋体" w:cs="Times New Roman"/>
                <w:color w:val="auto"/>
                <w:sz w:val="24"/>
                <w:szCs w:val="24"/>
                <w:highlight w:val="none"/>
                <w:u w:val="none"/>
                <w:vertAlign w:val="baseline"/>
                <w:lang w:val="en-US" w:eastAsia="zh-CN"/>
              </w:rPr>
              <w:t>小时</w:t>
            </w:r>
            <w:r>
              <w:rPr>
                <w:rFonts w:hint="eastAsia"/>
                <w:color w:val="auto"/>
                <w:sz w:val="24"/>
                <w:highlight w:val="none"/>
                <w:lang w:val="en-US" w:eastAsia="zh-CN"/>
              </w:rPr>
              <w:t>，夜间进行生产。</w:t>
            </w:r>
            <w:r>
              <w:rPr>
                <w:rFonts w:hint="default" w:ascii="Times New Roman" w:hAnsi="Times New Roman" w:eastAsia="宋体" w:cs="Times New Roman"/>
                <w:color w:val="auto"/>
                <w:sz w:val="24"/>
                <w:szCs w:val="24"/>
                <w:highlight w:val="none"/>
              </w:rPr>
              <w:t>运营期</w:t>
            </w:r>
            <w:r>
              <w:rPr>
                <w:color w:val="auto"/>
                <w:sz w:val="24"/>
                <w:highlight w:val="none"/>
                <w:lang w:val="zh-CN"/>
              </w:rPr>
              <w:t>厂界噪声排放执行《工业企业厂界环境噪声排放标准》</w:t>
            </w:r>
            <w:r>
              <w:rPr>
                <w:rFonts w:hint="eastAsia"/>
                <w:color w:val="auto"/>
                <w:sz w:val="24"/>
                <w:highlight w:val="none"/>
                <w:lang w:val="zh-CN"/>
              </w:rPr>
              <w:t>（</w:t>
            </w:r>
            <w:r>
              <w:rPr>
                <w:color w:val="auto"/>
                <w:sz w:val="24"/>
                <w:highlight w:val="none"/>
                <w:lang w:val="zh-CN"/>
              </w:rPr>
              <w:t>GB12348-2008</w:t>
            </w:r>
            <w:r>
              <w:rPr>
                <w:rFonts w:hint="eastAsia"/>
                <w:color w:val="auto"/>
                <w:sz w:val="24"/>
                <w:highlight w:val="none"/>
                <w:lang w:val="zh-CN"/>
              </w:rPr>
              <w:t>）</w:t>
            </w:r>
            <w:r>
              <w:rPr>
                <w:rFonts w:hint="eastAsia"/>
                <w:color w:val="auto"/>
                <w:sz w:val="24"/>
                <w:highlight w:val="none"/>
                <w:lang w:val="en-US" w:eastAsia="zh-CN"/>
              </w:rPr>
              <w:t>表1</w:t>
            </w:r>
            <w:r>
              <w:rPr>
                <w:color w:val="auto"/>
                <w:sz w:val="24"/>
                <w:highlight w:val="none"/>
                <w:lang w:val="zh-CN"/>
              </w:rPr>
              <w:t>中的3类标准。</w:t>
            </w:r>
            <w:r>
              <w:rPr>
                <w:rFonts w:hint="eastAsia"/>
                <w:color w:val="auto"/>
                <w:sz w:val="24"/>
                <w:highlight w:val="none"/>
                <w:lang w:val="en-US" w:eastAsia="zh-CN"/>
              </w:rPr>
              <w:t>详见表3.7-5。</w:t>
            </w:r>
          </w:p>
          <w:p w14:paraId="533E45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24"/>
                <w:highlight w:val="none"/>
                <w:u w:val="none"/>
                <w:lang w:val="en-US" w:eastAsia="zh-CN"/>
              </w:rPr>
            </w:pPr>
            <w:bookmarkStart w:id="120" w:name="_Toc31199"/>
            <w:bookmarkStart w:id="121" w:name="_Toc25865"/>
            <w:bookmarkStart w:id="122" w:name="_Toc8302"/>
            <w:bookmarkStart w:id="123" w:name="_Toc19195"/>
            <w:r>
              <w:rPr>
                <w:rFonts w:hint="default" w:ascii="Times New Roman" w:hAnsi="Times New Roman" w:eastAsia="宋体" w:cs="Times New Roman"/>
                <w:b/>
                <w:bCs/>
                <w:color w:val="auto"/>
                <w:sz w:val="24"/>
                <w:szCs w:val="24"/>
                <w:highlight w:val="none"/>
                <w:u w:val="none"/>
                <w:lang w:val="en-US" w:eastAsia="zh-CN"/>
              </w:rPr>
              <w:t>表3.7-5《工业企业厂界环境噪声排放标准》（GB12348-2008）表1（摘录）</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93"/>
              <w:gridCol w:w="1512"/>
              <w:gridCol w:w="1432"/>
              <w:gridCol w:w="1491"/>
            </w:tblGrid>
            <w:tr w14:paraId="0E8C60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2399" w:type="pct"/>
                  <w:tcBorders>
                    <w:tl2br w:val="single" w:color="auto" w:sz="2" w:space="0"/>
                  </w:tcBorders>
                  <w:noWrap w:val="0"/>
                  <w:vAlign w:val="center"/>
                </w:tcPr>
                <w:p w14:paraId="5B8FAC0A">
                  <w:pPr>
                    <w:snapToGrid w:val="0"/>
                    <w:spacing w:line="340" w:lineRule="exact"/>
                    <w:jc w:val="right"/>
                    <w:rPr>
                      <w:snapToGrid w:val="0"/>
                      <w:color w:val="auto"/>
                      <w:kern w:val="18"/>
                      <w:szCs w:val="21"/>
                      <w:highlight w:val="none"/>
                    </w:rPr>
                  </w:pPr>
                  <w:r>
                    <w:rPr>
                      <w:snapToGrid w:val="0"/>
                      <w:color w:val="auto"/>
                      <w:kern w:val="18"/>
                      <w:szCs w:val="21"/>
                      <w:highlight w:val="none"/>
                    </w:rPr>
                    <w:t>时段</w:t>
                  </w:r>
                </w:p>
                <w:p w14:paraId="72DF78FB">
                  <w:pPr>
                    <w:snapToGrid w:val="0"/>
                    <w:spacing w:line="340" w:lineRule="exact"/>
                    <w:rPr>
                      <w:snapToGrid w:val="0"/>
                      <w:color w:val="auto"/>
                      <w:kern w:val="18"/>
                      <w:szCs w:val="21"/>
                      <w:highlight w:val="none"/>
                    </w:rPr>
                  </w:pPr>
                  <w:r>
                    <w:rPr>
                      <w:snapToGrid w:val="0"/>
                      <w:color w:val="auto"/>
                      <w:kern w:val="18"/>
                      <w:szCs w:val="21"/>
                      <w:highlight w:val="none"/>
                    </w:rPr>
                    <w:t>厂界外声环境功能区类别</w:t>
                  </w:r>
                </w:p>
              </w:tc>
              <w:tc>
                <w:tcPr>
                  <w:tcW w:w="886" w:type="pct"/>
                  <w:noWrap w:val="0"/>
                  <w:vAlign w:val="center"/>
                </w:tcPr>
                <w:p w14:paraId="02C5A537">
                  <w:pPr>
                    <w:snapToGrid w:val="0"/>
                    <w:spacing w:line="340" w:lineRule="exact"/>
                    <w:jc w:val="center"/>
                    <w:rPr>
                      <w:rFonts w:hint="eastAsia" w:eastAsia="宋体"/>
                      <w:snapToGrid w:val="0"/>
                      <w:color w:val="auto"/>
                      <w:kern w:val="18"/>
                      <w:szCs w:val="21"/>
                      <w:highlight w:val="none"/>
                      <w:lang w:val="en-US" w:eastAsia="zh-CN"/>
                    </w:rPr>
                  </w:pPr>
                  <w:r>
                    <w:rPr>
                      <w:rFonts w:hint="eastAsia"/>
                      <w:snapToGrid w:val="0"/>
                      <w:color w:val="auto"/>
                      <w:kern w:val="18"/>
                      <w:szCs w:val="21"/>
                      <w:highlight w:val="none"/>
                      <w:lang w:val="en-US" w:eastAsia="zh-CN"/>
                    </w:rPr>
                    <w:t>单位</w:t>
                  </w:r>
                </w:p>
              </w:tc>
              <w:tc>
                <w:tcPr>
                  <w:tcW w:w="839" w:type="pct"/>
                  <w:noWrap w:val="0"/>
                  <w:vAlign w:val="center"/>
                </w:tcPr>
                <w:p w14:paraId="355BF557">
                  <w:pPr>
                    <w:snapToGrid w:val="0"/>
                    <w:spacing w:line="340" w:lineRule="exact"/>
                    <w:jc w:val="center"/>
                    <w:rPr>
                      <w:rFonts w:hint="default" w:eastAsia="宋体"/>
                      <w:snapToGrid w:val="0"/>
                      <w:color w:val="auto"/>
                      <w:kern w:val="18"/>
                      <w:szCs w:val="21"/>
                      <w:highlight w:val="none"/>
                      <w:lang w:val="en-US" w:eastAsia="zh-CN"/>
                    </w:rPr>
                  </w:pPr>
                  <w:r>
                    <w:rPr>
                      <w:rFonts w:hint="eastAsia" w:eastAsia="宋体"/>
                      <w:snapToGrid w:val="0"/>
                      <w:color w:val="auto"/>
                      <w:kern w:val="18"/>
                      <w:szCs w:val="21"/>
                      <w:highlight w:val="none"/>
                      <w:lang w:val="en-US" w:eastAsia="zh-CN"/>
                    </w:rPr>
                    <w:t>昼间</w:t>
                  </w:r>
                </w:p>
              </w:tc>
              <w:tc>
                <w:tcPr>
                  <w:tcW w:w="874" w:type="pct"/>
                  <w:noWrap w:val="0"/>
                  <w:vAlign w:val="center"/>
                </w:tcPr>
                <w:p w14:paraId="4622D97B">
                  <w:pPr>
                    <w:snapToGrid w:val="0"/>
                    <w:spacing w:line="340" w:lineRule="exact"/>
                    <w:jc w:val="center"/>
                    <w:rPr>
                      <w:rFonts w:hint="default"/>
                      <w:snapToGrid w:val="0"/>
                      <w:color w:val="auto"/>
                      <w:kern w:val="18"/>
                      <w:szCs w:val="21"/>
                      <w:highlight w:val="none"/>
                      <w:lang w:val="en-US" w:eastAsia="zh-CN"/>
                    </w:rPr>
                  </w:pPr>
                  <w:r>
                    <w:rPr>
                      <w:rFonts w:hint="eastAsia"/>
                      <w:snapToGrid w:val="0"/>
                      <w:color w:val="auto"/>
                      <w:kern w:val="18"/>
                      <w:szCs w:val="21"/>
                      <w:highlight w:val="none"/>
                      <w:lang w:val="en-US" w:eastAsia="zh-CN"/>
                    </w:rPr>
                    <w:t>夜间</w:t>
                  </w:r>
                </w:p>
              </w:tc>
            </w:tr>
            <w:tr w14:paraId="07363D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0" w:hRule="atLeast"/>
                <w:jc w:val="center"/>
              </w:trPr>
              <w:tc>
                <w:tcPr>
                  <w:tcW w:w="2399" w:type="pct"/>
                  <w:noWrap w:val="0"/>
                  <w:vAlign w:val="center"/>
                </w:tcPr>
                <w:p w14:paraId="6372DCDF">
                  <w:pPr>
                    <w:snapToGrid w:val="0"/>
                    <w:spacing w:line="340" w:lineRule="exact"/>
                    <w:jc w:val="center"/>
                    <w:rPr>
                      <w:snapToGrid w:val="0"/>
                      <w:color w:val="auto"/>
                      <w:kern w:val="18"/>
                      <w:szCs w:val="21"/>
                      <w:highlight w:val="none"/>
                    </w:rPr>
                  </w:pPr>
                  <w:r>
                    <w:rPr>
                      <w:rFonts w:hint="eastAsia"/>
                      <w:snapToGrid w:val="0"/>
                      <w:color w:val="auto"/>
                      <w:kern w:val="18"/>
                      <w:szCs w:val="21"/>
                      <w:highlight w:val="none"/>
                    </w:rPr>
                    <w:t>3</w:t>
                  </w:r>
                  <w:r>
                    <w:rPr>
                      <w:snapToGrid w:val="0"/>
                      <w:color w:val="auto"/>
                      <w:kern w:val="18"/>
                      <w:szCs w:val="21"/>
                      <w:highlight w:val="none"/>
                    </w:rPr>
                    <w:t>类</w:t>
                  </w:r>
                </w:p>
              </w:tc>
              <w:tc>
                <w:tcPr>
                  <w:tcW w:w="886" w:type="pct"/>
                  <w:noWrap w:val="0"/>
                  <w:vAlign w:val="center"/>
                </w:tcPr>
                <w:p w14:paraId="3073A7E2">
                  <w:pPr>
                    <w:snapToGrid w:val="0"/>
                    <w:spacing w:line="340" w:lineRule="exact"/>
                    <w:jc w:val="center"/>
                    <w:rPr>
                      <w:rFonts w:hint="default" w:eastAsia="宋体"/>
                      <w:snapToGrid w:val="0"/>
                      <w:color w:val="auto"/>
                      <w:kern w:val="18"/>
                      <w:szCs w:val="21"/>
                      <w:highlight w:val="none"/>
                      <w:lang w:val="en-US" w:eastAsia="zh-CN"/>
                    </w:rPr>
                  </w:pPr>
                  <w:r>
                    <w:rPr>
                      <w:rFonts w:hint="eastAsia"/>
                      <w:snapToGrid w:val="0"/>
                      <w:color w:val="auto"/>
                      <w:kern w:val="18"/>
                      <w:szCs w:val="21"/>
                      <w:highlight w:val="none"/>
                      <w:lang w:val="en-US" w:eastAsia="zh-CN"/>
                    </w:rPr>
                    <w:t>dB(A)</w:t>
                  </w:r>
                </w:p>
              </w:tc>
              <w:tc>
                <w:tcPr>
                  <w:tcW w:w="839" w:type="pct"/>
                  <w:noWrap w:val="0"/>
                  <w:vAlign w:val="center"/>
                </w:tcPr>
                <w:p w14:paraId="1A402EA4">
                  <w:pPr>
                    <w:snapToGrid w:val="0"/>
                    <w:spacing w:line="340" w:lineRule="exact"/>
                    <w:jc w:val="center"/>
                    <w:rPr>
                      <w:rFonts w:hint="default"/>
                      <w:snapToGrid w:val="0"/>
                      <w:color w:val="auto"/>
                      <w:kern w:val="18"/>
                      <w:szCs w:val="21"/>
                      <w:highlight w:val="none"/>
                      <w:lang w:val="en-US"/>
                    </w:rPr>
                  </w:pPr>
                  <w:r>
                    <w:rPr>
                      <w:snapToGrid w:val="0"/>
                      <w:color w:val="auto"/>
                      <w:kern w:val="18"/>
                      <w:szCs w:val="21"/>
                      <w:highlight w:val="none"/>
                    </w:rPr>
                    <w:t>≤</w:t>
                  </w:r>
                  <w:r>
                    <w:rPr>
                      <w:rFonts w:hint="eastAsia"/>
                      <w:snapToGrid w:val="0"/>
                      <w:color w:val="auto"/>
                      <w:kern w:val="18"/>
                      <w:szCs w:val="21"/>
                      <w:highlight w:val="none"/>
                      <w:lang w:val="en-US" w:eastAsia="zh-CN"/>
                    </w:rPr>
                    <w:t>65</w:t>
                  </w:r>
                </w:p>
              </w:tc>
              <w:tc>
                <w:tcPr>
                  <w:tcW w:w="874" w:type="pct"/>
                  <w:noWrap w:val="0"/>
                  <w:vAlign w:val="center"/>
                </w:tcPr>
                <w:p w14:paraId="361F033D">
                  <w:pPr>
                    <w:snapToGrid w:val="0"/>
                    <w:spacing w:line="340" w:lineRule="exact"/>
                    <w:jc w:val="center"/>
                    <w:rPr>
                      <w:rFonts w:hint="default" w:eastAsia="宋体"/>
                      <w:snapToGrid w:val="0"/>
                      <w:color w:val="auto"/>
                      <w:kern w:val="18"/>
                      <w:szCs w:val="21"/>
                      <w:highlight w:val="none"/>
                      <w:lang w:val="en-US" w:eastAsia="zh-CN"/>
                    </w:rPr>
                  </w:pPr>
                  <w:r>
                    <w:rPr>
                      <w:snapToGrid w:val="0"/>
                      <w:color w:val="auto"/>
                      <w:kern w:val="18"/>
                      <w:szCs w:val="21"/>
                      <w:highlight w:val="none"/>
                    </w:rPr>
                    <w:t>≤</w:t>
                  </w:r>
                  <w:r>
                    <w:rPr>
                      <w:rFonts w:hint="eastAsia"/>
                      <w:snapToGrid w:val="0"/>
                      <w:color w:val="auto"/>
                      <w:kern w:val="18"/>
                      <w:szCs w:val="21"/>
                      <w:highlight w:val="none"/>
                      <w:lang w:val="en-US" w:eastAsia="zh-CN"/>
                    </w:rPr>
                    <w:t>55</w:t>
                  </w:r>
                </w:p>
              </w:tc>
            </w:tr>
          </w:tbl>
          <w:p w14:paraId="4566384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24" w:name="_Toc7717"/>
            <w:bookmarkStart w:id="125" w:name="_Toc4224"/>
            <w:r>
              <w:rPr>
                <w:rFonts w:hint="eastAsia" w:ascii="Times New Roman" w:hAnsi="Times New Roman" w:eastAsia="宋体" w:cs="Times New Roman"/>
                <w:b/>
                <w:bCs/>
                <w:color w:val="auto"/>
                <w:sz w:val="24"/>
                <w:szCs w:val="24"/>
                <w:highlight w:val="none"/>
                <w:u w:val="none"/>
                <w:lang w:val="en-US" w:eastAsia="zh-CN"/>
              </w:rPr>
              <w:t>3.7.4固废</w:t>
            </w:r>
            <w:bookmarkEnd w:id="120"/>
            <w:bookmarkEnd w:id="121"/>
            <w:bookmarkEnd w:id="122"/>
            <w:bookmarkEnd w:id="123"/>
            <w:bookmarkEnd w:id="124"/>
            <w:bookmarkEnd w:id="125"/>
          </w:p>
          <w:p w14:paraId="0CE66E64">
            <w:pPr>
              <w:widowControl/>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运营期项目内产生的一般工业固废</w:t>
            </w:r>
            <w:r>
              <w:rPr>
                <w:rFonts w:hint="eastAsia" w:ascii="Times New Roman" w:hAnsi="Times New Roman" w:eastAsia="宋体" w:cs="Times New Roman"/>
                <w:color w:val="auto"/>
                <w:sz w:val="24"/>
                <w:szCs w:val="24"/>
                <w:highlight w:val="none"/>
                <w:lang w:val="en-US" w:eastAsia="zh-CN"/>
              </w:rPr>
              <w:t>贮存</w:t>
            </w:r>
            <w:r>
              <w:rPr>
                <w:rFonts w:hint="default" w:ascii="Times New Roman" w:hAnsi="Times New Roman" w:eastAsia="宋体" w:cs="Times New Roman"/>
                <w:color w:val="auto"/>
                <w:sz w:val="24"/>
                <w:szCs w:val="24"/>
                <w:highlight w:val="none"/>
                <w:lang w:val="en-US" w:eastAsia="zh-CN"/>
              </w:rPr>
              <w:t>应按照</w:t>
            </w:r>
            <w:r>
              <w:rPr>
                <w:rFonts w:hint="eastAsia" w:ascii="Times New Roman" w:hAnsi="Times New Roman" w:eastAsia="宋体" w:cs="Times New Roman"/>
                <w:color w:val="auto"/>
                <w:sz w:val="24"/>
                <w:szCs w:val="24"/>
                <w:highlight w:val="none"/>
                <w:lang w:val="en-US" w:eastAsia="zh-CN"/>
              </w:rPr>
              <w:t>《一般工业固体废物贮存和填埋污染控制标准》（GB18599-2020）要求</w:t>
            </w:r>
            <w:r>
              <w:rPr>
                <w:rFonts w:hint="default" w:ascii="Times New Roman" w:hAnsi="Times New Roman" w:eastAsia="宋体" w:cs="Times New Roman"/>
                <w:color w:val="auto"/>
                <w:sz w:val="24"/>
                <w:szCs w:val="24"/>
                <w:highlight w:val="none"/>
                <w:lang w:val="en-US" w:eastAsia="zh-CN"/>
              </w:rPr>
              <w:t>进行</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项目产生的危险废物</w:t>
            </w:r>
            <w:r>
              <w:rPr>
                <w:rFonts w:hint="eastAsia" w:ascii="Times New Roman" w:hAnsi="Times New Roman" w:eastAsia="宋体" w:cs="Times New Roman"/>
                <w:color w:val="auto"/>
                <w:sz w:val="24"/>
                <w:szCs w:val="24"/>
                <w:highlight w:val="none"/>
                <w:lang w:val="en-US" w:eastAsia="zh-CN"/>
              </w:rPr>
              <w:t>贮存</w:t>
            </w:r>
            <w:r>
              <w:rPr>
                <w:rFonts w:hint="default" w:ascii="Times New Roman" w:hAnsi="Times New Roman" w:eastAsia="宋体" w:cs="Times New Roman"/>
                <w:color w:val="auto"/>
                <w:sz w:val="24"/>
                <w:szCs w:val="24"/>
                <w:highlight w:val="none"/>
                <w:lang w:val="en-US" w:eastAsia="zh-CN"/>
              </w:rPr>
              <w:t>按照</w:t>
            </w:r>
            <w:r>
              <w:rPr>
                <w:rFonts w:hint="eastAsia" w:ascii="Times New Roman" w:hAnsi="Times New Roman" w:eastAsia="宋体" w:cs="Times New Roman"/>
                <w:color w:val="auto"/>
                <w:sz w:val="24"/>
                <w:szCs w:val="24"/>
                <w:highlight w:val="none"/>
                <w:lang w:val="en-US" w:eastAsia="zh-CN"/>
              </w:rPr>
              <w:t>《危险废物贮存污染控制标准》（GB18597-2023）要求</w:t>
            </w:r>
            <w:r>
              <w:rPr>
                <w:rFonts w:hint="default" w:ascii="Times New Roman" w:hAnsi="Times New Roman" w:eastAsia="宋体" w:cs="Times New Roman"/>
                <w:color w:val="auto"/>
                <w:sz w:val="24"/>
                <w:szCs w:val="24"/>
                <w:highlight w:val="none"/>
                <w:lang w:val="en-US" w:eastAsia="zh-CN"/>
              </w:rPr>
              <w:t>进行</w:t>
            </w:r>
            <w:r>
              <w:rPr>
                <w:rFonts w:hint="eastAsia" w:ascii="Times New Roman" w:hAnsi="Times New Roman" w:eastAsia="宋体" w:cs="Times New Roman"/>
                <w:color w:val="auto"/>
                <w:sz w:val="24"/>
                <w:szCs w:val="24"/>
                <w:highlight w:val="none"/>
                <w:lang w:val="en-US" w:eastAsia="zh-CN"/>
              </w:rPr>
              <w:t>，危险废物识别标志按照《危险废物识别标志设置技术规范》（HJ1276-2022）要求进行</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eastAsia="宋体" w:cs="Times New Roman"/>
                <w:color w:val="auto"/>
                <w:sz w:val="24"/>
                <w:szCs w:val="24"/>
                <w:highlight w:val="none"/>
                <w:lang w:val="en-US" w:eastAsia="zh-CN"/>
              </w:rPr>
              <w:t>，危险废物转移按照《危险废物转移管理办法》要求进行</w:t>
            </w:r>
            <w:r>
              <w:rPr>
                <w:rFonts w:hint="default" w:ascii="Times New Roman" w:hAnsi="Times New Roman" w:eastAsia="宋体" w:cs="Times New Roman"/>
                <w:color w:val="auto"/>
                <w:sz w:val="24"/>
                <w:szCs w:val="24"/>
                <w:highlight w:val="none"/>
                <w:lang w:val="en-US" w:eastAsia="zh-CN"/>
              </w:rPr>
              <w:t>。</w:t>
            </w:r>
          </w:p>
          <w:p w14:paraId="0B53D088">
            <w:pPr>
              <w:pStyle w:val="2"/>
              <w:rPr>
                <w:rFonts w:hint="eastAsia"/>
                <w:color w:val="auto"/>
                <w:lang w:eastAsia="zh-CN"/>
              </w:rPr>
            </w:pPr>
          </w:p>
        </w:tc>
      </w:tr>
      <w:tr w14:paraId="52D4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456" w:type="dxa"/>
            <w:vAlign w:val="center"/>
          </w:tcPr>
          <w:p w14:paraId="22878926">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rPr>
              <w:t>总量控制指标</w:t>
            </w:r>
          </w:p>
        </w:tc>
        <w:tc>
          <w:tcPr>
            <w:tcW w:w="8749" w:type="dxa"/>
          </w:tcPr>
          <w:p w14:paraId="2F3CF6A1">
            <w:pPr>
              <w:pStyle w:val="47"/>
              <w:keepNext w:val="0"/>
              <w:keepLines w:val="0"/>
              <w:pageBreakBefore w:val="0"/>
              <w:widowControl w:val="0"/>
              <w:kinsoku/>
              <w:wordWrap/>
              <w:overflowPunct/>
              <w:topLinePunct w:val="0"/>
              <w:autoSpaceDE/>
              <w:autoSpaceDN/>
              <w:bidi w:val="0"/>
              <w:adjustRightInd w:val="0"/>
              <w:snapToGrid/>
              <w:textAlignment w:val="auto"/>
              <w:outlineLvl w:val="1"/>
              <w:rPr>
                <w:rFonts w:hint="eastAsia"/>
                <w:color w:val="auto"/>
                <w:szCs w:val="28"/>
                <w:highlight w:val="none"/>
                <w:lang w:val="en-US" w:eastAsia="zh-CN"/>
              </w:rPr>
            </w:pPr>
            <w:bookmarkStart w:id="126" w:name="_Toc9686"/>
            <w:bookmarkStart w:id="127" w:name="_Toc11226"/>
            <w:r>
              <w:rPr>
                <w:rFonts w:hint="eastAsia"/>
                <w:color w:val="auto"/>
                <w:szCs w:val="28"/>
                <w:highlight w:val="none"/>
                <w:lang w:val="en-US" w:eastAsia="zh-CN"/>
              </w:rPr>
              <w:t>3.8总量控制</w:t>
            </w:r>
            <w:bookmarkEnd w:id="126"/>
            <w:bookmarkEnd w:id="127"/>
          </w:p>
          <w:p w14:paraId="6DA519CC">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根据《福建省环保局关于做好建设项目环保审批污染物总量控制有关工作的通知》和国家主要污染物排放总量控制方案，主要控制污染物指标为COD、NH</w:t>
            </w:r>
            <w:r>
              <w:rPr>
                <w:rFonts w:hint="default" w:ascii="Times New Roman" w:hAnsi="Times New Roman" w:eastAsia="宋体" w:cs="宋体"/>
                <w:color w:val="auto"/>
                <w:highlight w:val="none"/>
                <w:vertAlign w:val="subscript"/>
                <w:lang w:val="en-US" w:eastAsia="zh-CN"/>
              </w:rPr>
              <w:t>3</w:t>
            </w:r>
            <w:r>
              <w:rPr>
                <w:rFonts w:hint="default" w:ascii="Times New Roman" w:hAnsi="Times New Roman" w:eastAsia="宋体" w:cs="宋体"/>
                <w:color w:val="auto"/>
                <w:highlight w:val="none"/>
                <w:lang w:val="en-US" w:eastAsia="zh-CN"/>
              </w:rPr>
              <w:t>-N、SO</w:t>
            </w:r>
            <w:r>
              <w:rPr>
                <w:rFonts w:hint="default" w:ascii="Times New Roman" w:hAnsi="Times New Roman" w:eastAsia="宋体" w:cs="宋体"/>
                <w:color w:val="auto"/>
                <w:highlight w:val="none"/>
                <w:vertAlign w:val="subscript"/>
                <w:lang w:val="en-US" w:eastAsia="zh-CN"/>
              </w:rPr>
              <w:t>2</w:t>
            </w:r>
            <w:r>
              <w:rPr>
                <w:rFonts w:hint="default" w:ascii="Times New Roman" w:hAnsi="Times New Roman" w:eastAsia="宋体" w:cs="宋体"/>
                <w:color w:val="auto"/>
                <w:highlight w:val="none"/>
                <w:lang w:val="en-US" w:eastAsia="zh-CN"/>
              </w:rPr>
              <w:t>及NOx</w:t>
            </w:r>
            <w:r>
              <w:rPr>
                <w:rFonts w:hint="eastAsia" w:ascii="Times New Roman" w:hAnsi="Times New Roman" w:cs="宋体"/>
                <w:color w:val="auto"/>
                <w:highlight w:val="none"/>
                <w:lang w:val="en-US" w:eastAsia="zh-CN"/>
              </w:rPr>
              <w:t>。</w:t>
            </w:r>
            <w:r>
              <w:rPr>
                <w:rFonts w:hint="default" w:ascii="Times New Roman" w:hAnsi="Times New Roman" w:eastAsia="宋体" w:cs="宋体"/>
                <w:color w:val="auto"/>
                <w:highlight w:val="none"/>
                <w:lang w:val="en-US" w:eastAsia="zh-CN"/>
              </w:rPr>
              <w:t>建议性控制指标为VOCs。</w:t>
            </w:r>
          </w:p>
          <w:p w14:paraId="663ED9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28" w:name="_Toc8787"/>
            <w:bookmarkStart w:id="129" w:name="_Toc24744"/>
            <w:r>
              <w:rPr>
                <w:rFonts w:hint="eastAsia" w:ascii="Times New Roman" w:hAnsi="Times New Roman" w:eastAsia="宋体" w:cs="Times New Roman"/>
                <w:b/>
                <w:bCs/>
                <w:color w:val="auto"/>
                <w:sz w:val="24"/>
                <w:szCs w:val="24"/>
                <w:highlight w:val="none"/>
                <w:u w:val="none"/>
                <w:lang w:val="en-US" w:eastAsia="zh-CN"/>
              </w:rPr>
              <w:t>3.8.1废水总量</w:t>
            </w:r>
            <w:bookmarkEnd w:id="128"/>
            <w:bookmarkEnd w:id="129"/>
          </w:p>
          <w:p w14:paraId="6940E237">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生产过程中用水主要为模具冷却水及蒸汽冷凝水。所产生</w:t>
            </w:r>
            <w:r>
              <w:rPr>
                <w:rFonts w:hint="eastAsia" w:ascii="Times New Roman" w:hAnsi="Times New Roman" w:cs="Times New Roman"/>
                <w:color w:val="auto"/>
                <w:sz w:val="24"/>
                <w:highlight w:val="none"/>
                <w:lang w:val="en-US" w:eastAsia="zh-CN"/>
              </w:rPr>
              <w:t>生产废水</w:t>
            </w:r>
            <w:r>
              <w:rPr>
                <w:rFonts w:hint="eastAsia" w:ascii="Times New Roman" w:hAnsi="Times New Roman" w:eastAsia="宋体" w:cs="Times New Roman"/>
                <w:color w:val="auto"/>
                <w:sz w:val="24"/>
                <w:highlight w:val="none"/>
                <w:lang w:val="en-US" w:eastAsia="zh-CN"/>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color w:val="auto"/>
                <w:sz w:val="24"/>
                <w:highlight w:val="none"/>
                <w:lang w:val="en-US" w:eastAsia="zh-CN"/>
              </w:rPr>
              <w:t>冷却后回用于模具冷却，循环使用不外排。仅生活污水依托厂内已建的化粪池处理后进入市政污水管网纳入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z w:val="24"/>
                <w:highlight w:val="none"/>
                <w:lang w:val="en-US" w:eastAsia="zh-CN"/>
              </w:rPr>
              <w:t>集中处理，</w:t>
            </w:r>
            <w:r>
              <w:rPr>
                <w:rFonts w:hint="eastAsia" w:ascii="Times New Roman" w:hAnsi="Times New Roman" w:cs="Times New Roman"/>
                <w:color w:val="auto"/>
                <w:sz w:val="24"/>
                <w:highlight w:val="none"/>
                <w:lang w:val="en-US" w:eastAsia="zh-CN"/>
              </w:rPr>
              <w:t>江</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sz w:val="24"/>
                <w:highlight w:val="none"/>
                <w:lang w:val="en-US" w:eastAsia="zh-CN"/>
              </w:rPr>
              <w:t>尾水排入</w:t>
            </w:r>
            <w:r>
              <w:rPr>
                <w:rFonts w:hint="eastAsia" w:ascii="Times New Roman" w:hAnsi="Times New Roman" w:eastAsia="宋体" w:cs="Times New Roman"/>
                <w:color w:val="auto"/>
                <w:sz w:val="24"/>
                <w:highlight w:val="none"/>
                <w:lang w:val="en-US" w:eastAsia="zh-CN"/>
              </w:rPr>
              <w:t>兴化湾。</w:t>
            </w:r>
            <w:r>
              <w:rPr>
                <w:rFonts w:hint="default" w:ascii="Times New Roman" w:hAnsi="Times New Roman" w:eastAsia="宋体" w:cs="Times New Roman"/>
                <w:color w:val="auto"/>
                <w:sz w:val="24"/>
                <w:szCs w:val="24"/>
                <w:highlight w:val="none"/>
                <w:u w:val="none"/>
              </w:rPr>
              <w:t>根据《福建省环保厅关于进一步明确排污权工作有关问题的通知》</w:t>
            </w:r>
            <w:r>
              <w:rPr>
                <w:rFonts w:hint="eastAsia"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闽环保财</w:t>
            </w:r>
            <w:r>
              <w:rPr>
                <w:rFonts w:hint="eastAsia" w:ascii="Times New Roman" w:hAnsi="Times New Roman" w:cs="Times New Roman"/>
                <w:color w:val="auto"/>
                <w:sz w:val="24"/>
                <w:szCs w:val="24"/>
                <w:highlight w:val="none"/>
                <w:u w:val="none"/>
                <w:lang w:eastAsia="zh-CN"/>
              </w:rPr>
              <w:t>〔2017〕22号）</w:t>
            </w:r>
            <w:r>
              <w:rPr>
                <w:rFonts w:hint="default" w:ascii="Times New Roman" w:hAnsi="Times New Roman" w:eastAsia="宋体" w:cs="Times New Roman"/>
                <w:color w:val="auto"/>
                <w:sz w:val="24"/>
                <w:szCs w:val="24"/>
                <w:highlight w:val="none"/>
                <w:u w:val="none"/>
              </w:rPr>
              <w:t>，现有工业排污单位的水污染物的初始排污权只核定工业废水部分，</w:t>
            </w:r>
            <w:r>
              <w:rPr>
                <w:rFonts w:hint="eastAsia" w:ascii="Times New Roman" w:hAnsi="Times New Roman" w:eastAsia="宋体" w:cs="Times New Roman"/>
                <w:color w:val="auto"/>
                <w:sz w:val="24"/>
                <w:szCs w:val="24"/>
                <w:highlight w:val="none"/>
                <w:u w:val="none"/>
                <w:lang w:eastAsia="zh-CN"/>
              </w:rPr>
              <w:t>本项目无生产废水的排放，</w:t>
            </w:r>
            <w:r>
              <w:rPr>
                <w:rFonts w:hint="default" w:ascii="Times New Roman" w:hAnsi="Times New Roman" w:eastAsia="宋体" w:cs="Times New Roman"/>
                <w:color w:val="auto"/>
                <w:sz w:val="24"/>
                <w:szCs w:val="24"/>
                <w:highlight w:val="none"/>
                <w:u w:val="none"/>
                <w:lang w:val="en-US" w:eastAsia="zh-CN"/>
              </w:rPr>
              <w:t>项目生活污水排放暂不需要购买相应的排污权指标，因此，</w:t>
            </w:r>
            <w:r>
              <w:rPr>
                <w:rFonts w:hint="default" w:ascii="Times New Roman" w:hAnsi="Times New Roman" w:eastAsia="宋体" w:cs="Times New Roman"/>
                <w:color w:val="auto"/>
                <w:sz w:val="24"/>
                <w:szCs w:val="24"/>
                <w:highlight w:val="none"/>
                <w:u w:val="none"/>
              </w:rPr>
              <w:t>无需申请总量控制指标。</w:t>
            </w:r>
          </w:p>
          <w:p w14:paraId="23C9BE5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30" w:name="_Toc1497"/>
            <w:bookmarkStart w:id="131" w:name="_Toc8925"/>
            <w:r>
              <w:rPr>
                <w:rFonts w:hint="eastAsia" w:ascii="Times New Roman" w:hAnsi="Times New Roman" w:eastAsia="宋体" w:cs="Times New Roman"/>
                <w:b/>
                <w:bCs/>
                <w:color w:val="auto"/>
                <w:sz w:val="24"/>
                <w:szCs w:val="24"/>
                <w:highlight w:val="none"/>
                <w:u w:val="none"/>
                <w:lang w:val="en-US" w:eastAsia="zh-CN"/>
              </w:rPr>
              <w:t>3.8.2废气总量</w:t>
            </w:r>
            <w:bookmarkEnd w:id="130"/>
            <w:bookmarkEnd w:id="131"/>
          </w:p>
          <w:p w14:paraId="7CE296C3">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highlight w:val="none"/>
                <w:shd w:val="clear" w:color="auto" w:fill="FFFFFF"/>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《福建省环保局关于做好建设项目环保审批污染物总量控制有关工作的通知》</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闽环保监</w:t>
            </w:r>
            <w:r>
              <w:rPr>
                <w:rFonts w:hint="default" w:ascii="Times New Roman" w:hAnsi="Times New Roman" w:eastAsia="宋体" w:cs="Times New Roman"/>
                <w:color w:val="auto"/>
                <w:sz w:val="24"/>
                <w:szCs w:val="24"/>
                <w:highlight w:val="none"/>
                <w:lang w:eastAsia="zh-CN"/>
              </w:rPr>
              <w:t>〔2007〕52号</w:t>
            </w:r>
            <w:r>
              <w:rPr>
                <w:rFonts w:hint="default" w:ascii="Times New Roman" w:hAnsi="Times New Roman" w:eastAsia="宋体" w:cs="Times New Roman"/>
                <w:color w:val="auto"/>
                <w:sz w:val="24"/>
                <w:szCs w:val="24"/>
                <w:highlight w:val="none"/>
              </w:rPr>
              <w:t>文</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十三五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主要污染物总量控制规划编制技术指南》的有关总量</w:t>
            </w:r>
            <w:r>
              <w:rPr>
                <w:rFonts w:hint="default" w:ascii="Times New Roman" w:hAnsi="Times New Roman" w:eastAsia="宋体" w:cs="Times New Roman"/>
                <w:color w:val="auto"/>
                <w:sz w:val="24"/>
                <w:szCs w:val="24"/>
                <w:highlight w:val="none"/>
                <w:shd w:val="clear" w:color="auto" w:fill="FFFFFF"/>
              </w:rPr>
              <w:t>调剂</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项目排放的</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挥发性有机物（VOCs）。</w:t>
            </w:r>
            <w:r>
              <w:rPr>
                <w:rFonts w:hint="default" w:ascii="Times New Roman" w:hAnsi="Times New Roman" w:eastAsia="宋体" w:cs="Times New Roman"/>
                <w:color w:val="auto"/>
                <w:kern w:val="2"/>
                <w:szCs w:val="24"/>
                <w:highlight w:val="none"/>
                <w:shd w:val="clear" w:color="auto" w:fill="FFFFFF"/>
              </w:rPr>
              <w:t>项目废气不涉及SO</w:t>
            </w:r>
            <w:r>
              <w:rPr>
                <w:rFonts w:hint="default" w:ascii="Times New Roman" w:hAnsi="Times New Roman" w:eastAsia="宋体" w:cs="Times New Roman"/>
                <w:color w:val="auto"/>
                <w:kern w:val="2"/>
                <w:szCs w:val="24"/>
                <w:highlight w:val="none"/>
                <w:shd w:val="clear" w:color="auto" w:fill="FFFFFF"/>
                <w:vertAlign w:val="subscript"/>
              </w:rPr>
              <w:t>2</w:t>
            </w:r>
            <w:r>
              <w:rPr>
                <w:rFonts w:hint="default" w:ascii="Times New Roman" w:hAnsi="Times New Roman" w:eastAsia="宋体" w:cs="Times New Roman"/>
                <w:color w:val="auto"/>
                <w:kern w:val="2"/>
                <w:szCs w:val="24"/>
                <w:highlight w:val="none"/>
                <w:shd w:val="clear" w:color="auto" w:fill="FFFFFF"/>
              </w:rPr>
              <w:t>、NO</w:t>
            </w:r>
            <w:r>
              <w:rPr>
                <w:rFonts w:hint="default" w:ascii="Times New Roman" w:hAnsi="Times New Roman" w:eastAsia="宋体" w:cs="Times New Roman"/>
                <w:color w:val="auto"/>
                <w:kern w:val="2"/>
                <w:szCs w:val="24"/>
                <w:highlight w:val="none"/>
                <w:shd w:val="clear" w:color="auto" w:fill="FFFFFF"/>
                <w:vertAlign w:val="subscript"/>
              </w:rPr>
              <w:t>x</w:t>
            </w:r>
            <w:r>
              <w:rPr>
                <w:rFonts w:hint="default" w:ascii="Times New Roman" w:hAnsi="Times New Roman" w:eastAsia="宋体" w:cs="Times New Roman"/>
                <w:color w:val="auto"/>
                <w:kern w:val="2"/>
                <w:szCs w:val="24"/>
                <w:highlight w:val="none"/>
                <w:shd w:val="clear" w:color="auto" w:fill="FFFFFF"/>
              </w:rPr>
              <w:t>等属于国家和地方有偿使用和交易的排污权总量指标</w:t>
            </w:r>
            <w:r>
              <w:rPr>
                <w:rFonts w:hint="default" w:ascii="Times New Roman" w:hAnsi="Times New Roman" w:eastAsia="宋体" w:cs="Times New Roman"/>
                <w:color w:val="auto"/>
                <w:kern w:val="2"/>
                <w:szCs w:val="24"/>
                <w:highlight w:val="none"/>
                <w:shd w:val="clear" w:color="auto" w:fill="FFFFFF"/>
                <w:lang w:eastAsia="zh-CN"/>
              </w:rPr>
              <w:t>。</w:t>
            </w:r>
            <w:r>
              <w:rPr>
                <w:rFonts w:hint="default" w:ascii="Times New Roman" w:hAnsi="Times New Roman" w:eastAsia="宋体" w:cs="Times New Roman"/>
                <w:color w:val="auto"/>
                <w:kern w:val="2"/>
                <w:szCs w:val="24"/>
                <w:highlight w:val="none"/>
                <w:shd w:val="clear" w:color="auto" w:fill="FFFFFF"/>
                <w:lang w:val="en-US" w:eastAsia="zh-CN"/>
              </w:rPr>
              <w:t>因此，本</w:t>
            </w:r>
            <w:r>
              <w:rPr>
                <w:rFonts w:hint="eastAsia" w:ascii="Times New Roman" w:hAnsi="Times New Roman" w:cs="Times New Roman"/>
                <w:color w:val="auto"/>
                <w:kern w:val="2"/>
                <w:szCs w:val="24"/>
                <w:highlight w:val="none"/>
                <w:shd w:val="clear" w:color="auto" w:fill="FFFFFF"/>
                <w:lang w:val="en-US" w:eastAsia="zh-CN"/>
              </w:rPr>
              <w:t>次扩建</w:t>
            </w:r>
            <w:r>
              <w:rPr>
                <w:rFonts w:hint="default" w:ascii="Times New Roman" w:hAnsi="Times New Roman" w:eastAsia="宋体" w:cs="Times New Roman"/>
                <w:color w:val="auto"/>
                <w:kern w:val="2"/>
                <w:szCs w:val="24"/>
                <w:highlight w:val="none"/>
                <w:shd w:val="clear" w:color="auto" w:fill="FFFFFF"/>
                <w:lang w:val="en-US" w:eastAsia="zh-CN"/>
              </w:rPr>
              <w:t>项目废气总量控制指标为VOCs。</w:t>
            </w:r>
            <w:r>
              <w:rPr>
                <w:rFonts w:hint="eastAsia" w:ascii="Times New Roman" w:hAnsi="Times New Roman" w:cs="Times New Roman"/>
                <w:color w:val="auto"/>
                <w:kern w:val="2"/>
                <w:szCs w:val="24"/>
                <w:highlight w:val="none"/>
                <w:shd w:val="clear" w:color="auto" w:fill="FFFFFF"/>
                <w:lang w:val="en-US" w:eastAsia="zh-CN"/>
              </w:rPr>
              <w:t>项目</w:t>
            </w:r>
            <w:r>
              <w:rPr>
                <w:rFonts w:hint="default" w:ascii="Times New Roman" w:hAnsi="Times New Roman" w:eastAsia="宋体" w:cs="Times New Roman"/>
                <w:color w:val="auto"/>
                <w:kern w:val="2"/>
                <w:szCs w:val="24"/>
                <w:highlight w:val="none"/>
                <w:shd w:val="clear" w:color="auto" w:fill="FFFFFF"/>
                <w:lang w:eastAsia="zh-CN"/>
              </w:rPr>
              <w:t>废气</w:t>
            </w:r>
            <w:r>
              <w:rPr>
                <w:rFonts w:hint="default" w:ascii="Times New Roman" w:hAnsi="Times New Roman" w:eastAsia="宋体" w:cs="Times New Roman"/>
                <w:color w:val="auto"/>
                <w:kern w:val="2"/>
                <w:szCs w:val="24"/>
                <w:highlight w:val="none"/>
                <w:shd w:val="clear" w:color="auto" w:fill="FFFFFF"/>
              </w:rPr>
              <w:t>总量指标详见表3.8-1。</w:t>
            </w:r>
          </w:p>
          <w:p w14:paraId="5A71E43D">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GB" w:eastAsia="zh-CN"/>
              </w:rPr>
              <w:t>表3.</w:t>
            </w:r>
            <w:r>
              <w:rPr>
                <w:rFonts w:hint="eastAsia" w:cs="Times New Roman"/>
                <w:b/>
                <w:bCs/>
                <w:color w:val="auto"/>
                <w:sz w:val="24"/>
                <w:szCs w:val="24"/>
                <w:highlight w:val="none"/>
                <w:u w:val="none"/>
                <w:lang w:val="en-US" w:eastAsia="zh-CN"/>
              </w:rPr>
              <w:t>8</w:t>
            </w:r>
            <w:r>
              <w:rPr>
                <w:rFonts w:hint="default" w:ascii="Times New Roman" w:hAnsi="Times New Roman" w:eastAsia="宋体" w:cs="Times New Roman"/>
                <w:b/>
                <w:bCs/>
                <w:color w:val="auto"/>
                <w:sz w:val="24"/>
                <w:szCs w:val="24"/>
                <w:highlight w:val="none"/>
                <w:u w:val="none"/>
                <w:lang w:val="en-GB" w:eastAsia="zh-CN"/>
              </w:rPr>
              <w:t>-</w:t>
            </w:r>
            <w:r>
              <w:rPr>
                <w:rFonts w:hint="eastAsia" w:ascii="Times New Roman" w:hAnsi="Times New Roman" w:eastAsia="宋体" w:cs="Times New Roman"/>
                <w:b/>
                <w:bCs/>
                <w:color w:val="auto"/>
                <w:sz w:val="24"/>
                <w:szCs w:val="24"/>
                <w:highlight w:val="none"/>
                <w:u w:val="none"/>
                <w:lang w:val="en-US" w:eastAsia="zh-CN"/>
              </w:rPr>
              <w:t>1</w:t>
            </w:r>
            <w:r>
              <w:rPr>
                <w:rFonts w:hint="default" w:ascii="Times New Roman" w:hAnsi="Times New Roman" w:eastAsia="宋体" w:cs="Times New Roman"/>
                <w:b/>
                <w:bCs/>
                <w:color w:val="auto"/>
                <w:sz w:val="24"/>
                <w:szCs w:val="24"/>
                <w:highlight w:val="none"/>
                <w:u w:val="none"/>
                <w:lang w:val="en-GB" w:eastAsia="zh-CN"/>
              </w:rPr>
              <w:t>项目废气污染物排放总量指标一览表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4"/>
              <w:gridCol w:w="1319"/>
              <w:gridCol w:w="903"/>
              <w:gridCol w:w="1111"/>
              <w:gridCol w:w="1153"/>
              <w:gridCol w:w="1083"/>
              <w:gridCol w:w="889"/>
              <w:gridCol w:w="798"/>
            </w:tblGrid>
            <w:tr w14:paraId="7E05C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19" w:type="pct"/>
                  <w:gridSpan w:val="2"/>
                  <w:noWrap w:val="0"/>
                  <w:vAlign w:val="center"/>
                </w:tcPr>
                <w:p w14:paraId="3A227B4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highlight w:val="none"/>
                      <w:lang w:val="en-US" w:eastAsia="zh-CN"/>
                    </w:rPr>
                  </w:pPr>
                  <w:r>
                    <w:rPr>
                      <w:rFonts w:hint="eastAsia" w:ascii="Times New Roman" w:hAnsi="Times New Roman" w:eastAsia="宋体" w:cs="Times New Roman"/>
                      <w:snapToGrid w:val="0"/>
                      <w:color w:val="auto"/>
                      <w:kern w:val="18"/>
                      <w:sz w:val="21"/>
                      <w:szCs w:val="21"/>
                      <w:highlight w:val="none"/>
                      <w:lang w:val="en-US" w:eastAsia="zh-CN"/>
                    </w:rPr>
                    <w:t>污染物</w:t>
                  </w:r>
                  <w:r>
                    <w:rPr>
                      <w:rFonts w:hint="eastAsia" w:cs="Times New Roman"/>
                      <w:snapToGrid w:val="0"/>
                      <w:color w:val="auto"/>
                      <w:kern w:val="18"/>
                      <w:sz w:val="21"/>
                      <w:szCs w:val="21"/>
                      <w:highlight w:val="none"/>
                      <w:lang w:val="en-US" w:eastAsia="zh-CN"/>
                    </w:rPr>
                    <w:t>名称</w:t>
                  </w:r>
                </w:p>
              </w:tc>
              <w:tc>
                <w:tcPr>
                  <w:tcW w:w="529" w:type="pct"/>
                  <w:noWrap w:val="0"/>
                  <w:vAlign w:val="center"/>
                </w:tcPr>
                <w:p w14:paraId="74F1557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highlight w:val="none"/>
                      <w:lang w:val="en-US" w:eastAsia="zh-CN"/>
                    </w:rPr>
                  </w:pPr>
                  <w:r>
                    <w:rPr>
                      <w:rFonts w:hint="eastAsia" w:cs="Times New Roman"/>
                      <w:snapToGrid w:val="0"/>
                      <w:color w:val="auto"/>
                      <w:kern w:val="18"/>
                      <w:sz w:val="21"/>
                      <w:szCs w:val="21"/>
                      <w:highlight w:val="none"/>
                      <w:lang w:val="en-US" w:eastAsia="zh-CN"/>
                    </w:rPr>
                    <w:t>现有工程排放量</w:t>
                  </w:r>
                </w:p>
              </w:tc>
              <w:tc>
                <w:tcPr>
                  <w:tcW w:w="651" w:type="pct"/>
                  <w:noWrap w:val="0"/>
                  <w:vAlign w:val="center"/>
                </w:tcPr>
                <w:p w14:paraId="7E678C4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highlight w:val="none"/>
                      <w:lang w:val="en-US" w:eastAsia="zh-CN"/>
                    </w:rPr>
                  </w:pPr>
                  <w:r>
                    <w:rPr>
                      <w:rFonts w:hint="eastAsia" w:cs="Times New Roman"/>
                      <w:snapToGrid w:val="0"/>
                      <w:color w:val="auto"/>
                      <w:kern w:val="18"/>
                      <w:sz w:val="21"/>
                      <w:szCs w:val="21"/>
                      <w:highlight w:val="none"/>
                      <w:lang w:val="en-US" w:eastAsia="zh-CN"/>
                    </w:rPr>
                    <w:t>扩建项目</w:t>
                  </w:r>
                  <w:r>
                    <w:rPr>
                      <w:rFonts w:hint="eastAsia" w:ascii="Times New Roman" w:hAnsi="Times New Roman" w:eastAsia="宋体" w:cs="Times New Roman"/>
                      <w:snapToGrid w:val="0"/>
                      <w:color w:val="auto"/>
                      <w:kern w:val="18"/>
                      <w:sz w:val="21"/>
                      <w:szCs w:val="21"/>
                      <w:highlight w:val="none"/>
                      <w:lang w:val="en-US" w:eastAsia="zh-CN"/>
                    </w:rPr>
                    <w:t>有组织预测排放量</w:t>
                  </w:r>
                </w:p>
              </w:tc>
              <w:tc>
                <w:tcPr>
                  <w:tcW w:w="675" w:type="pct"/>
                  <w:noWrap w:val="0"/>
                  <w:vAlign w:val="center"/>
                </w:tcPr>
                <w:p w14:paraId="3663404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highlight w:val="none"/>
                    </w:rPr>
                  </w:pPr>
                  <w:r>
                    <w:rPr>
                      <w:rFonts w:hint="eastAsia" w:cs="Times New Roman"/>
                      <w:snapToGrid w:val="0"/>
                      <w:color w:val="auto"/>
                      <w:kern w:val="18"/>
                      <w:sz w:val="21"/>
                      <w:szCs w:val="21"/>
                      <w:highlight w:val="none"/>
                      <w:lang w:val="en-US" w:eastAsia="zh-CN"/>
                    </w:rPr>
                    <w:t>扩建项目</w:t>
                  </w:r>
                  <w:r>
                    <w:rPr>
                      <w:rFonts w:hint="eastAsia" w:ascii="Times New Roman" w:hAnsi="Times New Roman" w:eastAsia="宋体" w:cs="Times New Roman"/>
                      <w:snapToGrid w:val="0"/>
                      <w:color w:val="auto"/>
                      <w:kern w:val="18"/>
                      <w:sz w:val="21"/>
                      <w:szCs w:val="21"/>
                      <w:highlight w:val="none"/>
                      <w:lang w:val="en-US" w:eastAsia="zh-CN"/>
                    </w:rPr>
                    <w:t>无组织预测排放量</w:t>
                  </w:r>
                </w:p>
              </w:tc>
              <w:tc>
                <w:tcPr>
                  <w:tcW w:w="634" w:type="pct"/>
                  <w:noWrap w:val="0"/>
                  <w:vAlign w:val="center"/>
                </w:tcPr>
                <w:p w14:paraId="0E74ED4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cs="Times New Roman"/>
                      <w:snapToGrid w:val="0"/>
                      <w:color w:val="auto"/>
                      <w:kern w:val="18"/>
                      <w:sz w:val="21"/>
                      <w:szCs w:val="21"/>
                      <w:highlight w:val="none"/>
                      <w:lang w:val="en-US" w:eastAsia="zh-CN"/>
                    </w:rPr>
                  </w:pPr>
                  <w:r>
                    <w:rPr>
                      <w:rFonts w:hint="eastAsia" w:cs="Times New Roman"/>
                      <w:snapToGrid w:val="0"/>
                      <w:color w:val="auto"/>
                      <w:kern w:val="18"/>
                      <w:sz w:val="21"/>
                      <w:szCs w:val="21"/>
                      <w:highlight w:val="none"/>
                      <w:lang w:val="en-US" w:eastAsia="zh-CN"/>
                    </w:rPr>
                    <w:t>以新带老削减量</w:t>
                  </w:r>
                </w:p>
              </w:tc>
              <w:tc>
                <w:tcPr>
                  <w:tcW w:w="988" w:type="pct"/>
                  <w:gridSpan w:val="2"/>
                  <w:noWrap w:val="0"/>
                  <w:vAlign w:val="center"/>
                </w:tcPr>
                <w:p w14:paraId="7EDEDB2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highlight w:val="none"/>
                      <w:lang w:val="en-US" w:eastAsia="zh-CN"/>
                    </w:rPr>
                  </w:pPr>
                  <w:r>
                    <w:rPr>
                      <w:rFonts w:hint="eastAsia" w:ascii="Times New Roman" w:hAnsi="Times New Roman" w:eastAsia="宋体" w:cs="Times New Roman"/>
                      <w:snapToGrid w:val="0"/>
                      <w:color w:val="auto"/>
                      <w:kern w:val="18"/>
                      <w:sz w:val="21"/>
                      <w:szCs w:val="21"/>
                      <w:highlight w:val="none"/>
                      <w:lang w:val="en-US" w:eastAsia="zh-CN"/>
                    </w:rPr>
                    <w:t>全厂合计预测排放量</w:t>
                  </w:r>
                </w:p>
              </w:tc>
            </w:tr>
            <w:tr w14:paraId="07800A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746" w:type="pct"/>
                  <w:vMerge w:val="restart"/>
                  <w:noWrap w:val="0"/>
                  <w:vAlign w:val="center"/>
                </w:tcPr>
                <w:p w14:paraId="2BB84A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挥发性有机物（VOCs）</w:t>
                  </w:r>
                </w:p>
                <w:p w14:paraId="70486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(t/a)</w:t>
                  </w:r>
                </w:p>
              </w:tc>
              <w:tc>
                <w:tcPr>
                  <w:tcW w:w="773" w:type="pct"/>
                  <w:noWrap w:val="0"/>
                  <w:vAlign w:val="center"/>
                </w:tcPr>
                <w:p w14:paraId="6C0CF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非甲烷总烃（t/a）</w:t>
                  </w:r>
                </w:p>
              </w:tc>
              <w:tc>
                <w:tcPr>
                  <w:tcW w:w="529" w:type="pct"/>
                  <w:noWrap w:val="0"/>
                  <w:vAlign w:val="center"/>
                </w:tcPr>
                <w:p w14:paraId="70D7EA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0.038</w:t>
                  </w:r>
                </w:p>
              </w:tc>
              <w:tc>
                <w:tcPr>
                  <w:tcW w:w="651" w:type="pct"/>
                  <w:noWrap w:val="0"/>
                  <w:vAlign w:val="center"/>
                </w:tcPr>
                <w:p w14:paraId="0D706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0.5152</w:t>
                  </w:r>
                </w:p>
              </w:tc>
              <w:tc>
                <w:tcPr>
                  <w:tcW w:w="675" w:type="pct"/>
                  <w:shd w:val="clear" w:color="auto" w:fill="auto"/>
                  <w:noWrap w:val="0"/>
                  <w:vAlign w:val="center"/>
                </w:tcPr>
                <w:p w14:paraId="68F69A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0.5152</w:t>
                  </w:r>
                </w:p>
              </w:tc>
              <w:tc>
                <w:tcPr>
                  <w:tcW w:w="634" w:type="pct"/>
                  <w:noWrap w:val="0"/>
                  <w:vAlign w:val="center"/>
                </w:tcPr>
                <w:p w14:paraId="196DD6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0.029</w:t>
                  </w:r>
                </w:p>
              </w:tc>
              <w:tc>
                <w:tcPr>
                  <w:tcW w:w="521" w:type="pct"/>
                  <w:noWrap w:val="0"/>
                  <w:vAlign w:val="center"/>
                </w:tcPr>
                <w:p w14:paraId="2D2F7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1.0394</w:t>
                  </w:r>
                </w:p>
              </w:tc>
              <w:tc>
                <w:tcPr>
                  <w:tcW w:w="467" w:type="pct"/>
                  <w:vMerge w:val="restart"/>
                  <w:noWrap w:val="0"/>
                  <w:vAlign w:val="center"/>
                </w:tcPr>
                <w:p w14:paraId="2C9A14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1.3332</w:t>
                  </w:r>
                </w:p>
              </w:tc>
            </w:tr>
            <w:tr w14:paraId="55DE53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746" w:type="pct"/>
                  <w:vMerge w:val="continue"/>
                  <w:noWrap w:val="0"/>
                  <w:vAlign w:val="center"/>
                </w:tcPr>
                <w:p w14:paraId="5A74F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p>
              </w:tc>
              <w:tc>
                <w:tcPr>
                  <w:tcW w:w="773" w:type="pct"/>
                  <w:noWrap w:val="0"/>
                  <w:vAlign w:val="center"/>
                </w:tcPr>
                <w:p w14:paraId="486D67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苯乙烯</w:t>
                  </w:r>
                </w:p>
                <w:p w14:paraId="3D43D9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(t/a)</w:t>
                  </w:r>
                </w:p>
              </w:tc>
              <w:tc>
                <w:tcPr>
                  <w:tcW w:w="529" w:type="pct"/>
                  <w:noWrap w:val="0"/>
                  <w:vAlign w:val="center"/>
                </w:tcPr>
                <w:p w14:paraId="2A8741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651" w:type="pct"/>
                  <w:noWrap w:val="0"/>
                  <w:vAlign w:val="center"/>
                </w:tcPr>
                <w:p w14:paraId="06D9F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0.1469</w:t>
                  </w:r>
                </w:p>
              </w:tc>
              <w:tc>
                <w:tcPr>
                  <w:tcW w:w="675" w:type="pct"/>
                  <w:noWrap w:val="0"/>
                  <w:vAlign w:val="center"/>
                </w:tcPr>
                <w:p w14:paraId="7C8FE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0.1469</w:t>
                  </w:r>
                </w:p>
              </w:tc>
              <w:tc>
                <w:tcPr>
                  <w:tcW w:w="634" w:type="pct"/>
                  <w:noWrap w:val="0"/>
                  <w:vAlign w:val="center"/>
                </w:tcPr>
                <w:p w14:paraId="1CE94C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521" w:type="pct"/>
                  <w:noWrap w:val="0"/>
                  <w:vAlign w:val="center"/>
                </w:tcPr>
                <w:p w14:paraId="4868F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0.2938</w:t>
                  </w:r>
                </w:p>
              </w:tc>
              <w:tc>
                <w:tcPr>
                  <w:tcW w:w="467" w:type="pct"/>
                  <w:vMerge w:val="continue"/>
                  <w:noWrap w:val="0"/>
                  <w:vAlign w:val="center"/>
                </w:tcPr>
                <w:p w14:paraId="4C69FD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p>
              </w:tc>
            </w:tr>
          </w:tbl>
          <w:p w14:paraId="38C41D89">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highlight w:val="none"/>
                <w:shd w:val="clear" w:color="auto" w:fill="FFFFFF"/>
                <w:lang w:val="en-US" w:eastAsia="zh-CN"/>
              </w:rPr>
            </w:pPr>
            <w:r>
              <w:rPr>
                <w:rFonts w:hint="default" w:ascii="Times New Roman" w:hAnsi="Times New Roman" w:eastAsia="宋体" w:cs="Times New Roman"/>
                <w:color w:val="auto"/>
                <w:kern w:val="2"/>
                <w:szCs w:val="24"/>
                <w:highlight w:val="none"/>
                <w:shd w:val="clear" w:color="auto" w:fill="FFFFFF"/>
                <w:lang w:val="en-US" w:eastAsia="zh-CN"/>
              </w:rPr>
              <w:t>根据《福州市</w:t>
            </w:r>
            <w:r>
              <w:rPr>
                <w:rFonts w:hint="eastAsia" w:ascii="Times New Roman" w:hAnsi="Times New Roman" w:eastAsia="宋体" w:cs="Times New Roman"/>
                <w:color w:val="auto"/>
                <w:kern w:val="2"/>
                <w:szCs w:val="24"/>
                <w:highlight w:val="none"/>
                <w:shd w:val="clear" w:color="auto" w:fill="FFFFFF"/>
                <w:lang w:val="en-US" w:eastAsia="zh-CN"/>
              </w:rPr>
              <w:t>生态环境局</w:t>
            </w:r>
            <w:r>
              <w:rPr>
                <w:rFonts w:hint="default" w:ascii="Times New Roman" w:hAnsi="Times New Roman" w:eastAsia="宋体" w:cs="Times New Roman"/>
                <w:color w:val="auto"/>
                <w:kern w:val="2"/>
                <w:szCs w:val="24"/>
                <w:highlight w:val="none"/>
                <w:shd w:val="clear" w:color="auto" w:fill="FFFFFF"/>
                <w:lang w:val="en-US" w:eastAsia="zh-CN"/>
              </w:rPr>
              <w:t>关于印发福州市</w:t>
            </w:r>
            <w:r>
              <w:rPr>
                <w:rFonts w:hint="eastAsia" w:ascii="Times New Roman" w:hAnsi="Times New Roman" w:eastAsia="宋体" w:cs="Times New Roman"/>
                <w:color w:val="auto"/>
                <w:kern w:val="2"/>
                <w:szCs w:val="24"/>
                <w:highlight w:val="none"/>
                <w:shd w:val="clear" w:color="auto" w:fill="FFFFFF"/>
                <w:lang w:val="en-US" w:eastAsia="zh-CN"/>
              </w:rPr>
              <w:t>大气污染联防联控联治工作方案的通知</w:t>
            </w:r>
            <w:r>
              <w:rPr>
                <w:rFonts w:hint="default" w:ascii="Times New Roman" w:hAnsi="Times New Roman" w:eastAsia="宋体" w:cs="Times New Roman"/>
                <w:color w:val="auto"/>
                <w:kern w:val="2"/>
                <w:szCs w:val="24"/>
                <w:highlight w:val="none"/>
                <w:shd w:val="clear" w:color="auto" w:fill="FFFFFF"/>
                <w:lang w:val="en-US" w:eastAsia="zh-CN"/>
              </w:rPr>
              <w:t>》榕环保综</w:t>
            </w:r>
            <w:r>
              <w:rPr>
                <w:rFonts w:hint="eastAsia" w:ascii="Times New Roman" w:hAnsi="Times New Roman" w:eastAsia="宋体" w:cs="Times New Roman"/>
                <w:color w:val="auto"/>
                <w:kern w:val="2"/>
                <w:szCs w:val="24"/>
                <w:highlight w:val="none"/>
                <w:shd w:val="clear" w:color="auto" w:fill="FFFFFF"/>
                <w:lang w:val="en-US" w:eastAsia="zh-CN"/>
              </w:rPr>
              <w:t>〔2018〕386号</w:t>
            </w:r>
            <w:r>
              <w:rPr>
                <w:rFonts w:hint="default" w:ascii="Times New Roman" w:hAnsi="Times New Roman" w:eastAsia="宋体" w:cs="Times New Roman"/>
                <w:color w:val="auto"/>
                <w:kern w:val="2"/>
                <w:szCs w:val="24"/>
                <w:highlight w:val="none"/>
                <w:shd w:val="clear" w:color="auto" w:fill="FFFFFF"/>
                <w:lang w:val="en-US" w:eastAsia="zh-CN"/>
              </w:rPr>
              <w:t>：VOCs排放实行区域内倍量替代，新、改扩建涉VOCs排放项目，应从源头加强控制，使用低</w:t>
            </w:r>
            <w:r>
              <w:rPr>
                <w:rFonts w:hint="eastAsia" w:ascii="Times New Roman" w:hAnsi="Times New Roman"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无</w:t>
            </w:r>
            <w:r>
              <w:rPr>
                <w:rFonts w:hint="eastAsia" w:ascii="Times New Roman" w:hAnsi="Times New Roman"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VOCs含量的原辅材料，加强废气收集、安装高效治理设施</w:t>
            </w:r>
            <w:r>
              <w:rPr>
                <w:rFonts w:hint="eastAsia" w:ascii="Times New Roman" w:hAnsi="Times New Roman" w:eastAsia="宋体"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根据《2022年度福州市蓝天碧水碧海净土保卫战行动计划》</w:t>
            </w:r>
            <w:r>
              <w:rPr>
                <w:rFonts w:hint="eastAsia" w:ascii="Times New Roman" w:hAnsi="Times New Roman"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榕环委办</w:t>
            </w:r>
            <w:r>
              <w:rPr>
                <w:rFonts w:hint="eastAsia" w:ascii="Times New Roman" w:hAnsi="Times New Roman" w:eastAsia="宋体" w:cs="Times New Roman"/>
                <w:color w:val="auto"/>
                <w:kern w:val="2"/>
                <w:szCs w:val="24"/>
                <w:highlight w:val="none"/>
                <w:shd w:val="clear" w:color="auto" w:fill="FFFFFF"/>
                <w:lang w:val="en-US" w:eastAsia="zh-CN"/>
              </w:rPr>
              <w:t>〔2022〕49号</w:t>
            </w:r>
            <w:r>
              <w:rPr>
                <w:rFonts w:hint="eastAsia" w:ascii="Times New Roman" w:hAnsi="Times New Roman" w:cs="Times New Roman"/>
                <w:color w:val="auto"/>
                <w:kern w:val="2"/>
                <w:szCs w:val="24"/>
                <w:highlight w:val="none"/>
                <w:shd w:val="clear" w:color="auto" w:fill="FFFFFF"/>
                <w:lang w:val="en-US" w:eastAsia="zh-CN"/>
              </w:rPr>
              <w:t>）</w:t>
            </w:r>
            <w:r>
              <w:rPr>
                <w:rFonts w:hint="eastAsia" w:ascii="Times New Roman" w:hAnsi="Times New Roman" w:eastAsia="宋体"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实施新建项目VOC</w:t>
            </w:r>
            <w:r>
              <w:rPr>
                <w:rFonts w:hint="eastAsia" w:ascii="Times New Roman" w:hAnsi="Times New Roman" w:eastAsia="宋体" w:cs="Times New Roman"/>
                <w:color w:val="auto"/>
                <w:kern w:val="2"/>
                <w:szCs w:val="24"/>
                <w:highlight w:val="none"/>
                <w:shd w:val="clear" w:color="auto" w:fill="FFFFFF"/>
                <w:lang w:val="en-US" w:eastAsia="zh-CN"/>
              </w:rPr>
              <w:t>s</w:t>
            </w:r>
            <w:r>
              <w:rPr>
                <w:rFonts w:hint="default" w:ascii="Times New Roman" w:hAnsi="Times New Roman" w:eastAsia="宋体" w:cs="Times New Roman"/>
                <w:color w:val="auto"/>
                <w:kern w:val="2"/>
                <w:szCs w:val="24"/>
                <w:highlight w:val="none"/>
                <w:shd w:val="clear" w:color="auto" w:fill="FFFFFF"/>
                <w:lang w:val="en-US" w:eastAsia="zh-CN"/>
              </w:rPr>
              <w:t>排放区域内倍量替代。</w:t>
            </w:r>
          </w:p>
          <w:p w14:paraId="345740E8">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highlight w:val="none"/>
                <w:shd w:val="clear" w:color="auto" w:fill="FFFFFF"/>
                <w:lang w:val="en-US" w:eastAsia="zh-CN"/>
              </w:rPr>
            </w:pPr>
            <w:r>
              <w:rPr>
                <w:rFonts w:hint="eastAsia" w:ascii="Times New Roman" w:hAnsi="Times New Roman" w:cs="Times New Roman"/>
                <w:color w:val="auto"/>
                <w:kern w:val="2"/>
                <w:szCs w:val="24"/>
                <w:highlight w:val="none"/>
                <w:shd w:val="clear" w:color="auto" w:fill="FFFFFF"/>
                <w:lang w:val="en-US" w:eastAsia="zh-CN"/>
              </w:rPr>
              <w:t>项目现有工程于2017年3月取得环评批复，2017年7月完成环保竣工验收。VOCs排放总量根据《福建省环境局关于做好建设项目环保审批污染物总量控制有关工作的通知》对“十二五”期间总量控制的要求，我省主要污染物排放总量控制指标为COD、NH</w:t>
            </w:r>
            <w:r>
              <w:rPr>
                <w:rFonts w:hint="eastAsia" w:ascii="Times New Roman" w:hAnsi="Times New Roman" w:cs="Times New Roman"/>
                <w:color w:val="auto"/>
                <w:kern w:val="2"/>
                <w:szCs w:val="24"/>
                <w:highlight w:val="none"/>
                <w:shd w:val="clear" w:color="auto" w:fill="FFFFFF"/>
                <w:vertAlign w:val="subscript"/>
                <w:lang w:val="en-US" w:eastAsia="zh-CN"/>
              </w:rPr>
              <w:t>3</w:t>
            </w:r>
            <w:r>
              <w:rPr>
                <w:rFonts w:hint="eastAsia" w:ascii="Times New Roman" w:hAnsi="Times New Roman" w:cs="Times New Roman"/>
                <w:color w:val="auto"/>
                <w:kern w:val="2"/>
                <w:szCs w:val="24"/>
                <w:highlight w:val="none"/>
                <w:shd w:val="clear" w:color="auto" w:fill="FFFFFF"/>
                <w:lang w:val="en-US" w:eastAsia="zh-CN"/>
              </w:rPr>
              <w:t>-N、SO</w:t>
            </w:r>
            <w:r>
              <w:rPr>
                <w:rFonts w:hint="eastAsia" w:ascii="Times New Roman" w:hAnsi="Times New Roman" w:cs="Times New Roman"/>
                <w:color w:val="auto"/>
                <w:kern w:val="2"/>
                <w:szCs w:val="24"/>
                <w:highlight w:val="none"/>
                <w:shd w:val="clear" w:color="auto" w:fill="FFFFFF"/>
                <w:vertAlign w:val="subscript"/>
                <w:lang w:val="en-US" w:eastAsia="zh-CN"/>
              </w:rPr>
              <w:t>2</w:t>
            </w:r>
            <w:r>
              <w:rPr>
                <w:rFonts w:hint="eastAsia" w:ascii="Times New Roman" w:hAnsi="Times New Roman" w:cs="Times New Roman"/>
                <w:color w:val="auto"/>
                <w:kern w:val="2"/>
                <w:szCs w:val="24"/>
                <w:highlight w:val="none"/>
                <w:shd w:val="clear" w:color="auto" w:fill="FFFFFF"/>
                <w:lang w:val="en-US" w:eastAsia="zh-CN"/>
              </w:rPr>
              <w:t>、NOx。因此，项目现有工程VOCs排放量0.038t/a未申请排放总量。</w:t>
            </w:r>
            <w:r>
              <w:rPr>
                <w:rFonts w:hint="eastAsia" w:ascii="Times New Roman" w:hAnsi="Times New Roman" w:eastAsia="宋体" w:cs="Times New Roman"/>
                <w:color w:val="auto"/>
                <w:kern w:val="2"/>
                <w:szCs w:val="24"/>
                <w:highlight w:val="none"/>
                <w:shd w:val="clear" w:color="auto" w:fill="FFFFFF"/>
                <w:lang w:val="en-US" w:eastAsia="zh-CN"/>
              </w:rPr>
              <w:t>本项目</w:t>
            </w:r>
            <w:r>
              <w:rPr>
                <w:rFonts w:hint="eastAsia" w:ascii="Times New Roman" w:hAnsi="Times New Roman" w:cs="Times New Roman"/>
                <w:color w:val="auto"/>
                <w:kern w:val="2"/>
                <w:szCs w:val="24"/>
                <w:highlight w:val="none"/>
                <w:shd w:val="clear" w:color="auto" w:fill="FFFFFF"/>
                <w:lang w:val="en-US" w:eastAsia="zh-CN"/>
              </w:rPr>
              <w:t>VOCs</w:t>
            </w:r>
            <w:r>
              <w:rPr>
                <w:rFonts w:hint="eastAsia" w:ascii="Times New Roman" w:hAnsi="Times New Roman" w:eastAsia="宋体" w:cs="Times New Roman"/>
                <w:color w:val="auto"/>
                <w:kern w:val="2"/>
                <w:szCs w:val="24"/>
                <w:highlight w:val="none"/>
                <w:shd w:val="clear" w:color="auto" w:fill="FFFFFF"/>
                <w:lang w:val="en-US" w:eastAsia="zh-CN"/>
              </w:rPr>
              <w:t>的排放总量为</w:t>
            </w:r>
            <w:r>
              <w:rPr>
                <w:rFonts w:hint="eastAsia" w:ascii="Times New Roman" w:hAnsi="Times New Roman" w:cs="Times New Roman"/>
                <w:color w:val="auto"/>
                <w:kern w:val="2"/>
                <w:szCs w:val="24"/>
                <w:highlight w:val="none"/>
                <w:shd w:val="clear" w:color="auto" w:fill="FFFFFF"/>
                <w:lang w:val="en-US" w:eastAsia="zh-CN"/>
              </w:rPr>
              <w:t>1.3245</w:t>
            </w:r>
            <w:r>
              <w:rPr>
                <w:rFonts w:hint="eastAsia" w:ascii="Times New Roman" w:hAnsi="Times New Roman" w:eastAsia="宋体" w:cs="Times New Roman"/>
                <w:color w:val="auto"/>
                <w:kern w:val="2"/>
                <w:szCs w:val="24"/>
                <w:highlight w:val="none"/>
                <w:shd w:val="clear" w:color="auto" w:fill="FFFFFF"/>
                <w:lang w:val="en-US" w:eastAsia="zh-CN"/>
              </w:rPr>
              <w:t>/a</w:t>
            </w:r>
            <w:r>
              <w:rPr>
                <w:rFonts w:hint="eastAsia" w:ascii="Times New Roman" w:hAnsi="Times New Roman" w:cs="Times New Roman"/>
                <w:color w:val="auto"/>
                <w:kern w:val="2"/>
                <w:szCs w:val="24"/>
                <w:highlight w:val="none"/>
                <w:shd w:val="clear" w:color="auto" w:fill="FFFFFF"/>
                <w:lang w:val="en-US" w:eastAsia="zh-CN"/>
              </w:rPr>
              <w:t>，以新带老削减量为0.029t/a。</w:t>
            </w:r>
            <w:r>
              <w:rPr>
                <w:rFonts w:hint="eastAsia" w:ascii="Times New Roman" w:hAnsi="Times New Roman" w:eastAsia="宋体" w:cs="Times New Roman"/>
                <w:color w:val="auto"/>
                <w:kern w:val="2"/>
                <w:szCs w:val="24"/>
                <w:highlight w:val="none"/>
                <w:shd w:val="clear" w:color="auto" w:fill="FFFFFF"/>
                <w:lang w:val="en-US" w:eastAsia="zh-CN"/>
              </w:rPr>
              <w:t>因此，</w:t>
            </w:r>
            <w:r>
              <w:rPr>
                <w:rFonts w:hint="eastAsia" w:ascii="Times New Roman" w:hAnsi="Times New Roman" w:cs="Times New Roman"/>
                <w:color w:val="auto"/>
                <w:kern w:val="2"/>
                <w:szCs w:val="24"/>
                <w:highlight w:val="none"/>
                <w:shd w:val="clear" w:color="auto" w:fill="FFFFFF"/>
                <w:lang w:val="en-US" w:eastAsia="zh-CN"/>
              </w:rPr>
              <w:t>项目全厂预计VOCs排放总量为1.3332t/a。</w:t>
            </w:r>
            <w:r>
              <w:rPr>
                <w:rFonts w:hint="eastAsia" w:ascii="Times New Roman" w:hAnsi="Times New Roman" w:eastAsia="宋体" w:cs="Times New Roman"/>
                <w:color w:val="auto"/>
                <w:kern w:val="2"/>
                <w:szCs w:val="24"/>
                <w:highlight w:val="none"/>
                <w:shd w:val="clear" w:color="auto" w:fill="FFFFFF"/>
                <w:lang w:val="en-US" w:eastAsia="zh-CN"/>
              </w:rPr>
              <w:t>本项目排放的</w:t>
            </w:r>
            <w:r>
              <w:rPr>
                <w:rFonts w:hint="eastAsia" w:ascii="Times New Roman" w:hAnsi="Times New Roman" w:cs="Times New Roman"/>
                <w:color w:val="auto"/>
                <w:kern w:val="2"/>
                <w:szCs w:val="24"/>
                <w:highlight w:val="none"/>
                <w:shd w:val="clear" w:color="auto" w:fill="FFFFFF"/>
                <w:lang w:val="en-US" w:eastAsia="zh-CN"/>
              </w:rPr>
              <w:t>挥发性有机物</w:t>
            </w:r>
            <w:r>
              <w:rPr>
                <w:rFonts w:hint="eastAsia" w:ascii="Times New Roman" w:hAnsi="Times New Roman" w:eastAsia="宋体" w:cs="Times New Roman"/>
                <w:color w:val="auto"/>
                <w:kern w:val="2"/>
                <w:szCs w:val="24"/>
                <w:highlight w:val="none"/>
                <w:shd w:val="clear" w:color="auto" w:fill="FFFFFF"/>
                <w:lang w:val="en-US" w:eastAsia="zh-CN"/>
              </w:rPr>
              <w:t>总量</w:t>
            </w:r>
            <w:r>
              <w:rPr>
                <w:rFonts w:hint="default" w:ascii="Times New Roman" w:hAnsi="Times New Roman" w:eastAsia="宋体" w:cs="Times New Roman"/>
                <w:color w:val="auto"/>
                <w:kern w:val="2"/>
                <w:szCs w:val="24"/>
                <w:highlight w:val="none"/>
                <w:shd w:val="clear" w:color="auto" w:fill="FFFFFF"/>
                <w:lang w:val="en-US" w:eastAsia="zh-CN"/>
              </w:rPr>
              <w:t>由建设单位向</w:t>
            </w:r>
            <w:r>
              <w:rPr>
                <w:rFonts w:hint="eastAsia" w:ascii="Times New Roman" w:hAnsi="Times New Roman" w:eastAsia="宋体" w:cs="Times New Roman"/>
                <w:color w:val="auto"/>
                <w:kern w:val="2"/>
                <w:szCs w:val="24"/>
                <w:highlight w:val="none"/>
                <w:shd w:val="clear" w:color="auto" w:fill="FFFFFF"/>
                <w:lang w:val="en-US" w:eastAsia="zh-CN"/>
              </w:rPr>
              <w:t>福州市福清生态环境局</w:t>
            </w:r>
            <w:r>
              <w:rPr>
                <w:rFonts w:hint="default" w:ascii="Times New Roman" w:hAnsi="Times New Roman" w:eastAsia="宋体" w:cs="Times New Roman"/>
                <w:color w:val="auto"/>
                <w:kern w:val="2"/>
                <w:szCs w:val="24"/>
                <w:highlight w:val="none"/>
                <w:shd w:val="clear" w:color="auto" w:fill="FFFFFF"/>
                <w:lang w:val="en-US" w:eastAsia="zh-CN"/>
              </w:rPr>
              <w:t>申请区域</w:t>
            </w:r>
            <w:r>
              <w:rPr>
                <w:rFonts w:hint="eastAsia" w:ascii="Times New Roman" w:hAnsi="Times New Roman" w:eastAsia="宋体" w:cs="Times New Roman"/>
                <w:color w:val="auto"/>
                <w:kern w:val="2"/>
                <w:szCs w:val="24"/>
                <w:highlight w:val="none"/>
                <w:shd w:val="clear" w:color="auto" w:fill="FFFFFF"/>
                <w:lang w:val="en-US" w:eastAsia="zh-CN"/>
              </w:rPr>
              <w:t>倍量</w:t>
            </w:r>
            <w:r>
              <w:rPr>
                <w:rFonts w:hint="default" w:ascii="Times New Roman" w:hAnsi="Times New Roman" w:eastAsia="宋体" w:cs="Times New Roman"/>
                <w:color w:val="auto"/>
                <w:kern w:val="2"/>
                <w:szCs w:val="24"/>
                <w:highlight w:val="none"/>
                <w:shd w:val="clear" w:color="auto" w:fill="FFFFFF"/>
                <w:lang w:val="en-US" w:eastAsia="zh-CN"/>
              </w:rPr>
              <w:t>替代</w:t>
            </w:r>
            <w:r>
              <w:rPr>
                <w:rFonts w:hint="eastAsia" w:ascii="Times New Roman" w:hAnsi="Times New Roman" w:eastAsia="宋体"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建设单位承诺在项目投产前取得</w:t>
            </w:r>
            <w:r>
              <w:rPr>
                <w:rFonts w:hint="eastAsia" w:ascii="Times New Roman" w:hAnsi="Times New Roman" w:eastAsia="宋体" w:cs="Times New Roman"/>
                <w:color w:val="auto"/>
                <w:kern w:val="2"/>
                <w:szCs w:val="24"/>
                <w:highlight w:val="none"/>
                <w:shd w:val="clear" w:color="auto" w:fill="FFFFFF"/>
                <w:lang w:val="en-US" w:eastAsia="zh-CN"/>
              </w:rPr>
              <w:t>各污染</w:t>
            </w:r>
            <w:r>
              <w:rPr>
                <w:rFonts w:hint="eastAsia" w:ascii="Times New Roman" w:hAnsi="Times New Roman" w:cs="Times New Roman"/>
                <w:color w:val="auto"/>
                <w:kern w:val="2"/>
                <w:szCs w:val="24"/>
                <w:highlight w:val="none"/>
                <w:shd w:val="clear" w:color="auto" w:fill="FFFFFF"/>
                <w:lang w:val="en-US" w:eastAsia="zh-CN"/>
              </w:rPr>
              <w:t>挥发性有机物</w:t>
            </w:r>
            <w:r>
              <w:rPr>
                <w:rFonts w:hint="eastAsia" w:ascii="Times New Roman" w:hAnsi="Times New Roman" w:eastAsia="宋体" w:cs="Times New Roman"/>
                <w:color w:val="auto"/>
                <w:kern w:val="2"/>
                <w:szCs w:val="24"/>
                <w:highlight w:val="none"/>
                <w:shd w:val="clear" w:color="auto" w:fill="FFFFFF"/>
                <w:lang w:val="en-US" w:eastAsia="zh-CN"/>
              </w:rPr>
              <w:t>总量</w:t>
            </w:r>
            <w:r>
              <w:rPr>
                <w:rFonts w:hint="default" w:ascii="Times New Roman" w:hAnsi="Times New Roman" w:eastAsia="宋体" w:cs="Times New Roman"/>
                <w:color w:val="auto"/>
                <w:kern w:val="2"/>
                <w:szCs w:val="24"/>
                <w:highlight w:val="none"/>
                <w:shd w:val="clear" w:color="auto" w:fill="FFFFFF"/>
                <w:lang w:val="en-US" w:eastAsia="zh-CN"/>
              </w:rPr>
              <w:t>的</w:t>
            </w:r>
            <w:r>
              <w:rPr>
                <w:rFonts w:hint="eastAsia" w:ascii="Times New Roman" w:hAnsi="Times New Roman" w:eastAsia="宋体" w:cs="Times New Roman"/>
                <w:color w:val="auto"/>
                <w:kern w:val="2"/>
                <w:szCs w:val="24"/>
                <w:highlight w:val="none"/>
                <w:shd w:val="clear" w:color="auto" w:fill="FFFFFF"/>
                <w:lang w:val="en-US" w:eastAsia="zh-CN"/>
              </w:rPr>
              <w:t>倍量</w:t>
            </w:r>
            <w:r>
              <w:rPr>
                <w:rFonts w:hint="default" w:ascii="Times New Roman" w:hAnsi="Times New Roman" w:eastAsia="宋体" w:cs="Times New Roman"/>
                <w:color w:val="auto"/>
                <w:kern w:val="2"/>
                <w:szCs w:val="24"/>
                <w:highlight w:val="none"/>
                <w:shd w:val="clear" w:color="auto" w:fill="FFFFFF"/>
                <w:lang w:val="en-US" w:eastAsia="zh-CN"/>
              </w:rPr>
              <w:t>替代</w:t>
            </w:r>
            <w:r>
              <w:rPr>
                <w:rFonts w:hint="eastAsia" w:ascii="Times New Roman" w:hAnsi="Times New Roman" w:eastAsia="宋体"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并依法</w:t>
            </w:r>
            <w:r>
              <w:rPr>
                <w:rFonts w:hint="eastAsia" w:ascii="Times New Roman" w:hAnsi="Times New Roman" w:eastAsia="宋体" w:cs="Times New Roman"/>
                <w:color w:val="auto"/>
                <w:kern w:val="2"/>
                <w:szCs w:val="24"/>
                <w:highlight w:val="none"/>
                <w:shd w:val="clear" w:color="auto" w:fill="FFFFFF"/>
                <w:lang w:val="en-US" w:eastAsia="zh-CN"/>
              </w:rPr>
              <w:t>办理</w:t>
            </w:r>
            <w:r>
              <w:rPr>
                <w:rFonts w:hint="default" w:ascii="Times New Roman" w:hAnsi="Times New Roman" w:eastAsia="宋体" w:cs="Times New Roman"/>
                <w:color w:val="auto"/>
                <w:kern w:val="2"/>
                <w:szCs w:val="24"/>
                <w:highlight w:val="none"/>
                <w:shd w:val="clear" w:color="auto" w:fill="FFFFFF"/>
                <w:lang w:val="en-US" w:eastAsia="zh-CN"/>
              </w:rPr>
              <w:t>排污许可</w:t>
            </w:r>
            <w:r>
              <w:rPr>
                <w:rFonts w:hint="eastAsia" w:ascii="Times New Roman" w:hAnsi="Times New Roman" w:eastAsia="宋体" w:cs="Times New Roman"/>
                <w:color w:val="auto"/>
                <w:kern w:val="2"/>
                <w:szCs w:val="24"/>
                <w:highlight w:val="none"/>
                <w:shd w:val="clear" w:color="auto" w:fill="FFFFFF"/>
                <w:lang w:val="en-US" w:eastAsia="zh-CN"/>
              </w:rPr>
              <w:t>手续（总量</w:t>
            </w:r>
            <w:r>
              <w:rPr>
                <w:rFonts w:hint="default" w:ascii="Times New Roman" w:hAnsi="Times New Roman" w:eastAsia="宋体" w:cs="Times New Roman"/>
                <w:color w:val="auto"/>
                <w:kern w:val="2"/>
                <w:szCs w:val="24"/>
                <w:highlight w:val="none"/>
                <w:shd w:val="clear" w:color="auto" w:fill="FFFFFF"/>
                <w:lang w:val="en-US" w:eastAsia="zh-CN"/>
              </w:rPr>
              <w:t>承诺函详见</w:t>
            </w:r>
            <w:r>
              <w:rPr>
                <w:rFonts w:hint="eastAsia" w:ascii="Times New Roman" w:hAnsi="Times New Roman" w:eastAsia="宋体" w:cs="Times New Roman"/>
                <w:b/>
                <w:bCs/>
                <w:color w:val="auto"/>
                <w:kern w:val="2"/>
                <w:szCs w:val="24"/>
                <w:highlight w:val="none"/>
                <w:shd w:val="clear" w:color="auto" w:fill="FFFFFF"/>
                <w:lang w:val="en-US" w:eastAsia="zh-CN"/>
              </w:rPr>
              <w:t>附件</w:t>
            </w:r>
            <w:r>
              <w:rPr>
                <w:rFonts w:hint="eastAsia" w:ascii="Times New Roman" w:hAnsi="Times New Roman" w:cs="Times New Roman"/>
                <w:b/>
                <w:bCs/>
                <w:color w:val="auto"/>
                <w:kern w:val="2"/>
                <w:szCs w:val="24"/>
                <w:highlight w:val="none"/>
                <w:shd w:val="clear" w:color="auto" w:fill="FFFFFF"/>
                <w:lang w:val="en-US" w:eastAsia="zh-CN"/>
              </w:rPr>
              <w:t>十七</w:t>
            </w:r>
            <w:r>
              <w:rPr>
                <w:rFonts w:hint="eastAsia" w:ascii="Times New Roman" w:hAnsi="Times New Roman" w:eastAsia="宋体" w:cs="Times New Roman"/>
                <w:color w:val="auto"/>
                <w:kern w:val="2"/>
                <w:szCs w:val="24"/>
                <w:highlight w:val="none"/>
                <w:shd w:val="clear" w:color="auto" w:fill="FFFFFF"/>
                <w:lang w:val="en-US" w:eastAsia="zh-CN"/>
              </w:rPr>
              <w:t>）。</w:t>
            </w:r>
          </w:p>
        </w:tc>
      </w:tr>
    </w:tbl>
    <w:p w14:paraId="32183C6E">
      <w:pPr>
        <w:rPr>
          <w:rFonts w:hint="eastAsia" w:ascii="Times New Roman" w:hAnsi="Times New Roman" w:eastAsia="黑体" w:cs="Times New Roman"/>
          <w:snapToGrid w:val="0"/>
          <w:color w:val="auto"/>
          <w:sz w:val="30"/>
          <w:szCs w:val="30"/>
          <w:u w:val="none"/>
          <w:lang w:val="en-US" w:eastAsia="zh-CN"/>
        </w:rPr>
      </w:pPr>
      <w:bookmarkStart w:id="132" w:name="_Toc6870"/>
      <w:bookmarkStart w:id="133" w:name="_Toc3502"/>
      <w:r>
        <w:rPr>
          <w:rFonts w:hint="eastAsia" w:ascii="Times New Roman" w:hAnsi="Times New Roman" w:eastAsia="黑体" w:cs="Times New Roman"/>
          <w:snapToGrid w:val="0"/>
          <w:color w:val="auto"/>
          <w:sz w:val="30"/>
          <w:szCs w:val="30"/>
          <w:u w:val="none"/>
          <w:lang w:val="en-US" w:eastAsia="zh-CN"/>
        </w:rPr>
        <w:br w:type="page"/>
      </w:r>
    </w:p>
    <w:p w14:paraId="150C7E76">
      <w:pPr>
        <w:pStyle w:val="22"/>
        <w:keepNext w:val="0"/>
        <w:keepLines w:val="0"/>
        <w:pageBreakBefore w:val="0"/>
        <w:widowControl/>
        <w:kinsoku/>
        <w:wordWrap/>
        <w:overflowPunct/>
        <w:topLinePunct w:val="0"/>
        <w:autoSpaceDE/>
        <w:autoSpaceDN/>
        <w:bidi w:val="0"/>
        <w:adjustRightInd/>
        <w:snapToGrid/>
        <w:spacing w:before="319" w:beforeLines="100" w:beforeAutospacing="0" w:after="319" w:afterLines="100" w:afterAutospacing="0"/>
        <w:jc w:val="center"/>
        <w:textAlignment w:val="auto"/>
        <w:outlineLvl w:val="0"/>
        <w:rPr>
          <w:rFonts w:hint="default" w:ascii="Times New Roman" w:hAnsi="Times New Roman" w:eastAsia="黑体" w:cs="Times New Roman"/>
          <w:b w:val="0"/>
          <w:bCs w:val="0"/>
          <w:snapToGrid w:val="0"/>
          <w:color w:val="auto"/>
          <w:sz w:val="30"/>
          <w:szCs w:val="30"/>
          <w:u w:val="none"/>
          <w:lang w:val="en-US" w:eastAsia="zh-CN"/>
        </w:rPr>
      </w:pPr>
      <w:bookmarkStart w:id="134" w:name="_Toc21825"/>
      <w:r>
        <w:rPr>
          <w:rFonts w:hint="eastAsia" w:ascii="Times New Roman" w:hAnsi="Times New Roman" w:eastAsia="黑体" w:cs="Times New Roman"/>
          <w:b w:val="0"/>
          <w:bCs w:val="0"/>
          <w:snapToGrid w:val="0"/>
          <w:color w:val="auto"/>
          <w:sz w:val="30"/>
          <w:szCs w:val="30"/>
          <w:u w:val="none"/>
          <w:lang w:val="en-US" w:eastAsia="zh-CN"/>
        </w:rPr>
        <w:t>四、</w:t>
      </w:r>
      <w:r>
        <w:rPr>
          <w:rFonts w:hint="default" w:ascii="Times New Roman" w:hAnsi="Times New Roman" w:eastAsia="黑体" w:cs="Times New Roman"/>
          <w:b w:val="0"/>
          <w:bCs w:val="0"/>
          <w:snapToGrid w:val="0"/>
          <w:color w:val="auto"/>
          <w:sz w:val="30"/>
          <w:szCs w:val="30"/>
          <w:u w:val="none"/>
          <w:lang w:val="en-US" w:eastAsia="zh-CN"/>
        </w:rPr>
        <w:t>主要环境影响和保护措施</w:t>
      </w:r>
      <w:bookmarkEnd w:id="132"/>
      <w:bookmarkEnd w:id="133"/>
      <w:bookmarkEnd w:id="134"/>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5"/>
      </w:tblGrid>
      <w:tr w14:paraId="3A3A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33" w:type="dxa"/>
            <w:vAlign w:val="center"/>
          </w:tcPr>
          <w:p w14:paraId="6E0219F9">
            <w:pPr>
              <w:jc w:val="center"/>
              <w:rPr>
                <w:rFonts w:hint="default"/>
                <w:color w:val="auto"/>
                <w:vertAlign w:val="baseline"/>
                <w:lang w:val="en-US" w:eastAsia="zh-CN"/>
              </w:rPr>
            </w:pPr>
            <w:r>
              <w:rPr>
                <w:rFonts w:hint="eastAsia" w:ascii="Times New Roman" w:hAnsi="Times New Roman" w:eastAsia="宋体" w:cs="Times New Roman"/>
                <w:color w:val="auto"/>
                <w:kern w:val="0"/>
                <w:sz w:val="24"/>
                <w:szCs w:val="24"/>
                <w:lang w:val="en-US" w:eastAsia="zh-CN"/>
              </w:rPr>
              <w:t>施工期环境保护措施</w:t>
            </w:r>
          </w:p>
        </w:tc>
        <w:tc>
          <w:tcPr>
            <w:tcW w:w="8755" w:type="dxa"/>
            <w:vAlign w:val="center"/>
          </w:tcPr>
          <w:p w14:paraId="71A1F1F4">
            <w:pPr>
              <w:adjustRightInd w:val="0"/>
              <w:snapToGrid w:val="0"/>
              <w:spacing w:line="348" w:lineRule="auto"/>
              <w:ind w:firstLine="480" w:firstLineChars="200"/>
              <w:rPr>
                <w:rFonts w:hint="eastAsia"/>
                <w:color w:val="auto"/>
                <w:lang w:eastAsia="zh-CN"/>
              </w:rPr>
            </w:pPr>
            <w:bookmarkStart w:id="135" w:name="_Toc56498815"/>
            <w:bookmarkStart w:id="136" w:name="_Toc235065596"/>
            <w:bookmarkStart w:id="137" w:name="_Toc222825971"/>
            <w:bookmarkStart w:id="138" w:name="_Toc56498971"/>
            <w:bookmarkStart w:id="139" w:name="_Toc17361639"/>
            <w:bookmarkStart w:id="140" w:name="_Toc85178610"/>
            <w:bookmarkStart w:id="141" w:name="_Toc235459029"/>
            <w:bookmarkStart w:id="142" w:name="_Toc225766861"/>
            <w:bookmarkStart w:id="143" w:name="_Toc278977997"/>
            <w:bookmarkStart w:id="144" w:name="_Toc281777364"/>
            <w:bookmarkStart w:id="145" w:name="_Toc17361640"/>
            <w:bookmarkStart w:id="146" w:name="_Toc232930955"/>
            <w:bookmarkStart w:id="147" w:name="_Toc212261317"/>
            <w:bookmarkStart w:id="148" w:name="_Toc233386843"/>
            <w:bookmarkStart w:id="149" w:name="_Toc213206595"/>
            <w:bookmarkStart w:id="150" w:name="_Toc279492221"/>
            <w:bookmarkStart w:id="151" w:name="_Toc224713628"/>
            <w:bookmarkStart w:id="152" w:name="_Toc234833275"/>
            <w:bookmarkStart w:id="153" w:name="_Toc211967612"/>
            <w:r>
              <w:rPr>
                <w:rFonts w:hint="default" w:ascii="Times New Roman" w:hAnsi="Times New Roman" w:eastAsia="宋体" w:cs="Times New Roman"/>
                <w:color w:val="auto"/>
                <w:sz w:val="24"/>
                <w:lang w:val="en-US" w:eastAsia="zh-CN"/>
              </w:rPr>
              <w:t>本项目位于</w:t>
            </w:r>
            <w:r>
              <w:rPr>
                <w:rFonts w:hint="eastAsia" w:cs="Times New Roman"/>
                <w:color w:val="auto"/>
                <w:sz w:val="24"/>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highlight w:val="none"/>
                <w:lang w:val="en-US" w:eastAsia="zh-CN"/>
              </w:rPr>
              <w:t>租赁福建力峰机械实业有限公司</w:t>
            </w:r>
            <w:r>
              <w:rPr>
                <w:rFonts w:hint="default" w:ascii="Times New Roman" w:hAnsi="Times New Roman" w:eastAsia="宋体" w:cs="Times New Roman"/>
                <w:color w:val="auto"/>
                <w:sz w:val="24"/>
                <w:lang w:val="en-US" w:eastAsia="zh-CN"/>
              </w:rPr>
              <w:t>现有</w:t>
            </w:r>
            <w:r>
              <w:rPr>
                <w:rFonts w:hint="eastAsia" w:ascii="Times New Roman" w:hAnsi="Times New Roman" w:eastAsia="宋体" w:cs="Times New Roman"/>
                <w:color w:val="auto"/>
                <w:sz w:val="24"/>
                <w:lang w:val="en-US" w:eastAsia="zh-CN"/>
              </w:rPr>
              <w:t>闲置</w:t>
            </w:r>
            <w:r>
              <w:rPr>
                <w:rFonts w:hint="default" w:ascii="Times New Roman" w:hAnsi="Times New Roman" w:eastAsia="宋体" w:cs="Times New Roman"/>
                <w:color w:val="auto"/>
                <w:sz w:val="24"/>
                <w:lang w:val="en-US" w:eastAsia="zh-CN"/>
              </w:rPr>
              <w:t>厂房进行</w:t>
            </w:r>
            <w:r>
              <w:rPr>
                <w:rFonts w:hint="eastAsia" w:ascii="Times New Roman" w:hAnsi="Times New Roman" w:eastAsia="宋体" w:cs="Times New Roman"/>
                <w:color w:val="auto"/>
                <w:sz w:val="24"/>
                <w:lang w:val="en-US" w:eastAsia="zh-CN"/>
              </w:rPr>
              <w:t>加工</w:t>
            </w:r>
            <w:r>
              <w:rPr>
                <w:rFonts w:hint="default" w:ascii="Times New Roman" w:hAnsi="Times New Roman" w:eastAsia="宋体" w:cs="Times New Roman"/>
                <w:color w:val="auto"/>
                <w:sz w:val="24"/>
                <w:lang w:val="en-US" w:eastAsia="zh-CN"/>
              </w:rPr>
              <w:t>生产，根据现场勘查，该厂房已建成，因此不存在厂房等主体工程施工期环境影响。项目施工期主要为设备安装、调试阶段产生的环境问题，本项目设备安装、调试简单</w:t>
            </w:r>
            <w:r>
              <w:rPr>
                <w:rFonts w:hint="eastAsia" w:cs="Times New Roman"/>
                <w:color w:val="auto"/>
                <w:sz w:val="24"/>
                <w:lang w:val="en-US" w:eastAsia="zh-CN"/>
              </w:rPr>
              <w:t>且</w:t>
            </w:r>
            <w:r>
              <w:rPr>
                <w:rFonts w:hint="default" w:ascii="Times New Roman" w:hAnsi="Times New Roman" w:eastAsia="宋体" w:cs="Times New Roman"/>
                <w:color w:val="auto"/>
                <w:sz w:val="24"/>
                <w:lang w:val="en-US" w:eastAsia="zh-CN"/>
              </w:rPr>
              <w:t>时间较短，因此，随着设备安装、调试完毕后，项目施工期也将结束，施工期环境影响也</w:t>
            </w:r>
            <w:r>
              <w:rPr>
                <w:rFonts w:hint="eastAsia" w:cs="Times New Roman"/>
                <w:color w:val="auto"/>
                <w:sz w:val="24"/>
                <w:lang w:val="en-US" w:eastAsia="zh-CN"/>
              </w:rPr>
              <w:t>随之</w:t>
            </w:r>
            <w:r>
              <w:rPr>
                <w:rFonts w:hint="default" w:ascii="Times New Roman" w:hAnsi="Times New Roman" w:eastAsia="宋体" w:cs="Times New Roman"/>
                <w:color w:val="auto"/>
                <w:sz w:val="24"/>
                <w:lang w:val="en-US" w:eastAsia="zh-CN"/>
              </w:rPr>
              <w:t>消失，</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rFonts w:hint="default" w:ascii="Times New Roman" w:hAnsi="Times New Roman" w:eastAsia="宋体" w:cs="Times New Roman"/>
                <w:color w:val="auto"/>
                <w:sz w:val="24"/>
                <w:lang w:val="zh-CN" w:eastAsia="zh-CN"/>
              </w:rPr>
              <w:t>对周围环境的影响较小，故本环评对此不再作出具体分析。</w:t>
            </w:r>
          </w:p>
        </w:tc>
      </w:tr>
      <w:tr w14:paraId="3A09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9" w:hRule="atLeast"/>
        </w:trPr>
        <w:tc>
          <w:tcPr>
            <w:tcW w:w="533" w:type="dxa"/>
            <w:vAlign w:val="center"/>
          </w:tcPr>
          <w:p w14:paraId="018F02A0">
            <w:pPr>
              <w:jc w:val="center"/>
              <w:rPr>
                <w:rFonts w:hint="default"/>
                <w:color w:val="auto"/>
                <w:vertAlign w:val="baseline"/>
                <w:lang w:val="en-US" w:eastAsia="zh-CN"/>
              </w:rPr>
            </w:pPr>
            <w:r>
              <w:rPr>
                <w:rFonts w:hint="eastAsia" w:ascii="Times New Roman" w:hAnsi="Times New Roman" w:eastAsia="宋体" w:cs="Times New Roman"/>
                <w:color w:val="auto"/>
                <w:kern w:val="0"/>
                <w:sz w:val="24"/>
                <w:szCs w:val="24"/>
                <w:lang w:val="en-US" w:eastAsia="zh-CN"/>
              </w:rPr>
              <w:t>运营期环境影响和保护措施</w:t>
            </w:r>
          </w:p>
        </w:tc>
        <w:tc>
          <w:tcPr>
            <w:tcW w:w="8755" w:type="dxa"/>
          </w:tcPr>
          <w:p w14:paraId="6F7CEE44">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b/>
                <w:color w:val="auto"/>
                <w:sz w:val="28"/>
                <w:szCs w:val="28"/>
              </w:rPr>
            </w:pPr>
            <w:bookmarkStart w:id="154" w:name="_Toc5587"/>
            <w:bookmarkStart w:id="155" w:name="_Toc10826"/>
            <w:r>
              <w:rPr>
                <w:rFonts w:hint="eastAsia"/>
                <w:b/>
                <w:color w:val="auto"/>
                <w:sz w:val="28"/>
                <w:szCs w:val="28"/>
                <w:lang w:val="en-US" w:eastAsia="zh-CN"/>
              </w:rPr>
              <w:t>4</w:t>
            </w:r>
            <w:r>
              <w:rPr>
                <w:b/>
                <w:color w:val="auto"/>
                <w:sz w:val="28"/>
                <w:szCs w:val="28"/>
              </w:rPr>
              <w:t>.1</w:t>
            </w:r>
            <w:r>
              <w:rPr>
                <w:rFonts w:eastAsia="宋体"/>
                <w:b/>
                <w:color w:val="auto"/>
                <w:sz w:val="28"/>
                <w:szCs w:val="28"/>
              </w:rPr>
              <w:t>大气环境影响分析和污染防治措施</w:t>
            </w:r>
            <w:bookmarkEnd w:id="154"/>
            <w:bookmarkEnd w:id="155"/>
          </w:p>
          <w:p w14:paraId="74AB3F9A">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b/>
                <w:color w:val="auto"/>
                <w:kern w:val="0"/>
                <w:sz w:val="24"/>
              </w:rPr>
            </w:pPr>
            <w:bookmarkStart w:id="156" w:name="_Toc3550"/>
            <w:bookmarkStart w:id="157" w:name="_Toc24593"/>
            <w:bookmarkStart w:id="158" w:name="_Toc5618"/>
            <w:r>
              <w:rPr>
                <w:b/>
                <w:color w:val="auto"/>
                <w:kern w:val="0"/>
                <w:sz w:val="24"/>
              </w:rPr>
              <w:t>4.1.1运营期废气源强核算</w:t>
            </w:r>
            <w:bookmarkEnd w:id="156"/>
            <w:bookmarkEnd w:id="157"/>
            <w:bookmarkEnd w:id="158"/>
          </w:p>
          <w:p w14:paraId="51F485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根据生产工艺流程图可知，项目使用的原材料EPS粒径为0.25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2.5mm，EPP颗粒粒径为2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7mm。在投料过程中不产生粉尘（颗粒物）</w:t>
            </w:r>
            <w:r>
              <w:rPr>
                <w:rFonts w:hint="eastAsia" w:cs="Times New Roman"/>
                <w:color w:val="auto"/>
                <w:sz w:val="24"/>
                <w:szCs w:val="24"/>
                <w:highlight w:val="none"/>
                <w:lang w:val="en-US" w:eastAsia="zh-CN"/>
              </w:rPr>
              <w:t>且</w:t>
            </w:r>
            <w:r>
              <w:rPr>
                <w:rFonts w:hint="eastAsia" w:ascii="Times New Roman" w:hAnsi="Times New Roman" w:eastAsia="宋体" w:cs="Times New Roman"/>
                <w:color w:val="auto"/>
                <w:sz w:val="24"/>
                <w:szCs w:val="24"/>
                <w:highlight w:val="none"/>
                <w:lang w:val="en-US" w:eastAsia="zh-CN"/>
              </w:rPr>
              <w:t>项目发泡机设置于单独密闭的发泡车间内，定期进行清扫有效控制颗粒物无组织逸散。项目现有工程于2017年3月通过环评审批（榕环评表〔2017〕26号），2017年7月完成竣工验收</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由于还发布此政策。根据文献《气相色谱质谱法分析聚苯乙烯加热分解产物》（林华影、张伟等.中国卫生检验杂志），聚苯乙烯在120</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以下加热会有少量甲苯、乙苯等有机物产生，以非甲烷总</w:t>
            </w:r>
            <w:r>
              <w:rPr>
                <w:rFonts w:hint="eastAsia" w:cs="Times New Roman"/>
                <w:color w:val="auto"/>
                <w:sz w:val="24"/>
                <w:szCs w:val="24"/>
                <w:highlight w:val="none"/>
                <w:lang w:val="en-US" w:eastAsia="zh-CN"/>
              </w:rPr>
              <w:t>烃</w:t>
            </w:r>
            <w:r>
              <w:rPr>
                <w:rFonts w:hint="eastAsia" w:ascii="Times New Roman" w:hAnsi="Times New Roman" w:eastAsia="宋体" w:cs="Times New Roman"/>
                <w:color w:val="auto"/>
                <w:sz w:val="24"/>
                <w:szCs w:val="24"/>
                <w:highlight w:val="none"/>
                <w:lang w:val="en-US" w:eastAsia="zh-CN"/>
              </w:rPr>
              <w:t>表示。根据文献实验结果推算，1t聚苯乙烯加热至120℃，</w:t>
            </w:r>
            <w:r>
              <w:rPr>
                <w:rFonts w:hint="eastAsia" w:cs="Times New Roman"/>
                <w:color w:val="auto"/>
                <w:sz w:val="24"/>
                <w:szCs w:val="24"/>
                <w:highlight w:val="none"/>
                <w:lang w:val="en-US" w:eastAsia="zh-CN"/>
              </w:rPr>
              <w:t>苯</w:t>
            </w:r>
            <w:r>
              <w:rPr>
                <w:rFonts w:hint="eastAsia" w:ascii="Times New Roman" w:hAnsi="Times New Roman" w:eastAsia="宋体" w:cs="Times New Roman"/>
                <w:color w:val="auto"/>
                <w:sz w:val="24"/>
                <w:szCs w:val="24"/>
                <w:highlight w:val="none"/>
                <w:lang w:val="en-US" w:eastAsia="zh-CN"/>
              </w:rPr>
              <w:t>、甲苯等非甲烷总产生量约为20.2mg，则本项目</w:t>
            </w:r>
            <w:r>
              <w:rPr>
                <w:rFonts w:hint="eastAsia" w:cs="Times New Roman"/>
                <w:color w:val="auto"/>
                <w:sz w:val="24"/>
                <w:szCs w:val="24"/>
                <w:highlight w:val="none"/>
                <w:lang w:val="en-US" w:eastAsia="zh-CN"/>
              </w:rPr>
              <w:t>非甲烷总烃的</w:t>
            </w:r>
            <w:r>
              <w:rPr>
                <w:rFonts w:hint="eastAsia" w:ascii="Times New Roman" w:hAnsi="Times New Roman" w:eastAsia="宋体" w:cs="Times New Roman"/>
                <w:color w:val="auto"/>
                <w:sz w:val="24"/>
                <w:szCs w:val="24"/>
                <w:highlight w:val="none"/>
                <w:lang w:val="en-US" w:eastAsia="zh-CN"/>
              </w:rPr>
              <w:t>产生量约为0.038kg/a，排放量很小。同时，本项目预发泡及成型过程均在封闭的容器内进行，大部分废气通过容器排水管道进入循环水池再逸散空气中，少量废气在容器打开时逸散至空气中。本次扩建将把现有项目产生废气与拟扩建项目产生废气一并收集处理。</w:t>
            </w:r>
          </w:p>
          <w:p w14:paraId="603DE4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lang w:eastAsia="zh-CN"/>
              </w:rPr>
            </w:pPr>
            <w:r>
              <w:rPr>
                <w:rFonts w:hint="eastAsia" w:ascii="Times New Roman" w:hAnsi="Times New Roman" w:eastAsia="宋体" w:cs="Times New Roman"/>
                <w:color w:val="auto"/>
                <w:sz w:val="24"/>
                <w:szCs w:val="24"/>
                <w:highlight w:val="none"/>
                <w:lang w:val="en-US" w:eastAsia="zh-CN"/>
              </w:rPr>
              <w:t>项目对</w:t>
            </w:r>
            <w:r>
              <w:rPr>
                <w:rFonts w:hint="eastAsia" w:cs="Times New Roman"/>
                <w:color w:val="auto"/>
                <w:sz w:val="24"/>
                <w:szCs w:val="24"/>
                <w:highlight w:val="none"/>
                <w:lang w:val="en-US" w:eastAsia="zh-CN"/>
              </w:rPr>
              <w:t>EPS</w:t>
            </w:r>
            <w:r>
              <w:rPr>
                <w:rFonts w:hint="eastAsia" w:ascii="Times New Roman" w:hAnsi="Times New Roman" w:eastAsia="宋体" w:cs="Times New Roman"/>
                <w:color w:val="auto"/>
                <w:sz w:val="24"/>
                <w:szCs w:val="24"/>
                <w:highlight w:val="none"/>
                <w:lang w:val="en-US" w:eastAsia="zh-CN"/>
              </w:rPr>
              <w:t>的加热温度</w:t>
            </w:r>
            <w:r>
              <w:rPr>
                <w:rFonts w:hint="eastAsia" w:cs="Times New Roman"/>
                <w:color w:val="auto"/>
                <w:sz w:val="24"/>
                <w:szCs w:val="24"/>
                <w:highlight w:val="none"/>
                <w:lang w:val="en-US" w:eastAsia="zh-CN"/>
              </w:rPr>
              <w:t>控制</w:t>
            </w:r>
            <w:r>
              <w:rPr>
                <w:rFonts w:hint="eastAsia" w:ascii="Times New Roman" w:hAnsi="Times New Roman" w:eastAsia="宋体" w:cs="Times New Roman"/>
                <w:color w:val="auto"/>
                <w:sz w:val="24"/>
                <w:szCs w:val="24"/>
                <w:highlight w:val="none"/>
                <w:lang w:val="en-US" w:eastAsia="zh-CN"/>
              </w:rPr>
              <w:t>在95~105℃，</w:t>
            </w:r>
            <w:r>
              <w:rPr>
                <w:rFonts w:hint="eastAsia"/>
                <w:color w:val="auto"/>
                <w:sz w:val="24"/>
                <w:lang w:val="en-US" w:eastAsia="zh-CN"/>
              </w:rPr>
              <w:t>因此本项目</w:t>
            </w:r>
            <w:r>
              <w:rPr>
                <w:rFonts w:hint="eastAsia"/>
                <w:color w:val="auto"/>
                <w:sz w:val="24"/>
              </w:rPr>
              <w:t>营期废气</w:t>
            </w:r>
            <w:r>
              <w:rPr>
                <w:rFonts w:hint="eastAsia"/>
                <w:color w:val="auto"/>
                <w:sz w:val="24"/>
                <w:lang w:val="en-US" w:eastAsia="zh-CN"/>
              </w:rPr>
              <w:t>主要为EPS预发、成型工序生产的有机废气（主要污染因子为非甲烷总烃、苯乙烯、甲苯、乙苯）；EPP成型工序生产的有机废气（主要污染因子为非甲烷总烃）</w:t>
            </w:r>
            <w:r>
              <w:rPr>
                <w:rFonts w:hint="eastAsia"/>
                <w:color w:val="auto"/>
                <w:sz w:val="24"/>
                <w:lang w:eastAsia="zh-CN"/>
              </w:rPr>
              <w:t>。</w:t>
            </w:r>
          </w:p>
          <w:p w14:paraId="14A16A7C">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outlineLvl w:val="9"/>
              <w:rPr>
                <w:rFonts w:hint="default" w:ascii="Times New Roman" w:hAnsi="Times New Roman" w:eastAsia="宋体" w:cs="Times New Roman"/>
                <w:bCs/>
                <w:color w:val="auto"/>
                <w:sz w:val="24"/>
                <w:szCs w:val="24"/>
                <w:lang w:val="en-US"/>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1</w:t>
            </w:r>
            <w:r>
              <w:rPr>
                <w:rFonts w:hint="eastAsia" w:cs="Times New Roman"/>
                <w:b/>
                <w:bCs/>
                <w:color w:val="auto"/>
                <w:sz w:val="24"/>
                <w:lang w:val="en-US" w:eastAsia="zh-CN"/>
              </w:rPr>
              <w:t>）EPS预发、成型工序废气源强核算</w:t>
            </w:r>
          </w:p>
          <w:p w14:paraId="7DBAFB22">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本项目发泡机、自动成型机、烘干机生产过程中有少量有机废气产生，以非甲烷总烃计。本项目预发</w:t>
            </w:r>
            <w:r>
              <w:rPr>
                <w:rFonts w:hint="eastAsia" w:cs="Times New Roman"/>
                <w:color w:val="auto"/>
                <w:sz w:val="24"/>
                <w:lang w:val="en-US" w:eastAsia="zh-CN"/>
              </w:rPr>
              <w:t>温度一般控制在97℃左右</w:t>
            </w:r>
            <w:r>
              <w:rPr>
                <w:rFonts w:hint="eastAsia" w:ascii="Times New Roman" w:hAnsi="Times New Roman" w:eastAsia="宋体" w:cs="Times New Roman"/>
                <w:color w:val="auto"/>
                <w:sz w:val="24"/>
                <w:lang w:val="en-US" w:eastAsia="zh-CN"/>
              </w:rPr>
              <w:t>、成型温度</w:t>
            </w:r>
            <w:r>
              <w:rPr>
                <w:rFonts w:hint="eastAsia" w:cs="Times New Roman"/>
                <w:color w:val="auto"/>
                <w:sz w:val="24"/>
                <w:lang w:val="en-US" w:eastAsia="zh-CN"/>
              </w:rPr>
              <w:t>控制</w:t>
            </w:r>
            <w:r>
              <w:rPr>
                <w:rFonts w:hint="eastAsia" w:ascii="Times New Roman" w:hAnsi="Times New Roman" w:eastAsia="宋体" w:cs="Times New Roman"/>
                <w:color w:val="auto"/>
                <w:sz w:val="24"/>
                <w:lang w:val="en-US" w:eastAsia="zh-CN"/>
              </w:rPr>
              <w:t>在</w:t>
            </w:r>
            <w:r>
              <w:rPr>
                <w:rFonts w:hint="eastAsia" w:cs="Times New Roman"/>
                <w:color w:val="auto"/>
                <w:sz w:val="24"/>
                <w:lang w:val="en-US" w:eastAsia="zh-CN"/>
              </w:rPr>
              <w:t>100</w:t>
            </w:r>
            <w:r>
              <w:rPr>
                <w:rFonts w:hint="eastAsia" w:ascii="Times New Roman" w:hAnsi="Times New Roman" w:eastAsia="宋体" w:cs="Times New Roman"/>
                <w:color w:val="auto"/>
                <w:sz w:val="24"/>
                <w:lang w:val="en-US" w:eastAsia="zh-CN"/>
              </w:rPr>
              <w:t>℃左右，烘干</w:t>
            </w:r>
            <w:r>
              <w:rPr>
                <w:rFonts w:hint="eastAsia" w:cs="Times New Roman"/>
                <w:color w:val="auto"/>
                <w:sz w:val="24"/>
                <w:lang w:val="en-US" w:eastAsia="zh-CN"/>
              </w:rPr>
              <w:t>温度控制在60</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左右</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而</w:t>
            </w:r>
            <w:r>
              <w:rPr>
                <w:rFonts w:hint="default" w:ascii="Times New Roman" w:hAnsi="Times New Roman" w:eastAsia="宋体" w:cs="Times New Roman"/>
                <w:color w:val="auto"/>
                <w:sz w:val="24"/>
                <w:lang w:val="en-US" w:eastAsia="zh-CN"/>
              </w:rPr>
              <w:t>EPS</w:t>
            </w:r>
            <w:r>
              <w:rPr>
                <w:rFonts w:hint="eastAsia" w:ascii="Times New Roman" w:hAnsi="Times New Roman" w:eastAsia="宋体" w:cs="Times New Roman"/>
                <w:color w:val="auto"/>
                <w:sz w:val="24"/>
                <w:lang w:val="en-US" w:eastAsia="zh-CN"/>
              </w:rPr>
              <w:t>分解温度在</w:t>
            </w:r>
            <w:r>
              <w:rPr>
                <w:rFonts w:hint="default" w:ascii="Times New Roman" w:hAnsi="Times New Roman" w:eastAsia="宋体" w:cs="Times New Roman"/>
                <w:color w:val="auto"/>
                <w:sz w:val="24"/>
                <w:lang w:val="en-US" w:eastAsia="zh-CN"/>
              </w:rPr>
              <w:t>260</w:t>
            </w:r>
            <w:r>
              <w:rPr>
                <w:rFonts w:hint="eastAsia" w:ascii="Times New Roman" w:hAnsi="Times New Roman" w:eastAsia="宋体" w:cs="Times New Roman"/>
                <w:color w:val="auto"/>
                <w:sz w:val="24"/>
                <w:lang w:val="en-US" w:eastAsia="zh-CN"/>
              </w:rPr>
              <w:t>℃左右，</w:t>
            </w:r>
            <w:r>
              <w:rPr>
                <w:rFonts w:hint="default" w:ascii="Times New Roman" w:hAnsi="Times New Roman" w:eastAsia="宋体" w:cs="Times New Roman"/>
                <w:color w:val="auto"/>
                <w:sz w:val="24"/>
                <w:lang w:val="en-US" w:eastAsia="zh-CN"/>
              </w:rPr>
              <w:t>EPP</w:t>
            </w:r>
            <w:r>
              <w:rPr>
                <w:rFonts w:hint="eastAsia" w:ascii="Times New Roman" w:hAnsi="Times New Roman" w:eastAsia="宋体" w:cs="Times New Roman"/>
                <w:color w:val="auto"/>
                <w:sz w:val="24"/>
                <w:lang w:val="en-US" w:eastAsia="zh-CN"/>
              </w:rPr>
              <w:t>分解温度在</w:t>
            </w:r>
            <w:r>
              <w:rPr>
                <w:rFonts w:hint="default" w:ascii="Times New Roman" w:hAnsi="Times New Roman" w:eastAsia="宋体" w:cs="Times New Roman"/>
                <w:color w:val="auto"/>
                <w:sz w:val="24"/>
                <w:lang w:val="en-US" w:eastAsia="zh-CN"/>
              </w:rPr>
              <w:t>350</w:t>
            </w:r>
            <w:r>
              <w:rPr>
                <w:rFonts w:hint="eastAsia" w:ascii="Times New Roman" w:hAnsi="Times New Roman" w:eastAsia="宋体" w:cs="Times New Roman"/>
                <w:color w:val="auto"/>
                <w:sz w:val="24"/>
                <w:lang w:val="en-US" w:eastAsia="zh-CN"/>
              </w:rPr>
              <w:t>℃左右</w:t>
            </w:r>
            <w:r>
              <w:rPr>
                <w:rFonts w:hint="eastAsia" w:cs="Times New Roman"/>
                <w:color w:val="auto"/>
                <w:sz w:val="24"/>
                <w:lang w:val="en-US" w:eastAsia="zh-CN"/>
              </w:rPr>
              <w:t>。项目</w:t>
            </w:r>
            <w:r>
              <w:rPr>
                <w:rFonts w:hint="default" w:ascii="Times New Roman" w:hAnsi="Times New Roman" w:eastAsia="宋体" w:cs="Times New Roman"/>
                <w:color w:val="auto"/>
                <w:sz w:val="24"/>
                <w:lang w:val="en-US" w:eastAsia="zh-CN"/>
              </w:rPr>
              <w:t>EPS</w:t>
            </w:r>
            <w:r>
              <w:rPr>
                <w:rFonts w:hint="eastAsia" w:cs="Times New Roman"/>
                <w:color w:val="auto"/>
                <w:sz w:val="24"/>
                <w:lang w:val="en-US" w:eastAsia="zh-CN"/>
              </w:rPr>
              <w:t>在</w:t>
            </w:r>
            <w:r>
              <w:rPr>
                <w:rFonts w:hint="eastAsia" w:ascii="Times New Roman" w:hAnsi="Times New Roman" w:eastAsia="宋体" w:cs="Times New Roman"/>
                <w:color w:val="auto"/>
                <w:sz w:val="24"/>
                <w:lang w:val="en-US" w:eastAsia="zh-CN"/>
              </w:rPr>
              <w:t>进行预发、成型、烘干过程及</w:t>
            </w:r>
            <w:r>
              <w:rPr>
                <w:rFonts w:hint="default" w:ascii="Times New Roman" w:hAnsi="Times New Roman" w:eastAsia="宋体" w:cs="Times New Roman"/>
                <w:color w:val="auto"/>
                <w:sz w:val="24"/>
                <w:lang w:val="en-US" w:eastAsia="zh-CN"/>
              </w:rPr>
              <w:t>EPP</w:t>
            </w:r>
            <w:r>
              <w:rPr>
                <w:rFonts w:hint="eastAsia" w:ascii="Times New Roman" w:hAnsi="Times New Roman" w:eastAsia="宋体" w:cs="Times New Roman"/>
                <w:color w:val="auto"/>
                <w:sz w:val="24"/>
                <w:lang w:val="en-US" w:eastAsia="zh-CN"/>
              </w:rPr>
              <w:t>进行成型、烘干过程均不会发生分解。因此，EPS发泡、成型等工序产生的有机废气以非甲烷总烃、苯乙烯进行评价。</w:t>
            </w:r>
          </w:p>
          <w:p w14:paraId="6533B6B2">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①非甲烷总烃</w:t>
            </w:r>
          </w:p>
          <w:p w14:paraId="451A534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根据《空气污染物排放和控制手册》</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美国国家环保局</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，塑料粒子在预发、成型及烘干过</w:t>
            </w:r>
            <w:r>
              <w:rPr>
                <w:rFonts w:hint="eastAsia" w:cs="Times New Roman"/>
                <w:color w:val="auto"/>
                <w:sz w:val="24"/>
                <w:lang w:val="en-US" w:eastAsia="zh-CN"/>
              </w:rPr>
              <w:t>程中</w:t>
            </w:r>
            <w:r>
              <w:rPr>
                <w:rFonts w:hint="eastAsia" w:ascii="Times New Roman" w:hAnsi="Times New Roman" w:eastAsia="宋体" w:cs="Times New Roman"/>
                <w:color w:val="auto"/>
                <w:sz w:val="24"/>
                <w:lang w:val="en-US" w:eastAsia="zh-CN"/>
              </w:rPr>
              <w:t>有机废气产生量约占投料量的</w:t>
            </w:r>
            <w:r>
              <w:rPr>
                <w:rFonts w:hint="default" w:ascii="Times New Roman" w:hAnsi="Times New Roman" w:eastAsia="宋体" w:cs="Times New Roman"/>
                <w:color w:val="auto"/>
                <w:sz w:val="24"/>
                <w:lang w:val="en-US" w:eastAsia="zh-CN"/>
              </w:rPr>
              <w:t>0.035%</w:t>
            </w:r>
            <w:r>
              <w:rPr>
                <w:rFonts w:hint="eastAsia" w:ascii="Times New Roman" w:hAnsi="Times New Roman" w:eastAsia="宋体" w:cs="Times New Roman"/>
                <w:color w:val="auto"/>
                <w:sz w:val="24"/>
                <w:lang w:val="en-US" w:eastAsia="zh-CN"/>
              </w:rPr>
              <w:t>，本</w:t>
            </w:r>
            <w:r>
              <w:rPr>
                <w:rFonts w:hint="eastAsia" w:cs="Times New Roman"/>
                <w:color w:val="auto"/>
                <w:sz w:val="24"/>
                <w:lang w:val="en-US" w:eastAsia="zh-CN"/>
              </w:rPr>
              <w:t>次扩建项</w:t>
            </w:r>
            <w:r>
              <w:rPr>
                <w:rFonts w:hint="eastAsia" w:ascii="Times New Roman" w:hAnsi="Times New Roman" w:eastAsia="宋体" w:cs="Times New Roman"/>
                <w:color w:val="auto"/>
                <w:sz w:val="24"/>
                <w:lang w:val="en-US" w:eastAsia="zh-CN"/>
              </w:rPr>
              <w:t>目</w:t>
            </w:r>
            <w:r>
              <w:rPr>
                <w:rFonts w:hint="default" w:ascii="Times New Roman" w:hAnsi="Times New Roman" w:eastAsia="宋体" w:cs="Times New Roman"/>
                <w:color w:val="auto"/>
                <w:sz w:val="24"/>
                <w:lang w:val="en-US" w:eastAsia="zh-CN"/>
              </w:rPr>
              <w:t>EPS</w:t>
            </w:r>
            <w:r>
              <w:rPr>
                <w:rFonts w:hint="eastAsia" w:ascii="Times New Roman" w:hAnsi="Times New Roman" w:eastAsia="宋体" w:cs="Times New Roman"/>
                <w:color w:val="auto"/>
                <w:sz w:val="24"/>
                <w:lang w:val="en-US" w:eastAsia="zh-CN"/>
              </w:rPr>
              <w:t>使用量为</w:t>
            </w:r>
            <w:r>
              <w:rPr>
                <w:rFonts w:hint="eastAsia" w:cs="Times New Roman"/>
                <w:color w:val="auto"/>
                <w:sz w:val="24"/>
                <w:lang w:val="en-US" w:eastAsia="zh-CN"/>
              </w:rPr>
              <w:t>6120</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，则有机废气</w:t>
            </w:r>
            <w:r>
              <w:rPr>
                <w:rFonts w:hint="eastAsia" w:cs="Times New Roman"/>
                <w:color w:val="auto"/>
                <w:sz w:val="24"/>
                <w:lang w:val="en-US" w:eastAsia="zh-CN"/>
              </w:rPr>
              <w:t>（非甲烷总烃）</w:t>
            </w:r>
            <w:r>
              <w:rPr>
                <w:rFonts w:hint="eastAsia" w:ascii="Times New Roman" w:hAnsi="Times New Roman" w:eastAsia="宋体" w:cs="Times New Roman"/>
                <w:color w:val="auto"/>
                <w:sz w:val="24"/>
                <w:lang w:val="en-US" w:eastAsia="zh-CN"/>
              </w:rPr>
              <w:t>产生量约为</w:t>
            </w:r>
            <w:r>
              <w:rPr>
                <w:rFonts w:hint="eastAsia" w:cs="Times New Roman"/>
                <w:color w:val="auto"/>
                <w:sz w:val="24"/>
                <w:lang w:val="en-US" w:eastAsia="zh-CN"/>
              </w:rPr>
              <w:t>6120t/a×0.035%=2.142</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14:paraId="5BF69DCA">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cs="Times New Roman"/>
                <w:color w:val="auto"/>
                <w:sz w:val="24"/>
                <w:lang w:val="en-US" w:eastAsia="zh-CN"/>
              </w:rPr>
              <w:t>苯乙烯</w:t>
            </w:r>
          </w:p>
          <w:p w14:paraId="24541C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lang w:val="en-US" w:eastAsia="zh-CN"/>
              </w:rPr>
            </w:pPr>
            <w:r>
              <w:rPr>
                <w:rFonts w:ascii="宋体" w:hAnsi="宋体" w:eastAsia="宋体" w:cs="宋体"/>
                <w:color w:val="auto"/>
                <w:sz w:val="24"/>
                <w:szCs w:val="24"/>
              </w:rPr>
              <w:t>根据中华人民共和国轻工行业标准《可发性聚苯乙烯（EPS）树脂》（QB/T4009-2010），可发性聚苯乙烯（EPS）树脂中残留单体苯乙烯含量≤0.6%（本次环评按苯乙烯单体含量0.6%计）</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参考中国知网（</w:t>
            </w:r>
            <w:r>
              <w:rPr>
                <w:rFonts w:ascii="宋体" w:hAnsi="宋体" w:eastAsia="宋体" w:cs="宋体"/>
                <w:color w:val="auto"/>
                <w:sz w:val="24"/>
                <w:szCs w:val="24"/>
              </w:rPr>
              <w:t>郭哓飞</w:t>
            </w:r>
            <w:r>
              <w:rPr>
                <w:rFonts w:hint="eastAsia" w:ascii="宋体" w:hAnsi="宋体" w:cs="宋体"/>
                <w:color w:val="auto"/>
                <w:sz w:val="24"/>
                <w:szCs w:val="24"/>
                <w:lang w:eastAsia="zh-CN"/>
              </w:rPr>
              <w:t>；</w:t>
            </w:r>
            <w:r>
              <w:rPr>
                <w:rFonts w:ascii="宋体" w:hAnsi="宋体" w:eastAsia="宋体" w:cs="宋体"/>
                <w:color w:val="auto"/>
                <w:sz w:val="24"/>
                <w:szCs w:val="24"/>
              </w:rPr>
              <w:t>郭春明</w:t>
            </w:r>
            <w:r>
              <w:rPr>
                <w:rFonts w:hint="eastAsia" w:ascii="宋体" w:hAnsi="宋体" w:cs="宋体"/>
                <w:color w:val="auto"/>
                <w:sz w:val="24"/>
                <w:szCs w:val="24"/>
                <w:lang w:eastAsia="zh-CN"/>
              </w:rPr>
              <w:t>；</w:t>
            </w:r>
            <w:r>
              <w:rPr>
                <w:rFonts w:hint="default" w:ascii="宋体" w:hAnsi="宋体" w:eastAsia="宋体" w:cs="宋体"/>
                <w:color w:val="auto"/>
                <w:sz w:val="24"/>
                <w:szCs w:val="24"/>
              </w:rPr>
              <w:fldChar w:fldCharType="begin"/>
            </w:r>
            <w:r>
              <w:rPr>
                <w:rFonts w:hint="default" w:ascii="宋体" w:hAnsi="宋体" w:eastAsia="宋体" w:cs="宋体"/>
                <w:color w:val="auto"/>
                <w:sz w:val="24"/>
                <w:szCs w:val="24"/>
              </w:rPr>
              <w:instrText xml:space="preserve"> HYPERLINK "https://www.cnki.com.cn/Article/CJFDTOTAL-LNJC201002015.htm" \t "https://www.cnki.com.cn/Article/_blank" </w:instrText>
            </w:r>
            <w:r>
              <w:rPr>
                <w:rFonts w:hint="default" w:ascii="宋体" w:hAnsi="宋体" w:eastAsia="宋体" w:cs="宋体"/>
                <w:color w:val="auto"/>
                <w:sz w:val="24"/>
                <w:szCs w:val="24"/>
              </w:rPr>
              <w:fldChar w:fldCharType="separate"/>
            </w:r>
            <w:r>
              <w:rPr>
                <w:rFonts w:hint="default" w:ascii="宋体" w:hAnsi="宋体" w:eastAsia="宋体" w:cs="宋体"/>
                <w:color w:val="auto"/>
                <w:sz w:val="24"/>
                <w:szCs w:val="24"/>
              </w:rPr>
              <w:t>聚氨酯(PUF)与发泡聚苯(EPS、XPS)保温系统比较</w:t>
            </w:r>
            <w:r>
              <w:rPr>
                <w:rFonts w:hint="default" w:ascii="宋体" w:hAnsi="宋体" w:eastAsia="宋体" w:cs="宋体"/>
                <w:color w:val="auto"/>
                <w:sz w:val="24"/>
                <w:szCs w:val="24"/>
              </w:rPr>
              <w:fldChar w:fldCharType="end"/>
            </w:r>
            <w:r>
              <w:rPr>
                <w:rFonts w:hint="default" w:ascii="宋体" w:hAnsi="宋体" w:eastAsia="宋体" w:cs="宋体"/>
                <w:color w:val="auto"/>
                <w:sz w:val="24"/>
                <w:szCs w:val="24"/>
              </w:rPr>
              <w:t>[J]</w:t>
            </w:r>
            <w:r>
              <w:rPr>
                <w:rFonts w:hint="eastAsia" w:ascii="宋体" w:hAnsi="宋体" w:cs="宋体"/>
                <w:color w:val="auto"/>
                <w:sz w:val="24"/>
                <w:szCs w:val="24"/>
                <w:lang w:eastAsia="zh-CN"/>
              </w:rPr>
              <w:t>；</w:t>
            </w:r>
            <w:r>
              <w:rPr>
                <w:rFonts w:hint="default" w:ascii="宋体" w:hAnsi="宋体" w:eastAsia="宋体" w:cs="宋体"/>
                <w:color w:val="auto"/>
                <w:sz w:val="24"/>
                <w:szCs w:val="24"/>
              </w:rPr>
              <w:t>辽宁建材</w:t>
            </w:r>
            <w:r>
              <w:rPr>
                <w:rFonts w:hint="eastAsia" w:ascii="宋体" w:hAnsi="宋体" w:cs="宋体"/>
                <w:color w:val="auto"/>
                <w:sz w:val="24"/>
                <w:szCs w:val="24"/>
                <w:lang w:eastAsia="zh-CN"/>
              </w:rPr>
              <w:t>；</w:t>
            </w:r>
            <w:r>
              <w:rPr>
                <w:rFonts w:hint="default" w:ascii="宋体" w:hAnsi="宋体" w:eastAsia="宋体" w:cs="宋体"/>
                <w:color w:val="auto"/>
                <w:sz w:val="24"/>
                <w:szCs w:val="24"/>
              </w:rPr>
              <w:t>2010年02期</w:t>
            </w:r>
            <w:r>
              <w:rPr>
                <w:rFonts w:hint="eastAsia" w:ascii="宋体" w:hAnsi="宋体" w:cs="宋体"/>
                <w:color w:val="auto"/>
                <w:sz w:val="24"/>
                <w:szCs w:val="24"/>
                <w:lang w:eastAsia="zh-CN"/>
              </w:rPr>
              <w:t>）</w:t>
            </w:r>
            <w:r>
              <w:rPr>
                <w:rFonts w:ascii="宋体" w:hAnsi="宋体" w:eastAsia="宋体" w:cs="宋体"/>
                <w:color w:val="auto"/>
                <w:sz w:val="24"/>
                <w:szCs w:val="24"/>
              </w:rPr>
              <w:t>可知，EPS珠粒发泡闭孔率达98%，仅2%的</w:t>
            </w:r>
            <w:r>
              <w:rPr>
                <w:rFonts w:hint="eastAsia" w:ascii="宋体" w:hAnsi="宋体" w:cs="宋体"/>
                <w:color w:val="auto"/>
                <w:sz w:val="24"/>
                <w:szCs w:val="24"/>
                <w:lang w:val="en-US" w:eastAsia="zh-CN"/>
              </w:rPr>
              <w:t>戊烷</w:t>
            </w:r>
            <w:r>
              <w:rPr>
                <w:rFonts w:ascii="宋体" w:hAnsi="宋体" w:eastAsia="宋体" w:cs="宋体"/>
                <w:color w:val="auto"/>
                <w:sz w:val="24"/>
                <w:szCs w:val="24"/>
              </w:rPr>
              <w:t>挥发。</w:t>
            </w:r>
            <w:r>
              <w:rPr>
                <w:rFonts w:hint="eastAsia" w:ascii="宋体" w:hAnsi="宋体" w:eastAsia="宋体" w:cs="宋体"/>
                <w:color w:val="auto"/>
                <w:sz w:val="24"/>
                <w:szCs w:val="24"/>
                <w:lang w:val="en-US" w:eastAsia="zh-CN"/>
              </w:rPr>
              <w:t>本项目</w:t>
            </w:r>
            <w:r>
              <w:rPr>
                <w:rFonts w:hint="default" w:ascii="Times New Roman" w:hAnsi="Times New Roman" w:eastAsia="宋体" w:cs="Times New Roman"/>
                <w:color w:val="auto"/>
                <w:sz w:val="24"/>
                <w:lang w:val="en-US" w:eastAsia="zh-CN"/>
              </w:rPr>
              <w:t>EPS</w:t>
            </w:r>
            <w:r>
              <w:rPr>
                <w:rFonts w:hint="eastAsia" w:ascii="Times New Roman" w:hAnsi="Times New Roman" w:eastAsia="宋体" w:cs="Times New Roman"/>
                <w:color w:val="auto"/>
                <w:sz w:val="24"/>
                <w:lang w:val="en-US" w:eastAsia="zh-CN"/>
              </w:rPr>
              <w:t>使用量为</w:t>
            </w:r>
            <w:r>
              <w:rPr>
                <w:rFonts w:hint="eastAsia" w:cs="Times New Roman"/>
                <w:color w:val="auto"/>
                <w:sz w:val="24"/>
                <w:lang w:val="en-US" w:eastAsia="zh-CN"/>
              </w:rPr>
              <w:t>6120</w:t>
            </w:r>
            <w:r>
              <w:rPr>
                <w:rFonts w:hint="default" w:ascii="Times New Roman" w:hAnsi="Times New Roman" w:eastAsia="宋体" w:cs="Times New Roman"/>
                <w:color w:val="auto"/>
                <w:sz w:val="24"/>
                <w:lang w:val="en-US" w:eastAsia="zh-CN"/>
              </w:rPr>
              <w:t>t/a</w:t>
            </w:r>
            <w:r>
              <w:rPr>
                <w:rFonts w:hint="eastAsia" w:cs="Times New Roman"/>
                <w:color w:val="auto"/>
                <w:sz w:val="24"/>
                <w:lang w:val="en-US" w:eastAsia="zh-CN"/>
              </w:rPr>
              <w:t>，则预发、成型工序所生产的苯乙烯为6120t/a×0.6%×2%=0.7344t/a。</w:t>
            </w:r>
          </w:p>
          <w:p w14:paraId="7DD3F162">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outlineLvl w:val="9"/>
              <w:rPr>
                <w:rFonts w:hint="default" w:cs="Times New Roman"/>
                <w:b/>
                <w:bCs/>
                <w:color w:val="auto"/>
                <w:sz w:val="24"/>
                <w:lang w:val="en-US" w:eastAsia="zh-CN"/>
              </w:rPr>
            </w:pPr>
            <w:r>
              <w:rPr>
                <w:rFonts w:hint="eastAsia" w:cs="Times New Roman"/>
                <w:b/>
                <w:bCs/>
                <w:color w:val="auto"/>
                <w:sz w:val="24"/>
                <w:lang w:val="en-US" w:eastAsia="zh-CN"/>
              </w:rPr>
              <w:t>（2）EPP成型工序废气源强核算</w:t>
            </w:r>
          </w:p>
          <w:p w14:paraId="7FB0D159">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lang w:val="en-US" w:eastAsia="zh-CN"/>
              </w:rPr>
            </w:pPr>
            <w:r>
              <w:rPr>
                <w:rFonts w:hint="eastAsia" w:cs="Times New Roman"/>
                <w:bCs/>
                <w:color w:val="auto"/>
                <w:sz w:val="24"/>
                <w:szCs w:val="24"/>
                <w:lang w:val="en-US" w:eastAsia="zh-CN"/>
              </w:rPr>
              <w:t>本项EPP购买已预发好的产品，仅需加热成型、烘干、检验即可包装外售。采用成型机进行加热成型，温度大约为100℃左右。因此参照</w:t>
            </w:r>
            <w:r>
              <w:rPr>
                <w:rFonts w:hint="eastAsia" w:ascii="Times New Roman" w:hAnsi="Times New Roman" w:eastAsia="宋体" w:cs="Times New Roman"/>
                <w:color w:val="auto"/>
                <w:sz w:val="24"/>
                <w:lang w:val="en-US" w:eastAsia="zh-CN"/>
              </w:rPr>
              <w:t>《空气污染物排放和控制手册》</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美国国家环保局</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，塑料粒子在预发、成型及烘干过</w:t>
            </w:r>
            <w:r>
              <w:rPr>
                <w:rFonts w:hint="eastAsia" w:cs="Times New Roman"/>
                <w:color w:val="auto"/>
                <w:sz w:val="24"/>
                <w:lang w:val="en-US" w:eastAsia="zh-CN"/>
              </w:rPr>
              <w:t>程中</w:t>
            </w:r>
            <w:r>
              <w:rPr>
                <w:rFonts w:hint="eastAsia" w:ascii="Times New Roman" w:hAnsi="Times New Roman" w:eastAsia="宋体" w:cs="Times New Roman"/>
                <w:color w:val="auto"/>
                <w:sz w:val="24"/>
                <w:lang w:val="en-US" w:eastAsia="zh-CN"/>
              </w:rPr>
              <w:t>有机废气产生量约占投料量的</w:t>
            </w:r>
            <w:r>
              <w:rPr>
                <w:rFonts w:hint="default" w:ascii="Times New Roman" w:hAnsi="Times New Roman" w:eastAsia="宋体" w:cs="Times New Roman"/>
                <w:color w:val="auto"/>
                <w:sz w:val="24"/>
                <w:lang w:val="en-US" w:eastAsia="zh-CN"/>
              </w:rPr>
              <w:t>0.035%</w:t>
            </w:r>
            <w:r>
              <w:rPr>
                <w:rFonts w:hint="eastAsia"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lang w:val="en-US" w:eastAsia="zh-CN"/>
              </w:rPr>
              <w:t>E</w:t>
            </w:r>
            <w:r>
              <w:rPr>
                <w:rFonts w:hint="eastAsia" w:cs="Times New Roman"/>
                <w:color w:val="auto"/>
                <w:sz w:val="24"/>
                <w:lang w:val="en-US" w:eastAsia="zh-CN"/>
              </w:rPr>
              <w:t>PP</w:t>
            </w:r>
            <w:r>
              <w:rPr>
                <w:rFonts w:hint="eastAsia" w:ascii="Times New Roman" w:hAnsi="Times New Roman" w:eastAsia="宋体" w:cs="Times New Roman"/>
                <w:color w:val="auto"/>
                <w:sz w:val="24"/>
                <w:lang w:val="en-US" w:eastAsia="zh-CN"/>
              </w:rPr>
              <w:t>使用量为</w:t>
            </w:r>
            <w:r>
              <w:rPr>
                <w:rFonts w:hint="eastAsia" w:cs="Times New Roman"/>
                <w:color w:val="auto"/>
                <w:sz w:val="24"/>
                <w:lang w:val="en-US" w:eastAsia="zh-CN"/>
              </w:rPr>
              <w:t>1240</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，则有机废气</w:t>
            </w:r>
            <w:r>
              <w:rPr>
                <w:rFonts w:hint="eastAsia" w:cs="Times New Roman"/>
                <w:color w:val="auto"/>
                <w:sz w:val="24"/>
                <w:lang w:val="en-US" w:eastAsia="zh-CN"/>
              </w:rPr>
              <w:t>（非甲烷总烃有）</w:t>
            </w:r>
            <w:r>
              <w:rPr>
                <w:rFonts w:hint="eastAsia" w:ascii="Times New Roman" w:hAnsi="Times New Roman" w:eastAsia="宋体" w:cs="Times New Roman"/>
                <w:color w:val="auto"/>
                <w:sz w:val="24"/>
                <w:lang w:val="en-US" w:eastAsia="zh-CN"/>
              </w:rPr>
              <w:t>产生量约为</w:t>
            </w:r>
            <w:r>
              <w:rPr>
                <w:rFonts w:hint="eastAsia" w:cs="Times New Roman"/>
                <w:color w:val="auto"/>
                <w:sz w:val="24"/>
                <w:lang w:val="en-US" w:eastAsia="zh-CN"/>
              </w:rPr>
              <w:t>1240t/a×0.035%=0.434</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14:paraId="757101CE">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outlineLvl w:val="9"/>
              <w:rPr>
                <w:rFonts w:hint="default" w:cs="Times New Roman"/>
                <w:b/>
                <w:bCs/>
                <w:color w:val="auto"/>
                <w:sz w:val="24"/>
                <w:lang w:val="en-US" w:eastAsia="zh-CN"/>
              </w:rPr>
            </w:pPr>
            <w:r>
              <w:rPr>
                <w:rFonts w:hint="eastAsia" w:cs="Times New Roman"/>
                <w:b/>
                <w:bCs/>
                <w:color w:val="auto"/>
                <w:sz w:val="24"/>
                <w:lang w:val="en-US" w:eastAsia="zh-CN"/>
              </w:rPr>
              <w:t>（3）EPS、EPP生产废气排放情况说明</w:t>
            </w:r>
          </w:p>
          <w:p w14:paraId="48A66D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bCs/>
                <w:color w:val="auto"/>
                <w:sz w:val="24"/>
                <w:lang w:val="en-US" w:eastAsia="zh-CN"/>
              </w:rPr>
              <w:t>根据项目源强核算，本项目预发、成型工序非甲烷总烃产生量为2.142t/a+0.434t/a=2.576t/a、产生浓度为2.576t/a÷（330d×24h）×10</w:t>
            </w:r>
            <w:r>
              <w:rPr>
                <w:rFonts w:hint="eastAsia"/>
                <w:bCs/>
                <w:color w:val="auto"/>
                <w:sz w:val="24"/>
                <w:vertAlign w:val="superscript"/>
                <w:lang w:val="en-US" w:eastAsia="zh-CN"/>
              </w:rPr>
              <w:t>9</w:t>
            </w:r>
            <w:r>
              <w:rPr>
                <w:rFonts w:hint="eastAsia"/>
                <w:bCs/>
                <w:color w:val="auto"/>
                <w:sz w:val="24"/>
                <w:lang w:val="en-US" w:eastAsia="zh-CN"/>
              </w:rPr>
              <w:t>÷20000=16.26mg/m</w:t>
            </w:r>
            <w:r>
              <w:rPr>
                <w:rFonts w:hint="eastAsia"/>
                <w:bCs/>
                <w:color w:val="auto"/>
                <w:sz w:val="24"/>
                <w:vertAlign w:val="superscript"/>
                <w:lang w:val="en-US" w:eastAsia="zh-CN"/>
              </w:rPr>
              <w:t>3</w:t>
            </w:r>
            <w:r>
              <w:rPr>
                <w:rFonts w:hint="eastAsia"/>
                <w:bCs/>
                <w:color w:val="auto"/>
                <w:sz w:val="24"/>
                <w:lang w:val="en-US" w:eastAsia="zh-CN"/>
              </w:rPr>
              <w:t>；苯乙烯产生量为0.7344t/a、产生浓度为0.7344t/a÷（330d×24h）×10</w:t>
            </w:r>
            <w:r>
              <w:rPr>
                <w:rFonts w:hint="eastAsia"/>
                <w:bCs/>
                <w:color w:val="auto"/>
                <w:sz w:val="24"/>
                <w:vertAlign w:val="superscript"/>
                <w:lang w:val="en-US" w:eastAsia="zh-CN"/>
              </w:rPr>
              <w:t>9</w:t>
            </w:r>
            <w:r>
              <w:rPr>
                <w:rFonts w:hint="eastAsia"/>
                <w:bCs/>
                <w:color w:val="auto"/>
                <w:sz w:val="24"/>
                <w:lang w:val="en-US" w:eastAsia="zh-CN"/>
              </w:rPr>
              <w:t>÷20000=4.64mg/m</w:t>
            </w:r>
            <w:r>
              <w:rPr>
                <w:rFonts w:hint="eastAsia"/>
                <w:bCs/>
                <w:color w:val="auto"/>
                <w:sz w:val="24"/>
                <w:vertAlign w:val="superscript"/>
                <w:lang w:val="en-US" w:eastAsia="zh-CN"/>
              </w:rPr>
              <w:t>3</w:t>
            </w:r>
            <w:r>
              <w:rPr>
                <w:rFonts w:hint="eastAsia"/>
                <w:bCs/>
                <w:color w:val="auto"/>
                <w:sz w:val="24"/>
                <w:lang w:val="en-US" w:eastAsia="zh-CN"/>
              </w:rPr>
              <w:t>。本项目拟采用活性炭吸附装置进行处理，处理后由15m高排气筒DA001排放。发泡机、成型机上方均设有集气罩，收集效率按80%计，风机风量为20000m</w:t>
            </w:r>
            <w:r>
              <w:rPr>
                <w:rFonts w:hint="eastAsia"/>
                <w:bCs/>
                <w:color w:val="auto"/>
                <w:sz w:val="24"/>
                <w:vertAlign w:val="superscript"/>
                <w:lang w:val="en-US" w:eastAsia="zh-CN"/>
              </w:rPr>
              <w:t>3</w:t>
            </w:r>
            <w:r>
              <w:rPr>
                <w:rFonts w:hint="eastAsia"/>
                <w:bCs/>
                <w:color w:val="auto"/>
                <w:sz w:val="24"/>
                <w:lang w:val="en-US" w:eastAsia="zh-CN"/>
              </w:rPr>
              <w:t>/h。活性炭吸附装置处理效率</w:t>
            </w:r>
            <w:r>
              <w:rPr>
                <w:rFonts w:hint="default" w:ascii="Times New Roman" w:hAnsi="Times New Roman" w:eastAsia="宋体" w:cs="Times New Roman"/>
                <w:color w:val="auto"/>
                <w:sz w:val="24"/>
                <w:szCs w:val="24"/>
                <w:lang w:val="en-US" w:eastAsia="zh-CN"/>
              </w:rPr>
              <w:t>根据生态环境部发布《关于印发〈主要污染物总量减排核算技术指南（2022年修订）</w:t>
            </w:r>
            <w:r>
              <w:rPr>
                <w:rFonts w:hint="eastAsia" w:cs="Times New Roman"/>
                <w:color w:val="auto"/>
                <w:sz w:val="24"/>
                <w:szCs w:val="24"/>
                <w:lang w:val="en-US" w:eastAsia="zh-CN"/>
              </w:rPr>
              <w:t>〉的通知》</w:t>
            </w:r>
            <w:r>
              <w:rPr>
                <w:rFonts w:hint="default" w:ascii="Times New Roman" w:hAnsi="Times New Roman" w:eastAsia="宋体" w:cs="Times New Roman"/>
                <w:color w:val="auto"/>
                <w:sz w:val="24"/>
                <w:szCs w:val="24"/>
                <w:lang w:val="en-US" w:eastAsia="zh-CN"/>
              </w:rPr>
              <w:t>〔2022〕350号中规定，一次性活性炭的吸附效率50%。采用二级活性炭吸附效率为1-（1-50%）×（1-50%）=75%。因此本项目活性炭</w:t>
            </w:r>
            <w:r>
              <w:rPr>
                <w:rFonts w:hint="default" w:ascii="Times New Roman" w:hAnsi="Times New Roman" w:eastAsia="宋体" w:cs="Times New Roman"/>
                <w:color w:val="auto"/>
                <w:sz w:val="24"/>
                <w:szCs w:val="24"/>
                <w:highlight w:val="none"/>
                <w:lang w:val="en-US" w:eastAsia="zh-CN"/>
              </w:rPr>
              <w:t>处理效率以75%计。</w:t>
            </w:r>
            <w:r>
              <w:rPr>
                <w:rFonts w:hint="eastAsia" w:cs="Times New Roman"/>
                <w:color w:val="auto"/>
                <w:sz w:val="24"/>
                <w:szCs w:val="24"/>
                <w:highlight w:val="none"/>
                <w:lang w:val="en-US" w:eastAsia="zh-CN"/>
              </w:rPr>
              <w:t>则本扩建项目有机废气（非甲烷总烃）排放量为2.576t/a×80%×（1-75%）=0.5152t/a，</w:t>
            </w:r>
            <w:r>
              <w:rPr>
                <w:rFonts w:hint="default" w:ascii="Times New Roman" w:hAnsi="Times New Roman" w:eastAsia="宋体" w:cs="Times New Roman"/>
                <w:bCs/>
                <w:color w:val="auto"/>
                <w:sz w:val="24"/>
                <w:szCs w:val="24"/>
                <w:lang w:val="en-US" w:eastAsia="zh-CN"/>
              </w:rPr>
              <w:t>排放速率为0.</w:t>
            </w:r>
            <w:r>
              <w:rPr>
                <w:rFonts w:hint="eastAsia" w:cs="Times New Roman"/>
                <w:bCs/>
                <w:color w:val="auto"/>
                <w:sz w:val="24"/>
                <w:szCs w:val="24"/>
                <w:lang w:val="en-US" w:eastAsia="zh-CN"/>
              </w:rPr>
              <w:t>5152</w:t>
            </w:r>
            <w:r>
              <w:rPr>
                <w:rFonts w:hint="default" w:ascii="Times New Roman" w:hAnsi="Times New Roman" w:eastAsia="宋体" w:cs="Times New Roman"/>
                <w:bCs/>
                <w:color w:val="auto"/>
                <w:sz w:val="24"/>
                <w:szCs w:val="24"/>
                <w:lang w:val="en-US" w:eastAsia="zh-CN"/>
              </w:rPr>
              <w:t>t/a</w:t>
            </w:r>
            <w:r>
              <w:rPr>
                <w:rFonts w:hint="eastAsia" w:cs="Times New Roman"/>
                <w:bCs/>
                <w:color w:val="auto"/>
                <w:sz w:val="24"/>
                <w:szCs w:val="24"/>
                <w:lang w:val="en-US" w:eastAsia="zh-CN"/>
              </w:rPr>
              <w:t>×1000</w:t>
            </w:r>
            <w:r>
              <w:rPr>
                <w:rFonts w:hint="default" w:ascii="Times New Roman" w:hAnsi="Times New Roman" w:eastAsia="宋体" w:cs="Times New Roman"/>
                <w:bCs/>
                <w:color w:val="auto"/>
                <w:sz w:val="24"/>
                <w:szCs w:val="24"/>
                <w:lang w:val="en-US" w:eastAsia="zh-CN"/>
              </w:rPr>
              <w:t>÷（3</w:t>
            </w:r>
            <w:r>
              <w:rPr>
                <w:rFonts w:hint="eastAsia" w:cs="Times New Roman"/>
                <w:bCs/>
                <w:color w:val="auto"/>
                <w:sz w:val="24"/>
                <w:szCs w:val="24"/>
                <w:lang w:val="en-US" w:eastAsia="zh-CN"/>
              </w:rPr>
              <w:t>30</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24</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0.0651</w:t>
            </w:r>
            <w:r>
              <w:rPr>
                <w:rFonts w:hint="default" w:ascii="Times New Roman" w:hAnsi="Times New Roman" w:eastAsia="宋体" w:cs="Times New Roman"/>
                <w:bCs/>
                <w:color w:val="auto"/>
                <w:sz w:val="24"/>
                <w:szCs w:val="24"/>
                <w:lang w:val="en-US" w:eastAsia="zh-CN"/>
              </w:rPr>
              <w:t>kg/h</w:t>
            </w:r>
            <w:r>
              <w:rPr>
                <w:rFonts w:hint="eastAsia" w:cs="Times New Roman"/>
                <w:bCs/>
                <w:color w:val="auto"/>
                <w:sz w:val="24"/>
                <w:szCs w:val="24"/>
                <w:lang w:val="en-US" w:eastAsia="zh-CN"/>
              </w:rPr>
              <w:t>，排放</w:t>
            </w:r>
            <w:r>
              <w:rPr>
                <w:rFonts w:hint="eastAsia"/>
                <w:bCs/>
                <w:color w:val="auto"/>
                <w:sz w:val="24"/>
                <w:lang w:val="en-US" w:eastAsia="zh-CN"/>
              </w:rPr>
              <w:t>浓度为16.26</w:t>
            </w:r>
            <w:r>
              <w:rPr>
                <w:rFonts w:hint="eastAsia" w:ascii="Times New Roman" w:hAnsi="Times New Roman" w:eastAsia="宋体" w:cs="Times New Roman"/>
                <w:bCs/>
                <w:color w:val="auto"/>
                <w:sz w:val="24"/>
                <w:szCs w:val="24"/>
                <w:lang w:val="en-US" w:eastAsia="zh-CN"/>
              </w:rPr>
              <w:t>×（1-75%）=</w:t>
            </w:r>
            <w:r>
              <w:rPr>
                <w:rFonts w:hint="eastAsia" w:cs="Times New Roman"/>
                <w:bCs/>
                <w:color w:val="auto"/>
                <w:sz w:val="24"/>
                <w:szCs w:val="24"/>
                <w:lang w:val="en-US" w:eastAsia="zh-CN"/>
              </w:rPr>
              <w:t>4.065</w:t>
            </w:r>
            <w:r>
              <w:rPr>
                <w:rFonts w:hint="eastAsia" w:ascii="Times New Roman" w:hAnsi="Times New Roman" w:eastAsia="宋体" w:cs="Times New Roman"/>
                <w:bCs/>
                <w:color w:val="auto"/>
                <w:sz w:val="24"/>
                <w:szCs w:val="24"/>
                <w:lang w:val="en-US" w:eastAsia="zh-CN"/>
              </w:rPr>
              <w:t>mg/m</w:t>
            </w:r>
            <w:r>
              <w:rPr>
                <w:rFonts w:hint="eastAsia" w:ascii="Times New Roman" w:hAnsi="Times New Roman" w:eastAsia="宋体" w:cs="Times New Roman"/>
                <w:bCs/>
                <w:color w:val="auto"/>
                <w:sz w:val="24"/>
                <w:szCs w:val="24"/>
                <w:vertAlign w:val="superscript"/>
                <w:lang w:val="en-US" w:eastAsia="zh-CN"/>
              </w:rPr>
              <w:t>3</w:t>
            </w:r>
            <w:r>
              <w:rPr>
                <w:rFonts w:hint="eastAsia" w:cs="Times New Roman"/>
                <w:bCs/>
                <w:color w:val="auto"/>
                <w:sz w:val="24"/>
                <w:szCs w:val="24"/>
                <w:lang w:val="en-US" w:eastAsia="zh-CN"/>
              </w:rPr>
              <w:t>。有机废气（非甲烷总烃）</w:t>
            </w:r>
            <w:r>
              <w:rPr>
                <w:rFonts w:hint="default" w:ascii="Times New Roman" w:hAnsi="Times New Roman" w:eastAsia="宋体" w:cs="Times New Roman"/>
                <w:bCs/>
                <w:color w:val="auto"/>
                <w:sz w:val="24"/>
                <w:szCs w:val="24"/>
                <w:lang w:val="en-US" w:eastAsia="zh-CN"/>
              </w:rPr>
              <w:t>无组织排放量</w:t>
            </w:r>
            <w:r>
              <w:rPr>
                <w:rFonts w:hint="eastAsia" w:cs="Times New Roman"/>
                <w:bCs/>
                <w:color w:val="auto"/>
                <w:sz w:val="24"/>
                <w:szCs w:val="24"/>
                <w:lang w:val="en-US" w:eastAsia="zh-CN"/>
              </w:rPr>
              <w:t>2.576</w:t>
            </w:r>
            <w:r>
              <w:rPr>
                <w:rFonts w:hint="default" w:ascii="Times New Roman" w:hAnsi="Times New Roman" w:eastAsia="宋体" w:cs="Times New Roman"/>
                <w:bCs/>
                <w:color w:val="auto"/>
                <w:sz w:val="24"/>
                <w:szCs w:val="24"/>
                <w:lang w:val="en-US" w:eastAsia="zh-CN"/>
              </w:rPr>
              <w:t>t/a×（1-</w:t>
            </w:r>
            <w:r>
              <w:rPr>
                <w:rFonts w:hint="eastAsia" w:cs="Times New Roman"/>
                <w:bCs/>
                <w:color w:val="auto"/>
                <w:sz w:val="24"/>
                <w:szCs w:val="24"/>
                <w:lang w:val="en-US" w:eastAsia="zh-CN"/>
              </w:rPr>
              <w:t>80</w:t>
            </w:r>
            <w:r>
              <w:rPr>
                <w:rFonts w:hint="default" w:ascii="Times New Roman" w:hAnsi="Times New Roman" w:eastAsia="宋体" w:cs="Times New Roman"/>
                <w:bCs/>
                <w:color w:val="auto"/>
                <w:sz w:val="24"/>
                <w:szCs w:val="24"/>
                <w:lang w:val="en-US" w:eastAsia="zh-CN"/>
              </w:rPr>
              <w:t>%）=0.</w:t>
            </w:r>
            <w:r>
              <w:rPr>
                <w:rFonts w:hint="eastAsia" w:cs="Times New Roman"/>
                <w:bCs/>
                <w:color w:val="auto"/>
                <w:sz w:val="24"/>
                <w:szCs w:val="24"/>
                <w:lang w:val="en-US" w:eastAsia="zh-CN"/>
              </w:rPr>
              <w:t>5152</w:t>
            </w:r>
            <w:r>
              <w:rPr>
                <w:rFonts w:hint="default" w:ascii="Times New Roman" w:hAnsi="Times New Roman" w:eastAsia="宋体" w:cs="Times New Roman"/>
                <w:bCs/>
                <w:color w:val="auto"/>
                <w:sz w:val="24"/>
                <w:szCs w:val="24"/>
                <w:lang w:val="en-US" w:eastAsia="zh-CN"/>
              </w:rPr>
              <w:t>t/a，排放效率为</w:t>
            </w:r>
            <w:r>
              <w:rPr>
                <w:rFonts w:hint="eastAsia" w:cs="Times New Roman"/>
                <w:bCs/>
                <w:color w:val="auto"/>
                <w:sz w:val="24"/>
                <w:szCs w:val="24"/>
                <w:lang w:val="en-US" w:eastAsia="zh-CN"/>
              </w:rPr>
              <w:t>0.5152</w:t>
            </w:r>
            <w:r>
              <w:rPr>
                <w:rFonts w:hint="default" w:ascii="Times New Roman" w:hAnsi="Times New Roman" w:eastAsia="宋体" w:cs="Times New Roman"/>
                <w:bCs/>
                <w:color w:val="auto"/>
                <w:sz w:val="24"/>
                <w:szCs w:val="24"/>
                <w:lang w:val="en-US" w:eastAsia="zh-CN"/>
              </w:rPr>
              <w:t>t/a×1000÷（3</w:t>
            </w:r>
            <w:r>
              <w:rPr>
                <w:rFonts w:hint="eastAsia" w:cs="Times New Roman"/>
                <w:bCs/>
                <w:color w:val="auto"/>
                <w:sz w:val="24"/>
                <w:szCs w:val="24"/>
                <w:lang w:val="en-US" w:eastAsia="zh-CN"/>
              </w:rPr>
              <w:t>30</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24</w:t>
            </w:r>
            <w:r>
              <w:rPr>
                <w:rFonts w:hint="default" w:ascii="Times New Roman" w:hAnsi="Times New Roman" w:eastAsia="宋体" w:cs="Times New Roman"/>
                <w:bCs/>
                <w:color w:val="auto"/>
                <w:sz w:val="24"/>
                <w:szCs w:val="24"/>
                <w:lang w:val="en-US" w:eastAsia="zh-CN"/>
              </w:rPr>
              <w:t>）=0.0</w:t>
            </w:r>
            <w:r>
              <w:rPr>
                <w:rFonts w:hint="eastAsia" w:cs="Times New Roman"/>
                <w:bCs/>
                <w:color w:val="auto"/>
                <w:sz w:val="24"/>
                <w:szCs w:val="24"/>
                <w:lang w:val="en-US" w:eastAsia="zh-CN"/>
              </w:rPr>
              <w:t>651</w:t>
            </w:r>
            <w:r>
              <w:rPr>
                <w:rFonts w:hint="default" w:ascii="Times New Roman" w:hAnsi="Times New Roman" w:eastAsia="宋体" w:cs="Times New Roman"/>
                <w:bCs/>
                <w:color w:val="auto"/>
                <w:sz w:val="24"/>
                <w:szCs w:val="24"/>
                <w:lang w:val="en-US" w:eastAsia="zh-CN"/>
              </w:rPr>
              <w:t>kg/h</w:t>
            </w:r>
            <w:r>
              <w:rPr>
                <w:rFonts w:hint="eastAsia" w:cs="Times New Roman"/>
                <w:color w:val="auto"/>
                <w:sz w:val="24"/>
                <w:szCs w:val="24"/>
                <w:highlight w:val="none"/>
                <w:lang w:val="en-US" w:eastAsia="zh-CN"/>
              </w:rPr>
              <w:t>。苯乙烯有组织排放量为0.7344t/a×80%×（1-75%）=0.1469t/a，</w:t>
            </w:r>
            <w:r>
              <w:rPr>
                <w:rFonts w:hint="default" w:ascii="Times New Roman" w:hAnsi="Times New Roman" w:eastAsia="宋体" w:cs="Times New Roman"/>
                <w:bCs/>
                <w:color w:val="auto"/>
                <w:sz w:val="24"/>
                <w:szCs w:val="24"/>
                <w:lang w:val="en-US" w:eastAsia="zh-CN"/>
              </w:rPr>
              <w:t>排放速率为</w:t>
            </w:r>
            <w:r>
              <w:rPr>
                <w:rFonts w:hint="eastAsia" w:cs="Times New Roman"/>
                <w:bCs/>
                <w:color w:val="auto"/>
                <w:sz w:val="24"/>
                <w:szCs w:val="24"/>
                <w:lang w:val="en-US" w:eastAsia="zh-CN"/>
              </w:rPr>
              <w:t>0.1469</w:t>
            </w:r>
            <w:r>
              <w:rPr>
                <w:rFonts w:hint="default" w:ascii="Times New Roman" w:hAnsi="Times New Roman" w:eastAsia="宋体" w:cs="Times New Roman"/>
                <w:bCs/>
                <w:color w:val="auto"/>
                <w:sz w:val="24"/>
                <w:szCs w:val="24"/>
                <w:lang w:val="en-US" w:eastAsia="zh-CN"/>
              </w:rPr>
              <w:t>t/a</w:t>
            </w:r>
            <w:r>
              <w:rPr>
                <w:rFonts w:hint="eastAsia" w:cs="Times New Roman"/>
                <w:bCs/>
                <w:color w:val="auto"/>
                <w:sz w:val="24"/>
                <w:szCs w:val="24"/>
                <w:lang w:val="en-US" w:eastAsia="zh-CN"/>
              </w:rPr>
              <w:t>×1000</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3</w:t>
            </w:r>
            <w:r>
              <w:rPr>
                <w:rFonts w:hint="eastAsia" w:cs="Times New Roman"/>
                <w:bCs/>
                <w:color w:val="auto"/>
                <w:sz w:val="24"/>
                <w:szCs w:val="24"/>
                <w:lang w:val="en-US" w:eastAsia="zh-CN"/>
              </w:rPr>
              <w:t>30</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24</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0.0185</w:t>
            </w:r>
            <w:r>
              <w:rPr>
                <w:rFonts w:hint="default" w:ascii="Times New Roman" w:hAnsi="Times New Roman" w:eastAsia="宋体" w:cs="Times New Roman"/>
                <w:bCs/>
                <w:color w:val="auto"/>
                <w:sz w:val="24"/>
                <w:szCs w:val="24"/>
                <w:lang w:val="en-US" w:eastAsia="zh-CN"/>
              </w:rPr>
              <w:t>kg/h</w:t>
            </w:r>
            <w:r>
              <w:rPr>
                <w:rFonts w:hint="eastAsia" w:cs="Times New Roman"/>
                <w:bCs/>
                <w:color w:val="auto"/>
                <w:sz w:val="24"/>
                <w:szCs w:val="24"/>
                <w:lang w:val="en-US" w:eastAsia="zh-CN"/>
              </w:rPr>
              <w:t>，排放</w:t>
            </w:r>
            <w:r>
              <w:rPr>
                <w:rFonts w:hint="eastAsia"/>
                <w:bCs/>
                <w:color w:val="auto"/>
                <w:sz w:val="24"/>
                <w:lang w:val="en-US" w:eastAsia="zh-CN"/>
              </w:rPr>
              <w:t>浓度为4.64×（1-75%）=1.16mg/m</w:t>
            </w:r>
            <w:r>
              <w:rPr>
                <w:rFonts w:hint="eastAsia"/>
                <w:bCs/>
                <w:color w:val="auto"/>
                <w:sz w:val="24"/>
                <w:vertAlign w:val="superscript"/>
                <w:lang w:val="en-US" w:eastAsia="zh-CN"/>
              </w:rPr>
              <w:t>3</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苯乙烯</w:t>
            </w:r>
            <w:r>
              <w:rPr>
                <w:rFonts w:hint="default" w:ascii="Times New Roman" w:hAnsi="Times New Roman" w:eastAsia="宋体" w:cs="Times New Roman"/>
                <w:bCs/>
                <w:color w:val="auto"/>
                <w:sz w:val="24"/>
                <w:szCs w:val="24"/>
                <w:lang w:val="en-US" w:eastAsia="zh-CN"/>
              </w:rPr>
              <w:t>无组织排放量</w:t>
            </w:r>
            <w:r>
              <w:rPr>
                <w:rFonts w:hint="eastAsia" w:cs="Times New Roman"/>
                <w:bCs/>
                <w:color w:val="auto"/>
                <w:sz w:val="24"/>
                <w:szCs w:val="24"/>
                <w:lang w:val="en-US" w:eastAsia="zh-CN"/>
              </w:rPr>
              <w:t>0.7344</w:t>
            </w:r>
            <w:r>
              <w:rPr>
                <w:rFonts w:hint="default" w:ascii="Times New Roman" w:hAnsi="Times New Roman" w:eastAsia="宋体" w:cs="Times New Roman"/>
                <w:bCs/>
                <w:color w:val="auto"/>
                <w:sz w:val="24"/>
                <w:szCs w:val="24"/>
                <w:lang w:val="en-US" w:eastAsia="zh-CN"/>
              </w:rPr>
              <w:t>t/a×（1-</w:t>
            </w:r>
            <w:r>
              <w:rPr>
                <w:rFonts w:hint="eastAsia" w:cs="Times New Roman"/>
                <w:bCs/>
                <w:color w:val="auto"/>
                <w:sz w:val="24"/>
                <w:szCs w:val="24"/>
                <w:lang w:val="en-US" w:eastAsia="zh-CN"/>
              </w:rPr>
              <w:t>8</w:t>
            </w:r>
            <w:r>
              <w:rPr>
                <w:rFonts w:hint="default" w:ascii="Times New Roman" w:hAnsi="Times New Roman" w:eastAsia="宋体" w:cs="Times New Roman"/>
                <w:bCs/>
                <w:color w:val="auto"/>
                <w:sz w:val="24"/>
                <w:szCs w:val="24"/>
                <w:lang w:val="en-US" w:eastAsia="zh-CN"/>
              </w:rPr>
              <w:t>0%）=</w:t>
            </w:r>
            <w:r>
              <w:rPr>
                <w:rFonts w:hint="eastAsia" w:cs="Times New Roman"/>
                <w:bCs/>
                <w:color w:val="auto"/>
                <w:sz w:val="24"/>
                <w:szCs w:val="24"/>
                <w:lang w:val="en-US" w:eastAsia="zh-CN"/>
              </w:rPr>
              <w:t>0.1469</w:t>
            </w:r>
            <w:r>
              <w:rPr>
                <w:rFonts w:hint="default" w:ascii="Times New Roman" w:hAnsi="Times New Roman" w:eastAsia="宋体" w:cs="Times New Roman"/>
                <w:bCs/>
                <w:color w:val="auto"/>
                <w:sz w:val="24"/>
                <w:szCs w:val="24"/>
                <w:lang w:val="en-US" w:eastAsia="zh-CN"/>
              </w:rPr>
              <w:t>t/a，排放效率为</w:t>
            </w:r>
            <w:r>
              <w:rPr>
                <w:rFonts w:hint="eastAsia" w:cs="Times New Roman"/>
                <w:bCs/>
                <w:color w:val="auto"/>
                <w:sz w:val="24"/>
                <w:szCs w:val="24"/>
                <w:lang w:val="en-US" w:eastAsia="zh-CN"/>
              </w:rPr>
              <w:t>0.1469</w:t>
            </w:r>
            <w:r>
              <w:rPr>
                <w:rFonts w:hint="default" w:ascii="Times New Roman" w:hAnsi="Times New Roman" w:eastAsia="宋体" w:cs="Times New Roman"/>
                <w:bCs/>
                <w:color w:val="auto"/>
                <w:sz w:val="24"/>
                <w:szCs w:val="24"/>
                <w:lang w:val="en-US" w:eastAsia="zh-CN"/>
              </w:rPr>
              <w:t>t/a×1000÷（3</w:t>
            </w:r>
            <w:r>
              <w:rPr>
                <w:rFonts w:hint="eastAsia" w:cs="Times New Roman"/>
                <w:bCs/>
                <w:color w:val="auto"/>
                <w:sz w:val="24"/>
                <w:szCs w:val="24"/>
                <w:lang w:val="en-US" w:eastAsia="zh-CN"/>
              </w:rPr>
              <w:t>30</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24</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0.0185</w:t>
            </w:r>
            <w:r>
              <w:rPr>
                <w:rFonts w:hint="default" w:ascii="Times New Roman" w:hAnsi="Times New Roman" w:eastAsia="宋体" w:cs="Times New Roman"/>
                <w:bCs/>
                <w:color w:val="auto"/>
                <w:sz w:val="24"/>
                <w:szCs w:val="24"/>
                <w:lang w:val="en-US" w:eastAsia="zh-CN"/>
              </w:rPr>
              <w:t>kg/h</w:t>
            </w:r>
            <w:r>
              <w:rPr>
                <w:rFonts w:hint="eastAsia" w:cs="Times New Roman"/>
                <w:color w:val="auto"/>
                <w:sz w:val="24"/>
                <w:szCs w:val="24"/>
                <w:highlight w:val="none"/>
                <w:lang w:val="en-US" w:eastAsia="zh-CN"/>
              </w:rPr>
              <w:t>。</w:t>
            </w:r>
          </w:p>
          <w:p w14:paraId="5C73FE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cs="Times New Roman"/>
                <w:color w:val="auto"/>
                <w:sz w:val="24"/>
                <w:lang w:val="en-US"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bCs/>
                <w:color w:val="auto"/>
                <w:sz w:val="24"/>
                <w:szCs w:val="24"/>
                <w:lang w:val="en-US" w:eastAsia="zh-CN"/>
              </w:rPr>
              <w:t>污染物产生及排放情况详见表4.1-2。</w:t>
            </w:r>
          </w:p>
        </w:tc>
      </w:tr>
    </w:tbl>
    <w:p w14:paraId="4D6985B2">
      <w:pPr>
        <w:jc w:val="center"/>
        <w:rPr>
          <w:rFonts w:hint="default" w:ascii="Times New Roman" w:hAnsi="Times New Roman" w:eastAsia="宋体" w:cs="Times New Roman"/>
          <w:color w:val="auto"/>
          <w:kern w:val="0"/>
          <w:sz w:val="24"/>
          <w:szCs w:val="24"/>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3938"/>
      </w:tblGrid>
      <w:tr w14:paraId="5E23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9" w:hRule="atLeast"/>
        </w:trPr>
        <w:tc>
          <w:tcPr>
            <w:tcW w:w="191" w:type="pct"/>
            <w:vAlign w:val="center"/>
          </w:tcPr>
          <w:p w14:paraId="37568FE4">
            <w:pPr>
              <w:rPr>
                <w:rFonts w:hint="default"/>
                <w:color w:val="auto"/>
                <w:lang w:val="en-US" w:eastAsia="zh-CN"/>
              </w:rPr>
            </w:pPr>
          </w:p>
        </w:tc>
        <w:tc>
          <w:tcPr>
            <w:tcW w:w="4808" w:type="pct"/>
          </w:tcPr>
          <w:p w14:paraId="2CB78609">
            <w:pPr>
              <w:keepNext/>
              <w:keepLines w:val="0"/>
              <w:pageBreakBefore w:val="0"/>
              <w:widowControl w:val="0"/>
              <w:kinsoku/>
              <w:wordWrap/>
              <w:overflowPunct w:val="0"/>
              <w:topLinePunct w:val="0"/>
              <w:autoSpaceDE/>
              <w:autoSpaceDN/>
              <w:bidi w:val="0"/>
              <w:adjustRightInd w:val="0"/>
              <w:snapToGrid w:val="0"/>
              <w:spacing w:line="240" w:lineRule="auto"/>
              <w:ind w:left="431" w:hanging="431"/>
              <w:textAlignment w:val="auto"/>
              <w:outlineLvl w:val="2"/>
              <w:rPr>
                <w:rFonts w:hint="default"/>
                <w:b/>
                <w:color w:val="auto"/>
                <w:kern w:val="0"/>
                <w:sz w:val="24"/>
                <w:lang w:val="en-US" w:eastAsia="zh-CN"/>
              </w:rPr>
            </w:pPr>
            <w:bookmarkStart w:id="159" w:name="_Toc25571"/>
            <w:bookmarkStart w:id="160" w:name="_Toc5650"/>
            <w:r>
              <w:rPr>
                <w:rFonts w:hint="eastAsia"/>
                <w:b/>
                <w:color w:val="auto"/>
                <w:kern w:val="0"/>
                <w:sz w:val="24"/>
                <w:lang w:val="en-US" w:eastAsia="zh-CN"/>
              </w:rPr>
              <w:t>4.1.2废气产排情况一览表</w:t>
            </w:r>
            <w:bookmarkEnd w:id="159"/>
            <w:bookmarkEnd w:id="160"/>
          </w:p>
          <w:p w14:paraId="5BBB3E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表4.1-</w:t>
            </w:r>
            <w:r>
              <w:rPr>
                <w:rFonts w:hint="eastAsia" w:cs="Times New Roman"/>
                <w:b/>
                <w:bCs/>
                <w:color w:val="auto"/>
                <w:sz w:val="24"/>
                <w:szCs w:val="24"/>
                <w:u w:val="none"/>
                <w:lang w:val="en-US" w:eastAsia="zh-CN"/>
              </w:rPr>
              <w:t>2</w:t>
            </w:r>
            <w:r>
              <w:rPr>
                <w:rFonts w:hint="eastAsia" w:ascii="Times New Roman" w:hAnsi="Times New Roman" w:eastAsia="宋体" w:cs="Times New Roman"/>
                <w:b/>
                <w:bCs/>
                <w:color w:val="auto"/>
                <w:sz w:val="24"/>
                <w:szCs w:val="24"/>
                <w:u w:val="none"/>
                <w:lang w:val="en-US" w:eastAsia="zh-CN"/>
              </w:rPr>
              <w:t>项目废气产排情况一览表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
              <w:gridCol w:w="712"/>
              <w:gridCol w:w="985"/>
              <w:gridCol w:w="406"/>
              <w:gridCol w:w="379"/>
              <w:gridCol w:w="883"/>
              <w:gridCol w:w="842"/>
              <w:gridCol w:w="855"/>
              <w:gridCol w:w="2029"/>
              <w:gridCol w:w="906"/>
              <w:gridCol w:w="837"/>
              <w:gridCol w:w="837"/>
              <w:gridCol w:w="889"/>
              <w:gridCol w:w="1120"/>
              <w:gridCol w:w="205"/>
              <w:gridCol w:w="697"/>
              <w:gridCol w:w="724"/>
            </w:tblGrid>
            <w:tr w14:paraId="6DD90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vMerge w:val="restart"/>
                  <w:tcBorders>
                    <w:tl2br w:val="nil"/>
                    <w:tr2bl w:val="nil"/>
                  </w:tcBorders>
                  <w:vAlign w:val="center"/>
                </w:tcPr>
                <w:p w14:paraId="521BBB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排放形式</w:t>
                  </w:r>
                </w:p>
              </w:tc>
              <w:tc>
                <w:tcPr>
                  <w:tcW w:w="259" w:type="pct"/>
                  <w:vMerge w:val="restart"/>
                  <w:tcBorders>
                    <w:tl2br w:val="nil"/>
                    <w:tr2bl w:val="nil"/>
                  </w:tcBorders>
                  <w:vAlign w:val="center"/>
                </w:tcPr>
                <w:p w14:paraId="3DFECB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产污工序</w:t>
                  </w:r>
                </w:p>
              </w:tc>
              <w:tc>
                <w:tcPr>
                  <w:tcW w:w="359" w:type="pct"/>
                  <w:vMerge w:val="restart"/>
                  <w:tcBorders>
                    <w:tl2br w:val="nil"/>
                    <w:tr2bl w:val="nil"/>
                  </w:tcBorders>
                  <w:vAlign w:val="center"/>
                </w:tcPr>
                <w:p w14:paraId="584CC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污染物</w:t>
                  </w:r>
                </w:p>
              </w:tc>
              <w:tc>
                <w:tcPr>
                  <w:tcW w:w="286" w:type="pct"/>
                  <w:gridSpan w:val="2"/>
                  <w:vMerge w:val="restart"/>
                  <w:tcBorders>
                    <w:tl2br w:val="nil"/>
                    <w:tr2bl w:val="nil"/>
                  </w:tcBorders>
                  <w:vAlign w:val="center"/>
                </w:tcPr>
                <w:p w14:paraId="605177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设计</w:t>
                  </w:r>
                  <w:r>
                    <w:rPr>
                      <w:rFonts w:hint="default" w:ascii="Times New Roman" w:hAnsi="Times New Roman" w:eastAsia="宋体" w:cs="Times New Roman"/>
                      <w:b w:val="0"/>
                      <w:bCs w:val="0"/>
                      <w:color w:val="auto"/>
                      <w:sz w:val="21"/>
                      <w:szCs w:val="21"/>
                      <w:u w:val="none"/>
                      <w:vertAlign w:val="baseline"/>
                      <w:lang w:val="en-US" w:eastAsia="zh-CN"/>
                    </w:rPr>
                    <w:t>风量</w:t>
                  </w:r>
                  <w:r>
                    <w:rPr>
                      <w:rFonts w:hint="default" w:ascii="Times New Roman" w:hAnsi="Times New Roman" w:eastAsia="宋体" w:cs="Times New Roman"/>
                      <w:b w:val="0"/>
                      <w:bCs w:val="0"/>
                      <w:color w:val="auto"/>
                      <w:sz w:val="21"/>
                      <w:szCs w:val="21"/>
                      <w:highlight w:val="none"/>
                      <w:u w:val="none"/>
                      <w:vertAlign w:val="baseline"/>
                      <w:lang w:val="en-US" w:eastAsia="zh-CN"/>
                    </w:rPr>
                    <w:t>m</w:t>
                  </w:r>
                  <w:r>
                    <w:rPr>
                      <w:rFonts w:hint="default" w:ascii="Times New Roman" w:hAnsi="Times New Roman" w:eastAsia="宋体" w:cs="Times New Roman"/>
                      <w:b w:val="0"/>
                      <w:b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color w:val="auto"/>
                      <w:sz w:val="21"/>
                      <w:szCs w:val="21"/>
                      <w:highlight w:val="none"/>
                      <w:u w:val="none"/>
                      <w:vertAlign w:val="baseline"/>
                      <w:lang w:val="en-US" w:eastAsia="zh-CN"/>
                    </w:rPr>
                    <w:t>/h</w:t>
                  </w:r>
                </w:p>
              </w:tc>
              <w:tc>
                <w:tcPr>
                  <w:tcW w:w="940" w:type="pct"/>
                  <w:gridSpan w:val="3"/>
                  <w:tcBorders>
                    <w:tl2br w:val="nil"/>
                    <w:tr2bl w:val="nil"/>
                  </w:tcBorders>
                  <w:vAlign w:val="center"/>
                </w:tcPr>
                <w:p w14:paraId="0E1EFA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产生情况</w:t>
                  </w:r>
                </w:p>
              </w:tc>
              <w:tc>
                <w:tcPr>
                  <w:tcW w:w="739" w:type="pct"/>
                  <w:vMerge w:val="restart"/>
                  <w:tcBorders>
                    <w:tl2br w:val="nil"/>
                    <w:tr2bl w:val="nil"/>
                  </w:tcBorders>
                  <w:vAlign w:val="center"/>
                </w:tcPr>
                <w:p w14:paraId="7D3A0A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治理措施</w:t>
                  </w:r>
                </w:p>
              </w:tc>
              <w:tc>
                <w:tcPr>
                  <w:tcW w:w="940" w:type="pct"/>
                  <w:gridSpan w:val="3"/>
                  <w:tcBorders>
                    <w:tl2br w:val="nil"/>
                    <w:tr2bl w:val="nil"/>
                  </w:tcBorders>
                  <w:vAlign w:val="center"/>
                </w:tcPr>
                <w:p w14:paraId="3B6715C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排放情况</w:t>
                  </w:r>
                </w:p>
              </w:tc>
              <w:tc>
                <w:tcPr>
                  <w:tcW w:w="1325" w:type="pct"/>
                  <w:gridSpan w:val="5"/>
                  <w:tcBorders>
                    <w:tl2br w:val="nil"/>
                    <w:tr2bl w:val="nil"/>
                  </w:tcBorders>
                  <w:vAlign w:val="center"/>
                </w:tcPr>
                <w:p w14:paraId="2123CD2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排气口基本情况</w:t>
                  </w:r>
                </w:p>
              </w:tc>
            </w:tr>
            <w:tr w14:paraId="43E33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49" w:type="pct"/>
                  <w:vMerge w:val="continue"/>
                  <w:tcBorders>
                    <w:tl2br w:val="nil"/>
                    <w:tr2bl w:val="nil"/>
                  </w:tcBorders>
                  <w:vAlign w:val="center"/>
                </w:tcPr>
                <w:p w14:paraId="2AF36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p>
              </w:tc>
              <w:tc>
                <w:tcPr>
                  <w:tcW w:w="259" w:type="pct"/>
                  <w:vMerge w:val="continue"/>
                  <w:tcBorders>
                    <w:tl2br w:val="nil"/>
                    <w:tr2bl w:val="nil"/>
                  </w:tcBorders>
                  <w:vAlign w:val="center"/>
                </w:tcPr>
                <w:p w14:paraId="50B6A4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p>
              </w:tc>
              <w:tc>
                <w:tcPr>
                  <w:tcW w:w="359" w:type="pct"/>
                  <w:vMerge w:val="continue"/>
                  <w:tcBorders>
                    <w:tl2br w:val="nil"/>
                    <w:tr2bl w:val="nil"/>
                  </w:tcBorders>
                  <w:vAlign w:val="center"/>
                </w:tcPr>
                <w:p w14:paraId="61BEAA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p>
              </w:tc>
              <w:tc>
                <w:tcPr>
                  <w:tcW w:w="286" w:type="pct"/>
                  <w:gridSpan w:val="2"/>
                  <w:vMerge w:val="continue"/>
                  <w:tcBorders>
                    <w:tl2br w:val="nil"/>
                    <w:tr2bl w:val="nil"/>
                  </w:tcBorders>
                  <w:vAlign w:val="center"/>
                </w:tcPr>
                <w:p w14:paraId="37D663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p>
              </w:tc>
              <w:tc>
                <w:tcPr>
                  <w:tcW w:w="321" w:type="pct"/>
                  <w:tcBorders>
                    <w:tl2br w:val="nil"/>
                    <w:tr2bl w:val="nil"/>
                  </w:tcBorders>
                  <w:vAlign w:val="center"/>
                </w:tcPr>
                <w:p w14:paraId="103330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产生量</w:t>
                  </w:r>
                </w:p>
                <w:p w14:paraId="14DCF4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t/a</w:t>
                  </w:r>
                </w:p>
              </w:tc>
              <w:tc>
                <w:tcPr>
                  <w:tcW w:w="306" w:type="pct"/>
                  <w:tcBorders>
                    <w:tl2br w:val="nil"/>
                    <w:tr2bl w:val="nil"/>
                  </w:tcBorders>
                  <w:vAlign w:val="center"/>
                </w:tcPr>
                <w:p w14:paraId="116979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产生速率</w:t>
                  </w:r>
                  <w:r>
                    <w:rPr>
                      <w:rFonts w:hint="default" w:ascii="Times New Roman" w:hAnsi="Times New Roman" w:eastAsia="宋体" w:cs="Times New Roman"/>
                      <w:b w:val="0"/>
                      <w:bCs w:val="0"/>
                      <w:color w:val="auto"/>
                      <w:sz w:val="21"/>
                      <w:szCs w:val="21"/>
                      <w:highlight w:val="none"/>
                      <w:u w:val="none"/>
                      <w:vertAlign w:val="baseline"/>
                      <w:lang w:val="en-US" w:eastAsia="zh-CN"/>
                    </w:rPr>
                    <w:t>kg/h</w:t>
                  </w:r>
                </w:p>
              </w:tc>
              <w:tc>
                <w:tcPr>
                  <w:tcW w:w="311" w:type="pct"/>
                  <w:tcBorders>
                    <w:tl2br w:val="nil"/>
                    <w:tr2bl w:val="nil"/>
                  </w:tcBorders>
                  <w:vAlign w:val="center"/>
                </w:tcPr>
                <w:p w14:paraId="69C274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w:t>
                  </w:r>
                </w:p>
                <w:p w14:paraId="7D4738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浓</w:t>
                  </w:r>
                  <w:r>
                    <w:rPr>
                      <w:rFonts w:hint="default" w:ascii="Times New Roman" w:hAnsi="Times New Roman" w:eastAsia="宋体" w:cs="Times New Roman"/>
                      <w:b w:val="0"/>
                      <w:bCs w:val="0"/>
                      <w:color w:val="auto"/>
                      <w:sz w:val="21"/>
                      <w:szCs w:val="21"/>
                      <w:u w:val="none"/>
                      <w:vertAlign w:val="baseline"/>
                      <w:lang w:val="en-US" w:eastAsia="zh-CN"/>
                    </w:rPr>
                    <w:t>度</w:t>
                  </w:r>
                  <w:r>
                    <w:rPr>
                      <w:rFonts w:hint="default" w:ascii="Times New Roman" w:hAnsi="Times New Roman" w:eastAsia="宋体" w:cs="Times New Roman"/>
                      <w:b w:val="0"/>
                      <w:bCs w:val="0"/>
                      <w:color w:val="auto"/>
                      <w:sz w:val="21"/>
                      <w:szCs w:val="21"/>
                      <w:highlight w:val="none"/>
                      <w:u w:val="none"/>
                      <w:vertAlign w:val="baseline"/>
                      <w:lang w:val="en-US" w:eastAsia="zh-CN"/>
                    </w:rPr>
                    <w:t>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739" w:type="pct"/>
                  <w:vMerge w:val="continue"/>
                  <w:tcBorders>
                    <w:tl2br w:val="nil"/>
                    <w:tr2bl w:val="nil"/>
                  </w:tcBorders>
                  <w:vAlign w:val="center"/>
                </w:tcPr>
                <w:p w14:paraId="0EE72E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330" w:type="pct"/>
                  <w:tcBorders>
                    <w:tl2br w:val="nil"/>
                    <w:tr2bl w:val="nil"/>
                  </w:tcBorders>
                  <w:vAlign w:val="center"/>
                </w:tcPr>
                <w:p w14:paraId="66948A3E">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排放量</w:t>
                  </w:r>
                </w:p>
                <w:p w14:paraId="4F13232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t/a</w:t>
                  </w:r>
                </w:p>
              </w:tc>
              <w:tc>
                <w:tcPr>
                  <w:tcW w:w="305" w:type="pct"/>
                  <w:tcBorders>
                    <w:tl2br w:val="nil"/>
                    <w:tr2bl w:val="nil"/>
                  </w:tcBorders>
                  <w:vAlign w:val="center"/>
                </w:tcPr>
                <w:p w14:paraId="0C53C51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排放速率kg/h</w:t>
                  </w:r>
                </w:p>
              </w:tc>
              <w:tc>
                <w:tcPr>
                  <w:tcW w:w="305" w:type="pct"/>
                  <w:tcBorders>
                    <w:tl2br w:val="nil"/>
                    <w:tr2bl w:val="nil"/>
                  </w:tcBorders>
                  <w:vAlign w:val="center"/>
                </w:tcPr>
                <w:p w14:paraId="0DD3666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排放浓度mg/m</w:t>
                  </w:r>
                  <w:r>
                    <w:rPr>
                      <w:rFonts w:hint="eastAsia" w:eastAsia="宋体" w:cs="Times New Roman"/>
                      <w:b w:val="0"/>
                      <w:bCs w:val="0"/>
                      <w:color w:val="auto"/>
                      <w:sz w:val="21"/>
                      <w:szCs w:val="21"/>
                      <w:u w:val="none"/>
                      <w:vertAlign w:val="superscript"/>
                      <w:lang w:val="en-US" w:eastAsia="zh-CN"/>
                    </w:rPr>
                    <w:t>3</w:t>
                  </w:r>
                </w:p>
              </w:tc>
              <w:tc>
                <w:tcPr>
                  <w:tcW w:w="324" w:type="pct"/>
                  <w:tcBorders>
                    <w:tl2br w:val="nil"/>
                    <w:tr2bl w:val="nil"/>
                  </w:tcBorders>
                  <w:vAlign w:val="center"/>
                </w:tcPr>
                <w:p w14:paraId="1EB886B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排气筒编号</w:t>
                  </w:r>
                </w:p>
              </w:tc>
              <w:tc>
                <w:tcPr>
                  <w:tcW w:w="483" w:type="pct"/>
                  <w:gridSpan w:val="2"/>
                  <w:tcBorders>
                    <w:tl2br w:val="nil"/>
                    <w:tr2bl w:val="nil"/>
                  </w:tcBorders>
                  <w:vAlign w:val="center"/>
                </w:tcPr>
                <w:p w14:paraId="37F2E9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类型</w:t>
                  </w:r>
                </w:p>
              </w:tc>
              <w:tc>
                <w:tcPr>
                  <w:tcW w:w="254" w:type="pct"/>
                  <w:tcBorders>
                    <w:tl2br w:val="nil"/>
                    <w:tr2bl w:val="nil"/>
                  </w:tcBorders>
                  <w:vAlign w:val="center"/>
                </w:tcPr>
                <w:p w14:paraId="073C9FD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排气筒高度</w:t>
                  </w:r>
                </w:p>
              </w:tc>
              <w:tc>
                <w:tcPr>
                  <w:tcW w:w="263" w:type="pct"/>
                  <w:tcBorders>
                    <w:tl2br w:val="nil"/>
                    <w:tr2bl w:val="nil"/>
                  </w:tcBorders>
                  <w:vAlign w:val="center"/>
                </w:tcPr>
                <w:p w14:paraId="70260D1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排气筒温度</w:t>
                  </w:r>
                </w:p>
              </w:tc>
            </w:tr>
            <w:tr w14:paraId="6635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restart"/>
                  <w:tcBorders>
                    <w:tl2br w:val="nil"/>
                    <w:tr2bl w:val="nil"/>
                  </w:tcBorders>
                  <w:vAlign w:val="center"/>
                </w:tcPr>
                <w:p w14:paraId="460923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259" w:type="pct"/>
                  <w:vMerge w:val="restart"/>
                  <w:tcBorders>
                    <w:tl2br w:val="nil"/>
                    <w:tr2bl w:val="nil"/>
                  </w:tcBorders>
                  <w:vAlign w:val="center"/>
                </w:tcPr>
                <w:p w14:paraId="3D806DF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r>
                    <w:rPr>
                      <w:rFonts w:hint="eastAsia" w:eastAsia="宋体" w:cs="Times New Roman"/>
                      <w:b w:val="0"/>
                      <w:bCs w:val="0"/>
                      <w:color w:val="auto"/>
                      <w:sz w:val="21"/>
                      <w:szCs w:val="21"/>
                      <w:highlight w:val="none"/>
                      <w:u w:val="none"/>
                      <w:lang w:val="en-US" w:eastAsia="zh-CN"/>
                    </w:rPr>
                    <w:t>预发、成型工序</w:t>
                  </w:r>
                </w:p>
              </w:tc>
              <w:tc>
                <w:tcPr>
                  <w:tcW w:w="359" w:type="pct"/>
                  <w:tcBorders>
                    <w:tl2br w:val="nil"/>
                    <w:tr2bl w:val="nil"/>
                  </w:tcBorders>
                  <w:vAlign w:val="center"/>
                </w:tcPr>
                <w:p w14:paraId="28B0D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非甲烷总烃</w:t>
                  </w:r>
                </w:p>
              </w:tc>
              <w:tc>
                <w:tcPr>
                  <w:tcW w:w="286" w:type="pct"/>
                  <w:gridSpan w:val="2"/>
                  <w:tcBorders>
                    <w:tl2br w:val="nil"/>
                    <w:tr2bl w:val="nil"/>
                  </w:tcBorders>
                  <w:vAlign w:val="center"/>
                </w:tcPr>
                <w:p w14:paraId="71ED6D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321" w:type="pct"/>
                  <w:tcBorders>
                    <w:tl2br w:val="nil"/>
                    <w:tr2bl w:val="nil"/>
                  </w:tcBorders>
                  <w:vAlign w:val="center"/>
                </w:tcPr>
                <w:p w14:paraId="10135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2.576</w:t>
                  </w:r>
                </w:p>
              </w:tc>
              <w:tc>
                <w:tcPr>
                  <w:tcW w:w="306" w:type="pct"/>
                  <w:tcBorders>
                    <w:tl2br w:val="nil"/>
                    <w:tr2bl w:val="nil"/>
                  </w:tcBorders>
                  <w:vAlign w:val="center"/>
                </w:tcPr>
                <w:p w14:paraId="6062C73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0.3253</w:t>
                  </w:r>
                </w:p>
              </w:tc>
              <w:tc>
                <w:tcPr>
                  <w:tcW w:w="311" w:type="pct"/>
                  <w:tcBorders>
                    <w:tl2br w:val="nil"/>
                    <w:tr2bl w:val="nil"/>
                  </w:tcBorders>
                  <w:vAlign w:val="center"/>
                </w:tcPr>
                <w:p w14:paraId="4D504F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16.26</w:t>
                  </w:r>
                </w:p>
              </w:tc>
              <w:tc>
                <w:tcPr>
                  <w:tcW w:w="739" w:type="pct"/>
                  <w:vMerge w:val="restart"/>
                  <w:tcBorders>
                    <w:tl2br w:val="nil"/>
                    <w:tr2bl w:val="nil"/>
                  </w:tcBorders>
                  <w:vAlign w:val="center"/>
                </w:tcPr>
                <w:p w14:paraId="5DFA62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集气罩</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b w:val="0"/>
                      <w:bCs w:val="0"/>
                      <w:color w:val="auto"/>
                      <w:sz w:val="21"/>
                      <w:szCs w:val="21"/>
                      <w:highlight w:val="none"/>
                      <w:u w:val="none"/>
                      <w:vertAlign w:val="baseline"/>
                      <w:lang w:val="en-US" w:eastAsia="zh-CN"/>
                    </w:rPr>
                    <w:t>+15m生产废气排气筒（DA001）</w:t>
                  </w:r>
                </w:p>
              </w:tc>
              <w:tc>
                <w:tcPr>
                  <w:tcW w:w="330" w:type="pct"/>
                  <w:tcBorders>
                    <w:tl2br w:val="nil"/>
                    <w:tr2bl w:val="nil"/>
                  </w:tcBorders>
                  <w:vAlign w:val="center"/>
                </w:tcPr>
                <w:p w14:paraId="08568E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0.5152</w:t>
                  </w:r>
                </w:p>
              </w:tc>
              <w:tc>
                <w:tcPr>
                  <w:tcW w:w="305" w:type="pct"/>
                  <w:tcBorders>
                    <w:tl2br w:val="nil"/>
                    <w:tr2bl w:val="nil"/>
                  </w:tcBorders>
                  <w:vAlign w:val="center"/>
                </w:tcPr>
                <w:p w14:paraId="7E61A5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0.0651</w:t>
                  </w:r>
                </w:p>
              </w:tc>
              <w:tc>
                <w:tcPr>
                  <w:tcW w:w="305" w:type="pct"/>
                  <w:tcBorders>
                    <w:tl2br w:val="nil"/>
                    <w:tr2bl w:val="nil"/>
                  </w:tcBorders>
                  <w:vAlign w:val="center"/>
                </w:tcPr>
                <w:p w14:paraId="6C266D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4.065</w:t>
                  </w:r>
                </w:p>
              </w:tc>
              <w:tc>
                <w:tcPr>
                  <w:tcW w:w="324" w:type="pct"/>
                  <w:tcBorders>
                    <w:tl2br w:val="nil"/>
                    <w:tr2bl w:val="nil"/>
                  </w:tcBorders>
                  <w:vAlign w:val="center"/>
                </w:tcPr>
                <w:p w14:paraId="0D9F5F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DA001</w:t>
                  </w:r>
                </w:p>
              </w:tc>
              <w:tc>
                <w:tcPr>
                  <w:tcW w:w="483" w:type="pct"/>
                  <w:gridSpan w:val="2"/>
                  <w:tcBorders>
                    <w:tl2br w:val="nil"/>
                    <w:tr2bl w:val="nil"/>
                  </w:tcBorders>
                  <w:vAlign w:val="center"/>
                </w:tcPr>
                <w:p w14:paraId="5268D7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一般排放口</w:t>
                  </w:r>
                </w:p>
              </w:tc>
              <w:tc>
                <w:tcPr>
                  <w:tcW w:w="254" w:type="pct"/>
                  <w:tcBorders>
                    <w:tl2br w:val="nil"/>
                    <w:tr2bl w:val="nil"/>
                  </w:tcBorders>
                  <w:vAlign w:val="center"/>
                </w:tcPr>
                <w:p w14:paraId="7CA5FB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15m</w:t>
                  </w:r>
                </w:p>
              </w:tc>
              <w:tc>
                <w:tcPr>
                  <w:tcW w:w="263" w:type="pct"/>
                  <w:tcBorders>
                    <w:tl2br w:val="nil"/>
                    <w:tr2bl w:val="nil"/>
                  </w:tcBorders>
                  <w:vAlign w:val="center"/>
                </w:tcPr>
                <w:p w14:paraId="1918BD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0040C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tcBorders>
                    <w:tl2br w:val="nil"/>
                    <w:tr2bl w:val="nil"/>
                  </w:tcBorders>
                  <w:vAlign w:val="center"/>
                </w:tcPr>
                <w:p w14:paraId="54F2B3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59" w:type="pct"/>
                  <w:vMerge w:val="continue"/>
                  <w:tcBorders>
                    <w:tl2br w:val="nil"/>
                    <w:tr2bl w:val="nil"/>
                  </w:tcBorders>
                  <w:vAlign w:val="center"/>
                </w:tcPr>
                <w:p w14:paraId="40EF1BF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p>
              </w:tc>
              <w:tc>
                <w:tcPr>
                  <w:tcW w:w="359" w:type="pct"/>
                  <w:tcBorders>
                    <w:tl2br w:val="nil"/>
                    <w:tr2bl w:val="nil"/>
                  </w:tcBorders>
                  <w:vAlign w:val="center"/>
                </w:tcPr>
                <w:p w14:paraId="29BCF8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苯乙烯</w:t>
                  </w:r>
                </w:p>
              </w:tc>
              <w:tc>
                <w:tcPr>
                  <w:tcW w:w="286" w:type="pct"/>
                  <w:gridSpan w:val="2"/>
                  <w:tcBorders>
                    <w:tl2br w:val="nil"/>
                    <w:tr2bl w:val="nil"/>
                  </w:tcBorders>
                  <w:vAlign w:val="center"/>
                </w:tcPr>
                <w:p w14:paraId="2F6C6E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321" w:type="pct"/>
                  <w:tcBorders>
                    <w:tl2br w:val="nil"/>
                    <w:tr2bl w:val="nil"/>
                  </w:tcBorders>
                  <w:vAlign w:val="center"/>
                </w:tcPr>
                <w:p w14:paraId="459F3F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0.7344</w:t>
                  </w:r>
                </w:p>
              </w:tc>
              <w:tc>
                <w:tcPr>
                  <w:tcW w:w="306" w:type="pct"/>
                  <w:tcBorders>
                    <w:tl2br w:val="nil"/>
                    <w:tr2bl w:val="nil"/>
                  </w:tcBorders>
                  <w:vAlign w:val="center"/>
                </w:tcPr>
                <w:p w14:paraId="497DF2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0.0927</w:t>
                  </w:r>
                </w:p>
              </w:tc>
              <w:tc>
                <w:tcPr>
                  <w:tcW w:w="311" w:type="pct"/>
                  <w:tcBorders>
                    <w:tl2br w:val="nil"/>
                    <w:tr2bl w:val="nil"/>
                  </w:tcBorders>
                  <w:vAlign w:val="center"/>
                </w:tcPr>
                <w:p w14:paraId="3C5805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4.64</w:t>
                  </w:r>
                </w:p>
              </w:tc>
              <w:tc>
                <w:tcPr>
                  <w:tcW w:w="739" w:type="pct"/>
                  <w:vMerge w:val="continue"/>
                  <w:tcBorders>
                    <w:tl2br w:val="nil"/>
                    <w:tr2bl w:val="nil"/>
                  </w:tcBorders>
                  <w:vAlign w:val="center"/>
                </w:tcPr>
                <w:p w14:paraId="2BFA3C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vAlign w:val="center"/>
                </w:tcPr>
                <w:p w14:paraId="2C33F45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0.1469</w:t>
                  </w:r>
                </w:p>
              </w:tc>
              <w:tc>
                <w:tcPr>
                  <w:tcW w:w="305" w:type="pct"/>
                  <w:tcBorders>
                    <w:tl2br w:val="nil"/>
                    <w:tr2bl w:val="nil"/>
                  </w:tcBorders>
                  <w:vAlign w:val="center"/>
                </w:tcPr>
                <w:p w14:paraId="69D3654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0.0185</w:t>
                  </w:r>
                </w:p>
              </w:tc>
              <w:tc>
                <w:tcPr>
                  <w:tcW w:w="305" w:type="pct"/>
                  <w:tcBorders>
                    <w:tl2br w:val="nil"/>
                    <w:tr2bl w:val="nil"/>
                  </w:tcBorders>
                  <w:vAlign w:val="center"/>
                </w:tcPr>
                <w:p w14:paraId="325914C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1.16</w:t>
                  </w:r>
                </w:p>
              </w:tc>
              <w:tc>
                <w:tcPr>
                  <w:tcW w:w="324" w:type="pct"/>
                  <w:tcBorders>
                    <w:tl2br w:val="nil"/>
                    <w:tr2bl w:val="nil"/>
                  </w:tcBorders>
                  <w:shd w:val="clear" w:color="auto" w:fill="auto"/>
                  <w:vAlign w:val="center"/>
                </w:tcPr>
                <w:p w14:paraId="727297F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483" w:type="pct"/>
                  <w:gridSpan w:val="2"/>
                  <w:tcBorders>
                    <w:tl2br w:val="nil"/>
                    <w:tr2bl w:val="nil"/>
                  </w:tcBorders>
                  <w:shd w:val="clear" w:color="auto" w:fill="auto"/>
                  <w:vAlign w:val="center"/>
                </w:tcPr>
                <w:p w14:paraId="25B144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54" w:type="pct"/>
                  <w:tcBorders>
                    <w:tl2br w:val="nil"/>
                    <w:tr2bl w:val="nil"/>
                  </w:tcBorders>
                  <w:shd w:val="clear" w:color="auto" w:fill="auto"/>
                  <w:vAlign w:val="center"/>
                </w:tcPr>
                <w:p w14:paraId="374A473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63" w:type="pct"/>
                  <w:tcBorders>
                    <w:tl2br w:val="nil"/>
                    <w:tr2bl w:val="nil"/>
                  </w:tcBorders>
                  <w:shd w:val="clear" w:color="auto" w:fill="auto"/>
                  <w:vAlign w:val="center"/>
                </w:tcPr>
                <w:p w14:paraId="7AB5B31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287D7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tcBorders>
                    <w:tl2br w:val="nil"/>
                    <w:tr2bl w:val="nil"/>
                  </w:tcBorders>
                  <w:vAlign w:val="center"/>
                </w:tcPr>
                <w:p w14:paraId="6C80E3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59" w:type="pct"/>
                  <w:vMerge w:val="continue"/>
                  <w:tcBorders>
                    <w:tl2br w:val="nil"/>
                    <w:tr2bl w:val="nil"/>
                  </w:tcBorders>
                  <w:vAlign w:val="center"/>
                </w:tcPr>
                <w:p w14:paraId="09F005A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p>
              </w:tc>
              <w:tc>
                <w:tcPr>
                  <w:tcW w:w="359" w:type="pct"/>
                  <w:tcBorders>
                    <w:tl2br w:val="nil"/>
                    <w:tr2bl w:val="nil"/>
                  </w:tcBorders>
                  <w:vAlign w:val="center"/>
                </w:tcPr>
                <w:p w14:paraId="625A785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甲苯</w:t>
                  </w:r>
                </w:p>
              </w:tc>
              <w:tc>
                <w:tcPr>
                  <w:tcW w:w="286" w:type="pct"/>
                  <w:gridSpan w:val="2"/>
                  <w:tcBorders>
                    <w:tl2br w:val="nil"/>
                    <w:tr2bl w:val="nil"/>
                  </w:tcBorders>
                  <w:vAlign w:val="center"/>
                </w:tcPr>
                <w:p w14:paraId="04AE05B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321" w:type="pct"/>
                  <w:tcBorders>
                    <w:tl2br w:val="nil"/>
                    <w:tr2bl w:val="nil"/>
                  </w:tcBorders>
                  <w:vAlign w:val="center"/>
                </w:tcPr>
                <w:p w14:paraId="4FB1524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093287F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25308EB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6AF3EB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vAlign w:val="center"/>
                </w:tcPr>
                <w:p w14:paraId="65C2237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270DA7E1">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w:t>
                  </w:r>
                </w:p>
              </w:tc>
              <w:tc>
                <w:tcPr>
                  <w:tcW w:w="305" w:type="pct"/>
                  <w:tcBorders>
                    <w:tl2br w:val="nil"/>
                    <w:tr2bl w:val="nil"/>
                  </w:tcBorders>
                  <w:vAlign w:val="center"/>
                </w:tcPr>
                <w:p w14:paraId="756C250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6E276A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483" w:type="pct"/>
                  <w:gridSpan w:val="2"/>
                  <w:tcBorders>
                    <w:tl2br w:val="nil"/>
                    <w:tr2bl w:val="nil"/>
                  </w:tcBorders>
                  <w:shd w:val="clear" w:color="auto" w:fill="auto"/>
                  <w:vAlign w:val="center"/>
                </w:tcPr>
                <w:p w14:paraId="600C113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54" w:type="pct"/>
                  <w:tcBorders>
                    <w:tl2br w:val="nil"/>
                    <w:tr2bl w:val="nil"/>
                  </w:tcBorders>
                  <w:shd w:val="clear" w:color="auto" w:fill="auto"/>
                  <w:vAlign w:val="center"/>
                </w:tcPr>
                <w:p w14:paraId="014AEB9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63" w:type="pct"/>
                  <w:tcBorders>
                    <w:tl2br w:val="nil"/>
                    <w:tr2bl w:val="nil"/>
                  </w:tcBorders>
                  <w:shd w:val="clear" w:color="auto" w:fill="auto"/>
                  <w:vAlign w:val="center"/>
                </w:tcPr>
                <w:p w14:paraId="73C5372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31567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tcBorders>
                    <w:tl2br w:val="nil"/>
                    <w:tr2bl w:val="nil"/>
                  </w:tcBorders>
                  <w:vAlign w:val="center"/>
                </w:tcPr>
                <w:p w14:paraId="1637A9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59" w:type="pct"/>
                  <w:vMerge w:val="continue"/>
                  <w:tcBorders>
                    <w:tl2br w:val="nil"/>
                    <w:tr2bl w:val="nil"/>
                  </w:tcBorders>
                  <w:vAlign w:val="center"/>
                </w:tcPr>
                <w:p w14:paraId="558A577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p>
              </w:tc>
              <w:tc>
                <w:tcPr>
                  <w:tcW w:w="359" w:type="pct"/>
                  <w:tcBorders>
                    <w:tl2br w:val="nil"/>
                    <w:tr2bl w:val="nil"/>
                  </w:tcBorders>
                  <w:vAlign w:val="center"/>
                </w:tcPr>
                <w:p w14:paraId="32EDF51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乙苯</w:t>
                  </w:r>
                </w:p>
              </w:tc>
              <w:tc>
                <w:tcPr>
                  <w:tcW w:w="286" w:type="pct"/>
                  <w:gridSpan w:val="2"/>
                  <w:tcBorders>
                    <w:tl2br w:val="nil"/>
                    <w:tr2bl w:val="nil"/>
                  </w:tcBorders>
                  <w:vAlign w:val="center"/>
                </w:tcPr>
                <w:p w14:paraId="6E8E111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321" w:type="pct"/>
                  <w:tcBorders>
                    <w:tl2br w:val="nil"/>
                    <w:tr2bl w:val="nil"/>
                  </w:tcBorders>
                  <w:vAlign w:val="center"/>
                </w:tcPr>
                <w:p w14:paraId="7F72E81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6DCD10F">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0A09463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4391E6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vAlign w:val="center"/>
                </w:tcPr>
                <w:p w14:paraId="34AA535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14644A9F">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w:t>
                  </w:r>
                </w:p>
              </w:tc>
              <w:tc>
                <w:tcPr>
                  <w:tcW w:w="305" w:type="pct"/>
                  <w:tcBorders>
                    <w:tl2br w:val="nil"/>
                    <w:tr2bl w:val="nil"/>
                  </w:tcBorders>
                  <w:vAlign w:val="center"/>
                </w:tcPr>
                <w:p w14:paraId="2DFFCE4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13AC4A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483" w:type="pct"/>
                  <w:gridSpan w:val="2"/>
                  <w:tcBorders>
                    <w:tl2br w:val="nil"/>
                    <w:tr2bl w:val="nil"/>
                  </w:tcBorders>
                  <w:shd w:val="clear" w:color="auto" w:fill="auto"/>
                  <w:vAlign w:val="center"/>
                </w:tcPr>
                <w:p w14:paraId="3D8534E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54" w:type="pct"/>
                  <w:tcBorders>
                    <w:tl2br w:val="nil"/>
                    <w:tr2bl w:val="nil"/>
                  </w:tcBorders>
                  <w:shd w:val="clear" w:color="auto" w:fill="auto"/>
                  <w:vAlign w:val="center"/>
                </w:tcPr>
                <w:p w14:paraId="2A035D5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63" w:type="pct"/>
                  <w:tcBorders>
                    <w:tl2br w:val="nil"/>
                    <w:tr2bl w:val="nil"/>
                  </w:tcBorders>
                  <w:shd w:val="clear" w:color="auto" w:fill="auto"/>
                  <w:vAlign w:val="center"/>
                </w:tcPr>
                <w:p w14:paraId="54A306B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2E05F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49" w:type="pct"/>
                  <w:vMerge w:val="restart"/>
                  <w:tcBorders>
                    <w:tl2br w:val="nil"/>
                    <w:tr2bl w:val="nil"/>
                  </w:tcBorders>
                  <w:vAlign w:val="center"/>
                </w:tcPr>
                <w:p w14:paraId="07ED81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无组织</w:t>
                  </w:r>
                </w:p>
              </w:tc>
              <w:tc>
                <w:tcPr>
                  <w:tcW w:w="259" w:type="pct"/>
                  <w:vMerge w:val="restart"/>
                  <w:tcBorders>
                    <w:tl2br w:val="nil"/>
                    <w:tr2bl w:val="nil"/>
                  </w:tcBorders>
                  <w:shd w:val="clear" w:color="auto" w:fill="auto"/>
                  <w:vAlign w:val="center"/>
                </w:tcPr>
                <w:p w14:paraId="6B08B6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lang w:val="en-US" w:eastAsia="zh-CN" w:bidi="ar-SA"/>
                    </w:rPr>
                  </w:pPr>
                  <w:r>
                    <w:rPr>
                      <w:rFonts w:hint="eastAsia" w:eastAsia="宋体" w:cs="Times New Roman"/>
                      <w:b w:val="0"/>
                      <w:bCs w:val="0"/>
                      <w:color w:val="auto"/>
                      <w:sz w:val="21"/>
                      <w:szCs w:val="21"/>
                      <w:highlight w:val="none"/>
                      <w:u w:val="none"/>
                      <w:lang w:val="en-US" w:eastAsia="zh-CN"/>
                    </w:rPr>
                    <w:t>预发、成型工序</w:t>
                  </w:r>
                </w:p>
              </w:tc>
              <w:tc>
                <w:tcPr>
                  <w:tcW w:w="359" w:type="pct"/>
                  <w:tcBorders>
                    <w:tl2br w:val="nil"/>
                    <w:tr2bl w:val="nil"/>
                  </w:tcBorders>
                  <w:shd w:val="clear" w:color="auto" w:fill="auto"/>
                  <w:vAlign w:val="center"/>
                </w:tcPr>
                <w:p w14:paraId="18ABDC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非甲烷总烃</w:t>
                  </w:r>
                </w:p>
              </w:tc>
              <w:tc>
                <w:tcPr>
                  <w:tcW w:w="286" w:type="pct"/>
                  <w:gridSpan w:val="2"/>
                  <w:tcBorders>
                    <w:tl2br w:val="nil"/>
                    <w:tr2bl w:val="nil"/>
                  </w:tcBorders>
                  <w:vAlign w:val="center"/>
                </w:tcPr>
                <w:p w14:paraId="4086745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1" w:type="pct"/>
                  <w:tcBorders>
                    <w:tl2br w:val="nil"/>
                    <w:tr2bl w:val="nil"/>
                  </w:tcBorders>
                  <w:vAlign w:val="center"/>
                </w:tcPr>
                <w:p w14:paraId="4F9D722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0.5152</w:t>
                  </w:r>
                </w:p>
              </w:tc>
              <w:tc>
                <w:tcPr>
                  <w:tcW w:w="306" w:type="pct"/>
                  <w:tcBorders>
                    <w:tl2br w:val="nil"/>
                    <w:tr2bl w:val="nil"/>
                  </w:tcBorders>
                  <w:vAlign w:val="center"/>
                </w:tcPr>
                <w:p w14:paraId="3935E26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04AA1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739" w:type="pct"/>
                  <w:vMerge w:val="restart"/>
                  <w:tcBorders>
                    <w:tl2br w:val="nil"/>
                    <w:tr2bl w:val="nil"/>
                  </w:tcBorders>
                  <w:vAlign w:val="center"/>
                </w:tcPr>
                <w:p w14:paraId="0CFF65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pacing w:val="0"/>
                      <w:kern w:val="0"/>
                      <w:sz w:val="21"/>
                      <w:szCs w:val="21"/>
                      <w:highlight w:val="none"/>
                      <w:lang w:val="en-US" w:eastAsia="zh-CN" w:bidi="he-IL"/>
                    </w:rPr>
                    <w:t>加强废气的收集及活性炭吸附净化装置维护保养，防止废气事故无组织排放；生产过程中门窗关闭，保持一个相对密闭的空间，合理设计送排风系统</w:t>
                  </w:r>
                </w:p>
              </w:tc>
              <w:tc>
                <w:tcPr>
                  <w:tcW w:w="330" w:type="pct"/>
                  <w:tcBorders>
                    <w:tl2br w:val="nil"/>
                    <w:tr2bl w:val="nil"/>
                  </w:tcBorders>
                  <w:shd w:val="clear" w:color="auto" w:fill="auto"/>
                  <w:vAlign w:val="center"/>
                </w:tcPr>
                <w:p w14:paraId="627963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0.5152</w:t>
                  </w:r>
                </w:p>
              </w:tc>
              <w:tc>
                <w:tcPr>
                  <w:tcW w:w="305" w:type="pct"/>
                  <w:tcBorders>
                    <w:tl2br w:val="nil"/>
                    <w:tr2bl w:val="nil"/>
                  </w:tcBorders>
                  <w:vAlign w:val="center"/>
                </w:tcPr>
                <w:p w14:paraId="6476207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0.0651</w:t>
                  </w:r>
                </w:p>
              </w:tc>
              <w:tc>
                <w:tcPr>
                  <w:tcW w:w="305" w:type="pct"/>
                  <w:tcBorders>
                    <w:tl2br w:val="nil"/>
                    <w:tr2bl w:val="nil"/>
                  </w:tcBorders>
                  <w:vAlign w:val="center"/>
                </w:tcPr>
                <w:p w14:paraId="1117C84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3D6AFC5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483" w:type="pct"/>
                  <w:gridSpan w:val="2"/>
                  <w:tcBorders>
                    <w:tl2br w:val="nil"/>
                    <w:tr2bl w:val="nil"/>
                  </w:tcBorders>
                  <w:shd w:val="clear" w:color="auto" w:fill="auto"/>
                  <w:vAlign w:val="center"/>
                </w:tcPr>
                <w:p w14:paraId="085802A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54" w:type="pct"/>
                  <w:tcBorders>
                    <w:tl2br w:val="nil"/>
                    <w:tr2bl w:val="nil"/>
                  </w:tcBorders>
                  <w:shd w:val="clear" w:color="auto" w:fill="auto"/>
                  <w:vAlign w:val="center"/>
                </w:tcPr>
                <w:p w14:paraId="499EA27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3A47D1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6A692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49" w:type="pct"/>
                  <w:vMerge w:val="continue"/>
                  <w:tcBorders>
                    <w:tl2br w:val="nil"/>
                    <w:tr2bl w:val="nil"/>
                  </w:tcBorders>
                  <w:vAlign w:val="center"/>
                </w:tcPr>
                <w:p w14:paraId="6C89B3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59" w:type="pct"/>
                  <w:vMerge w:val="continue"/>
                  <w:tcBorders>
                    <w:tl2br w:val="nil"/>
                    <w:tr2bl w:val="nil"/>
                  </w:tcBorders>
                  <w:shd w:val="clear" w:color="auto" w:fill="auto"/>
                  <w:vAlign w:val="center"/>
                </w:tcPr>
                <w:p w14:paraId="4BD906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lang w:val="en-US" w:eastAsia="zh-CN" w:bidi="ar-SA"/>
                    </w:rPr>
                  </w:pPr>
                </w:p>
              </w:tc>
              <w:tc>
                <w:tcPr>
                  <w:tcW w:w="359" w:type="pct"/>
                  <w:tcBorders>
                    <w:tl2br w:val="nil"/>
                    <w:tr2bl w:val="nil"/>
                  </w:tcBorders>
                  <w:shd w:val="clear" w:color="auto" w:fill="auto"/>
                  <w:vAlign w:val="center"/>
                </w:tcPr>
                <w:p w14:paraId="77D04EC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苯乙烯</w:t>
                  </w:r>
                </w:p>
              </w:tc>
              <w:tc>
                <w:tcPr>
                  <w:tcW w:w="286" w:type="pct"/>
                  <w:gridSpan w:val="2"/>
                  <w:tcBorders>
                    <w:tl2br w:val="nil"/>
                    <w:tr2bl w:val="nil"/>
                  </w:tcBorders>
                  <w:vAlign w:val="center"/>
                </w:tcPr>
                <w:p w14:paraId="4DF240F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1" w:type="pct"/>
                  <w:tcBorders>
                    <w:tl2br w:val="nil"/>
                    <w:tr2bl w:val="nil"/>
                  </w:tcBorders>
                  <w:vAlign w:val="center"/>
                </w:tcPr>
                <w:p w14:paraId="38B76AF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0.1469</w:t>
                  </w:r>
                </w:p>
              </w:tc>
              <w:tc>
                <w:tcPr>
                  <w:tcW w:w="306" w:type="pct"/>
                  <w:tcBorders>
                    <w:tl2br w:val="nil"/>
                    <w:tr2bl w:val="nil"/>
                  </w:tcBorders>
                  <w:vAlign w:val="center"/>
                </w:tcPr>
                <w:p w14:paraId="214B0E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45EA0A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4F5227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shd w:val="clear" w:color="auto" w:fill="auto"/>
                  <w:vAlign w:val="center"/>
                </w:tcPr>
                <w:p w14:paraId="07DDCD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0.1469</w:t>
                  </w:r>
                </w:p>
              </w:tc>
              <w:tc>
                <w:tcPr>
                  <w:tcW w:w="305" w:type="pct"/>
                  <w:tcBorders>
                    <w:tl2br w:val="nil"/>
                    <w:tr2bl w:val="nil"/>
                  </w:tcBorders>
                  <w:vAlign w:val="center"/>
                </w:tcPr>
                <w:p w14:paraId="44C63E9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0.0185</w:t>
                  </w:r>
                </w:p>
              </w:tc>
              <w:tc>
                <w:tcPr>
                  <w:tcW w:w="305" w:type="pct"/>
                  <w:tcBorders>
                    <w:tl2br w:val="nil"/>
                    <w:tr2bl w:val="nil"/>
                  </w:tcBorders>
                  <w:vAlign w:val="center"/>
                </w:tcPr>
                <w:p w14:paraId="2359DA3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239690D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483" w:type="pct"/>
                  <w:gridSpan w:val="2"/>
                  <w:tcBorders>
                    <w:tl2br w:val="nil"/>
                    <w:tr2bl w:val="nil"/>
                  </w:tcBorders>
                  <w:shd w:val="clear" w:color="auto" w:fill="auto"/>
                  <w:vAlign w:val="center"/>
                </w:tcPr>
                <w:p w14:paraId="5316C6D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54" w:type="pct"/>
                  <w:tcBorders>
                    <w:tl2br w:val="nil"/>
                    <w:tr2bl w:val="nil"/>
                  </w:tcBorders>
                  <w:shd w:val="clear" w:color="auto" w:fill="auto"/>
                  <w:vAlign w:val="center"/>
                </w:tcPr>
                <w:p w14:paraId="318D004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73D00C4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74882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49" w:type="pct"/>
                  <w:vMerge w:val="continue"/>
                  <w:tcBorders>
                    <w:tl2br w:val="nil"/>
                    <w:tr2bl w:val="nil"/>
                  </w:tcBorders>
                  <w:vAlign w:val="center"/>
                </w:tcPr>
                <w:p w14:paraId="754766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59" w:type="pct"/>
                  <w:vMerge w:val="continue"/>
                  <w:tcBorders>
                    <w:tl2br w:val="nil"/>
                    <w:tr2bl w:val="nil"/>
                  </w:tcBorders>
                  <w:shd w:val="clear" w:color="auto" w:fill="auto"/>
                  <w:vAlign w:val="center"/>
                </w:tcPr>
                <w:p w14:paraId="493E60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lang w:val="en-US" w:eastAsia="zh-CN" w:bidi="ar-SA"/>
                    </w:rPr>
                  </w:pPr>
                </w:p>
              </w:tc>
              <w:tc>
                <w:tcPr>
                  <w:tcW w:w="359" w:type="pct"/>
                  <w:tcBorders>
                    <w:tl2br w:val="nil"/>
                    <w:tr2bl w:val="nil"/>
                  </w:tcBorders>
                  <w:shd w:val="clear" w:color="auto" w:fill="auto"/>
                  <w:vAlign w:val="center"/>
                </w:tcPr>
                <w:p w14:paraId="08CE5AD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甲苯</w:t>
                  </w:r>
                </w:p>
              </w:tc>
              <w:tc>
                <w:tcPr>
                  <w:tcW w:w="286" w:type="pct"/>
                  <w:gridSpan w:val="2"/>
                  <w:tcBorders>
                    <w:tl2br w:val="nil"/>
                    <w:tr2bl w:val="nil"/>
                  </w:tcBorders>
                  <w:vAlign w:val="center"/>
                </w:tcPr>
                <w:p w14:paraId="5B65E8D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1" w:type="pct"/>
                  <w:tcBorders>
                    <w:tl2br w:val="nil"/>
                    <w:tr2bl w:val="nil"/>
                  </w:tcBorders>
                  <w:vAlign w:val="center"/>
                </w:tcPr>
                <w:p w14:paraId="7D7E4F3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7D4B63B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1ACE05D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769A04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shd w:val="clear" w:color="auto" w:fill="auto"/>
                  <w:vAlign w:val="center"/>
                </w:tcPr>
                <w:p w14:paraId="15E613C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6D64AC6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1BEA8BB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46E38AF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483" w:type="pct"/>
                  <w:gridSpan w:val="2"/>
                  <w:tcBorders>
                    <w:tl2br w:val="nil"/>
                    <w:tr2bl w:val="nil"/>
                  </w:tcBorders>
                  <w:shd w:val="clear" w:color="auto" w:fill="auto"/>
                  <w:vAlign w:val="center"/>
                </w:tcPr>
                <w:p w14:paraId="6F4559F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54" w:type="pct"/>
                  <w:tcBorders>
                    <w:tl2br w:val="nil"/>
                    <w:tr2bl w:val="nil"/>
                  </w:tcBorders>
                  <w:shd w:val="clear" w:color="auto" w:fill="auto"/>
                  <w:vAlign w:val="center"/>
                </w:tcPr>
                <w:p w14:paraId="1DACA57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1DEA34A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09D90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tcBorders>
                    <w:tl2br w:val="nil"/>
                    <w:tr2bl w:val="nil"/>
                  </w:tcBorders>
                  <w:vAlign w:val="center"/>
                </w:tcPr>
                <w:p w14:paraId="72F2D1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59" w:type="pct"/>
                  <w:vMerge w:val="continue"/>
                  <w:tcBorders>
                    <w:tl2br w:val="nil"/>
                    <w:tr2bl w:val="nil"/>
                  </w:tcBorders>
                  <w:shd w:val="clear" w:color="auto" w:fill="auto"/>
                  <w:vAlign w:val="center"/>
                </w:tcPr>
                <w:p w14:paraId="4D4A79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lang w:val="en-US" w:eastAsia="zh-CN" w:bidi="ar-SA"/>
                    </w:rPr>
                  </w:pPr>
                </w:p>
              </w:tc>
              <w:tc>
                <w:tcPr>
                  <w:tcW w:w="359" w:type="pct"/>
                  <w:tcBorders>
                    <w:tl2br w:val="nil"/>
                    <w:tr2bl w:val="nil"/>
                  </w:tcBorders>
                  <w:shd w:val="clear" w:color="auto" w:fill="auto"/>
                  <w:vAlign w:val="center"/>
                </w:tcPr>
                <w:p w14:paraId="17DBA2B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乙苯</w:t>
                  </w:r>
                </w:p>
              </w:tc>
              <w:tc>
                <w:tcPr>
                  <w:tcW w:w="286" w:type="pct"/>
                  <w:gridSpan w:val="2"/>
                  <w:tcBorders>
                    <w:tl2br w:val="nil"/>
                    <w:tr2bl w:val="nil"/>
                  </w:tcBorders>
                  <w:vAlign w:val="center"/>
                </w:tcPr>
                <w:p w14:paraId="1CBFABE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1" w:type="pct"/>
                  <w:tcBorders>
                    <w:tl2br w:val="nil"/>
                    <w:tr2bl w:val="nil"/>
                  </w:tcBorders>
                  <w:vAlign w:val="center"/>
                </w:tcPr>
                <w:p w14:paraId="5D5C007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77A42EA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638BB8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1C7B54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shd w:val="clear" w:color="auto" w:fill="auto"/>
                  <w:vAlign w:val="center"/>
                </w:tcPr>
                <w:p w14:paraId="078B58E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27743EB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56F0D9B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2E17FA9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483" w:type="pct"/>
                  <w:gridSpan w:val="2"/>
                  <w:tcBorders>
                    <w:tl2br w:val="nil"/>
                    <w:tr2bl w:val="nil"/>
                  </w:tcBorders>
                  <w:shd w:val="clear" w:color="auto" w:fill="auto"/>
                  <w:vAlign w:val="center"/>
                </w:tcPr>
                <w:p w14:paraId="6380F64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54" w:type="pct"/>
                  <w:tcBorders>
                    <w:tl2br w:val="nil"/>
                    <w:tr2bl w:val="nil"/>
                  </w:tcBorders>
                  <w:shd w:val="clear" w:color="auto" w:fill="auto"/>
                  <w:vAlign w:val="center"/>
                </w:tcPr>
                <w:p w14:paraId="2B6ECE2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7AB08FF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67A9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restart"/>
                  <w:vAlign w:val="center"/>
                </w:tcPr>
                <w:p w14:paraId="41625A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合计</w:t>
                  </w:r>
                </w:p>
              </w:tc>
              <w:tc>
                <w:tcPr>
                  <w:tcW w:w="1533" w:type="pct"/>
                  <w:gridSpan w:val="6"/>
                  <w:vAlign w:val="center"/>
                </w:tcPr>
                <w:p w14:paraId="0B0BA6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污染物名称</w:t>
                  </w:r>
                </w:p>
              </w:tc>
              <w:tc>
                <w:tcPr>
                  <w:tcW w:w="1051" w:type="pct"/>
                  <w:gridSpan w:val="2"/>
                  <w:shd w:val="clear" w:color="auto" w:fill="auto"/>
                  <w:vAlign w:val="center"/>
                </w:tcPr>
                <w:p w14:paraId="2EE672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有组织排放量</w:t>
                  </w:r>
                </w:p>
              </w:tc>
              <w:tc>
                <w:tcPr>
                  <w:tcW w:w="940" w:type="pct"/>
                  <w:gridSpan w:val="3"/>
                  <w:shd w:val="clear" w:color="auto" w:fill="auto"/>
                  <w:vAlign w:val="center"/>
                </w:tcPr>
                <w:p w14:paraId="090236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无组织排放量</w:t>
                  </w:r>
                </w:p>
              </w:tc>
              <w:tc>
                <w:tcPr>
                  <w:tcW w:w="1325" w:type="pct"/>
                  <w:gridSpan w:val="5"/>
                  <w:vAlign w:val="center"/>
                </w:tcPr>
                <w:p w14:paraId="28767B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合计</w:t>
                  </w:r>
                </w:p>
              </w:tc>
            </w:tr>
            <w:tr w14:paraId="61BFB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vAlign w:val="center"/>
                </w:tcPr>
                <w:p w14:paraId="29627F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766" w:type="pct"/>
                  <w:gridSpan w:val="3"/>
                  <w:vMerge w:val="restart"/>
                  <w:vAlign w:val="center"/>
                </w:tcPr>
                <w:p w14:paraId="68223D9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挥发性有机物</w:t>
                  </w:r>
                </w:p>
                <w:p w14:paraId="2610BC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w:t>
                  </w:r>
                  <w:r>
                    <w:rPr>
                      <w:rFonts w:hint="eastAsia" w:ascii="Times New Roman" w:hAnsi="Times New Roman" w:eastAsia="宋体" w:cs="Times New Roman"/>
                      <w:b w:val="0"/>
                      <w:bCs w:val="0"/>
                      <w:color w:val="auto"/>
                      <w:sz w:val="21"/>
                      <w:szCs w:val="21"/>
                      <w:u w:val="none"/>
                      <w:lang w:val="en-US" w:eastAsia="zh-CN"/>
                    </w:rPr>
                    <w:t>t/a</w:t>
                  </w:r>
                  <w:r>
                    <w:rPr>
                      <w:rFonts w:hint="eastAsia" w:cs="Times New Roman"/>
                      <w:b w:val="0"/>
                      <w:bCs w:val="0"/>
                      <w:color w:val="auto"/>
                      <w:sz w:val="21"/>
                      <w:szCs w:val="21"/>
                      <w:u w:val="none"/>
                      <w:lang w:val="en-US" w:eastAsia="zh-CN"/>
                    </w:rPr>
                    <w:t>)</w:t>
                  </w:r>
                </w:p>
              </w:tc>
              <w:tc>
                <w:tcPr>
                  <w:tcW w:w="767" w:type="pct"/>
                  <w:gridSpan w:val="3"/>
                  <w:vAlign w:val="center"/>
                </w:tcPr>
                <w:p w14:paraId="63F625E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非甲烷总烃（t/a）</w:t>
                  </w:r>
                </w:p>
              </w:tc>
              <w:tc>
                <w:tcPr>
                  <w:tcW w:w="1051" w:type="pct"/>
                  <w:gridSpan w:val="2"/>
                  <w:shd w:val="clear" w:color="auto" w:fill="auto"/>
                  <w:vAlign w:val="center"/>
                </w:tcPr>
                <w:p w14:paraId="2FD2C3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0.5152</w:t>
                  </w:r>
                </w:p>
              </w:tc>
              <w:tc>
                <w:tcPr>
                  <w:tcW w:w="940" w:type="pct"/>
                  <w:gridSpan w:val="3"/>
                  <w:shd w:val="clear" w:color="auto" w:fill="auto"/>
                  <w:vAlign w:val="center"/>
                </w:tcPr>
                <w:p w14:paraId="66A036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0.5152</w:t>
                  </w:r>
                </w:p>
              </w:tc>
              <w:tc>
                <w:tcPr>
                  <w:tcW w:w="732" w:type="pct"/>
                  <w:gridSpan w:val="2"/>
                  <w:vAlign w:val="center"/>
                </w:tcPr>
                <w:p w14:paraId="5385EB1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1.0304</w:t>
                  </w:r>
                </w:p>
              </w:tc>
              <w:tc>
                <w:tcPr>
                  <w:tcW w:w="592" w:type="pct"/>
                  <w:gridSpan w:val="3"/>
                  <w:vMerge w:val="restart"/>
                  <w:vAlign w:val="center"/>
                </w:tcPr>
                <w:p w14:paraId="7B9175B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1.3245</w:t>
                  </w:r>
                </w:p>
              </w:tc>
            </w:tr>
            <w:tr w14:paraId="6FE10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vAlign w:val="center"/>
                </w:tcPr>
                <w:p w14:paraId="2CAC7D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766" w:type="pct"/>
                  <w:gridSpan w:val="3"/>
                  <w:vMerge w:val="continue"/>
                  <w:vAlign w:val="center"/>
                </w:tcPr>
                <w:p w14:paraId="671C45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p>
              </w:tc>
              <w:tc>
                <w:tcPr>
                  <w:tcW w:w="767" w:type="pct"/>
                  <w:gridSpan w:val="3"/>
                  <w:vAlign w:val="center"/>
                </w:tcPr>
                <w:p w14:paraId="20DEEFF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苯乙烯（t/a）</w:t>
                  </w:r>
                </w:p>
              </w:tc>
              <w:tc>
                <w:tcPr>
                  <w:tcW w:w="1051" w:type="pct"/>
                  <w:gridSpan w:val="2"/>
                  <w:shd w:val="clear" w:color="auto" w:fill="auto"/>
                  <w:vAlign w:val="center"/>
                </w:tcPr>
                <w:p w14:paraId="3F42AE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0.1469</w:t>
                  </w:r>
                </w:p>
              </w:tc>
              <w:tc>
                <w:tcPr>
                  <w:tcW w:w="940" w:type="pct"/>
                  <w:gridSpan w:val="3"/>
                  <w:shd w:val="clear" w:color="auto" w:fill="auto"/>
                  <w:vAlign w:val="center"/>
                </w:tcPr>
                <w:p w14:paraId="025A54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0.1469</w:t>
                  </w:r>
                </w:p>
              </w:tc>
              <w:tc>
                <w:tcPr>
                  <w:tcW w:w="732" w:type="pct"/>
                  <w:gridSpan w:val="2"/>
                  <w:vAlign w:val="center"/>
                </w:tcPr>
                <w:p w14:paraId="4ACDD09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0.2938</w:t>
                  </w:r>
                </w:p>
              </w:tc>
              <w:tc>
                <w:tcPr>
                  <w:tcW w:w="592" w:type="pct"/>
                  <w:gridSpan w:val="3"/>
                  <w:vMerge w:val="continue"/>
                  <w:vAlign w:val="center"/>
                </w:tcPr>
                <w:p w14:paraId="456C1616">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u w:val="none"/>
                      <w:vertAlign w:val="baseline"/>
                      <w:lang w:val="en-US" w:eastAsia="zh-CN"/>
                    </w:rPr>
                  </w:pPr>
                </w:p>
              </w:tc>
            </w:tr>
            <w:tr w14:paraId="0D5FC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vAlign w:val="center"/>
                </w:tcPr>
                <w:p w14:paraId="54A9F1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766" w:type="pct"/>
                  <w:gridSpan w:val="3"/>
                  <w:vMerge w:val="continue"/>
                  <w:vAlign w:val="center"/>
                </w:tcPr>
                <w:p w14:paraId="51E2CE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p>
              </w:tc>
              <w:tc>
                <w:tcPr>
                  <w:tcW w:w="767" w:type="pct"/>
                  <w:gridSpan w:val="3"/>
                  <w:vAlign w:val="center"/>
                </w:tcPr>
                <w:p w14:paraId="76365EE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甲苯（t/a）</w:t>
                  </w:r>
                </w:p>
              </w:tc>
              <w:tc>
                <w:tcPr>
                  <w:tcW w:w="1051" w:type="pct"/>
                  <w:gridSpan w:val="2"/>
                  <w:shd w:val="clear" w:color="auto" w:fill="auto"/>
                  <w:vAlign w:val="center"/>
                </w:tcPr>
                <w:p w14:paraId="75B9418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w:t>
                  </w:r>
                </w:p>
              </w:tc>
              <w:tc>
                <w:tcPr>
                  <w:tcW w:w="940" w:type="pct"/>
                  <w:gridSpan w:val="3"/>
                  <w:shd w:val="clear" w:color="auto" w:fill="auto"/>
                  <w:vAlign w:val="center"/>
                </w:tcPr>
                <w:p w14:paraId="77664E9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w:t>
                  </w:r>
                </w:p>
              </w:tc>
              <w:tc>
                <w:tcPr>
                  <w:tcW w:w="732" w:type="pct"/>
                  <w:gridSpan w:val="2"/>
                  <w:vAlign w:val="center"/>
                </w:tcPr>
                <w:p w14:paraId="76930F8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p>
              </w:tc>
              <w:tc>
                <w:tcPr>
                  <w:tcW w:w="592" w:type="pct"/>
                  <w:gridSpan w:val="3"/>
                  <w:vMerge w:val="continue"/>
                  <w:vAlign w:val="center"/>
                </w:tcPr>
                <w:p w14:paraId="237FF14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p>
              </w:tc>
            </w:tr>
            <w:tr w14:paraId="4C26D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vAlign w:val="center"/>
                </w:tcPr>
                <w:p w14:paraId="302701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766" w:type="pct"/>
                  <w:gridSpan w:val="3"/>
                  <w:vMerge w:val="continue"/>
                  <w:vAlign w:val="center"/>
                </w:tcPr>
                <w:p w14:paraId="2419E9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p>
              </w:tc>
              <w:tc>
                <w:tcPr>
                  <w:tcW w:w="767" w:type="pct"/>
                  <w:gridSpan w:val="3"/>
                  <w:vAlign w:val="center"/>
                </w:tcPr>
                <w:p w14:paraId="2216FCD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乙苯（t/a）</w:t>
                  </w:r>
                </w:p>
              </w:tc>
              <w:tc>
                <w:tcPr>
                  <w:tcW w:w="1051" w:type="pct"/>
                  <w:gridSpan w:val="2"/>
                  <w:shd w:val="clear" w:color="auto" w:fill="auto"/>
                  <w:vAlign w:val="center"/>
                </w:tcPr>
                <w:p w14:paraId="07CE950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w:t>
                  </w:r>
                </w:p>
              </w:tc>
              <w:tc>
                <w:tcPr>
                  <w:tcW w:w="940" w:type="pct"/>
                  <w:gridSpan w:val="3"/>
                  <w:shd w:val="clear" w:color="auto" w:fill="auto"/>
                  <w:vAlign w:val="center"/>
                </w:tcPr>
                <w:p w14:paraId="35BD0222">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w:t>
                  </w:r>
                </w:p>
              </w:tc>
              <w:tc>
                <w:tcPr>
                  <w:tcW w:w="732" w:type="pct"/>
                  <w:gridSpan w:val="2"/>
                  <w:vAlign w:val="center"/>
                </w:tcPr>
                <w:p w14:paraId="50CABBD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p>
              </w:tc>
              <w:tc>
                <w:tcPr>
                  <w:tcW w:w="592" w:type="pct"/>
                  <w:gridSpan w:val="3"/>
                  <w:vMerge w:val="continue"/>
                  <w:vAlign w:val="center"/>
                </w:tcPr>
                <w:p w14:paraId="0DB8DC0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u w:val="none"/>
                      <w:vertAlign w:val="baseline"/>
                      <w:lang w:val="en-US" w:eastAsia="zh-CN"/>
                    </w:rPr>
                  </w:pPr>
                </w:p>
              </w:tc>
            </w:tr>
          </w:tbl>
          <w:p w14:paraId="2C29E785">
            <w:pPr>
              <w:numPr>
                <w:ilvl w:val="0"/>
                <w:numId w:val="0"/>
              </w:numPr>
              <w:adjustRightInd w:val="0"/>
              <w:snapToGrid w:val="0"/>
              <w:spacing w:line="348" w:lineRule="auto"/>
              <w:rPr>
                <w:rFonts w:hint="default" w:cs="Times New Roman"/>
                <w:color w:val="auto"/>
                <w:sz w:val="24"/>
                <w:lang w:val="en-US" w:eastAsia="zh-CN"/>
              </w:rPr>
            </w:pPr>
          </w:p>
        </w:tc>
      </w:tr>
    </w:tbl>
    <w:p w14:paraId="3697B51A">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4" w:charSpace="0"/>
        </w:sectPr>
      </w:pP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9088"/>
      </w:tblGrid>
      <w:tr w14:paraId="0172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3" w:hRule="atLeast"/>
        </w:trPr>
        <w:tc>
          <w:tcPr>
            <w:tcW w:w="249" w:type="pct"/>
            <w:vAlign w:val="center"/>
          </w:tcPr>
          <w:p w14:paraId="7F1C2790">
            <w:pPr>
              <w:jc w:val="center"/>
              <w:rPr>
                <w:rFonts w:hint="default" w:ascii="Times New Roman" w:hAnsi="Times New Roman" w:eastAsia="宋体" w:cs="Times New Roman"/>
                <w:color w:val="auto"/>
                <w:kern w:val="0"/>
                <w:sz w:val="24"/>
                <w:szCs w:val="24"/>
                <w:lang w:val="en-US" w:eastAsia="zh-CN"/>
              </w:rPr>
            </w:pPr>
          </w:p>
        </w:tc>
        <w:tc>
          <w:tcPr>
            <w:tcW w:w="4750" w:type="pct"/>
          </w:tcPr>
          <w:p w14:paraId="1168924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en-US" w:eastAsia="zh-CN"/>
              </w:rPr>
            </w:pPr>
            <w:bookmarkStart w:id="161" w:name="_Toc15692"/>
            <w:bookmarkStart w:id="162" w:name="_Toc13376"/>
            <w:r>
              <w:rPr>
                <w:rFonts w:hint="eastAsia"/>
                <w:b/>
                <w:color w:val="auto"/>
                <w:kern w:val="0"/>
                <w:sz w:val="24"/>
                <w:lang w:val="en-US" w:eastAsia="zh-CN"/>
              </w:rPr>
              <w:t>4.1.3运营期大气污染防治措施合理性分析</w:t>
            </w:r>
            <w:bookmarkEnd w:id="161"/>
            <w:bookmarkEnd w:id="162"/>
          </w:p>
          <w:p w14:paraId="4B91027D">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运营期产生的废气污染物因子为</w:t>
            </w:r>
            <w:r>
              <w:rPr>
                <w:rFonts w:hint="eastAsia" w:ascii="Times New Roman" w:hAnsi="Times New Roman" w:cs="Times New Roman"/>
                <w:color w:val="auto"/>
                <w:sz w:val="24"/>
                <w:szCs w:val="24"/>
                <w:lang w:val="en-US" w:eastAsia="zh-CN"/>
              </w:rPr>
              <w:t>挥发性有机物</w:t>
            </w:r>
            <w:r>
              <w:rPr>
                <w:rFonts w:hint="default" w:ascii="Times New Roman" w:hAnsi="Times New Roman" w:eastAsia="宋体" w:cs="Times New Roman"/>
                <w:color w:val="auto"/>
                <w:sz w:val="24"/>
                <w:szCs w:val="24"/>
                <w:lang w:val="en-US" w:eastAsia="zh-CN"/>
              </w:rPr>
              <w:t>。</w:t>
            </w:r>
          </w:p>
          <w:p w14:paraId="4DE774BF">
            <w:pPr>
              <w:pStyle w:val="46"/>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（1）生产车间密闭情况分析</w:t>
            </w:r>
          </w:p>
          <w:p w14:paraId="514E5521">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购置</w:t>
            </w:r>
            <w:r>
              <w:rPr>
                <w:rFonts w:hint="eastAsia" w:ascii="Times New Roman" w:hAnsi="Times New Roman" w:eastAsia="宋体" w:cs="Times New Roman"/>
                <w:color w:val="auto"/>
                <w:sz w:val="24"/>
                <w:szCs w:val="24"/>
                <w:lang w:val="en-US" w:eastAsia="zh-CN"/>
              </w:rPr>
              <w:t>厂房总体为钢筋混凝土结构，墙体、屋顶、门窗等均采用密闭设计。本项目所使用设备均设置在</w:t>
            </w:r>
            <w:r>
              <w:rPr>
                <w:rFonts w:hint="eastAsia" w:ascii="Times New Roman" w:hAnsi="Times New Roman" w:cs="Times New Roman"/>
                <w:color w:val="auto"/>
                <w:sz w:val="24"/>
                <w:szCs w:val="24"/>
                <w:lang w:val="en-US" w:eastAsia="zh-CN"/>
              </w:rPr>
              <w:t>1#生产</w:t>
            </w:r>
            <w:r>
              <w:rPr>
                <w:rFonts w:hint="eastAsia" w:ascii="Times New Roman" w:hAnsi="Times New Roman" w:eastAsia="宋体" w:cs="Times New Roman"/>
                <w:color w:val="auto"/>
                <w:sz w:val="24"/>
                <w:szCs w:val="24"/>
                <w:lang w:val="en-US" w:eastAsia="zh-CN"/>
              </w:rPr>
              <w:t>车间内，</w:t>
            </w:r>
            <w:r>
              <w:rPr>
                <w:rFonts w:hint="eastAsia" w:ascii="Times New Roman" w:hAnsi="Times New Roman" w:cs="Times New Roman"/>
                <w:color w:val="auto"/>
                <w:sz w:val="24"/>
                <w:szCs w:val="24"/>
                <w:lang w:val="en-US" w:eastAsia="zh-CN"/>
              </w:rPr>
              <w:t>加强车间密闭管理，</w:t>
            </w:r>
            <w:r>
              <w:rPr>
                <w:rFonts w:hint="eastAsia" w:ascii="Times New Roman" w:hAnsi="Times New Roman" w:eastAsia="宋体" w:cs="Times New Roman"/>
                <w:color w:val="auto"/>
                <w:sz w:val="24"/>
                <w:szCs w:val="24"/>
                <w:lang w:val="en-US" w:eastAsia="zh-CN"/>
              </w:rPr>
              <w:t>可减少污染物无组织扩散。</w:t>
            </w:r>
          </w:p>
          <w:p w14:paraId="4B0B26E6">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val="en-US" w:eastAsia="zh-CN"/>
              </w:rPr>
              <w:t>治理措施</w:t>
            </w:r>
            <w:r>
              <w:rPr>
                <w:rFonts w:hint="eastAsia" w:ascii="Times New Roman" w:hAnsi="Times New Roman" w:cs="Times New Roman"/>
                <w:color w:val="auto"/>
                <w:sz w:val="24"/>
                <w:szCs w:val="24"/>
                <w:highlight w:val="none"/>
                <w:lang w:val="en-US" w:eastAsia="zh-CN"/>
              </w:rPr>
              <w:t>分析</w:t>
            </w:r>
          </w:p>
          <w:p w14:paraId="0F1A82A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cs="Times New Roman"/>
                <w:color w:val="auto"/>
                <w:kern w:val="0"/>
                <w:sz w:val="24"/>
                <w:szCs w:val="24"/>
                <w:highlight w:val="none"/>
                <w:lang w:val="en-US" w:eastAsia="zh-CN" w:bidi="ar-SA"/>
              </w:rPr>
              <w:t>预发、成型工序生产废</w:t>
            </w:r>
            <w:r>
              <w:rPr>
                <w:rFonts w:hint="eastAsia" w:ascii="Times New Roman" w:hAnsi="Times New Roman" w:cs="Times New Roman"/>
                <w:color w:val="auto"/>
                <w:kern w:val="0"/>
                <w:sz w:val="24"/>
                <w:szCs w:val="24"/>
                <w:highlight w:val="none"/>
                <w:lang w:val="en-US" w:eastAsia="zh-CN" w:bidi="ar-SA"/>
              </w:rPr>
              <w:t>气</w:t>
            </w:r>
            <w:r>
              <w:rPr>
                <w:rFonts w:hint="eastAsia" w:cs="Times New Roman"/>
                <w:color w:val="auto"/>
                <w:kern w:val="0"/>
                <w:sz w:val="24"/>
                <w:szCs w:val="24"/>
                <w:highlight w:val="none"/>
                <w:lang w:val="en-US" w:eastAsia="zh-CN" w:bidi="ar-SA"/>
              </w:rPr>
              <w:t>（非甲烷总烃、苯乙烯、甲苯、乙苯）</w:t>
            </w:r>
            <w:r>
              <w:rPr>
                <w:rFonts w:hint="eastAsia" w:ascii="Times New Roman" w:hAnsi="Times New Roman" w:cs="Times New Roman"/>
                <w:color w:val="auto"/>
                <w:kern w:val="0"/>
                <w:sz w:val="24"/>
                <w:szCs w:val="24"/>
                <w:highlight w:val="none"/>
                <w:lang w:val="en-US" w:eastAsia="zh-CN" w:bidi="ar-SA"/>
              </w:rPr>
              <w:t>经</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集气罩</w:t>
            </w:r>
            <w:r>
              <w:rPr>
                <w:rFonts w:hint="eastAsia"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活性炭吸附装置</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color w:val="auto"/>
                <w:kern w:val="0"/>
                <w:sz w:val="24"/>
                <w:szCs w:val="24"/>
                <w:highlight w:val="none"/>
                <w:lang w:val="en-US" w:eastAsia="zh-CN" w:bidi="ar-SA"/>
              </w:rPr>
              <w:t>处理后通过</w:t>
            </w:r>
            <w:r>
              <w:rPr>
                <w:rFonts w:hint="eastAsia" w:ascii="Times New Roman" w:hAnsi="Times New Roman" w:eastAsia="宋体"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m高排气筒（DA001）排放</w:t>
            </w:r>
            <w:r>
              <w:rPr>
                <w:rFonts w:hint="eastAsia" w:cs="Times New Roman"/>
                <w:color w:val="auto"/>
                <w:kern w:val="0"/>
                <w:sz w:val="24"/>
                <w:szCs w:val="24"/>
                <w:highlight w:val="none"/>
                <w:lang w:val="en-US" w:eastAsia="zh-CN" w:bidi="ar-SA"/>
              </w:rPr>
              <w:t>。</w:t>
            </w:r>
          </w:p>
          <w:p w14:paraId="12B654F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预发</w:t>
            </w:r>
            <w:r>
              <w:rPr>
                <w:rFonts w:hint="eastAsia" w:ascii="Times New Roman" w:hAnsi="Times New Roman" w:eastAsia="宋体" w:cs="Times New Roman"/>
                <w:color w:val="auto"/>
                <w:kern w:val="0"/>
                <w:sz w:val="24"/>
                <w:szCs w:val="24"/>
                <w:highlight w:val="none"/>
                <w:lang w:val="en-US" w:eastAsia="zh-CN" w:bidi="ar-SA"/>
              </w:rPr>
              <w:t>工序与</w:t>
            </w:r>
            <w:r>
              <w:rPr>
                <w:rFonts w:hint="eastAsia" w:cs="Times New Roman"/>
                <w:color w:val="auto"/>
                <w:kern w:val="0"/>
                <w:sz w:val="24"/>
                <w:szCs w:val="24"/>
                <w:highlight w:val="none"/>
                <w:lang w:val="en-US" w:eastAsia="zh-CN" w:bidi="ar-SA"/>
              </w:rPr>
              <w:t>成型工序</w:t>
            </w:r>
            <w:r>
              <w:rPr>
                <w:rFonts w:hint="eastAsia" w:ascii="Times New Roman" w:hAnsi="Times New Roman" w:eastAsia="宋体" w:cs="Times New Roman"/>
                <w:color w:val="auto"/>
                <w:kern w:val="0"/>
                <w:sz w:val="24"/>
                <w:szCs w:val="24"/>
                <w:highlight w:val="none"/>
                <w:lang w:val="en-US" w:eastAsia="zh-CN" w:bidi="ar-SA"/>
              </w:rPr>
              <w:t>所产生的废气执行相同的排放标准</w:t>
            </w:r>
            <w:r>
              <w:rPr>
                <w:rFonts w:hint="eastAsia" w:cs="Times New Roman"/>
                <w:color w:val="auto"/>
                <w:kern w:val="0"/>
                <w:sz w:val="24"/>
                <w:szCs w:val="24"/>
                <w:highlight w:val="none"/>
                <w:lang w:val="en-US" w:eastAsia="zh-CN" w:bidi="ar-SA"/>
              </w:rPr>
              <w:t>且</w:t>
            </w:r>
            <w:r>
              <w:rPr>
                <w:rFonts w:hint="eastAsia" w:ascii="Times New Roman" w:hAnsi="Times New Roman" w:eastAsia="宋体" w:cs="Times New Roman"/>
                <w:color w:val="auto"/>
                <w:kern w:val="0"/>
                <w:sz w:val="24"/>
                <w:szCs w:val="24"/>
                <w:highlight w:val="none"/>
                <w:lang w:val="en-US" w:eastAsia="zh-CN" w:bidi="ar-SA"/>
              </w:rPr>
              <w:t>污染源位置相近，具备合并排放的先决条件。将两根排气筒合并具有充分的合理性：技术上，合并后可建设更高规格的排气筒，利用更强的烟囱效应提升污染物扩散效率</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确保稳定满足环保标准</w:t>
            </w:r>
            <w:r>
              <w:rPr>
                <w:rFonts w:hint="eastAsia" w:cs="Times New Roman"/>
                <w:color w:val="auto"/>
                <w:kern w:val="0"/>
                <w:sz w:val="24"/>
                <w:szCs w:val="24"/>
                <w:highlight w:val="none"/>
                <w:lang w:val="en-US" w:eastAsia="zh-CN" w:bidi="ar-SA"/>
              </w:rPr>
              <w:t>；在</w:t>
            </w:r>
            <w:r>
              <w:rPr>
                <w:rFonts w:hint="eastAsia" w:ascii="Times New Roman" w:hAnsi="Times New Roman" w:eastAsia="宋体" w:cs="Times New Roman"/>
                <w:color w:val="auto"/>
                <w:kern w:val="0"/>
                <w:sz w:val="24"/>
                <w:szCs w:val="24"/>
                <w:highlight w:val="none"/>
                <w:lang w:val="en-US" w:eastAsia="zh-CN" w:bidi="ar-SA"/>
              </w:rPr>
              <w:t>经济与管理上，可实现净化设施的集中配置与统一运维，显著降低投资与长期运营成本，并简化监测与监管流程。因此，</w:t>
            </w:r>
            <w:r>
              <w:rPr>
                <w:rFonts w:hint="eastAsia" w:cs="Times New Roman"/>
                <w:color w:val="auto"/>
                <w:kern w:val="0"/>
                <w:sz w:val="24"/>
                <w:szCs w:val="24"/>
                <w:highlight w:val="none"/>
                <w:lang w:val="en-US" w:eastAsia="zh-CN" w:bidi="ar-SA"/>
              </w:rPr>
              <w:t>预发</w:t>
            </w:r>
            <w:r>
              <w:rPr>
                <w:rFonts w:hint="eastAsia" w:ascii="Times New Roman" w:hAnsi="Times New Roman" w:eastAsia="宋体" w:cs="Times New Roman"/>
                <w:color w:val="auto"/>
                <w:kern w:val="0"/>
                <w:sz w:val="24"/>
                <w:szCs w:val="24"/>
                <w:highlight w:val="none"/>
                <w:lang w:val="en-US" w:eastAsia="zh-CN" w:bidi="ar-SA"/>
              </w:rPr>
              <w:t>废气与</w:t>
            </w:r>
            <w:r>
              <w:rPr>
                <w:rFonts w:hint="eastAsia" w:cs="Times New Roman"/>
                <w:color w:val="auto"/>
                <w:kern w:val="0"/>
                <w:sz w:val="24"/>
                <w:szCs w:val="24"/>
                <w:highlight w:val="none"/>
                <w:lang w:val="en-US" w:eastAsia="zh-CN" w:bidi="ar-SA"/>
              </w:rPr>
              <w:t>成型</w:t>
            </w:r>
            <w:r>
              <w:rPr>
                <w:rFonts w:hint="eastAsia" w:ascii="Times New Roman" w:hAnsi="Times New Roman" w:eastAsia="宋体" w:cs="Times New Roman"/>
                <w:color w:val="auto"/>
                <w:kern w:val="0"/>
                <w:sz w:val="24"/>
                <w:szCs w:val="24"/>
                <w:highlight w:val="none"/>
                <w:lang w:val="en-US" w:eastAsia="zh-CN" w:bidi="ar-SA"/>
              </w:rPr>
              <w:t>废气合并一根排气筒排放方案可行。项目车间废气处理工艺流程图详见图4.</w:t>
            </w:r>
            <w:r>
              <w:rPr>
                <w:rFonts w:hint="eastAsia" w:ascii="Times New Roman" w:hAnsi="Times New Roman" w:cs="Times New Roman"/>
                <w:color w:val="auto"/>
                <w:kern w:val="0"/>
                <w:sz w:val="24"/>
                <w:szCs w:val="24"/>
                <w:highlight w:val="none"/>
                <w:lang w:val="en-US" w:eastAsia="zh-CN" w:bidi="ar-SA"/>
              </w:rPr>
              <w:t>1</w:t>
            </w:r>
            <w:r>
              <w:rPr>
                <w:rFonts w:hint="eastAsia" w:ascii="Times New Roman" w:hAnsi="Times New Roman" w:eastAsia="宋体" w:cs="Times New Roman"/>
                <w:color w:val="auto"/>
                <w:kern w:val="0"/>
                <w:sz w:val="24"/>
                <w:szCs w:val="24"/>
                <w:highlight w:val="none"/>
                <w:lang w:val="en-US" w:eastAsia="zh-CN" w:bidi="ar-SA"/>
              </w:rPr>
              <w:t>-1。</w:t>
            </w:r>
          </w:p>
          <w:p w14:paraId="41EFABD6">
            <w:pPr>
              <w:pStyle w:val="51"/>
              <w:ind w:left="0" w:leftChars="0" w:firstLine="0" w:firstLine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5683250" cy="1384935"/>
                  <wp:effectExtent l="0" t="0" r="12700" b="5715"/>
                  <wp:docPr id="2" name="F360BE8B-6686-4F3D-AEAF-501FE73E4058-2" descr="C:/Users/AA/AppData/Local/Temp/瑞昌废气处理工艺流程图.png瑞昌废气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2" descr="C:/Users/AA/AppData/Local/Temp/瑞昌废气处理工艺流程图.png瑞昌废气处理工艺流程图"/>
                          <pic:cNvPicPr>
                            <a:picLocks noChangeAspect="1"/>
                          </pic:cNvPicPr>
                        </pic:nvPicPr>
                        <pic:blipFill>
                          <a:blip r:embed="rId20"/>
                          <a:stretch>
                            <a:fillRect/>
                          </a:stretch>
                        </pic:blipFill>
                        <pic:spPr>
                          <a:xfrm>
                            <a:off x="0" y="0"/>
                            <a:ext cx="5683250" cy="1384935"/>
                          </a:xfrm>
                          <a:prstGeom prst="rect">
                            <a:avLst/>
                          </a:prstGeom>
                        </pic:spPr>
                      </pic:pic>
                    </a:graphicData>
                  </a:graphic>
                </wp:inline>
              </w:drawing>
            </w:r>
          </w:p>
          <w:p w14:paraId="2D2F3AF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图4.1-1项目废气处理工艺流程图</w:t>
            </w:r>
          </w:p>
          <w:p w14:paraId="488174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活性炭吸附</w:t>
            </w:r>
            <w:r>
              <w:rPr>
                <w:rFonts w:hint="default" w:ascii="Times New Roman" w:hAnsi="Times New Roman" w:eastAsia="宋体" w:cs="Times New Roman"/>
                <w:b/>
                <w:bCs/>
                <w:color w:val="auto"/>
                <w:sz w:val="24"/>
                <w:szCs w:val="24"/>
                <w:highlight w:val="none"/>
                <w:lang w:eastAsia="zh-CN"/>
              </w:rPr>
              <w:t>工艺原理：</w:t>
            </w:r>
            <w:r>
              <w:rPr>
                <w:rFonts w:hint="default" w:ascii="Times New Roman" w:hAnsi="Times New Roman" w:eastAsia="宋体" w:cs="Times New Roman"/>
                <w:color w:val="auto"/>
                <w:sz w:val="24"/>
                <w:szCs w:val="24"/>
                <w:highlight w:val="none"/>
              </w:rPr>
              <w:t>有机气体进入活性炭塔，有机气体进入塔内时，风速瞬间</w:t>
            </w:r>
            <w:r>
              <w:rPr>
                <w:rFonts w:hint="eastAsia" w:ascii="Times New Roman" w:hAnsi="Times New Roman" w:eastAsia="宋体" w:cs="Times New Roman"/>
                <w:color w:val="auto"/>
                <w:sz w:val="24"/>
                <w:szCs w:val="24"/>
                <w:highlight w:val="none"/>
                <w:lang w:eastAsia="zh-CN"/>
              </w:rPr>
              <w:t>下降</w:t>
            </w:r>
            <w:r>
              <w:rPr>
                <w:rFonts w:hint="default" w:ascii="Times New Roman" w:hAnsi="Times New Roman" w:eastAsia="宋体" w:cs="Times New Roman"/>
                <w:color w:val="auto"/>
                <w:sz w:val="24"/>
                <w:szCs w:val="24"/>
                <w:highlight w:val="none"/>
              </w:rPr>
              <w:t>，气体内含的较大颗粒杂物便自然沉降入塔底部，而</w:t>
            </w:r>
            <w:r>
              <w:rPr>
                <w:rFonts w:hint="eastAsia" w:ascii="Times New Roman" w:hAnsi="Times New Roman" w:eastAsia="宋体" w:cs="Times New Roman"/>
                <w:color w:val="auto"/>
                <w:sz w:val="24"/>
                <w:szCs w:val="24"/>
                <w:highlight w:val="none"/>
                <w:lang w:eastAsia="zh-CN"/>
              </w:rPr>
              <w:t>融入</w:t>
            </w:r>
            <w:r>
              <w:rPr>
                <w:rFonts w:hint="default" w:ascii="Times New Roman" w:hAnsi="Times New Roman" w:eastAsia="宋体" w:cs="Times New Roman"/>
                <w:color w:val="auto"/>
                <w:sz w:val="24"/>
                <w:szCs w:val="24"/>
                <w:highlight w:val="none"/>
              </w:rPr>
              <w:t>气体内的有机气体部分随气体流向流进活性炭过滤层，有机气体进入炭层时，有机气体被活性炭吸附进炭内，而干净的空气穿过炭层进入出气仓，气体经过机械自吸后排入大气中。</w:t>
            </w:r>
          </w:p>
          <w:p w14:paraId="6552FE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本项目采用颗粒</w:t>
            </w:r>
            <w:r>
              <w:rPr>
                <w:rFonts w:hint="default" w:ascii="Times New Roman" w:hAnsi="Times New Roman" w:eastAsia="宋体" w:cs="Times New Roman"/>
                <w:color w:val="auto"/>
                <w:sz w:val="24"/>
                <w:szCs w:val="24"/>
                <w:lang w:val="en-US" w:eastAsia="zh-CN"/>
              </w:rPr>
              <w:t>活性炭，是一种具有多孔结构和大的内部比表面积的材料。由于其大的比表面积、微孔结构、高的吸附能力和很高的表面活性而成为独特的多功能吸附剂</w:t>
            </w:r>
            <w:r>
              <w:rPr>
                <w:rFonts w:hint="eastAsia" w:cs="Times New Roman"/>
                <w:color w:val="auto"/>
                <w:sz w:val="24"/>
                <w:szCs w:val="24"/>
                <w:lang w:val="en-US" w:eastAsia="zh-CN"/>
              </w:rPr>
              <w:t>且</w:t>
            </w:r>
            <w:r>
              <w:rPr>
                <w:rFonts w:hint="default" w:ascii="Times New Roman" w:hAnsi="Times New Roman" w:eastAsia="宋体" w:cs="Times New Roman"/>
                <w:color w:val="auto"/>
                <w:sz w:val="24"/>
                <w:szCs w:val="24"/>
                <w:lang w:val="en-US" w:eastAsia="zh-CN"/>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采用颗粒活性炭作为吸附剂时，其碘值不宜低于800mg/g。一次性活性炭吸附工艺宜采用颗粒活性炭作为吸附剂。活性炭、活性炭纤维产品销售时应提供产品质量证明材料，项目计划每</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个月更换一次活性炭。活性炭对有机废气具有良好的吸附效果，可使得有机废气处理能力达到</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%以上。</w:t>
            </w:r>
          </w:p>
          <w:p w14:paraId="524638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废气停留时间计算</w:t>
            </w:r>
          </w:p>
          <w:p w14:paraId="5B3360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拟建项目</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1排气筒配套的活性炭吸附装置对应的风量为</w:t>
            </w:r>
            <w:r>
              <w:rPr>
                <w:rFonts w:hint="eastAsia" w:cs="Times New Roman"/>
                <w:color w:val="auto"/>
                <w:sz w:val="24"/>
                <w:szCs w:val="24"/>
                <w:highlight w:val="none"/>
                <w:lang w:val="en-US" w:eastAsia="zh-CN"/>
              </w:rPr>
              <w:t>25000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，孔隙度取</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宽度</w:t>
            </w:r>
            <w:r>
              <w:rPr>
                <w:rFonts w:hint="eastAsia" w:cs="Times New Roman"/>
                <w:color w:val="auto"/>
                <w:sz w:val="24"/>
                <w:szCs w:val="24"/>
                <w:highlight w:val="none"/>
                <w:lang w:val="en-US" w:eastAsia="zh-CN"/>
              </w:rPr>
              <w:t>/长度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高度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孔隙率；则过滤风速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/0.75=</w:t>
            </w:r>
            <w:r>
              <w:rPr>
                <w:rFonts w:hint="eastAsia" w:cs="Times New Roman"/>
                <w:color w:val="auto"/>
                <w:sz w:val="24"/>
                <w:szCs w:val="24"/>
                <w:highlight w:val="none"/>
                <w:lang w:val="en-US" w:eastAsia="zh-CN"/>
              </w:rPr>
              <w:t>1.1574</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满足</w:t>
            </w:r>
            <w:r>
              <w:rPr>
                <w:rFonts w:hint="eastAsia" w:cs="Times New Roman"/>
                <w:color w:val="auto"/>
                <w:sz w:val="24"/>
                <w:szCs w:val="24"/>
                <w:highlight w:val="none"/>
                <w:lang w:val="en-US" w:eastAsia="zh-CN"/>
              </w:rPr>
              <w:t>《吸附法工业有机废气治理工程技术规范》（HJ2026-2013）</w:t>
            </w:r>
            <w:r>
              <w:rPr>
                <w:rFonts w:hint="eastAsia"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采用蜂窝状吸附剂时，气体流速宜低于1.2m/s</w:t>
            </w:r>
            <w:r>
              <w:rPr>
                <w:rFonts w:hint="eastAsia" w:ascii="Times New Roman" w:hAnsi="Times New Roman" w:eastAsia="宋体" w:cs="Times New Roman"/>
                <w:color w:val="auto"/>
                <w:sz w:val="24"/>
                <w:szCs w:val="24"/>
                <w:highlight w:val="none"/>
                <w:lang w:val="en-US" w:eastAsia="zh-CN"/>
              </w:rPr>
              <w:t>”的要求；活性炭吸附停留时间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活性炭吸附长度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1.1574=2.16</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，符合吸附工程设计要求吸附剂与气体接触时间大于</w:t>
            </w:r>
            <w:r>
              <w:rPr>
                <w:rFonts w:hint="default" w:ascii="Times New Roman" w:hAnsi="Times New Roman" w:eastAsia="宋体" w:cs="Times New Roman"/>
                <w:color w:val="auto"/>
                <w:sz w:val="24"/>
                <w:szCs w:val="24"/>
                <w:highlight w:val="none"/>
                <w:lang w:val="en-US" w:eastAsia="zh-CN"/>
              </w:rPr>
              <w:t>0.5s</w:t>
            </w:r>
            <w:r>
              <w:rPr>
                <w:rFonts w:hint="eastAsia" w:ascii="Times New Roman" w:hAnsi="Times New Roman" w:eastAsia="宋体" w:cs="Times New Roman"/>
                <w:color w:val="auto"/>
                <w:sz w:val="24"/>
                <w:szCs w:val="24"/>
                <w:highlight w:val="none"/>
                <w:lang w:val="en-US" w:eastAsia="zh-CN"/>
              </w:rPr>
              <w:t>的要求。</w:t>
            </w:r>
          </w:p>
          <w:p w14:paraId="082997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更换周期计算</w:t>
            </w:r>
          </w:p>
          <w:p w14:paraId="741536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经对照《深圳市工业有机废气治理用活性炭更换技术指引（试行）》（深环办〔2023〕66号）中一次活性炭吸附工艺的更换周期计算公式，由表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分析可知，本项目理论更换周期</w:t>
            </w:r>
            <w:r>
              <w:rPr>
                <w:rFonts w:hint="eastAsia"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，设计</w:t>
            </w:r>
            <w:r>
              <w:rPr>
                <w:rFonts w:hint="eastAsia" w:cs="Times New Roman"/>
                <w:color w:val="auto"/>
                <w:sz w:val="24"/>
                <w:szCs w:val="24"/>
                <w:highlight w:val="none"/>
                <w:lang w:val="en-US" w:eastAsia="zh-CN"/>
              </w:rPr>
              <w:t>90d</w:t>
            </w:r>
            <w:r>
              <w:rPr>
                <w:rFonts w:hint="eastAsia" w:ascii="Times New Roman" w:hAnsi="Times New Roman" w:eastAsia="宋体" w:cs="Times New Roman"/>
                <w:color w:val="auto"/>
                <w:sz w:val="24"/>
                <w:szCs w:val="24"/>
                <w:highlight w:val="none"/>
                <w:lang w:val="en-US" w:eastAsia="zh-CN"/>
              </w:rPr>
              <w:t>，满足该规范要求。</w:t>
            </w:r>
          </w:p>
          <w:p w14:paraId="04E9F5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更换周期计算公式：T=（M×S</w:t>
            </w:r>
            <w:r>
              <w:rPr>
                <w:rFonts w:hint="default" w:ascii="Times New Roman" w:hAnsi="Times New Roman" w:eastAsia="宋体" w:cs="Times New Roman"/>
                <w:color w:val="auto"/>
                <w:sz w:val="24"/>
                <w:szCs w:val="24"/>
                <w:highlight w:val="none"/>
                <w:lang w:val="en-US" w:eastAsia="zh-CN"/>
              </w:rPr>
              <w:t>×106</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×Q×t</w:t>
            </w:r>
            <w:r>
              <w:rPr>
                <w:rFonts w:hint="eastAsia" w:ascii="Times New Roman" w:hAnsi="Times New Roman" w:eastAsia="宋体" w:cs="Times New Roman"/>
                <w:color w:val="auto"/>
                <w:sz w:val="24"/>
                <w:szCs w:val="24"/>
                <w:highlight w:val="none"/>
                <w:lang w:val="en-US" w:eastAsia="zh-CN"/>
              </w:rPr>
              <w:t>)</w:t>
            </w:r>
          </w:p>
          <w:p w14:paraId="4F97D8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5643880" cy="2929890"/>
                  <wp:effectExtent l="0" t="0" r="13970"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643880" cy="2929890"/>
                          </a:xfrm>
                          <a:prstGeom prst="rect">
                            <a:avLst/>
                          </a:prstGeom>
                          <a:noFill/>
                          <a:ln>
                            <a:noFill/>
                          </a:ln>
                        </pic:spPr>
                      </pic:pic>
                    </a:graphicData>
                  </a:graphic>
                </wp:inline>
              </w:drawing>
            </w:r>
          </w:p>
          <w:p w14:paraId="6C1A6D43">
            <w:pPr>
              <w:pStyle w:val="53"/>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表4.</w:t>
            </w:r>
            <w:r>
              <w:rPr>
                <w:rFonts w:hint="eastAsia" w:cs="Times New Roman"/>
                <w:color w:val="auto"/>
                <w:sz w:val="24"/>
                <w:szCs w:val="24"/>
                <w:lang w:val="en-US" w:eastAsia="zh-CN"/>
              </w:rPr>
              <w:t>1-4</w:t>
            </w:r>
            <w:r>
              <w:rPr>
                <w:rFonts w:hint="eastAsia" w:ascii="Times New Roman" w:hAnsi="Times New Roman" w:eastAsia="宋体" w:cs="Times New Roman"/>
                <w:color w:val="auto"/>
                <w:sz w:val="24"/>
                <w:szCs w:val="24"/>
                <w:lang w:val="en-US" w:eastAsia="zh-CN"/>
              </w:rPr>
              <w:t>更换周期参数表</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266"/>
              <w:gridCol w:w="1266"/>
              <w:gridCol w:w="1266"/>
              <w:gridCol w:w="1266"/>
              <w:gridCol w:w="1267"/>
              <w:gridCol w:w="1267"/>
            </w:tblGrid>
            <w:tr w14:paraId="2A17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713" w:type="pct"/>
                  <w:noWrap w:val="0"/>
                  <w:vAlign w:val="center"/>
                </w:tcPr>
                <w:p w14:paraId="0B2C38B6">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参数</w:t>
                  </w:r>
                </w:p>
              </w:tc>
              <w:tc>
                <w:tcPr>
                  <w:tcW w:w="714" w:type="pct"/>
                  <w:noWrap w:val="0"/>
                  <w:vAlign w:val="center"/>
                </w:tcPr>
                <w:p w14:paraId="1F3F7B8B">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p>
              </w:tc>
              <w:tc>
                <w:tcPr>
                  <w:tcW w:w="714" w:type="pct"/>
                  <w:noWrap w:val="0"/>
                  <w:vAlign w:val="center"/>
                </w:tcPr>
                <w:p w14:paraId="363A8EF9">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S</w:t>
                  </w:r>
                </w:p>
              </w:tc>
              <w:tc>
                <w:tcPr>
                  <w:tcW w:w="714" w:type="pct"/>
                  <w:noWrap w:val="0"/>
                  <w:vAlign w:val="center"/>
                </w:tcPr>
                <w:p w14:paraId="5923A629">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c</w:t>
                  </w:r>
                </w:p>
              </w:tc>
              <w:tc>
                <w:tcPr>
                  <w:tcW w:w="714" w:type="pct"/>
                  <w:noWrap w:val="0"/>
                  <w:vAlign w:val="center"/>
                </w:tcPr>
                <w:p w14:paraId="3964E26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Q</w:t>
                  </w:r>
                </w:p>
              </w:tc>
              <w:tc>
                <w:tcPr>
                  <w:tcW w:w="714" w:type="pct"/>
                  <w:noWrap w:val="0"/>
                  <w:vAlign w:val="center"/>
                </w:tcPr>
                <w:p w14:paraId="7577035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c>
                <w:tcPr>
                  <w:tcW w:w="714" w:type="pct"/>
                  <w:noWrap w:val="0"/>
                  <w:vAlign w:val="center"/>
                </w:tcPr>
                <w:p w14:paraId="20BDF03A">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r>
            <w:tr w14:paraId="62D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13" w:type="pct"/>
                  <w:noWrap w:val="0"/>
                  <w:vAlign w:val="center"/>
                </w:tcPr>
                <w:p w14:paraId="062C1705">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单位</w:t>
                  </w:r>
                </w:p>
              </w:tc>
              <w:tc>
                <w:tcPr>
                  <w:tcW w:w="714" w:type="pct"/>
                  <w:noWrap w:val="0"/>
                  <w:vAlign w:val="center"/>
                </w:tcPr>
                <w:p w14:paraId="3C4F7B25">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kg</w:t>
                  </w:r>
                </w:p>
              </w:tc>
              <w:tc>
                <w:tcPr>
                  <w:tcW w:w="714" w:type="pct"/>
                  <w:noWrap w:val="0"/>
                  <w:vAlign w:val="center"/>
                </w:tcPr>
                <w:p w14:paraId="7AEA8ADC">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w:t>
                  </w:r>
                </w:p>
              </w:tc>
              <w:tc>
                <w:tcPr>
                  <w:tcW w:w="714" w:type="pct"/>
                  <w:noWrap w:val="0"/>
                  <w:vAlign w:val="center"/>
                </w:tcPr>
                <w:p w14:paraId="0EF1D91C">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p>
              </w:tc>
              <w:tc>
                <w:tcPr>
                  <w:tcW w:w="714" w:type="pct"/>
                  <w:noWrap w:val="0"/>
                  <w:vAlign w:val="center"/>
                </w:tcPr>
                <w:p w14:paraId="498E41FF">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/h</w:t>
                  </w:r>
                </w:p>
              </w:tc>
              <w:tc>
                <w:tcPr>
                  <w:tcW w:w="714" w:type="pct"/>
                  <w:noWrap w:val="0"/>
                  <w:vAlign w:val="center"/>
                </w:tcPr>
                <w:p w14:paraId="7E61975B">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h/d</w:t>
                  </w:r>
                </w:p>
              </w:tc>
              <w:tc>
                <w:tcPr>
                  <w:tcW w:w="714" w:type="pct"/>
                  <w:noWrap w:val="0"/>
                  <w:vAlign w:val="center"/>
                </w:tcPr>
                <w:p w14:paraId="7926F5D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d</w:t>
                  </w:r>
                </w:p>
              </w:tc>
            </w:tr>
            <w:tr w14:paraId="1168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13" w:type="pct"/>
                  <w:noWrap w:val="0"/>
                  <w:vAlign w:val="center"/>
                </w:tcPr>
                <w:p w14:paraId="0AD4EC05">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选取值</w:t>
                  </w:r>
                </w:p>
              </w:tc>
              <w:tc>
                <w:tcPr>
                  <w:tcW w:w="714" w:type="pct"/>
                  <w:noWrap w:val="0"/>
                  <w:vAlign w:val="center"/>
                </w:tcPr>
                <w:p w14:paraId="20BB5EAD">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3000</w:t>
                  </w:r>
                </w:p>
              </w:tc>
              <w:tc>
                <w:tcPr>
                  <w:tcW w:w="714" w:type="pct"/>
                  <w:noWrap w:val="0"/>
                  <w:vAlign w:val="center"/>
                </w:tcPr>
                <w:p w14:paraId="01CA2960">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w:t>
                  </w:r>
                </w:p>
              </w:tc>
              <w:tc>
                <w:tcPr>
                  <w:tcW w:w="714" w:type="pct"/>
                  <w:noWrap w:val="0"/>
                  <w:vAlign w:val="center"/>
                </w:tcPr>
                <w:p w14:paraId="2736CC2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17.33</w:t>
                  </w:r>
                </w:p>
              </w:tc>
              <w:tc>
                <w:tcPr>
                  <w:tcW w:w="714" w:type="pct"/>
                  <w:noWrap w:val="0"/>
                  <w:vAlign w:val="center"/>
                </w:tcPr>
                <w:p w14:paraId="249EDA23">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20000</w:t>
                  </w:r>
                </w:p>
              </w:tc>
              <w:tc>
                <w:tcPr>
                  <w:tcW w:w="714" w:type="pct"/>
                  <w:noWrap w:val="0"/>
                  <w:vAlign w:val="center"/>
                </w:tcPr>
                <w:p w14:paraId="6D3C0718">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24</w:t>
                  </w:r>
                </w:p>
              </w:tc>
              <w:tc>
                <w:tcPr>
                  <w:tcW w:w="714" w:type="pct"/>
                  <w:noWrap w:val="0"/>
                  <w:vAlign w:val="center"/>
                </w:tcPr>
                <w:p w14:paraId="189B9D38">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60</w:t>
                  </w:r>
                </w:p>
              </w:tc>
            </w:tr>
          </w:tbl>
          <w:p w14:paraId="061095AB">
            <w:pPr>
              <w:pStyle w:val="53"/>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lang w:val="en-US" w:eastAsia="zh-CN"/>
              </w:rPr>
            </w:pPr>
          </w:p>
          <w:p w14:paraId="346B24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C.</w:t>
            </w:r>
            <w:r>
              <w:rPr>
                <w:rFonts w:hint="eastAsia" w:ascii="Times New Roman" w:hAnsi="Times New Roman" w:eastAsia="宋体" w:cs="Times New Roman"/>
                <w:b w:val="0"/>
                <w:bCs w:val="0"/>
                <w:color w:val="auto"/>
                <w:sz w:val="24"/>
                <w:szCs w:val="24"/>
                <w:lang w:val="en-US" w:eastAsia="zh-CN"/>
              </w:rPr>
              <w:t>治理效率要求及可靠性分析</w:t>
            </w:r>
          </w:p>
          <w:p w14:paraId="2DA63B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生态环境部发布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关于印发〈主要污染物总量减排核算技术指南（2022年修订）〉的通知》〔2022〕350号中规定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一次性活性炭的吸附效率50%。采用二级活性炭吸附效率为1-（1</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50%）</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50%）=75%。</w:t>
            </w:r>
            <w:r>
              <w:rPr>
                <w:rFonts w:hint="default" w:ascii="Times New Roman" w:hAnsi="Times New Roman" w:eastAsia="宋体" w:cs="Times New Roman"/>
                <w:color w:val="auto"/>
                <w:sz w:val="24"/>
                <w:szCs w:val="24"/>
                <w:lang w:val="en-US" w:eastAsia="zh-CN"/>
              </w:rPr>
              <w:t>为保证废气与活性炭的接触时间和吸附效果，要求控制吸附</w:t>
            </w:r>
            <w:r>
              <w:rPr>
                <w:rFonts w:hint="eastAsia" w:ascii="Times New Roman" w:hAnsi="Times New Roman" w:eastAsia="宋体" w:cs="Times New Roman"/>
                <w:color w:val="auto"/>
                <w:sz w:val="24"/>
                <w:szCs w:val="24"/>
                <w:lang w:val="en-US" w:eastAsia="zh-CN"/>
              </w:rPr>
              <w:t>装</w:t>
            </w:r>
            <w:r>
              <w:rPr>
                <w:rFonts w:hint="default" w:ascii="Times New Roman" w:hAnsi="Times New Roman" w:eastAsia="宋体" w:cs="Times New Roman"/>
                <w:color w:val="auto"/>
                <w:sz w:val="24"/>
                <w:szCs w:val="24"/>
                <w:lang w:val="en-US" w:eastAsia="zh-CN"/>
              </w:rPr>
              <w:t>置吸附层的风速，一般取0.10m/s～0.15m/s之间；吸附剂和气体的接触时间宜按不低于3s计；同时确保项目活性炭吸附装置一次性装置量，定期更换活性纤维，采取以上治理措</w:t>
            </w:r>
            <w:r>
              <w:rPr>
                <w:rFonts w:hint="eastAsia" w:cs="Times New Roman"/>
                <w:color w:val="auto"/>
                <w:sz w:val="24"/>
                <w:szCs w:val="24"/>
                <w:lang w:val="en-US" w:eastAsia="zh-CN"/>
              </w:rPr>
              <w:t>施和</w:t>
            </w:r>
            <w:r>
              <w:rPr>
                <w:rFonts w:hint="default" w:ascii="Times New Roman" w:hAnsi="Times New Roman" w:eastAsia="宋体" w:cs="Times New Roman"/>
                <w:color w:val="auto"/>
                <w:sz w:val="24"/>
                <w:szCs w:val="24"/>
                <w:lang w:val="en-US" w:eastAsia="zh-CN"/>
              </w:rPr>
              <w:t>综合治理措施后，本评价废气设施去除效率按</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%计，根据预测，有机废气污染物非甲烷总烃可以达标排放，因此，项目有机废气经处理后对环境影响较小，采取的措施可行。</w:t>
            </w:r>
          </w:p>
          <w:p w14:paraId="0C9ECFA7">
            <w:pPr>
              <w:pStyle w:val="51"/>
              <w:ind w:firstLine="48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（3）集气罩收集效率可行性分析</w:t>
            </w:r>
          </w:p>
          <w:p w14:paraId="44C82ECB">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根据《废气处理工程设计手册》（王纯、张殷印主编）中的经验公式：</w:t>
            </w:r>
          </w:p>
          <w:p w14:paraId="582B0C2B">
            <w:pPr>
              <w:pStyle w:val="51"/>
              <w:ind w:firstLine="48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Q=3600Fvβ</w:t>
            </w:r>
          </w:p>
          <w:p w14:paraId="1B45ED3F">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其中：Q为集气罩的计算风量m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14:paraId="2C11550A">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V罩口平均速度，m/s。可取0.5~1.5。本项目取0.5。</w:t>
            </w:r>
          </w:p>
          <w:p w14:paraId="63300EDD">
            <w:pPr>
              <w:pStyle w:val="51"/>
              <w:ind w:firstLine="480"/>
              <w:jc w:val="both"/>
              <w:rPr>
                <w:rFonts w:hint="default" w:ascii="Times New Roman" w:hAnsi="Times New Roman" w:eastAsia="宋体" w:cs="Times New Roman"/>
                <w:color w:val="auto"/>
                <w:sz w:val="84"/>
                <w:szCs w:val="84"/>
                <w:lang w:val="en-US" w:eastAsia="zh-CN"/>
              </w:rPr>
            </w:pPr>
            <w:r>
              <w:rPr>
                <w:rFonts w:hint="default" w:ascii="Times New Roman" w:hAnsi="Times New Roman" w:eastAsia="宋体" w:cs="Times New Roman"/>
                <w:color w:val="auto"/>
                <w:sz w:val="24"/>
                <w:szCs w:val="24"/>
                <w:lang w:val="en-US" w:eastAsia="zh-CN"/>
              </w:rPr>
              <w:t>F罩口面积m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发泡机、机</w:t>
            </w:r>
            <w:r>
              <w:rPr>
                <w:rFonts w:hint="default" w:ascii="Times New Roman" w:hAnsi="Times New Roman" w:eastAsia="宋体" w:cs="Times New Roman"/>
                <w:color w:val="auto"/>
                <w:sz w:val="24"/>
                <w:szCs w:val="24"/>
                <w:lang w:val="en-US" w:eastAsia="zh-CN"/>
              </w:rPr>
              <w:t>上方集气罩尺寸</w:t>
            </w:r>
            <w:r>
              <w:rPr>
                <w:rFonts w:hint="eastAsia" w:cs="Times New Roman"/>
                <w:color w:val="auto"/>
                <w:sz w:val="24"/>
                <w:szCs w:val="24"/>
                <w:lang w:val="en-US" w:eastAsia="zh-CN"/>
              </w:rPr>
              <w:t>为0.9</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m，共计设置</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个，则集气罩共计面积为</w:t>
            </w:r>
            <w:r>
              <w:rPr>
                <w:rFonts w:hint="eastAsia" w:cs="Times New Roman"/>
                <w:color w:val="auto"/>
                <w:sz w:val="24"/>
                <w:szCs w:val="24"/>
                <w:lang w:val="en-US" w:eastAsia="zh-CN"/>
              </w:rPr>
              <w:t>10.35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1498DADE">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β—安全系数，一般取1.05~1.1，本环评取1.1：</w:t>
            </w:r>
          </w:p>
          <w:p w14:paraId="028D05E5">
            <w:pPr>
              <w:pStyle w:val="51"/>
              <w:ind w:firstLine="480"/>
              <w:jc w:val="both"/>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计算可得，风机总风量为</w:t>
            </w:r>
            <w:r>
              <w:rPr>
                <w:rFonts w:hint="eastAsia" w:cs="Times New Roman"/>
                <w:color w:val="auto"/>
                <w:sz w:val="24"/>
                <w:szCs w:val="24"/>
                <w:lang w:val="en-US" w:eastAsia="zh-CN"/>
              </w:rPr>
              <w:t>20493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/h，考虑管阻等因素，引风机风量按不低于120%的集气罩风量进行设计，项目引风机风量按</w:t>
            </w:r>
            <w:r>
              <w:rPr>
                <w:rFonts w:hint="eastAsia" w:cs="Times New Roman"/>
                <w:color w:val="auto"/>
                <w:sz w:val="24"/>
                <w:szCs w:val="24"/>
                <w:lang w:val="en-US" w:eastAsia="zh-CN"/>
              </w:rPr>
              <w:t>20000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/h进行设计。</w:t>
            </w:r>
          </w:p>
          <w:p w14:paraId="5636F706">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（3）污染物达标分析</w:t>
            </w:r>
          </w:p>
          <w:p w14:paraId="39C450D1">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ascii="Times New Roman" w:hAnsi="Times New Roman" w:cs="Times New Roman"/>
                <w:color w:val="auto"/>
                <w:highlight w:val="none"/>
                <w:lang w:val="en-US" w:eastAsia="zh-CN"/>
              </w:rPr>
              <w:t>非甲烷总烃</w:t>
            </w:r>
            <w:r>
              <w:rPr>
                <w:rFonts w:hint="eastAsia" w:ascii="Times New Roman" w:hAnsi="Times New Roman" w:eastAsia="宋体" w:cs="Times New Roman"/>
                <w:color w:val="auto"/>
                <w:highlight w:val="none"/>
                <w:lang w:val="en-US" w:eastAsia="zh-CN"/>
              </w:rPr>
              <w:t>有组织排放浓度为</w:t>
            </w:r>
            <w:r>
              <w:rPr>
                <w:rFonts w:hint="eastAsia" w:ascii="Times New Roman" w:hAnsi="Times New Roman" w:cs="Times New Roman"/>
                <w:color w:val="auto"/>
                <w:highlight w:val="none"/>
                <w:lang w:val="en-US" w:eastAsia="zh-CN"/>
              </w:rPr>
              <w:t>5.61</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，排放速率为</w:t>
            </w:r>
            <w:r>
              <w:rPr>
                <w:rFonts w:hint="eastAsia" w:ascii="Times New Roman" w:hAnsi="Times New Roman" w:cs="Times New Roman"/>
                <w:color w:val="auto"/>
                <w:highlight w:val="none"/>
                <w:lang w:val="en-US" w:eastAsia="zh-CN"/>
              </w:rPr>
              <w:t>0.1009</w:t>
            </w:r>
            <w:r>
              <w:rPr>
                <w:rFonts w:hint="eastAsia" w:ascii="Times New Roman" w:hAnsi="Times New Roman" w:eastAsia="宋体" w:cs="Times New Roman"/>
                <w:color w:val="auto"/>
                <w:highlight w:val="none"/>
                <w:lang w:val="en-US" w:eastAsia="zh-CN"/>
              </w:rPr>
              <w:t>kg/h；</w:t>
            </w:r>
            <w:r>
              <w:rPr>
                <w:rFonts w:hint="eastAsia" w:ascii="Times New Roman" w:hAnsi="Times New Roman" w:cs="Times New Roman"/>
                <w:color w:val="auto"/>
                <w:highlight w:val="none"/>
                <w:lang w:val="en-US" w:eastAsia="zh-CN"/>
              </w:rPr>
              <w:t>苯乙烯</w:t>
            </w:r>
            <w:r>
              <w:rPr>
                <w:rFonts w:hint="eastAsia" w:ascii="Times New Roman" w:hAnsi="Times New Roman" w:eastAsia="宋体" w:cs="Times New Roman"/>
                <w:color w:val="auto"/>
                <w:highlight w:val="none"/>
                <w:lang w:val="en-US" w:eastAsia="zh-CN"/>
              </w:rPr>
              <w:t>有组织排放浓度为</w:t>
            </w:r>
            <w:r>
              <w:rPr>
                <w:rFonts w:hint="eastAsia" w:ascii="Times New Roman" w:hAnsi="Times New Roman" w:cs="Times New Roman"/>
                <w:color w:val="auto"/>
                <w:highlight w:val="none"/>
                <w:lang w:val="en-US" w:eastAsia="zh-CN"/>
              </w:rPr>
              <w:t>1.69</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，排放速率为</w:t>
            </w:r>
            <w:r>
              <w:rPr>
                <w:rFonts w:hint="eastAsia" w:ascii="Times New Roman" w:hAnsi="Times New Roman" w:cs="Times New Roman"/>
                <w:color w:val="auto"/>
                <w:highlight w:val="none"/>
                <w:lang w:val="en-US" w:eastAsia="zh-CN"/>
              </w:rPr>
              <w:t>0.0304kg</w:t>
            </w:r>
            <w:r>
              <w:rPr>
                <w:rFonts w:hint="eastAsia" w:ascii="Times New Roman" w:hAnsi="Times New Roman" w:eastAsia="宋体" w:cs="Times New Roman"/>
                <w:color w:val="auto"/>
                <w:highlight w:val="none"/>
                <w:lang w:val="en-US" w:eastAsia="zh-CN"/>
              </w:rPr>
              <w:t>/h。可达到</w:t>
            </w:r>
            <w:r>
              <w:rPr>
                <w:rFonts w:hint="default" w:ascii="Times New Roman" w:hAnsi="Times New Roman" w:eastAsia="宋体" w:cs="Times New Roman"/>
                <w:color w:val="auto"/>
                <w:highlight w:val="none"/>
                <w:lang w:val="en-US" w:eastAsia="zh-CN"/>
              </w:rPr>
              <w:t>《合成树脂工艺污染物排放标准限值》（GB31572-2015）表5特别标准限值</w:t>
            </w:r>
            <w:r>
              <w:rPr>
                <w:rFonts w:hint="eastAsia" w:ascii="Times New Roman" w:hAnsi="Times New Roman" w:eastAsia="宋体" w:cs="Times New Roman"/>
                <w:color w:val="auto"/>
                <w:highlight w:val="none"/>
                <w:lang w:val="en-US" w:eastAsia="zh-CN"/>
              </w:rPr>
              <w:t>（即</w:t>
            </w:r>
            <w:r>
              <w:rPr>
                <w:rFonts w:hint="eastAsia" w:ascii="Times New Roman" w:hAnsi="Times New Roman" w:cs="Times New Roman"/>
                <w:color w:val="auto"/>
                <w:highlight w:val="none"/>
                <w:lang w:val="en-US" w:eastAsia="zh-CN"/>
              </w:rPr>
              <w:t>非甲烷总烃</w:t>
            </w:r>
            <w:r>
              <w:rPr>
                <w:rFonts w:hint="eastAsia" w:ascii="Times New Roman" w:hAnsi="Times New Roman" w:eastAsia="宋体" w:cs="Times New Roman"/>
                <w:color w:val="auto"/>
                <w:highlight w:val="none"/>
                <w:lang w:val="en-US" w:eastAsia="zh-CN"/>
              </w:rPr>
              <w:t>有组织排放≤</w:t>
            </w:r>
            <w:r>
              <w:rPr>
                <w:rFonts w:hint="eastAsia" w:ascii="Times New Roman" w:hAnsi="Times New Roman" w:cs="Times New Roman"/>
                <w:color w:val="auto"/>
                <w:highlight w:val="none"/>
                <w:lang w:val="en-US" w:eastAsia="zh-CN"/>
              </w:rPr>
              <w:t>60</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苯乙烯</w:t>
            </w:r>
            <w:r>
              <w:rPr>
                <w:rFonts w:hint="eastAsia" w:ascii="Times New Roman" w:hAnsi="Times New Roman" w:eastAsia="宋体" w:cs="Times New Roman"/>
                <w:color w:val="auto"/>
                <w:highlight w:val="none"/>
                <w:lang w:val="en-US" w:eastAsia="zh-CN"/>
              </w:rPr>
              <w:t>有组织排放≤</w:t>
            </w:r>
            <w:r>
              <w:rPr>
                <w:rFonts w:hint="eastAsia" w:ascii="Times New Roman" w:hAnsi="Times New Roman" w:cs="Times New Roman"/>
                <w:color w:val="auto"/>
                <w:highlight w:val="none"/>
                <w:lang w:val="en-US" w:eastAsia="zh-CN"/>
              </w:rPr>
              <w:t>20</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因此，</w:t>
            </w:r>
            <w:r>
              <w:rPr>
                <w:rFonts w:hint="eastAsia" w:ascii="Times New Roman" w:hAnsi="Times New Roman" w:eastAsia="宋体" w:cs="Times New Roman"/>
                <w:color w:val="auto"/>
                <w:highlight w:val="none"/>
                <w:lang w:val="en-US" w:eastAsia="zh-CN"/>
              </w:rPr>
              <w:t>项目废气经处理后对环境影响较小，</w:t>
            </w:r>
            <w:r>
              <w:rPr>
                <w:rFonts w:hint="default" w:ascii="Times New Roman" w:hAnsi="Times New Roman" w:eastAsia="宋体" w:cs="Times New Roman"/>
                <w:color w:val="auto"/>
                <w:highlight w:val="none"/>
                <w:lang w:val="en-US" w:eastAsia="zh-CN"/>
              </w:rPr>
              <w:t>采取的措施可行。</w:t>
            </w:r>
          </w:p>
          <w:p w14:paraId="2BED5E5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环境防护距离分析</w:t>
            </w:r>
          </w:p>
          <w:p w14:paraId="0B8B564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根据生态环境部环境工程评估中心发布的：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《建设项目环境影响报告表》内容、格式及编制技术指南常见问题解答”一文中第三点：《建设项目环境影响评价技术导则 总纲》（HJ2.1-2016）未对大气防护距离提出评价要求，建设项目环境影响报告表编制技术指南（以下简称技术指南）不作要求。对于判定为需要开展大气专项评价的建设项目，根据《环境影响评价技术导则 大气环境》（HJ2.2-2018）需要计算大气环境防护距离的，应按要求计算。本项目无需开展大气专项评价，无需设置大气防护距离。</w:t>
            </w:r>
          </w:p>
          <w:p w14:paraId="78D6314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制定地方大气污染物排放标准的技术方法》(GB/T3840-91)7.2章节相关内容“无组织排放的有毒有害气体进入呼吸带大气层时，其浓度超过GB3095与TJ36规定的居住区容许浓度限值，则无组织排放源所在的生产单元(生产区、车间或工段)与居住区之间应设置卫生防护距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根据表4.2-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)无浓度超标点，因此，本项目可不设置卫生防护距离。</w:t>
            </w:r>
          </w:p>
          <w:p w14:paraId="4FCC1C35">
            <w:pPr>
              <w:pStyle w:val="91"/>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color w:val="auto"/>
                <w:highlight w:val="none"/>
                <w:lang w:val="en-US" w:eastAsia="zh-CN"/>
              </w:rPr>
            </w:pPr>
            <w:bookmarkStart w:id="163" w:name="_Toc16056"/>
            <w:r>
              <w:rPr>
                <w:rFonts w:hint="default" w:ascii="Times New Roman" w:hAnsi="Times New Roman" w:eastAsia="宋体" w:cs="Times New Roman"/>
                <w:b w:val="0"/>
                <w:bCs/>
                <w:color w:val="auto"/>
                <w:sz w:val="24"/>
                <w:szCs w:val="24"/>
              </w:rPr>
              <w:t>同时参照《大气影响评价实用技术》第10章“大气环境防护距离与卫生防护距离”</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10.2.2.2章计算确定卫生防护距离技术要点章节相关内容：“在污染源所有影响区域范围内，排放到环境中的污染物浓度如超过环境空气质量标准，包括厂区内、厂界、厂界外，则需设置卫生防护距离，如在厂区内满足GB3095及TJ36要求，可不设置卫生防护距离”，综上所述，本项目不增设卫生防护距离。</w:t>
            </w:r>
            <w:bookmarkEnd w:id="163"/>
          </w:p>
          <w:p w14:paraId="2A56014D">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lang w:val="en-US" w:eastAsia="zh-CN"/>
              </w:rPr>
            </w:pPr>
            <w:bookmarkStart w:id="164" w:name="_Toc25956"/>
            <w:bookmarkStart w:id="165" w:name="_Toc26331"/>
            <w:r>
              <w:rPr>
                <w:rFonts w:hint="eastAsia"/>
                <w:b/>
                <w:color w:val="auto"/>
                <w:kern w:val="0"/>
                <w:sz w:val="24"/>
                <w:lang w:val="en-US" w:eastAsia="zh-CN"/>
              </w:rPr>
              <w:t>4.1.4非正常工况排放量核算</w:t>
            </w:r>
            <w:bookmarkEnd w:id="164"/>
            <w:bookmarkEnd w:id="165"/>
          </w:p>
          <w:p w14:paraId="2BB07C4F">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（1）非正常排放情形及排放源强</w:t>
            </w:r>
          </w:p>
          <w:p w14:paraId="0DCCC08D">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44C6426D">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lang w:val="en-US" w:eastAsia="zh-CN"/>
              </w:rPr>
              <w:t>有机废气处理设施故障，导致有机废气非正常排放。</w:t>
            </w:r>
            <w:r>
              <w:rPr>
                <w:rFonts w:hint="default" w:ascii="Times New Roman" w:hAnsi="Times New Roman" w:eastAsia="宋体" w:cs="Times New Roman"/>
                <w:color w:val="auto"/>
                <w:kern w:val="2"/>
                <w:sz w:val="24"/>
                <w:szCs w:val="24"/>
                <w:lang w:val="en-US" w:eastAsia="zh-CN" w:bidi="ar-SA"/>
              </w:rPr>
              <w:t>本评价按最不利情况考虑，即废气处理效率降低为0%的情况下污染物排放对周边环境的影响。由于有机废气事故排放效果不显著，短时间内难以发现，非正常工况持续时间按1h计，发生频率按1次/年。非正常工况下废气排放源强核算结果见下表4.</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w:t>
            </w:r>
          </w:p>
          <w:p w14:paraId="6EE0C6BE">
            <w:pPr>
              <w:pStyle w:val="53"/>
              <w:keepNext w:val="0"/>
              <w:keepLines w:val="0"/>
              <w:pageBreakBefore w:val="0"/>
              <w:widowControl w:val="0"/>
              <w:kinsoku/>
              <w:wordWrap/>
              <w:overflowPunct/>
              <w:topLinePunct w:val="0"/>
              <w:autoSpaceDE/>
              <w:autoSpaceDN/>
              <w:bidi w:val="0"/>
              <w:adjustRightInd w:val="0"/>
              <w:snapToGrid w:val="0"/>
              <w:spacing w:before="163" w:beforeLines="5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污染源非正常排放量核算</w:t>
            </w:r>
          </w:p>
          <w:tbl>
            <w:tblPr>
              <w:tblStyle w:val="2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4"/>
              <w:gridCol w:w="718"/>
              <w:gridCol w:w="905"/>
              <w:gridCol w:w="1095"/>
              <w:gridCol w:w="1560"/>
              <w:gridCol w:w="1515"/>
              <w:gridCol w:w="765"/>
              <w:gridCol w:w="750"/>
              <w:gridCol w:w="1069"/>
            </w:tblGrid>
            <w:tr w14:paraId="27615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273" w:type="pct"/>
                  <w:tcBorders>
                    <w:tl2br w:val="nil"/>
                    <w:tr2bl w:val="nil"/>
                  </w:tcBorders>
                  <w:noWrap w:val="0"/>
                  <w:vAlign w:val="center"/>
                </w:tcPr>
                <w:p w14:paraId="25936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序号</w:t>
                  </w:r>
                </w:p>
              </w:tc>
              <w:tc>
                <w:tcPr>
                  <w:tcW w:w="405" w:type="pct"/>
                  <w:tcBorders>
                    <w:tl2br w:val="nil"/>
                    <w:tr2bl w:val="nil"/>
                  </w:tcBorders>
                  <w:noWrap w:val="0"/>
                  <w:vAlign w:val="center"/>
                </w:tcPr>
                <w:p w14:paraId="4810F8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排放源</w:t>
                  </w:r>
                </w:p>
              </w:tc>
              <w:tc>
                <w:tcPr>
                  <w:tcW w:w="510" w:type="pct"/>
                  <w:tcBorders>
                    <w:tl2br w:val="nil"/>
                    <w:tr2bl w:val="nil"/>
                  </w:tcBorders>
                  <w:noWrap w:val="0"/>
                  <w:vAlign w:val="center"/>
                </w:tcPr>
                <w:p w14:paraId="1B9C2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非正常排放原因</w:t>
                  </w:r>
                </w:p>
              </w:tc>
              <w:tc>
                <w:tcPr>
                  <w:tcW w:w="617" w:type="pct"/>
                  <w:tcBorders>
                    <w:tl2br w:val="nil"/>
                    <w:tr2bl w:val="nil"/>
                  </w:tcBorders>
                  <w:noWrap w:val="0"/>
                  <w:vAlign w:val="center"/>
                </w:tcPr>
                <w:p w14:paraId="283D6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污染源</w:t>
                  </w:r>
                </w:p>
              </w:tc>
              <w:tc>
                <w:tcPr>
                  <w:tcW w:w="880" w:type="pct"/>
                  <w:tcBorders>
                    <w:tl2br w:val="nil"/>
                    <w:tr2bl w:val="nil"/>
                  </w:tcBorders>
                  <w:noWrap w:val="0"/>
                  <w:vAlign w:val="center"/>
                </w:tcPr>
                <w:p w14:paraId="3E52FD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非正常排放浓度</w:t>
                  </w:r>
                </w:p>
                <w:p w14:paraId="503328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w:t>
                  </w:r>
                  <w:r>
                    <w:rPr>
                      <w:rFonts w:hint="eastAsia" w:ascii="Times New Roman" w:hAnsi="Times New Roman" w:eastAsia="宋体" w:cs="Times New Roman"/>
                      <w:color w:val="auto"/>
                      <w:kern w:val="0"/>
                      <w:sz w:val="21"/>
                      <w:szCs w:val="21"/>
                      <w:vertAlign w:val="superscript"/>
                      <w:lang w:val="en-US" w:eastAsia="zh-CN" w:bidi="ar-SA"/>
                    </w:rPr>
                    <w:t>3</w:t>
                  </w:r>
                </w:p>
              </w:tc>
              <w:tc>
                <w:tcPr>
                  <w:tcW w:w="854" w:type="pct"/>
                  <w:tcBorders>
                    <w:tl2br w:val="nil"/>
                    <w:tr2bl w:val="nil"/>
                  </w:tcBorders>
                  <w:noWrap w:val="0"/>
                  <w:vAlign w:val="center"/>
                </w:tcPr>
                <w:p w14:paraId="10388E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非正常排放速率</w:t>
                  </w:r>
                </w:p>
                <w:p w14:paraId="093522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431" w:type="pct"/>
                  <w:tcBorders>
                    <w:tl2br w:val="nil"/>
                    <w:tr2bl w:val="nil"/>
                  </w:tcBorders>
                  <w:noWrap w:val="0"/>
                  <w:vAlign w:val="center"/>
                </w:tcPr>
                <w:p w14:paraId="00EF7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单次维持时间</w:t>
                  </w:r>
                </w:p>
              </w:tc>
              <w:tc>
                <w:tcPr>
                  <w:tcW w:w="423" w:type="pct"/>
                  <w:tcBorders>
                    <w:tl2br w:val="nil"/>
                    <w:tr2bl w:val="nil"/>
                  </w:tcBorders>
                  <w:noWrap w:val="0"/>
                  <w:vAlign w:val="center"/>
                </w:tcPr>
                <w:p w14:paraId="7D3D3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年发生次数</w:t>
                  </w:r>
                </w:p>
              </w:tc>
              <w:tc>
                <w:tcPr>
                  <w:tcW w:w="603" w:type="pct"/>
                  <w:tcBorders>
                    <w:tl2br w:val="nil"/>
                    <w:tr2bl w:val="nil"/>
                  </w:tcBorders>
                  <w:noWrap w:val="0"/>
                  <w:vAlign w:val="center"/>
                </w:tcPr>
                <w:p w14:paraId="63630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应对措施</w:t>
                  </w:r>
                </w:p>
              </w:tc>
            </w:tr>
            <w:tr w14:paraId="71F2F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273" w:type="pct"/>
                  <w:vMerge w:val="restart"/>
                  <w:tcBorders>
                    <w:tl2br w:val="nil"/>
                    <w:tr2bl w:val="nil"/>
                  </w:tcBorders>
                  <w:noWrap w:val="0"/>
                  <w:vAlign w:val="center"/>
                </w:tcPr>
                <w:p w14:paraId="1D4084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405" w:type="pct"/>
                  <w:vMerge w:val="restart"/>
                  <w:tcBorders>
                    <w:tl2br w:val="nil"/>
                    <w:tr2bl w:val="nil"/>
                  </w:tcBorders>
                  <w:noWrap w:val="0"/>
                  <w:vAlign w:val="center"/>
                </w:tcPr>
                <w:p w14:paraId="049A75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DA001</w:t>
                  </w:r>
                </w:p>
              </w:tc>
              <w:tc>
                <w:tcPr>
                  <w:tcW w:w="510" w:type="pct"/>
                  <w:vMerge w:val="restart"/>
                  <w:tcBorders>
                    <w:tl2br w:val="nil"/>
                    <w:tr2bl w:val="nil"/>
                  </w:tcBorders>
                  <w:noWrap w:val="0"/>
                  <w:vAlign w:val="center"/>
                </w:tcPr>
                <w:p w14:paraId="54EF24D0">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处理设施故障</w:t>
                  </w:r>
                </w:p>
              </w:tc>
              <w:tc>
                <w:tcPr>
                  <w:tcW w:w="617" w:type="pct"/>
                  <w:tcBorders>
                    <w:tl2br w:val="nil"/>
                    <w:tr2bl w:val="nil"/>
                  </w:tcBorders>
                  <w:noWrap w:val="0"/>
                  <w:vAlign w:val="center"/>
                </w:tcPr>
                <w:p w14:paraId="7E3F955F">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非甲烷总烃</w:t>
                  </w:r>
                </w:p>
              </w:tc>
              <w:tc>
                <w:tcPr>
                  <w:tcW w:w="880" w:type="pct"/>
                  <w:tcBorders>
                    <w:tl2br w:val="nil"/>
                    <w:tr2bl w:val="nil"/>
                  </w:tcBorders>
                  <w:noWrap w:val="0"/>
                  <w:vAlign w:val="center"/>
                </w:tcPr>
                <w:p w14:paraId="6C89B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22.43</w:t>
                  </w:r>
                </w:p>
              </w:tc>
              <w:tc>
                <w:tcPr>
                  <w:tcW w:w="854" w:type="pct"/>
                  <w:tcBorders>
                    <w:tl2br w:val="nil"/>
                    <w:tr2bl w:val="nil"/>
                  </w:tcBorders>
                  <w:noWrap w:val="0"/>
                  <w:vAlign w:val="center"/>
                </w:tcPr>
                <w:p w14:paraId="56FBF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0.4485</w:t>
                  </w:r>
                </w:p>
              </w:tc>
              <w:tc>
                <w:tcPr>
                  <w:tcW w:w="431" w:type="pct"/>
                  <w:vMerge w:val="restart"/>
                  <w:tcBorders>
                    <w:tl2br w:val="nil"/>
                    <w:tr2bl w:val="nil"/>
                  </w:tcBorders>
                  <w:noWrap w:val="0"/>
                  <w:vAlign w:val="center"/>
                </w:tcPr>
                <w:p w14:paraId="433CD6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1h</w:t>
                  </w:r>
                </w:p>
              </w:tc>
              <w:tc>
                <w:tcPr>
                  <w:tcW w:w="423" w:type="pct"/>
                  <w:vMerge w:val="restart"/>
                  <w:tcBorders>
                    <w:tl2br w:val="nil"/>
                    <w:tr2bl w:val="nil"/>
                  </w:tcBorders>
                  <w:noWrap w:val="0"/>
                  <w:vAlign w:val="center"/>
                </w:tcPr>
                <w:p w14:paraId="5EFBD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1次</w:t>
                  </w:r>
                </w:p>
              </w:tc>
              <w:tc>
                <w:tcPr>
                  <w:tcW w:w="603" w:type="pct"/>
                  <w:vMerge w:val="restart"/>
                  <w:tcBorders>
                    <w:tl2br w:val="nil"/>
                    <w:tr2bl w:val="nil"/>
                  </w:tcBorders>
                  <w:noWrap w:val="0"/>
                  <w:vAlign w:val="center"/>
                </w:tcPr>
                <w:p w14:paraId="16FB2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立即停产，修复后生产</w:t>
                  </w:r>
                </w:p>
              </w:tc>
            </w:tr>
            <w:tr w14:paraId="55775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273" w:type="pct"/>
                  <w:vMerge w:val="continue"/>
                  <w:tcBorders>
                    <w:tl2br w:val="nil"/>
                    <w:tr2bl w:val="nil"/>
                  </w:tcBorders>
                  <w:noWrap w:val="0"/>
                  <w:vAlign w:val="center"/>
                </w:tcPr>
                <w:p w14:paraId="6E64B6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c>
                <w:tcPr>
                  <w:tcW w:w="405" w:type="pct"/>
                  <w:vMerge w:val="continue"/>
                  <w:tcBorders>
                    <w:tl2br w:val="nil"/>
                    <w:tr2bl w:val="nil"/>
                  </w:tcBorders>
                  <w:noWrap w:val="0"/>
                  <w:vAlign w:val="center"/>
                </w:tcPr>
                <w:p w14:paraId="4CA32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c>
                <w:tcPr>
                  <w:tcW w:w="510" w:type="pct"/>
                  <w:vMerge w:val="continue"/>
                  <w:tcBorders>
                    <w:tl2br w:val="nil"/>
                    <w:tr2bl w:val="nil"/>
                  </w:tcBorders>
                  <w:noWrap w:val="0"/>
                  <w:vAlign w:val="center"/>
                </w:tcPr>
                <w:p w14:paraId="3E91772A">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auto"/>
                      <w:sz w:val="21"/>
                      <w:szCs w:val="21"/>
                      <w:lang w:val="en-US" w:eastAsia="zh-CN"/>
                    </w:rPr>
                  </w:pPr>
                </w:p>
              </w:tc>
              <w:tc>
                <w:tcPr>
                  <w:tcW w:w="617" w:type="pct"/>
                  <w:tcBorders>
                    <w:tl2br w:val="nil"/>
                    <w:tr2bl w:val="nil"/>
                  </w:tcBorders>
                  <w:noWrap w:val="0"/>
                  <w:vAlign w:val="center"/>
                </w:tcPr>
                <w:p w14:paraId="1AD40362">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苯乙烯</w:t>
                  </w:r>
                </w:p>
              </w:tc>
              <w:tc>
                <w:tcPr>
                  <w:tcW w:w="880" w:type="pct"/>
                  <w:tcBorders>
                    <w:tl2br w:val="nil"/>
                    <w:tr2bl w:val="nil"/>
                  </w:tcBorders>
                  <w:noWrap w:val="0"/>
                  <w:vAlign w:val="center"/>
                </w:tcPr>
                <w:p w14:paraId="443AF3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6.75</w:t>
                  </w:r>
                </w:p>
              </w:tc>
              <w:tc>
                <w:tcPr>
                  <w:tcW w:w="854" w:type="pct"/>
                  <w:tcBorders>
                    <w:tl2br w:val="nil"/>
                    <w:tr2bl w:val="nil"/>
                  </w:tcBorders>
                  <w:noWrap w:val="0"/>
                  <w:vAlign w:val="center"/>
                </w:tcPr>
                <w:p w14:paraId="4E8661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0.1350</w:t>
                  </w:r>
                </w:p>
              </w:tc>
              <w:tc>
                <w:tcPr>
                  <w:tcW w:w="431" w:type="pct"/>
                  <w:vMerge w:val="continue"/>
                  <w:tcBorders>
                    <w:tl2br w:val="nil"/>
                    <w:tr2bl w:val="nil"/>
                  </w:tcBorders>
                  <w:noWrap w:val="0"/>
                  <w:vAlign w:val="center"/>
                </w:tcPr>
                <w:p w14:paraId="6C1DA7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c>
                <w:tcPr>
                  <w:tcW w:w="423" w:type="pct"/>
                  <w:vMerge w:val="continue"/>
                  <w:tcBorders>
                    <w:tl2br w:val="nil"/>
                    <w:tr2bl w:val="nil"/>
                  </w:tcBorders>
                  <w:noWrap w:val="0"/>
                  <w:vAlign w:val="center"/>
                </w:tcPr>
                <w:p w14:paraId="5F14C7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c>
                <w:tcPr>
                  <w:tcW w:w="603" w:type="pct"/>
                  <w:vMerge w:val="continue"/>
                  <w:tcBorders>
                    <w:tl2br w:val="nil"/>
                    <w:tr2bl w:val="nil"/>
                  </w:tcBorders>
                  <w:noWrap w:val="0"/>
                  <w:vAlign w:val="center"/>
                </w:tcPr>
                <w:p w14:paraId="59440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r>
          </w:tbl>
          <w:p w14:paraId="0494A0D7">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）非正常排放防治措施</w:t>
            </w:r>
          </w:p>
          <w:p w14:paraId="0197C6D5">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针对以上非正常排放情形，本评价建议建设单位在生产运营期间采取以下控制措施以避免或减少废气非正常排放。</w:t>
            </w:r>
          </w:p>
          <w:p w14:paraId="04AFC87B">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①规范车间生产操作，避免因员工操作不当导致工艺设备、环保设施故障引发废气事故排放。</w:t>
            </w:r>
          </w:p>
          <w:p w14:paraId="34E5F8D8">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②定期对生产设施及废气处理设施进行检查维护，杜绝非正常工况发生，避免非正常排放出现后才采取维护措施。</w:t>
            </w:r>
          </w:p>
          <w:p w14:paraId="7C3E7621">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综上，项目在采取上述非正常排放防范措施后，非正常排放发生频率较低，非正常排放下污染物排放量较少，非正常工况可及时得到处理，因此本项目废气非正常排放对周边大气环境影响较小。</w:t>
            </w:r>
          </w:p>
          <w:p w14:paraId="6DE9D063">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66" w:name="_Toc2614"/>
            <w:bookmarkStart w:id="167" w:name="_Toc29743"/>
            <w:r>
              <w:rPr>
                <w:rFonts w:hint="eastAsia" w:ascii="Times New Roman" w:hAnsi="Times New Roman" w:eastAsia="宋体" w:cs="Times New Roman"/>
                <w:color w:val="auto"/>
                <w:sz w:val="28"/>
                <w:szCs w:val="28"/>
                <w:u w:val="none"/>
                <w:lang w:val="en-US" w:eastAsia="zh-CN"/>
              </w:rPr>
              <w:t>4.2水环境影响分析和污染防治措施</w:t>
            </w:r>
            <w:bookmarkEnd w:id="166"/>
            <w:bookmarkEnd w:id="167"/>
          </w:p>
          <w:p w14:paraId="1933896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ascii="Times New Roman" w:hAnsi="Times New Roman" w:eastAsia="宋体" w:cs="Times New Roman"/>
                <w:bCs/>
                <w:color w:val="auto"/>
                <w:kern w:val="2"/>
                <w:sz w:val="24"/>
                <w:szCs w:val="24"/>
                <w:highlight w:val="none"/>
                <w:lang w:val="en-US" w:eastAsia="zh-CN" w:bidi="ar-SA"/>
              </w:rPr>
            </w:pPr>
            <w:bookmarkStart w:id="168" w:name="_Toc23081"/>
            <w:bookmarkStart w:id="169" w:name="_Toc22065"/>
            <w:r>
              <w:rPr>
                <w:rFonts w:hint="eastAsia"/>
                <w:b/>
                <w:color w:val="auto"/>
                <w:kern w:val="0"/>
                <w:sz w:val="24"/>
                <w:lang w:val="en-US" w:eastAsia="zh-CN"/>
              </w:rPr>
              <w:t>4.2.1运营期废水源强分析</w:t>
            </w:r>
            <w:bookmarkEnd w:id="168"/>
            <w:bookmarkEnd w:id="169"/>
          </w:p>
          <w:p w14:paraId="51E4C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olor w:val="auto"/>
                <w:sz w:val="24"/>
                <w:szCs w:val="24"/>
                <w:highlight w:val="none"/>
                <w:lang w:val="en-US" w:eastAsia="zh-CN"/>
              </w:rPr>
            </w:pPr>
            <w:bookmarkStart w:id="170" w:name="_Toc25032"/>
            <w:r>
              <w:rPr>
                <w:rFonts w:hint="default" w:ascii="Times New Roman" w:hAnsi="Times New Roman" w:eastAsia="宋体" w:cs="Times New Roman"/>
                <w:bCs/>
                <w:color w:val="auto"/>
                <w:kern w:val="2"/>
                <w:sz w:val="24"/>
                <w:szCs w:val="24"/>
                <w:highlight w:val="none"/>
                <w:lang w:val="en-US" w:eastAsia="zh-CN" w:bidi="ar-SA"/>
              </w:rPr>
              <w:t>运营期</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生产过程中</w:t>
            </w:r>
            <w:r>
              <w:rPr>
                <w:rFonts w:hint="default" w:ascii="Times New Roman" w:hAnsi="Times New Roman" w:eastAsia="宋体" w:cs="Times New Roman"/>
                <w:color w:val="auto"/>
                <w:sz w:val="24"/>
                <w:szCs w:val="24"/>
                <w:highlight w:val="none"/>
                <w:lang w:val="en-US" w:eastAsia="zh-CN"/>
              </w:rPr>
              <w:t>用水主要为</w:t>
            </w:r>
            <w:r>
              <w:rPr>
                <w:rFonts w:hint="default" w:ascii="Times New Roman" w:hAnsi="Times New Roman" w:eastAsia="宋体" w:cs="Times New Roman"/>
                <w:b w:val="0"/>
                <w:bCs w:val="0"/>
                <w:color w:val="auto"/>
                <w:sz w:val="24"/>
                <w:szCs w:val="24"/>
                <w:highlight w:val="none"/>
                <w:lang w:val="en-US" w:eastAsia="zh-CN"/>
              </w:rPr>
              <w:t>熟化过程产生的模具冷却水和烘干过</w:t>
            </w:r>
            <w:r>
              <w:rPr>
                <w:rFonts w:hint="eastAsia" w:cs="Times New Roman"/>
                <w:b w:val="0"/>
                <w:bCs w:val="0"/>
                <w:color w:val="auto"/>
                <w:sz w:val="24"/>
                <w:szCs w:val="24"/>
                <w:highlight w:val="none"/>
                <w:lang w:val="en-US" w:eastAsia="zh-CN"/>
              </w:rPr>
              <w:t>程中</w:t>
            </w:r>
            <w:r>
              <w:rPr>
                <w:rFonts w:hint="default" w:ascii="Times New Roman" w:hAnsi="Times New Roman" w:eastAsia="宋体" w:cs="Times New Roman"/>
                <w:b w:val="0"/>
                <w:bCs w:val="0"/>
                <w:color w:val="auto"/>
                <w:sz w:val="24"/>
                <w:szCs w:val="24"/>
                <w:highlight w:val="none"/>
                <w:lang w:val="en-US" w:eastAsia="zh-CN"/>
              </w:rPr>
              <w:t>产生的蒸汽冷凝水</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b w:val="0"/>
                <w:bCs w:val="0"/>
                <w:color w:val="auto"/>
                <w:sz w:val="24"/>
                <w:szCs w:val="24"/>
                <w:highlight w:val="none"/>
                <w:lang w:val="en-US" w:eastAsia="zh-CN"/>
              </w:rPr>
              <w:t>处理</w:t>
            </w:r>
            <w:r>
              <w:rPr>
                <w:rFonts w:hint="default" w:ascii="Times New Roman" w:hAnsi="Times New Roman" w:eastAsia="宋体" w:cs="Times New Roman"/>
                <w:b w:val="0"/>
                <w:bCs w:val="0"/>
                <w:color w:val="auto"/>
                <w:sz w:val="24"/>
                <w:szCs w:val="24"/>
                <w:highlight w:val="none"/>
                <w:lang w:val="en-US" w:eastAsia="zh-CN"/>
              </w:rPr>
              <w:t>后回用</w:t>
            </w:r>
            <w:r>
              <w:rPr>
                <w:rFonts w:hint="eastAsia" w:ascii="Times New Roman" w:hAnsi="Times New Roman" w:eastAsia="宋体" w:cs="Times New Roman"/>
                <w:b w:val="0"/>
                <w:bCs w:val="0"/>
                <w:color w:val="auto"/>
                <w:sz w:val="24"/>
                <w:szCs w:val="24"/>
                <w:highlight w:val="none"/>
                <w:lang w:val="en-US" w:eastAsia="zh-CN"/>
              </w:rPr>
              <w:t>于模具冷却</w:t>
            </w:r>
            <w:r>
              <w:rPr>
                <w:rFonts w:hint="default" w:ascii="Times New Roman" w:hAnsi="Times New Roman" w:eastAsia="宋体" w:cs="Times New Roman"/>
                <w:b w:val="0"/>
                <w:bCs w:val="0"/>
                <w:color w:val="auto"/>
                <w:sz w:val="24"/>
                <w:szCs w:val="24"/>
                <w:highlight w:val="none"/>
                <w:lang w:val="en-US" w:eastAsia="zh-CN"/>
              </w:rPr>
              <w:t>，不外排</w:t>
            </w:r>
            <w:r>
              <w:rPr>
                <w:rFonts w:hint="default" w:ascii="Times New Roman" w:hAnsi="Times New Roman" w:eastAsia="宋体" w:cs="Times New Roman"/>
                <w:color w:val="auto"/>
                <w:sz w:val="24"/>
                <w:szCs w:val="24"/>
                <w:highlight w:val="none"/>
                <w:lang w:val="en-US" w:eastAsia="zh-CN"/>
              </w:rPr>
              <w:t>。生活污水经化粪池处理后排入市政污水管网，送往</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color w:val="auto"/>
                <w:sz w:val="24"/>
                <w:szCs w:val="24"/>
                <w:highlight w:val="none"/>
                <w:lang w:val="en-US" w:eastAsia="zh-CN"/>
              </w:rPr>
              <w:t>处理</w:t>
            </w:r>
            <w:r>
              <w:rPr>
                <w:rFonts w:hint="default" w:ascii="Times New Roman" w:hAnsi="Times New Roman" w:eastAsia="宋体" w:cs="Times New Roman"/>
                <w:color w:val="auto"/>
                <w:sz w:val="24"/>
                <w:szCs w:val="24"/>
                <w:highlight w:val="none"/>
                <w:lang w:val="en-US" w:eastAsia="zh-CN"/>
              </w:rPr>
              <w:t>进行处理。</w:t>
            </w:r>
            <w:bookmarkEnd w:id="170"/>
          </w:p>
          <w:p w14:paraId="7827135D">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eastAsia="宋体"/>
                <w:b w:val="0"/>
                <w:bCs/>
                <w:color w:val="auto"/>
                <w:sz w:val="24"/>
                <w:highlight w:val="none"/>
                <w:lang w:val="en-US" w:eastAsia="zh-CN"/>
              </w:rPr>
            </w:pPr>
            <w:r>
              <w:rPr>
                <w:rFonts w:hint="eastAsia"/>
                <w:b w:val="0"/>
                <w:bCs/>
                <w:color w:val="auto"/>
                <w:sz w:val="24"/>
                <w:highlight w:val="none"/>
              </w:rPr>
              <w:t>（</w:t>
            </w:r>
            <w:r>
              <w:rPr>
                <w:rFonts w:hint="eastAsia"/>
                <w:b w:val="0"/>
                <w:bCs/>
                <w:color w:val="auto"/>
                <w:sz w:val="24"/>
                <w:highlight w:val="none"/>
                <w:lang w:val="en-US" w:eastAsia="zh-CN"/>
              </w:rPr>
              <w:t>1</w:t>
            </w:r>
            <w:r>
              <w:rPr>
                <w:rFonts w:hint="eastAsia"/>
                <w:b w:val="0"/>
                <w:bCs/>
                <w:color w:val="auto"/>
                <w:sz w:val="24"/>
                <w:highlight w:val="none"/>
              </w:rPr>
              <w:t>）</w:t>
            </w:r>
            <w:r>
              <w:rPr>
                <w:rFonts w:hint="eastAsia"/>
                <w:b w:val="0"/>
                <w:bCs/>
                <w:color w:val="auto"/>
                <w:sz w:val="24"/>
                <w:highlight w:val="none"/>
                <w:lang w:val="en-US" w:eastAsia="zh-CN"/>
              </w:rPr>
              <w:t>模具</w:t>
            </w:r>
            <w:r>
              <w:rPr>
                <w:rFonts w:hint="eastAsia"/>
                <w:b w:val="0"/>
                <w:bCs/>
                <w:color w:val="auto"/>
                <w:sz w:val="24"/>
                <w:highlight w:val="none"/>
              </w:rPr>
              <w:t>冷却水</w:t>
            </w:r>
            <w:r>
              <w:rPr>
                <w:rFonts w:hint="eastAsia"/>
                <w:b w:val="0"/>
                <w:bCs/>
                <w:color w:val="auto"/>
                <w:sz w:val="24"/>
                <w:highlight w:val="none"/>
                <w:lang w:val="en-US" w:eastAsia="zh-CN"/>
              </w:rPr>
              <w:t>及蒸气冷凝水</w:t>
            </w:r>
          </w:p>
          <w:p w14:paraId="0653E955">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项目生产废水主要是模具冷却水及蒸汽冷凝水，生产废水经</w:t>
            </w:r>
            <w:r>
              <w:rPr>
                <w:rFonts w:hint="eastAsia" w:cs="Times New Roman"/>
                <w:b w:val="0"/>
                <w:bCs/>
                <w:color w:val="auto"/>
                <w:sz w:val="24"/>
                <w:szCs w:val="24"/>
                <w:u w:val="none"/>
                <w:vertAlign w:val="baseline"/>
                <w:lang w:val="en-US" w:eastAsia="zh-CN"/>
              </w:rPr>
              <w:t>“</w:t>
            </w:r>
            <w:r>
              <w:rPr>
                <w:rFonts w:hint="eastAsia" w:ascii="宋体" w:hAnsi="宋体" w:cs="宋体"/>
                <w:b w:val="0"/>
                <w:bCs/>
                <w:color w:val="auto"/>
                <w:sz w:val="24"/>
                <w:szCs w:val="24"/>
                <w:u w:val="none"/>
                <w:vertAlign w:val="baseline"/>
                <w:lang w:val="en-US" w:eastAsia="zh-CN"/>
              </w:rPr>
              <w:t>冷却水</w:t>
            </w:r>
            <w:r>
              <w:rPr>
                <w:rFonts w:hint="eastAsia" w:ascii="宋体" w:hAnsi="宋体" w:eastAsia="宋体" w:cs="宋体"/>
                <w:b w:val="0"/>
                <w:bCs/>
                <w:color w:val="auto"/>
                <w:sz w:val="24"/>
                <w:szCs w:val="24"/>
                <w:u w:val="none"/>
                <w:vertAlign w:val="baseline"/>
                <w:lang w:val="en-US" w:eastAsia="zh-CN"/>
              </w:rPr>
              <w:t>循环沉淀池</w:t>
            </w:r>
            <w:r>
              <w:rPr>
                <w:rFonts w:hint="eastAsia" w:ascii="宋体" w:hAnsi="宋体" w:cs="宋体"/>
                <w:b w:val="0"/>
                <w:bCs/>
                <w:color w:val="auto"/>
                <w:sz w:val="24"/>
                <w:szCs w:val="24"/>
                <w:u w:val="none"/>
                <w:vertAlign w:val="baseline"/>
                <w:lang w:val="en-US" w:eastAsia="zh-CN"/>
              </w:rPr>
              <w:t>+冷却塔”</w:t>
            </w:r>
            <w:r>
              <w:rPr>
                <w:rFonts w:hint="eastAsia" w:ascii="Times New Roman" w:hAnsi="Times New Roman" w:eastAsia="宋体" w:cs="Times New Roman"/>
                <w:b w:val="0"/>
                <w:bCs/>
                <w:color w:val="auto"/>
                <w:kern w:val="2"/>
                <w:sz w:val="24"/>
                <w:szCs w:val="24"/>
                <w:highlight w:val="none"/>
                <w:lang w:val="en-US" w:eastAsia="zh-CN" w:bidi="ar-SA"/>
              </w:rPr>
              <w:t>处理后回用于模具冷却，根据《福建恒润包装</w:t>
            </w:r>
            <w:r>
              <w:rPr>
                <w:rFonts w:hint="eastAsia" w:ascii="Times New Roman" w:hAnsi="Times New Roman" w:eastAsia="宋体" w:cs="Times New Roman"/>
                <w:b w:val="0"/>
                <w:bCs w:val="0"/>
                <w:color w:val="auto"/>
                <w:kern w:val="2"/>
                <w:sz w:val="24"/>
                <w:szCs w:val="24"/>
                <w:highlight w:val="none"/>
                <w:lang w:val="en-US" w:eastAsia="zh-CN" w:bidi="ar-SA"/>
              </w:rPr>
              <w:t>有限公司年产1800吨EPS包装泡沫项目环境影响报告表》年产1800吨包装泡沫时冷却用水需要补充新鲜用水1.0t/d(330ta</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，本项目建成后全厂年生产EPS包装泡沫7800吨、EPP包装泡沫900吨、EPP包装泡沫1200吨，则本项目扩建后全厂冷却水需补充新鲜用水1t/d÷1800t×9900t=5.5t/d（1815t/a），生产废水循环使用，不外排。</w:t>
            </w:r>
          </w:p>
          <w:p w14:paraId="68E7019C">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z w:val="24"/>
                <w:highlight w:val="none"/>
                <w:lang w:val="en-US" w:eastAsia="zh-CN"/>
              </w:rPr>
              <w:t>2</w:t>
            </w:r>
            <w:r>
              <w:rPr>
                <w:rFonts w:hint="default" w:ascii="Times New Roman" w:hAnsi="Times New Roman" w:eastAsia="宋体" w:cs="Times New Roman"/>
                <w:b w:val="0"/>
                <w:bCs/>
                <w:color w:val="auto"/>
                <w:sz w:val="24"/>
                <w:highlight w:val="none"/>
              </w:rPr>
              <w:t>）生活污水</w:t>
            </w:r>
          </w:p>
          <w:p w14:paraId="155B836E">
            <w:pPr>
              <w:pStyle w:val="55"/>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Cs/>
                <w:color w:val="auto"/>
                <w:sz w:val="24"/>
                <w:szCs w:val="24"/>
                <w:highlight w:val="none"/>
                <w:lang w:eastAsia="zh-CN"/>
              </w:rPr>
            </w:pPr>
            <w:bookmarkStart w:id="171" w:name="_Toc4624"/>
            <w:bookmarkStart w:id="172" w:name="_Toc22817"/>
            <w:bookmarkStart w:id="173" w:name="_Toc28146"/>
            <w:r>
              <w:rPr>
                <w:rFonts w:hint="default" w:ascii="Times New Roman" w:hAnsi="Times New Roman" w:eastAsia="宋体" w:cs="Times New Roman"/>
                <w:b w:val="0"/>
                <w:bCs w:val="0"/>
                <w:color w:val="auto"/>
                <w:sz w:val="24"/>
                <w:szCs w:val="24"/>
                <w:highlight w:val="none"/>
                <w:lang w:val="en-US" w:eastAsia="zh-CN"/>
              </w:rPr>
              <w:t>本项目劳动定员80人，均不住厂，根据《建筑给水排水设计标准》（GB50015-2019），车间工作人员的生活用水额定应根据车间性质确定，一般宜采用30～50L/人·班，本项目不住厂职工生活用水额定按50L/人·班</w:t>
            </w:r>
            <w:r>
              <w:rPr>
                <w:rFonts w:hint="eastAsia" w:eastAsia="宋体" w:cs="Times New Roman"/>
                <w:b w:val="0"/>
                <w:bCs w:val="0"/>
                <w:color w:val="auto"/>
                <w:sz w:val="24"/>
                <w:szCs w:val="24"/>
                <w:highlight w:val="none"/>
                <w:lang w:val="en-US" w:eastAsia="zh-CN"/>
              </w:rPr>
              <w:t>计算</w:t>
            </w:r>
            <w:r>
              <w:rPr>
                <w:rFonts w:hint="default" w:ascii="Times New Roman" w:hAnsi="Times New Roman" w:eastAsia="宋体" w:cs="Times New Roman"/>
                <w:b w:val="0"/>
                <w:bCs w:val="0"/>
                <w:color w:val="auto"/>
                <w:sz w:val="24"/>
                <w:szCs w:val="24"/>
                <w:highlight w:val="none"/>
                <w:lang w:val="en-US" w:eastAsia="zh-CN"/>
              </w:rPr>
              <w:t>。项目年工作日按330天计，则本项目职工生活用水量约4t/d（1320t/a），根据《排水源统计调查产排污计算方法和核算手册》中《生活源产排污系数手册》，人均日生活用水量≤150升/人·天时，折污系数取0.8，则项目生活污水产生量约3.2t/d（1056t/a）。生活污水依托厂区现有的化粪池处理达标后排入市政污水管网，最终</w:t>
            </w:r>
            <w:bookmarkEnd w:id="171"/>
            <w:bookmarkEnd w:id="172"/>
            <w:bookmarkEnd w:id="173"/>
            <w:r>
              <w:rPr>
                <w:rFonts w:hint="default" w:ascii="Times New Roman" w:hAnsi="Times New Roman" w:eastAsia="宋体" w:cs="Times New Roman"/>
                <w:color w:val="auto"/>
                <w:kern w:val="0"/>
                <w:sz w:val="24"/>
                <w:highlight w:val="none"/>
                <w:lang w:val="en-US" w:eastAsia="zh-CN" w:bidi="ar"/>
              </w:rPr>
              <w:t>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kern w:val="0"/>
                <w:sz w:val="24"/>
                <w:highlight w:val="none"/>
                <w:lang w:val="en-US" w:eastAsia="zh-CN" w:bidi="ar"/>
              </w:rPr>
              <w:t>集中处理</w:t>
            </w:r>
            <w:r>
              <w:rPr>
                <w:rFonts w:hint="default" w:ascii="Times New Roman" w:hAnsi="Times New Roman" w:eastAsia="宋体" w:cs="Times New Roman"/>
                <w:b w:val="0"/>
                <w:bCs w:val="0"/>
                <w:color w:val="auto"/>
                <w:sz w:val="24"/>
                <w:szCs w:val="24"/>
                <w:highlight w:val="none"/>
                <w:lang w:val="en-US" w:eastAsia="zh-CN"/>
              </w:rPr>
              <w:t>。</w:t>
            </w:r>
          </w:p>
          <w:p w14:paraId="2EB450A4">
            <w:pPr>
              <w:pStyle w:val="55"/>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bookmarkStart w:id="174" w:name="_Toc6977"/>
            <w:bookmarkStart w:id="175" w:name="_Toc14324"/>
            <w:bookmarkStart w:id="176" w:name="_Toc22915"/>
            <w:r>
              <w:rPr>
                <w:rFonts w:hint="default" w:ascii="Times New Roman" w:hAnsi="Times New Roman" w:eastAsia="宋体" w:cs="Times New Roman"/>
                <w:b w:val="0"/>
                <w:bCs w:val="0"/>
                <w:color w:val="auto"/>
                <w:sz w:val="24"/>
                <w:szCs w:val="24"/>
                <w:highlight w:val="none"/>
                <w:lang w:val="en-US" w:eastAsia="zh-CN"/>
              </w:rPr>
              <w:t>参考《给排水设计手册》第五册《城镇排水》表4-1典型生活污水水质示例的低浓度；因此，不住厂职工产生的生活污水中各主要污染物浓度按CODcr：250mg/L、BOD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110mg/L、NH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-N：24mg/L、SS：100mg/L。参考环评手册中《常用污水处理设备及去除率》，化粪池对生活污水中COD、BOD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、SS、NH3-N的处理效率分别为20%、15%、30%、0%，则生活污水中各污染物产排情况详见表4.2-1</w:t>
            </w:r>
            <w:bookmarkEnd w:id="174"/>
            <w:bookmarkEnd w:id="175"/>
            <w:bookmarkEnd w:id="176"/>
            <w:r>
              <w:rPr>
                <w:rFonts w:hint="eastAsia" w:eastAsia="宋体" w:cs="Times New Roman"/>
                <w:b w:val="0"/>
                <w:bCs w:val="0"/>
                <w:color w:val="auto"/>
                <w:sz w:val="24"/>
                <w:szCs w:val="24"/>
                <w:highlight w:val="none"/>
                <w:lang w:val="en-US" w:eastAsia="zh-CN"/>
              </w:rPr>
              <w:t>。</w:t>
            </w:r>
          </w:p>
          <w:p w14:paraId="789F3B51">
            <w:pPr>
              <w:pStyle w:val="53"/>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-1废水污染物产生及排放情况一览表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3617"/>
              <w:gridCol w:w="1001"/>
              <w:gridCol w:w="910"/>
              <w:gridCol w:w="1025"/>
              <w:gridCol w:w="877"/>
            </w:tblGrid>
            <w:tr w14:paraId="30AA1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11" w:type="pct"/>
                  <w:tcBorders>
                    <w:tl2br w:val="nil"/>
                    <w:tr2bl w:val="nil"/>
                  </w:tcBorders>
                  <w:noWrap w:val="0"/>
                  <w:vAlign w:val="center"/>
                </w:tcPr>
                <w:p w14:paraId="3620B43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2038" w:type="pct"/>
                  <w:tcBorders>
                    <w:tl2br w:val="nil"/>
                    <w:tr2bl w:val="nil"/>
                  </w:tcBorders>
                  <w:noWrap w:val="0"/>
                  <w:vAlign w:val="center"/>
                </w:tcPr>
                <w:p w14:paraId="0762AD04">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564" w:type="pct"/>
                  <w:tcBorders>
                    <w:tl2br w:val="nil"/>
                    <w:tr2bl w:val="nil"/>
                  </w:tcBorders>
                  <w:noWrap w:val="0"/>
                  <w:vAlign w:val="center"/>
                </w:tcPr>
                <w:p w14:paraId="4C447748">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13" w:type="pct"/>
                  <w:tcBorders>
                    <w:tl2br w:val="nil"/>
                    <w:tr2bl w:val="nil"/>
                  </w:tcBorders>
                  <w:noWrap w:val="0"/>
                  <w:vAlign w:val="center"/>
                </w:tcPr>
                <w:p w14:paraId="6B1C195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8" w:type="pct"/>
                  <w:tcBorders>
                    <w:tl2br w:val="nil"/>
                    <w:tr2bl w:val="nil"/>
                  </w:tcBorders>
                  <w:noWrap w:val="0"/>
                  <w:vAlign w:val="center"/>
                </w:tcPr>
                <w:p w14:paraId="7991F674">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493" w:type="pct"/>
                  <w:tcBorders>
                    <w:tl2br w:val="nil"/>
                    <w:tr2bl w:val="nil"/>
                  </w:tcBorders>
                  <w:noWrap w:val="0"/>
                  <w:vAlign w:val="center"/>
                </w:tcPr>
                <w:p w14:paraId="6ED9C9E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54E86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1" w:type="pct"/>
                  <w:vMerge w:val="restart"/>
                  <w:tcBorders>
                    <w:tl2br w:val="nil"/>
                    <w:tr2bl w:val="nil"/>
                  </w:tcBorders>
                  <w:noWrap w:val="0"/>
                  <w:vAlign w:val="center"/>
                </w:tcPr>
                <w:p w14:paraId="35837F83">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w:t>
                  </w:r>
                  <w:r>
                    <w:rPr>
                      <w:rFonts w:hint="eastAsia" w:ascii="Times New Roman" w:hAnsi="Times New Roman" w:eastAsia="宋体" w:cs="Times New Roman"/>
                      <w:color w:val="auto"/>
                      <w:sz w:val="21"/>
                      <w:szCs w:val="21"/>
                      <w:vertAlign w:val="baseline"/>
                      <w:lang w:val="en-US" w:eastAsia="zh-CN"/>
                    </w:rPr>
                    <w:t>用水</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1320</w:t>
                  </w:r>
                  <w:r>
                    <w:rPr>
                      <w:rFonts w:hint="default" w:ascii="Times New Roman" w:hAnsi="Times New Roman" w:eastAsia="宋体" w:cs="Times New Roman"/>
                      <w:color w:val="auto"/>
                      <w:sz w:val="21"/>
                      <w:szCs w:val="21"/>
                      <w:vertAlign w:val="baseline"/>
                      <w:lang w:val="en-US" w:eastAsia="zh-CN"/>
                    </w:rPr>
                    <w:t>t/a）</w:t>
                  </w:r>
                </w:p>
              </w:tc>
              <w:tc>
                <w:tcPr>
                  <w:tcW w:w="2038" w:type="pct"/>
                  <w:tcBorders>
                    <w:tl2br w:val="nil"/>
                    <w:tr2bl w:val="nil"/>
                  </w:tcBorders>
                  <w:noWrap w:val="0"/>
                  <w:vAlign w:val="center"/>
                </w:tcPr>
                <w:p w14:paraId="7F0B4B3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64" w:type="pct"/>
                  <w:tcBorders>
                    <w:tl2br w:val="nil"/>
                    <w:tr2bl w:val="nil"/>
                  </w:tcBorders>
                  <w:noWrap w:val="0"/>
                  <w:vAlign w:val="center"/>
                </w:tcPr>
                <w:p w14:paraId="4E79781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513" w:type="pct"/>
                  <w:tcBorders>
                    <w:tl2br w:val="nil"/>
                    <w:tr2bl w:val="nil"/>
                  </w:tcBorders>
                  <w:noWrap w:val="0"/>
                  <w:vAlign w:val="center"/>
                </w:tcPr>
                <w:p w14:paraId="386153D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110</w:t>
                  </w:r>
                </w:p>
              </w:tc>
              <w:tc>
                <w:tcPr>
                  <w:tcW w:w="578" w:type="pct"/>
                  <w:tcBorders>
                    <w:tl2br w:val="nil"/>
                    <w:tr2bl w:val="nil"/>
                  </w:tcBorders>
                  <w:noWrap w:val="0"/>
                  <w:vAlign w:val="center"/>
                </w:tcPr>
                <w:p w14:paraId="26660654">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493" w:type="pct"/>
                  <w:tcBorders>
                    <w:tl2br w:val="nil"/>
                    <w:tr2bl w:val="nil"/>
                  </w:tcBorders>
                  <w:noWrap w:val="0"/>
                  <w:vAlign w:val="center"/>
                </w:tcPr>
                <w:p w14:paraId="23E4AA97">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613DA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11" w:type="pct"/>
                  <w:vMerge w:val="continue"/>
                  <w:tcBorders>
                    <w:tl2br w:val="nil"/>
                    <w:tr2bl w:val="nil"/>
                  </w:tcBorders>
                  <w:noWrap w:val="0"/>
                  <w:vAlign w:val="center"/>
                </w:tcPr>
                <w:p w14:paraId="7CAE4C30">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038" w:type="pct"/>
                  <w:tcBorders>
                    <w:tl2br w:val="nil"/>
                    <w:tr2bl w:val="nil"/>
                  </w:tcBorders>
                  <w:noWrap w:val="0"/>
                  <w:vAlign w:val="center"/>
                </w:tcPr>
                <w:p w14:paraId="77E86DDB">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64" w:type="pct"/>
                  <w:tcBorders>
                    <w:tl2br w:val="nil"/>
                    <w:tr2bl w:val="nil"/>
                  </w:tcBorders>
                  <w:noWrap w:val="0"/>
                  <w:vAlign w:val="center"/>
                </w:tcPr>
                <w:p w14:paraId="7F4EF93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33</w:t>
                  </w:r>
                </w:p>
              </w:tc>
              <w:tc>
                <w:tcPr>
                  <w:tcW w:w="513" w:type="pct"/>
                  <w:tcBorders>
                    <w:tl2br w:val="nil"/>
                    <w:tr2bl w:val="nil"/>
                  </w:tcBorders>
                  <w:noWrap w:val="0"/>
                  <w:vAlign w:val="center"/>
                </w:tcPr>
                <w:p w14:paraId="3493228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1452</w:t>
                  </w:r>
                </w:p>
              </w:tc>
              <w:tc>
                <w:tcPr>
                  <w:tcW w:w="578" w:type="pct"/>
                  <w:tcBorders>
                    <w:tl2br w:val="nil"/>
                    <w:tr2bl w:val="nil"/>
                  </w:tcBorders>
                  <w:noWrap w:val="0"/>
                  <w:vAlign w:val="center"/>
                </w:tcPr>
                <w:p w14:paraId="2DB20B87">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132</w:t>
                  </w:r>
                </w:p>
              </w:tc>
              <w:tc>
                <w:tcPr>
                  <w:tcW w:w="493" w:type="pct"/>
                  <w:tcBorders>
                    <w:tl2br w:val="nil"/>
                    <w:tr2bl w:val="nil"/>
                  </w:tcBorders>
                  <w:noWrap w:val="0"/>
                  <w:vAlign w:val="center"/>
                </w:tcPr>
                <w:p w14:paraId="0EC0425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317</w:t>
                  </w:r>
                </w:p>
              </w:tc>
            </w:tr>
            <w:tr w14:paraId="68503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811" w:type="pct"/>
                  <w:tcBorders>
                    <w:tl2br w:val="nil"/>
                    <w:tr2bl w:val="nil"/>
                  </w:tcBorders>
                  <w:noWrap w:val="0"/>
                  <w:vAlign w:val="center"/>
                </w:tcPr>
                <w:p w14:paraId="0A8A9E5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4188" w:type="pct"/>
                  <w:gridSpan w:val="5"/>
                  <w:tcBorders>
                    <w:tl2br w:val="nil"/>
                    <w:tr2bl w:val="nil"/>
                  </w:tcBorders>
                  <w:noWrap w:val="0"/>
                  <w:vAlign w:val="center"/>
                </w:tcPr>
                <w:p w14:paraId="7D3891B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依托厂区现有的化粪池处理达标后排入市政污水管网，最终进</w:t>
                  </w:r>
                  <w:r>
                    <w:rPr>
                      <w:rFonts w:hint="default" w:ascii="Times New Roman" w:hAnsi="Times New Roman" w:eastAsia="宋体" w:cs="Times New Roman"/>
                      <w:color w:val="auto"/>
                      <w:kern w:val="0"/>
                      <w:sz w:val="21"/>
                      <w:szCs w:val="21"/>
                      <w:highlight w:val="none"/>
                      <w:lang w:val="en-US" w:eastAsia="zh-CN" w:bidi="ar"/>
                    </w:rPr>
                    <w:t>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ascii="Times New Roman" w:hAnsi="Times New Roman" w:eastAsia="宋体" w:cs="Times New Roman"/>
                      <w:color w:val="auto"/>
                      <w:sz w:val="21"/>
                      <w:szCs w:val="21"/>
                      <w:highlight w:val="none"/>
                      <w:vertAlign w:val="baseline"/>
                      <w:lang w:val="en-US" w:eastAsia="zh-CN"/>
                    </w:rPr>
                    <w:t>处理</w:t>
                  </w:r>
                </w:p>
              </w:tc>
            </w:tr>
            <w:tr w14:paraId="65148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1" w:type="pct"/>
                  <w:vMerge w:val="restart"/>
                  <w:tcBorders>
                    <w:tl2br w:val="nil"/>
                    <w:tr2bl w:val="nil"/>
                  </w:tcBorders>
                  <w:noWrap w:val="0"/>
                  <w:vAlign w:val="center"/>
                </w:tcPr>
                <w:p w14:paraId="2B8E296B">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r>
                    <w:rPr>
                      <w:rFonts w:hint="eastAsia" w:ascii="Times New Roman" w:hAnsi="Times New Roman" w:cs="Times New Roman"/>
                      <w:color w:val="auto"/>
                      <w:sz w:val="21"/>
                      <w:szCs w:val="21"/>
                      <w:vertAlign w:val="baseline"/>
                      <w:lang w:val="en-US" w:eastAsia="zh-CN"/>
                    </w:rPr>
                    <w:t>1056</w:t>
                  </w:r>
                  <w:r>
                    <w:rPr>
                      <w:rFonts w:hint="default" w:ascii="Times New Roman" w:hAnsi="Times New Roman" w:eastAsia="宋体" w:cs="Times New Roman"/>
                      <w:color w:val="auto"/>
                      <w:sz w:val="21"/>
                      <w:szCs w:val="21"/>
                      <w:vertAlign w:val="baseline"/>
                      <w:lang w:val="en-US" w:eastAsia="zh-CN"/>
                    </w:rPr>
                    <w:t>t/a）</w:t>
                  </w:r>
                </w:p>
              </w:tc>
              <w:tc>
                <w:tcPr>
                  <w:tcW w:w="2038" w:type="pct"/>
                  <w:tcBorders>
                    <w:tl2br w:val="nil"/>
                    <w:tr2bl w:val="nil"/>
                  </w:tcBorders>
                  <w:noWrap w:val="0"/>
                  <w:vAlign w:val="center"/>
                </w:tcPr>
                <w:p w14:paraId="53010DFD">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化粪池处理效率</w:t>
                  </w:r>
                </w:p>
              </w:tc>
              <w:tc>
                <w:tcPr>
                  <w:tcW w:w="564" w:type="pct"/>
                  <w:tcBorders>
                    <w:tl2br w:val="nil"/>
                    <w:tr2bl w:val="nil"/>
                  </w:tcBorders>
                  <w:noWrap w:val="0"/>
                  <w:vAlign w:val="center"/>
                </w:tcPr>
                <w:p w14:paraId="0176807A">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513" w:type="pct"/>
                  <w:tcBorders>
                    <w:tl2br w:val="nil"/>
                    <w:tr2bl w:val="nil"/>
                  </w:tcBorders>
                  <w:noWrap w:val="0"/>
                  <w:vAlign w:val="center"/>
                </w:tcPr>
                <w:p w14:paraId="3DABAA38">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78" w:type="pct"/>
                  <w:tcBorders>
                    <w:tl2br w:val="nil"/>
                    <w:tr2bl w:val="nil"/>
                  </w:tcBorders>
                  <w:noWrap w:val="0"/>
                  <w:vAlign w:val="center"/>
                </w:tcPr>
                <w:p w14:paraId="12E52C8D">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493" w:type="pct"/>
                  <w:tcBorders>
                    <w:tl2br w:val="nil"/>
                    <w:tr2bl w:val="nil"/>
                  </w:tcBorders>
                  <w:noWrap w:val="0"/>
                  <w:vAlign w:val="center"/>
                </w:tcPr>
                <w:p w14:paraId="2A56707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BE90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11" w:type="pct"/>
                  <w:vMerge w:val="continue"/>
                  <w:tcBorders>
                    <w:tl2br w:val="nil"/>
                    <w:tr2bl w:val="nil"/>
                  </w:tcBorders>
                  <w:noWrap w:val="0"/>
                  <w:vAlign w:val="center"/>
                </w:tcPr>
                <w:p w14:paraId="2A5D1FD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038" w:type="pct"/>
                  <w:tcBorders>
                    <w:tl2br w:val="nil"/>
                    <w:tr2bl w:val="nil"/>
                  </w:tcBorders>
                  <w:noWrap w:val="0"/>
                  <w:vAlign w:val="center"/>
                </w:tcPr>
                <w:p w14:paraId="4F36C6D0">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经化粪池处理后废水排放浓度（mg/L）</w:t>
                  </w:r>
                </w:p>
              </w:tc>
              <w:tc>
                <w:tcPr>
                  <w:tcW w:w="564" w:type="pct"/>
                  <w:tcBorders>
                    <w:tl2br w:val="nil"/>
                    <w:tr2bl w:val="nil"/>
                  </w:tcBorders>
                  <w:noWrap w:val="0"/>
                  <w:vAlign w:val="center"/>
                </w:tcPr>
                <w:p w14:paraId="46F2CB0E">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513" w:type="pct"/>
                  <w:tcBorders>
                    <w:tl2br w:val="nil"/>
                    <w:tr2bl w:val="nil"/>
                  </w:tcBorders>
                  <w:noWrap w:val="0"/>
                  <w:vAlign w:val="center"/>
                </w:tcPr>
                <w:p w14:paraId="2D584260">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93.5</w:t>
                  </w:r>
                </w:p>
              </w:tc>
              <w:tc>
                <w:tcPr>
                  <w:tcW w:w="578" w:type="pct"/>
                  <w:tcBorders>
                    <w:tl2br w:val="nil"/>
                    <w:tr2bl w:val="nil"/>
                  </w:tcBorders>
                  <w:noWrap w:val="0"/>
                  <w:vAlign w:val="center"/>
                </w:tcPr>
                <w:p w14:paraId="1D360E6F">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493" w:type="pct"/>
                  <w:tcBorders>
                    <w:tl2br w:val="nil"/>
                    <w:tr2bl w:val="nil"/>
                  </w:tcBorders>
                  <w:noWrap w:val="0"/>
                  <w:vAlign w:val="center"/>
                </w:tcPr>
                <w:p w14:paraId="155169CE">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516A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11" w:type="pct"/>
                  <w:vMerge w:val="continue"/>
                  <w:tcBorders>
                    <w:tl2br w:val="nil"/>
                    <w:tr2bl w:val="nil"/>
                  </w:tcBorders>
                  <w:noWrap w:val="0"/>
                  <w:vAlign w:val="center"/>
                </w:tcPr>
                <w:p w14:paraId="61AF04C2">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038" w:type="pct"/>
                  <w:tcBorders>
                    <w:tl2br w:val="nil"/>
                    <w:tr2bl w:val="nil"/>
                  </w:tcBorders>
                  <w:noWrap w:val="0"/>
                  <w:vAlign w:val="center"/>
                </w:tcPr>
                <w:p w14:paraId="7E55DF7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经化粪池处理后废水排放量（t/a）</w:t>
                  </w:r>
                </w:p>
              </w:tc>
              <w:tc>
                <w:tcPr>
                  <w:tcW w:w="564" w:type="pct"/>
                  <w:tcBorders>
                    <w:tl2br w:val="nil"/>
                    <w:tr2bl w:val="nil"/>
                  </w:tcBorders>
                  <w:noWrap w:val="0"/>
                  <w:vAlign w:val="center"/>
                </w:tcPr>
                <w:p w14:paraId="2D273A3F">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2112</w:t>
                  </w:r>
                </w:p>
              </w:tc>
              <w:tc>
                <w:tcPr>
                  <w:tcW w:w="513" w:type="pct"/>
                  <w:tcBorders>
                    <w:tl2br w:val="nil"/>
                    <w:tr2bl w:val="nil"/>
                  </w:tcBorders>
                  <w:noWrap w:val="0"/>
                  <w:vAlign w:val="center"/>
                </w:tcPr>
                <w:p w14:paraId="1184B65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0987</w:t>
                  </w:r>
                </w:p>
              </w:tc>
              <w:tc>
                <w:tcPr>
                  <w:tcW w:w="578" w:type="pct"/>
                  <w:tcBorders>
                    <w:tl2br w:val="nil"/>
                    <w:tr2bl w:val="nil"/>
                  </w:tcBorders>
                  <w:noWrap w:val="0"/>
                  <w:vAlign w:val="center"/>
                </w:tcPr>
                <w:p w14:paraId="3F2EF79A">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0739</w:t>
                  </w:r>
                </w:p>
              </w:tc>
              <w:tc>
                <w:tcPr>
                  <w:tcW w:w="493" w:type="pct"/>
                  <w:tcBorders>
                    <w:tl2br w:val="nil"/>
                    <w:tr2bl w:val="nil"/>
                  </w:tcBorders>
                  <w:noWrap w:val="0"/>
                  <w:vAlign w:val="center"/>
                </w:tcPr>
                <w:p w14:paraId="11A249F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253</w:t>
                  </w:r>
                </w:p>
              </w:tc>
            </w:tr>
            <w:tr w14:paraId="6883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850" w:type="pct"/>
                  <w:gridSpan w:val="2"/>
                  <w:tcBorders>
                    <w:tl2br w:val="nil"/>
                    <w:tr2bl w:val="nil"/>
                  </w:tcBorders>
                  <w:noWrap w:val="0"/>
                  <w:vAlign w:val="center"/>
                </w:tcPr>
                <w:p w14:paraId="532FE66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default" w:ascii="Times New Roman" w:hAnsi="Times New Roman" w:eastAsia="宋体" w:cs="Times New Roman"/>
                      <w:color w:val="auto"/>
                      <w:sz w:val="21"/>
                      <w:szCs w:val="21"/>
                      <w:vertAlign w:val="baseline"/>
                      <w:lang w:val="en-US" w:eastAsia="zh-CN"/>
                    </w:rPr>
                    <w:t>纳污</w:t>
                  </w:r>
                  <w:r>
                    <w:rPr>
                      <w:rFonts w:hint="eastAsia" w:ascii="Times New Roman" w:hAnsi="Times New Roman" w:cs="Times New Roman"/>
                      <w:color w:val="auto"/>
                      <w:sz w:val="21"/>
                      <w:szCs w:val="21"/>
                      <w:vertAlign w:val="baseline"/>
                      <w:lang w:val="en-US" w:eastAsia="zh-CN"/>
                    </w:rPr>
                    <w:t>值</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51BE123">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cs="Times New Roman"/>
                      <w:color w:val="auto"/>
                      <w:kern w:val="0"/>
                      <w:sz w:val="20"/>
                      <w:szCs w:val="20"/>
                      <w:lang w:val="en-US" w:eastAsia="zh-CN" w:bidi="ar"/>
                    </w:rPr>
                    <w:t>500</w:t>
                  </w:r>
                </w:p>
              </w:tc>
              <w:tc>
                <w:tcPr>
                  <w:tcW w:w="513" w:type="pct"/>
                  <w:tcBorders>
                    <w:tl2br w:val="nil"/>
                    <w:tr2bl w:val="nil"/>
                  </w:tcBorders>
                  <w:noWrap w:val="0"/>
                  <w:vAlign w:val="center"/>
                </w:tcPr>
                <w:p w14:paraId="0EFE3FCE">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cs="Times New Roman"/>
                      <w:color w:val="auto"/>
                      <w:kern w:val="0"/>
                      <w:sz w:val="20"/>
                      <w:szCs w:val="20"/>
                      <w:lang w:val="en-US" w:eastAsia="zh-CN" w:bidi="ar"/>
                    </w:rPr>
                    <w:t>300</w:t>
                  </w:r>
                </w:p>
              </w:tc>
              <w:tc>
                <w:tcPr>
                  <w:tcW w:w="578" w:type="pct"/>
                  <w:tcBorders>
                    <w:tl2br w:val="nil"/>
                    <w:tr2bl w:val="nil"/>
                  </w:tcBorders>
                  <w:noWrap w:val="0"/>
                  <w:vAlign w:val="center"/>
                </w:tcPr>
                <w:p w14:paraId="47738F8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cs="Times New Roman"/>
                      <w:color w:val="auto"/>
                      <w:kern w:val="0"/>
                      <w:sz w:val="20"/>
                      <w:szCs w:val="20"/>
                      <w:lang w:val="en-US" w:eastAsia="zh-CN" w:bidi="ar"/>
                    </w:rPr>
                    <w:t>400</w:t>
                  </w:r>
                </w:p>
              </w:tc>
              <w:tc>
                <w:tcPr>
                  <w:tcW w:w="493" w:type="pct"/>
                  <w:tcBorders>
                    <w:tl2br w:val="nil"/>
                    <w:tr2bl w:val="nil"/>
                  </w:tcBorders>
                  <w:noWrap w:val="0"/>
                  <w:vAlign w:val="center"/>
                </w:tcPr>
                <w:p w14:paraId="46E5CEE0">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cs="Times New Roman"/>
                      <w:color w:val="auto"/>
                      <w:kern w:val="0"/>
                      <w:sz w:val="20"/>
                      <w:szCs w:val="20"/>
                      <w:lang w:val="en-US" w:eastAsia="zh-CN" w:bidi="ar"/>
                    </w:rPr>
                    <w:t>60</w:t>
                  </w:r>
                </w:p>
              </w:tc>
            </w:tr>
            <w:tr w14:paraId="7F6EF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850" w:type="pct"/>
                  <w:gridSpan w:val="2"/>
                  <w:tcBorders>
                    <w:tl2br w:val="nil"/>
                    <w:tr2bl w:val="nil"/>
                  </w:tcBorders>
                  <w:noWrap w:val="0"/>
                  <w:vAlign w:val="center"/>
                </w:tcPr>
                <w:p w14:paraId="338AD4F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江</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ascii="Times New Roman" w:hAnsi="Times New Roman" w:eastAsia="宋体" w:cs="Times New Roman"/>
                      <w:color w:val="auto"/>
                      <w:sz w:val="21"/>
                      <w:szCs w:val="21"/>
                      <w:vertAlign w:val="baseline"/>
                      <w:lang w:val="en-US" w:eastAsia="zh-CN"/>
                    </w:rPr>
                    <w:t>尾水排放指标（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46D27B3D">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50</w:t>
                  </w:r>
                </w:p>
              </w:tc>
              <w:tc>
                <w:tcPr>
                  <w:tcW w:w="513" w:type="pct"/>
                  <w:tcBorders>
                    <w:tl2br w:val="nil"/>
                    <w:tr2bl w:val="nil"/>
                  </w:tcBorders>
                  <w:noWrap w:val="0"/>
                  <w:vAlign w:val="center"/>
                </w:tcPr>
                <w:p w14:paraId="58B567DA">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578" w:type="pct"/>
                  <w:tcBorders>
                    <w:tl2br w:val="nil"/>
                    <w:tr2bl w:val="nil"/>
                  </w:tcBorders>
                  <w:noWrap w:val="0"/>
                  <w:vAlign w:val="center"/>
                </w:tcPr>
                <w:p w14:paraId="69972B88">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493" w:type="pct"/>
                  <w:tcBorders>
                    <w:tl2br w:val="nil"/>
                    <w:tr2bl w:val="nil"/>
                  </w:tcBorders>
                  <w:noWrap w:val="0"/>
                  <w:vAlign w:val="center"/>
                </w:tcPr>
                <w:p w14:paraId="6445E4B7">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w:t>
                  </w:r>
                </w:p>
              </w:tc>
            </w:tr>
            <w:tr w14:paraId="019D2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850" w:type="pct"/>
                  <w:gridSpan w:val="2"/>
                  <w:tcBorders>
                    <w:tl2br w:val="nil"/>
                    <w:tr2bl w:val="nil"/>
                  </w:tcBorders>
                  <w:noWrap w:val="0"/>
                  <w:vAlign w:val="center"/>
                </w:tcPr>
                <w:p w14:paraId="1F6C3774">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排口排放达标分析</w:t>
                  </w:r>
                </w:p>
              </w:tc>
              <w:tc>
                <w:tcPr>
                  <w:tcW w:w="564" w:type="pct"/>
                  <w:tcBorders>
                    <w:tl2br w:val="nil"/>
                    <w:tr2bl w:val="nil"/>
                  </w:tcBorders>
                  <w:noWrap w:val="0"/>
                  <w:vAlign w:val="center"/>
                </w:tcPr>
                <w:p w14:paraId="565FC16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13" w:type="pct"/>
                  <w:tcBorders>
                    <w:tl2br w:val="nil"/>
                    <w:tr2bl w:val="nil"/>
                  </w:tcBorders>
                  <w:noWrap w:val="0"/>
                  <w:vAlign w:val="center"/>
                </w:tcPr>
                <w:p w14:paraId="7B463F63">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78" w:type="pct"/>
                  <w:tcBorders>
                    <w:tl2br w:val="nil"/>
                    <w:tr2bl w:val="nil"/>
                  </w:tcBorders>
                  <w:noWrap w:val="0"/>
                  <w:vAlign w:val="center"/>
                </w:tcPr>
                <w:p w14:paraId="3B61A0E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493" w:type="pct"/>
                  <w:tcBorders>
                    <w:tl2br w:val="nil"/>
                    <w:tr2bl w:val="nil"/>
                  </w:tcBorders>
                  <w:noWrap w:val="0"/>
                  <w:vAlign w:val="center"/>
                </w:tcPr>
                <w:p w14:paraId="2819D05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r>
          </w:tbl>
          <w:p w14:paraId="613594C5">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lang w:val="en-US" w:eastAsia="zh-CN"/>
              </w:rPr>
            </w:pPr>
            <w:bookmarkStart w:id="177" w:name="_Toc14541"/>
            <w:bookmarkStart w:id="178" w:name="_Toc19668"/>
            <w:bookmarkStart w:id="179" w:name="_Toc16893"/>
          </w:p>
          <w:p w14:paraId="0FEAD7F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en-US" w:eastAsia="zh-CN"/>
              </w:rPr>
            </w:pPr>
            <w:bookmarkStart w:id="180" w:name="_Toc24777"/>
            <w:bookmarkStart w:id="181" w:name="_Toc22874"/>
            <w:r>
              <w:rPr>
                <w:rFonts w:hint="eastAsia"/>
                <w:b/>
                <w:color w:val="auto"/>
                <w:kern w:val="0"/>
                <w:sz w:val="24"/>
                <w:lang w:val="en-US" w:eastAsia="zh-CN"/>
              </w:rPr>
              <w:t>4.2.2</w:t>
            </w:r>
            <w:r>
              <w:rPr>
                <w:rFonts w:hint="default"/>
                <w:b/>
                <w:color w:val="auto"/>
                <w:kern w:val="0"/>
                <w:sz w:val="24"/>
                <w:lang w:val="en-US" w:eastAsia="zh-CN"/>
              </w:rPr>
              <w:t>运营期水环境影响及污染防治措施可行性分析</w:t>
            </w:r>
            <w:bookmarkEnd w:id="180"/>
            <w:bookmarkEnd w:id="181"/>
          </w:p>
          <w:p w14:paraId="2FD3CE07">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1</w:t>
            </w:r>
            <w:r>
              <w:rPr>
                <w:rFonts w:hint="eastAsia" w:ascii="Times New Roman" w:hAnsi="Times New Roman" w:eastAsia="宋体" w:cs="Times New Roman"/>
                <w:b w:val="0"/>
                <w:bCs w:val="0"/>
                <w:strike w:val="0"/>
                <w:dstrike w:val="0"/>
                <w:color w:val="auto"/>
                <w:sz w:val="24"/>
                <w:szCs w:val="24"/>
                <w:highlight w:val="none"/>
                <w:lang w:val="en-US" w:eastAsia="zh-CN"/>
              </w:rPr>
              <w:t>）化粪池依托处理可行性分析</w:t>
            </w:r>
          </w:p>
          <w:p w14:paraId="31C88857">
            <w:pPr>
              <w:widowControl/>
              <w:spacing w:line="360" w:lineRule="auto"/>
              <w:ind w:firstLine="480" w:firstLineChars="200"/>
              <w:jc w:val="left"/>
              <w:rPr>
                <w:rFonts w:hint="default" w:ascii="Times New Roman" w:hAnsi="Times New Roman" w:eastAsia="宋体" w:cs="Times New Roman"/>
                <w:strike w:val="0"/>
                <w:dstrike w:val="0"/>
                <w:color w:val="auto"/>
                <w:sz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运营期外排废水为生活污水，依托厂区内现有化粪池处理后，排入市政污水管网，送往</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strike w:val="0"/>
                <w:dstrike w:val="0"/>
                <w:color w:val="auto"/>
                <w:sz w:val="24"/>
                <w:szCs w:val="24"/>
                <w:lang w:val="en-US" w:eastAsia="zh-CN"/>
              </w:rPr>
              <w:t>集</w:t>
            </w:r>
            <w:r>
              <w:rPr>
                <w:rFonts w:hint="default" w:ascii="Times New Roman" w:hAnsi="Times New Roman" w:eastAsia="宋体" w:cs="Times New Roman"/>
                <w:b w:val="0"/>
                <w:bCs w:val="0"/>
                <w:strike w:val="0"/>
                <w:dstrike w:val="0"/>
                <w:color w:val="auto"/>
                <w:sz w:val="24"/>
                <w:szCs w:val="24"/>
                <w:highlight w:val="none"/>
                <w:lang w:val="en-US" w:eastAsia="zh-CN"/>
              </w:rPr>
              <w:t>中进行处理。生活污水依托厂区现有</w:t>
            </w:r>
            <w:r>
              <w:rPr>
                <w:rFonts w:hint="eastAsia" w:cs="Times New Roman"/>
                <w:b w:val="0"/>
                <w:bCs w:val="0"/>
                <w:strike w:val="0"/>
                <w:dstrike w:val="0"/>
                <w:color w:val="auto"/>
                <w:sz w:val="24"/>
                <w:szCs w:val="24"/>
                <w:highlight w:val="none"/>
                <w:lang w:val="en-US" w:eastAsia="zh-CN"/>
              </w:rPr>
              <w:t>工程</w:t>
            </w:r>
            <w:r>
              <w:rPr>
                <w:rFonts w:hint="default" w:ascii="Times New Roman" w:hAnsi="Times New Roman" w:eastAsia="宋体" w:cs="Times New Roman"/>
                <w:b w:val="0"/>
                <w:bCs w:val="0"/>
                <w:strike w:val="0"/>
                <w:dstrike w:val="0"/>
                <w:color w:val="auto"/>
                <w:sz w:val="24"/>
                <w:szCs w:val="24"/>
                <w:highlight w:val="none"/>
                <w:lang w:val="en-US" w:eastAsia="zh-CN"/>
              </w:rPr>
              <w:t>的化粪池（</w:t>
            </w:r>
            <w:r>
              <w:rPr>
                <w:rFonts w:hint="eastAsia" w:cs="Times New Roman"/>
                <w:b w:val="0"/>
                <w:bCs w:val="0"/>
                <w:strike w:val="0"/>
                <w:dstrike w:val="0"/>
                <w:color w:val="auto"/>
                <w:sz w:val="24"/>
                <w:szCs w:val="24"/>
                <w:highlight w:val="none"/>
                <w:lang w:val="en-US" w:eastAsia="zh-CN"/>
              </w:rPr>
              <w:t>2</w:t>
            </w:r>
            <w:r>
              <w:rPr>
                <w:rFonts w:hint="default" w:ascii="Times New Roman" w:hAnsi="Times New Roman" w:eastAsia="宋体" w:cs="Times New Roman"/>
                <w:b w:val="0"/>
                <w:bCs w:val="0"/>
                <w:strike w:val="0"/>
                <w:dstrike w:val="0"/>
                <w:color w:val="auto"/>
                <w:sz w:val="24"/>
                <w:szCs w:val="24"/>
                <w:highlight w:val="none"/>
                <w:lang w:val="en-US" w:eastAsia="zh-CN"/>
              </w:rPr>
              <w:t>0m</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z w:val="24"/>
                <w:szCs w:val="24"/>
                <w:highlight w:val="none"/>
                <w:lang w:val="en-US" w:eastAsia="zh-CN"/>
              </w:rPr>
              <w:t>）处理后进入市政管网。</w:t>
            </w:r>
            <w:r>
              <w:rPr>
                <w:rFonts w:hint="default" w:ascii="Times New Roman" w:hAnsi="Times New Roman" w:eastAsia="宋体" w:cs="Times New Roman"/>
                <w:strike w:val="0"/>
                <w:dstrike w:val="0"/>
                <w:color w:val="auto"/>
                <w:sz w:val="24"/>
                <w:lang w:val="en-GB"/>
              </w:rPr>
              <w:t>根据</w:t>
            </w:r>
            <w:r>
              <w:rPr>
                <w:rFonts w:hint="eastAsia" w:cs="Times New Roman"/>
                <w:strike w:val="0"/>
                <w:dstrike w:val="0"/>
                <w:color w:val="auto"/>
                <w:sz w:val="24"/>
                <w:lang w:val="en-US" w:eastAsia="zh-CN"/>
              </w:rPr>
              <w:t>业主提供资料（</w:t>
            </w:r>
            <w:r>
              <w:rPr>
                <w:rFonts w:hint="default" w:ascii="Times New Roman" w:hAnsi="Times New Roman" w:eastAsia="宋体" w:cs="Times New Roman"/>
                <w:bCs/>
                <w:strike w:val="0"/>
                <w:dstrike w:val="0"/>
                <w:color w:val="auto"/>
                <w:sz w:val="24"/>
                <w:szCs w:val="24"/>
                <w:lang w:val="en-US" w:eastAsia="zh-CN"/>
              </w:rPr>
              <w:t>目前</w:t>
            </w:r>
            <w:r>
              <w:rPr>
                <w:rFonts w:hint="eastAsia" w:cs="Times New Roman"/>
                <w:bCs/>
                <w:strike w:val="0"/>
                <w:dstrike w:val="0"/>
                <w:color w:val="auto"/>
                <w:sz w:val="24"/>
                <w:szCs w:val="24"/>
                <w:lang w:val="en-US" w:eastAsia="zh-CN"/>
              </w:rPr>
              <w:t>实际处理水量约为1.575m</w:t>
            </w:r>
            <w:r>
              <w:rPr>
                <w:rFonts w:hint="eastAsia" w:cs="Times New Roman"/>
                <w:bCs/>
                <w:strike w:val="0"/>
                <w:dstrike w:val="0"/>
                <w:color w:val="auto"/>
                <w:sz w:val="24"/>
                <w:szCs w:val="24"/>
                <w:vertAlign w:val="superscript"/>
                <w:lang w:val="en-US" w:eastAsia="zh-CN"/>
              </w:rPr>
              <w:t>3</w:t>
            </w:r>
            <w:r>
              <w:rPr>
                <w:rFonts w:hint="eastAsia" w:cs="Times New Roman"/>
                <w:bCs/>
                <w:strike w:val="0"/>
                <w:dstrike w:val="0"/>
                <w:color w:val="auto"/>
                <w:sz w:val="24"/>
                <w:szCs w:val="24"/>
                <w:lang w:val="en-US" w:eastAsia="zh-CN"/>
              </w:rPr>
              <w:t>/d</w:t>
            </w:r>
            <w:r>
              <w:rPr>
                <w:rFonts w:hint="default" w:ascii="Times New Roman" w:hAnsi="Times New Roman" w:eastAsia="宋体" w:cs="Times New Roman"/>
                <w:bCs/>
                <w:strike w:val="0"/>
                <w:dstrike w:val="0"/>
                <w:color w:val="auto"/>
                <w:sz w:val="24"/>
                <w:szCs w:val="24"/>
                <w:lang w:val="en-GB" w:eastAsia="zh-CN"/>
              </w:rPr>
              <w:t>，</w:t>
            </w:r>
            <w:r>
              <w:rPr>
                <w:rFonts w:hint="default" w:ascii="Times New Roman" w:hAnsi="Times New Roman" w:eastAsia="宋体" w:cs="Times New Roman"/>
                <w:strike w:val="0"/>
                <w:dstrike w:val="0"/>
                <w:color w:val="auto"/>
                <w:sz w:val="24"/>
                <w:lang w:val="en-GB"/>
              </w:rPr>
              <w:t>项目化粪池尚有</w:t>
            </w:r>
            <w:r>
              <w:rPr>
                <w:rFonts w:hint="eastAsia" w:cs="Times New Roman"/>
                <w:strike w:val="0"/>
                <w:dstrike w:val="0"/>
                <w:color w:val="auto"/>
                <w:sz w:val="24"/>
                <w:lang w:val="en-US" w:eastAsia="zh-CN"/>
              </w:rPr>
              <w:t>18</w:t>
            </w:r>
            <w:r>
              <w:rPr>
                <w:rFonts w:hint="default" w:ascii="Times New Roman" w:hAnsi="Times New Roman" w:eastAsia="宋体" w:cs="Times New Roman"/>
                <w:strike w:val="0"/>
                <w:dstrike w:val="0"/>
                <w:color w:val="auto"/>
                <w:sz w:val="24"/>
                <w:lang w:val="en-US" w:eastAsia="zh-CN"/>
              </w:rPr>
              <w:t>.</w:t>
            </w:r>
            <w:r>
              <w:rPr>
                <w:rFonts w:hint="eastAsia" w:cs="Times New Roman"/>
                <w:strike w:val="0"/>
                <w:dstrike w:val="0"/>
                <w:color w:val="auto"/>
                <w:sz w:val="24"/>
                <w:lang w:val="en-US" w:eastAsia="zh-CN"/>
              </w:rPr>
              <w:t>428</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/d余量给本项目使用，</w:t>
            </w:r>
            <w:r>
              <w:rPr>
                <w:rFonts w:hint="default" w:ascii="Times New Roman" w:hAnsi="Times New Roman" w:eastAsia="宋体" w:cs="Times New Roman"/>
                <w:strike w:val="0"/>
                <w:dstrike w:val="0"/>
                <w:color w:val="auto"/>
                <w:sz w:val="24"/>
              </w:rPr>
              <w:t>本项目生活污水排放量约为</w:t>
            </w:r>
            <w:r>
              <w:rPr>
                <w:rFonts w:hint="eastAsia" w:cs="Times New Roman"/>
                <w:strike w:val="0"/>
                <w:dstrike w:val="0"/>
                <w:color w:val="auto"/>
                <w:sz w:val="24"/>
                <w:lang w:val="en-US" w:eastAsia="zh-CN"/>
              </w:rPr>
              <w:t>4</w:t>
            </w:r>
            <w:r>
              <w:rPr>
                <w:rFonts w:hint="default" w:ascii="Times New Roman" w:hAnsi="Times New Roman" w:eastAsia="宋体" w:cs="Times New Roman"/>
                <w:strike w:val="0"/>
                <w:dstrike w:val="0"/>
                <w:color w:val="auto"/>
                <w:sz w:val="24"/>
              </w:rPr>
              <w:t>t/d，约占剩余化粪池处理量</w:t>
            </w:r>
            <w:r>
              <w:rPr>
                <w:rFonts w:hint="eastAsia" w:cs="Times New Roman"/>
                <w:strike w:val="0"/>
                <w:dstrike w:val="0"/>
                <w:color w:val="auto"/>
                <w:sz w:val="24"/>
                <w:lang w:val="en-US" w:eastAsia="zh-CN"/>
              </w:rPr>
              <w:t>22</w:t>
            </w:r>
            <w:r>
              <w:rPr>
                <w:rFonts w:hint="default" w:ascii="Times New Roman" w:hAnsi="Times New Roman" w:eastAsia="宋体" w:cs="Times New Roman"/>
                <w:strike w:val="0"/>
                <w:dstrike w:val="0"/>
                <w:color w:val="auto"/>
                <w:sz w:val="24"/>
              </w:rPr>
              <w:t>%，因此本项目生活污水依托</w:t>
            </w:r>
            <w:r>
              <w:rPr>
                <w:rFonts w:hint="eastAsia" w:cs="Times New Roman"/>
                <w:strike w:val="0"/>
                <w:dstrike w:val="0"/>
                <w:color w:val="auto"/>
                <w:sz w:val="24"/>
                <w:lang w:val="en-US" w:eastAsia="zh-CN"/>
              </w:rPr>
              <w:t>原有项目</w:t>
            </w:r>
            <w:r>
              <w:rPr>
                <w:rFonts w:hint="default" w:ascii="Times New Roman" w:hAnsi="Times New Roman" w:eastAsia="宋体" w:cs="Times New Roman"/>
                <w:strike w:val="0"/>
                <w:dstrike w:val="0"/>
                <w:color w:val="auto"/>
                <w:sz w:val="24"/>
              </w:rPr>
              <w:t>已建的化粪池进行处理可行</w:t>
            </w:r>
            <w:r>
              <w:rPr>
                <w:rFonts w:hint="default" w:ascii="Times New Roman" w:hAnsi="Times New Roman" w:eastAsia="宋体" w:cs="Times New Roman"/>
                <w:strike w:val="0"/>
                <w:dstrike w:val="0"/>
                <w:color w:val="auto"/>
                <w:sz w:val="24"/>
                <w:highlight w:val="none"/>
                <w:lang w:val="en-US" w:eastAsia="zh-CN"/>
              </w:rPr>
              <w:t>。</w:t>
            </w:r>
          </w:p>
          <w:p w14:paraId="060F8D02">
            <w:pPr>
              <w:widowControl/>
              <w:numPr>
                <w:ilvl w:val="0"/>
                <w:numId w:val="7"/>
              </w:numPr>
              <w:spacing w:line="360" w:lineRule="auto"/>
              <w:ind w:left="0" w:leftChars="0" w:firstLine="480" w:firstLineChars="200"/>
              <w:jc w:val="left"/>
              <w:rPr>
                <w:rFonts w:hint="eastAsia" w:cs="Times New Roman"/>
                <w:b w:val="0"/>
                <w:bCs w:val="0"/>
                <w:strike w:val="0"/>
                <w:dstrike w:val="0"/>
                <w:color w:val="auto"/>
                <w:sz w:val="24"/>
                <w:szCs w:val="24"/>
                <w:highlight w:val="none"/>
                <w:lang w:val="en-US" w:eastAsia="zh-CN"/>
              </w:rPr>
            </w:pPr>
            <w:r>
              <w:rPr>
                <w:rFonts w:hint="eastAsia" w:cs="Times New Roman"/>
                <w:b w:val="0"/>
                <w:bCs w:val="0"/>
                <w:strike w:val="0"/>
                <w:dstrike w:val="0"/>
                <w:color w:val="auto"/>
                <w:sz w:val="24"/>
                <w:szCs w:val="24"/>
                <w:highlight w:val="none"/>
                <w:lang w:val="en-US" w:eastAsia="zh-CN"/>
              </w:rPr>
              <w:t>生产废水循环使用可行性分析</w:t>
            </w:r>
          </w:p>
          <w:p w14:paraId="4B8A843E">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项目</w:t>
            </w:r>
            <w:r>
              <w:rPr>
                <w:rFonts w:hint="eastAsia" w:cs="Times New Roman"/>
                <w:b w:val="0"/>
                <w:bCs w:val="0"/>
                <w:strike w:val="0"/>
                <w:dstrike w:val="0"/>
                <w:color w:val="auto"/>
                <w:sz w:val="24"/>
                <w:szCs w:val="24"/>
                <w:highlight w:val="none"/>
                <w:lang w:val="en-US" w:eastAsia="zh-CN"/>
              </w:rPr>
              <w:t>生产废水主要为</w:t>
            </w:r>
            <w:r>
              <w:rPr>
                <w:rFonts w:hint="eastAsia"/>
                <w:color w:val="auto"/>
                <w:sz w:val="24"/>
                <w:highlight w:val="none"/>
              </w:rPr>
              <w:t>模具冷却水及蒸汽冷凝水，</w:t>
            </w:r>
            <w:r>
              <w:rPr>
                <w:rFonts w:hint="eastAsia"/>
                <w:color w:val="auto"/>
                <w:sz w:val="24"/>
                <w:highlight w:val="none"/>
                <w:lang w:val="en-US" w:eastAsia="zh-CN"/>
              </w:rPr>
              <w:t>模具冷却水经循环沉淀池+冷却塔处理后回用于生产。冷凝水主要由蒸汽冷凝时产生的冷凝水，经</w:t>
            </w:r>
            <w:r>
              <w:rPr>
                <w:rFonts w:hint="eastAsia" w:ascii="宋体" w:hAnsi="宋体" w:cs="宋体"/>
                <w:color w:val="auto"/>
                <w:sz w:val="24"/>
                <w:szCs w:val="24"/>
                <w:u w:val="none"/>
                <w:vertAlign w:val="baseline"/>
                <w:lang w:val="en-US" w:eastAsia="zh-CN"/>
              </w:rPr>
              <w:t>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olor w:val="auto"/>
                <w:sz w:val="24"/>
                <w:highlight w:val="none"/>
              </w:rPr>
              <w:t>处理后回用于模具冷却</w:t>
            </w:r>
            <w:r>
              <w:rPr>
                <w:rFonts w:hint="eastAsia"/>
                <w:color w:val="auto"/>
                <w:sz w:val="24"/>
                <w:highlight w:val="none"/>
                <w:lang w:eastAsia="zh-CN"/>
              </w:rPr>
              <w:t>。</w:t>
            </w:r>
            <w:r>
              <w:rPr>
                <w:rFonts w:hint="eastAsia"/>
                <w:color w:val="auto"/>
                <w:sz w:val="24"/>
                <w:highlight w:val="none"/>
                <w:lang w:val="en-US" w:eastAsia="zh-CN"/>
              </w:rPr>
              <w:t>本项目冷却循环用水对水质要求较低且循环水使用过程不添加药剂，项目原料中不含颗粒物和水溶性物质。因此，项目循环水水质基本不会新增污染物。项目循环水水量大，温度较高，补充水量大，补充新鲜水后循环水盐分可控制在一定范围之内，可满足冷却要求，因此，项目</w:t>
            </w:r>
            <w:r>
              <w:rPr>
                <w:rFonts w:hint="eastAsia"/>
                <w:color w:val="auto"/>
                <w:sz w:val="24"/>
                <w:highlight w:val="none"/>
              </w:rPr>
              <w:t>生产废水循环使用不外排</w:t>
            </w:r>
            <w:r>
              <w:rPr>
                <w:rFonts w:hint="eastAsia"/>
                <w:color w:val="auto"/>
                <w:sz w:val="24"/>
                <w:highlight w:val="none"/>
                <w:lang w:eastAsia="zh-CN"/>
              </w:rPr>
              <w:t>是</w:t>
            </w:r>
            <w:r>
              <w:rPr>
                <w:rFonts w:hint="eastAsia"/>
                <w:color w:val="auto"/>
                <w:sz w:val="24"/>
                <w:highlight w:val="none"/>
                <w:lang w:val="en-US" w:eastAsia="zh-CN"/>
              </w:rPr>
              <w:t>可行的</w:t>
            </w:r>
            <w:r>
              <w:rPr>
                <w:rFonts w:hint="eastAsia"/>
                <w:color w:val="auto"/>
                <w:sz w:val="24"/>
                <w:highlight w:val="none"/>
              </w:rPr>
              <w:t>。</w:t>
            </w:r>
          </w:p>
          <w:p w14:paraId="01C0BF83">
            <w:pPr>
              <w:widowControl/>
              <w:spacing w:line="360" w:lineRule="auto"/>
              <w:ind w:firstLine="480" w:firstLineChars="200"/>
              <w:jc w:val="left"/>
              <w:rPr>
                <w:rFonts w:hint="eastAsia"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4</w:t>
            </w:r>
            <w:r>
              <w:rPr>
                <w:rFonts w:hint="eastAsia" w:ascii="Times New Roman" w:hAnsi="Times New Roman" w:eastAsia="宋体" w:cs="Times New Roman"/>
                <w:b w:val="0"/>
                <w:bCs w:val="0"/>
                <w:strike w:val="0"/>
                <w:dstrike w:val="0"/>
                <w:color w:val="auto"/>
                <w:sz w:val="24"/>
                <w:szCs w:val="24"/>
                <w:highlight w:val="none"/>
                <w:lang w:val="en-US" w:eastAsia="zh-CN"/>
              </w:rPr>
              <w:t>）依托</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b w:val="0"/>
                <w:bCs w:val="0"/>
                <w:strike w:val="0"/>
                <w:dstrike w:val="0"/>
                <w:color w:val="auto"/>
                <w:sz w:val="24"/>
                <w:szCs w:val="24"/>
                <w:highlight w:val="none"/>
                <w:lang w:val="en-US" w:eastAsia="zh-CN"/>
              </w:rPr>
              <w:t>的可行性分析</w:t>
            </w:r>
          </w:p>
          <w:p w14:paraId="2D85C058">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根据《建设项目环境影响报告表编制技术指南</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污染影响类</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试行</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环办环评〔2020〕33号</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要求，废水间接排放的建设项目应从处理能力、处理工艺、设计进出水水质等方面，分析依托</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strike w:val="0"/>
                <w:dstrike w:val="0"/>
                <w:color w:val="auto"/>
                <w:sz w:val="24"/>
                <w:szCs w:val="24"/>
                <w:highlight w:val="none"/>
                <w:lang w:val="en-US" w:eastAsia="zh-CN"/>
              </w:rPr>
              <w:t>的可行性。</w:t>
            </w:r>
          </w:p>
          <w:p w14:paraId="530877FA">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①</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b w:val="0"/>
                <w:bCs w:val="0"/>
                <w:strike w:val="0"/>
                <w:dstrike w:val="0"/>
                <w:color w:val="auto"/>
                <w:sz w:val="24"/>
                <w:szCs w:val="24"/>
                <w:highlight w:val="none"/>
                <w:lang w:val="en-US" w:eastAsia="zh-CN"/>
              </w:rPr>
              <w:t>基本情况</w:t>
            </w:r>
          </w:p>
          <w:p w14:paraId="388D1A9A">
            <w:pPr>
              <w:pStyle w:val="9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lang w:val="en-US" w:eastAsia="zh-CN"/>
              </w:rPr>
              <w:t>位于江阴港城经济区西部工业区规划地块内，总设计规模12万t/d，分三期建设，近期4万t/d、中期8万t/d、远期12万t/d。随着</w:t>
            </w:r>
            <w:r>
              <w:rPr>
                <w:rFonts w:hint="eastAsia" w:cs="Times New Roman"/>
                <w:color w:val="auto"/>
                <w:lang w:val="en-US" w:eastAsia="zh-CN"/>
              </w:rPr>
              <w:t>江阴工业集中区污水厂</w:t>
            </w:r>
            <w:r>
              <w:rPr>
                <w:rFonts w:hint="default" w:ascii="Times New Roman" w:hAnsi="Times New Roman" w:eastAsia="宋体" w:cs="Times New Roman"/>
                <w:color w:val="auto"/>
                <w:lang w:val="en-US" w:eastAsia="zh-CN"/>
              </w:rPr>
              <w:t>中期一期工程建成投运，现有处理规模为8万t/d。</w:t>
            </w:r>
          </w:p>
          <w:p w14:paraId="4B0813EC">
            <w:pPr>
              <w:pStyle w:val="90"/>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lang w:val="en-US" w:eastAsia="zh-CN"/>
              </w:rPr>
              <w:t>要求各企业出水水质达到</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lang w:val="en-US" w:eastAsia="zh-CN"/>
              </w:rPr>
              <w:t>主要进水指标要求，其它水质指标满足《污水综合排放标准》（GB8978-1996）三级标准及《污水排入城市下水道水质标准》（GB/T31962-2015）B级标准及相关行业污染物排放标准后才能接入。其尾水执行《城镇</w:t>
            </w:r>
            <w:r>
              <w:rPr>
                <w:rFonts w:hint="eastAsia" w:cs="Times New Roman"/>
                <w:color w:val="auto"/>
                <w:lang w:val="en-US" w:eastAsia="zh-CN"/>
              </w:rPr>
              <w:t>污水厂</w:t>
            </w:r>
            <w:r>
              <w:rPr>
                <w:rFonts w:hint="default" w:ascii="Times New Roman" w:hAnsi="Times New Roman" w:eastAsia="宋体" w:cs="Times New Roman"/>
                <w:color w:val="auto"/>
                <w:lang w:val="en-US" w:eastAsia="zh-CN"/>
              </w:rPr>
              <w:t>污染物排放标准》（GB18918-2002）表1一级A标准，排放至兴化湾海域</w:t>
            </w:r>
            <w:r>
              <w:rPr>
                <w:rFonts w:hint="eastAsia" w:cs="Times New Roman"/>
                <w:color w:val="auto"/>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根据《</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cs="Times New Roman"/>
                <w:b w:val="0"/>
                <w:bCs w:val="0"/>
                <w:strike w:val="0"/>
                <w:dstrike w:val="0"/>
                <w:color w:val="auto"/>
                <w:sz w:val="24"/>
                <w:szCs w:val="24"/>
                <w:highlight w:val="none"/>
                <w:lang w:val="en-US" w:eastAsia="zh-CN"/>
              </w:rPr>
              <w:t>扩容改造项目</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可知，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strike w:val="0"/>
                <w:dstrike w:val="0"/>
                <w:color w:val="auto"/>
                <w:sz w:val="24"/>
                <w:szCs w:val="24"/>
                <w:highlight w:val="none"/>
                <w:lang w:val="en-US" w:eastAsia="zh-CN"/>
              </w:rPr>
              <w:t>进出水水质见表</w:t>
            </w:r>
            <w:r>
              <w:rPr>
                <w:rFonts w:hint="eastAsia" w:ascii="Times New Roman" w:hAnsi="Times New Roman" w:eastAsia="宋体" w:cs="Times New Roman"/>
                <w:b w:val="0"/>
                <w:bCs w:val="0"/>
                <w:strike w:val="0"/>
                <w:dstrike w:val="0"/>
                <w:color w:val="auto"/>
                <w:sz w:val="24"/>
                <w:szCs w:val="24"/>
                <w:highlight w:val="none"/>
                <w:lang w:val="en-US" w:eastAsia="zh-CN"/>
              </w:rPr>
              <w:t>4.2-2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4E0B49BE">
            <w:pPr>
              <w:pStyle w:val="53"/>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2江阴污水处理厂</w:t>
            </w:r>
            <w:r>
              <w:rPr>
                <w:rFonts w:hint="default" w:ascii="Times New Roman" w:hAnsi="Times New Roman" w:eastAsia="宋体" w:cs="Times New Roman"/>
                <w:color w:val="auto"/>
                <w:sz w:val="24"/>
                <w:szCs w:val="24"/>
                <w:highlight w:val="none"/>
                <w:lang w:val="en-US" w:eastAsia="zh-CN"/>
              </w:rPr>
              <w:t>进出水水质标准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mg/L</w:t>
            </w:r>
            <w:r>
              <w:rPr>
                <w:rFonts w:hint="eastAsia" w:ascii="Times New Roman" w:hAnsi="Times New Roman" w:eastAsia="宋体" w:cs="Times New Roman"/>
                <w:color w:val="auto"/>
                <w:sz w:val="24"/>
                <w:szCs w:val="24"/>
                <w:highlight w:val="none"/>
                <w:lang w:val="en-US" w:eastAsia="zh-CN"/>
              </w:rPr>
              <w:t>pH除外</w:t>
            </w:r>
            <w:r>
              <w:rPr>
                <w:rFonts w:hint="eastAsia" w:cs="Times New Roman"/>
                <w:color w:val="auto"/>
                <w:sz w:val="24"/>
                <w:szCs w:val="24"/>
                <w:highlight w:val="none"/>
                <w:lang w:val="en-US" w:eastAsia="zh-CN"/>
              </w:rPr>
              <w:t>）</w:t>
            </w:r>
          </w:p>
          <w:tbl>
            <w:tblPr>
              <w:tblStyle w:val="5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8"/>
              <w:gridCol w:w="1558"/>
              <w:gridCol w:w="1005"/>
              <w:gridCol w:w="878"/>
              <w:gridCol w:w="891"/>
              <w:gridCol w:w="976"/>
              <w:gridCol w:w="1043"/>
              <w:gridCol w:w="727"/>
              <w:gridCol w:w="750"/>
            </w:tblGrid>
            <w:tr w14:paraId="4ABF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0" w:hRule="atLeast"/>
              </w:trPr>
              <w:tc>
                <w:tcPr>
                  <w:tcW w:w="585" w:type="pct"/>
                  <w:noWrap w:val="0"/>
                  <w:vAlign w:val="center"/>
                </w:tcPr>
                <w:p w14:paraId="537D65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水质指标</w:t>
                  </w:r>
                </w:p>
              </w:tc>
              <w:tc>
                <w:tcPr>
                  <w:tcW w:w="878" w:type="pct"/>
                  <w:noWrap w:val="0"/>
                  <w:vAlign w:val="center"/>
                </w:tcPr>
                <w:p w14:paraId="6080A8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pH</w:t>
                  </w:r>
                </w:p>
              </w:tc>
              <w:tc>
                <w:tcPr>
                  <w:tcW w:w="566" w:type="pct"/>
                  <w:noWrap w:val="0"/>
                  <w:vAlign w:val="center"/>
                </w:tcPr>
                <w:p w14:paraId="5AC000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COD</w:t>
                  </w:r>
                </w:p>
              </w:tc>
              <w:tc>
                <w:tcPr>
                  <w:tcW w:w="495" w:type="pct"/>
                  <w:noWrap w:val="0"/>
                  <w:vAlign w:val="center"/>
                </w:tcPr>
                <w:p w14:paraId="3316FE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BOD</w:t>
                  </w:r>
                  <w:r>
                    <w:rPr>
                      <w:rFonts w:hint="default" w:ascii="Times New Roman" w:hAnsi="Times New Roman" w:eastAsia="宋体" w:cs="Times New Roman"/>
                      <w:b w:val="0"/>
                      <w:bCs w:val="0"/>
                      <w:strike w:val="0"/>
                      <w:dstrike w:val="0"/>
                      <w:color w:val="auto"/>
                      <w:sz w:val="21"/>
                      <w:szCs w:val="21"/>
                      <w:highlight w:val="none"/>
                      <w:vertAlign w:val="subscript"/>
                      <w:lang w:val="en-US" w:eastAsia="zh-CN"/>
                    </w:rPr>
                    <w:t>5</w:t>
                  </w:r>
                </w:p>
              </w:tc>
              <w:tc>
                <w:tcPr>
                  <w:tcW w:w="502" w:type="pct"/>
                  <w:noWrap w:val="0"/>
                  <w:vAlign w:val="center"/>
                </w:tcPr>
                <w:p w14:paraId="1CE7AD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SS</w:t>
                  </w:r>
                </w:p>
              </w:tc>
              <w:tc>
                <w:tcPr>
                  <w:tcW w:w="550" w:type="pct"/>
                  <w:noWrap w:val="0"/>
                  <w:vAlign w:val="center"/>
                </w:tcPr>
                <w:p w14:paraId="06C2DA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NH</w:t>
                  </w:r>
                  <w:r>
                    <w:rPr>
                      <w:rFonts w:hint="default" w:ascii="Times New Roman" w:hAnsi="Times New Roman" w:eastAsia="宋体" w:cs="Times New Roman"/>
                      <w:b w:val="0"/>
                      <w:bCs w:val="0"/>
                      <w:strike w:val="0"/>
                      <w:dstrike w:val="0"/>
                      <w:color w:val="auto"/>
                      <w:sz w:val="21"/>
                      <w:szCs w:val="21"/>
                      <w:highlight w:val="none"/>
                      <w:vertAlign w:val="subscript"/>
                      <w:lang w:val="en-US" w:eastAsia="zh-CN"/>
                    </w:rPr>
                    <w:t>3</w:t>
                  </w:r>
                  <w:r>
                    <w:rPr>
                      <w:rFonts w:hint="default" w:ascii="Times New Roman" w:hAnsi="Times New Roman" w:eastAsia="宋体" w:cs="Times New Roman"/>
                      <w:b w:val="0"/>
                      <w:bCs w:val="0"/>
                      <w:strike w:val="0"/>
                      <w:dstrike w:val="0"/>
                      <w:color w:val="auto"/>
                      <w:sz w:val="21"/>
                      <w:szCs w:val="21"/>
                      <w:highlight w:val="none"/>
                      <w:lang w:val="en-US" w:eastAsia="zh-CN"/>
                    </w:rPr>
                    <w:t>-N</w:t>
                  </w:r>
                </w:p>
              </w:tc>
              <w:tc>
                <w:tcPr>
                  <w:tcW w:w="588" w:type="pct"/>
                  <w:noWrap w:val="0"/>
                  <w:vAlign w:val="center"/>
                </w:tcPr>
                <w:p w14:paraId="18010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石油类</w:t>
                  </w:r>
                </w:p>
              </w:tc>
              <w:tc>
                <w:tcPr>
                  <w:tcW w:w="410" w:type="pct"/>
                  <w:noWrap w:val="0"/>
                  <w:vAlign w:val="center"/>
                </w:tcPr>
                <w:p w14:paraId="3FB458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TN</w:t>
                  </w:r>
                </w:p>
              </w:tc>
              <w:tc>
                <w:tcPr>
                  <w:tcW w:w="422" w:type="pct"/>
                  <w:noWrap w:val="0"/>
                  <w:vAlign w:val="center"/>
                </w:tcPr>
                <w:p w14:paraId="78566F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TP</w:t>
                  </w:r>
                </w:p>
              </w:tc>
            </w:tr>
            <w:tr w14:paraId="45631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2" w:hRule="atLeast"/>
              </w:trPr>
              <w:tc>
                <w:tcPr>
                  <w:tcW w:w="585" w:type="pct"/>
                  <w:noWrap w:val="0"/>
                  <w:vAlign w:val="center"/>
                </w:tcPr>
                <w:p w14:paraId="557A93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进水水质</w:t>
                  </w:r>
                </w:p>
              </w:tc>
              <w:tc>
                <w:tcPr>
                  <w:tcW w:w="878" w:type="pct"/>
                  <w:noWrap w:val="0"/>
                  <w:vAlign w:val="center"/>
                </w:tcPr>
                <w:p w14:paraId="105341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566" w:type="pct"/>
                  <w:noWrap w:val="0"/>
                  <w:vAlign w:val="center"/>
                </w:tcPr>
                <w:p w14:paraId="681B8B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500</w:t>
                  </w:r>
                </w:p>
              </w:tc>
              <w:tc>
                <w:tcPr>
                  <w:tcW w:w="495" w:type="pct"/>
                  <w:noWrap w:val="0"/>
                  <w:vAlign w:val="center"/>
                </w:tcPr>
                <w:p w14:paraId="47DDB1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300</w:t>
                  </w:r>
                </w:p>
              </w:tc>
              <w:tc>
                <w:tcPr>
                  <w:tcW w:w="502" w:type="pct"/>
                  <w:noWrap w:val="0"/>
                  <w:vAlign w:val="center"/>
                </w:tcPr>
                <w:p w14:paraId="09938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400</w:t>
                  </w:r>
                </w:p>
              </w:tc>
              <w:tc>
                <w:tcPr>
                  <w:tcW w:w="550" w:type="pct"/>
                  <w:noWrap w:val="0"/>
                  <w:vAlign w:val="center"/>
                </w:tcPr>
                <w:p w14:paraId="12C97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60</w:t>
                  </w:r>
                </w:p>
              </w:tc>
              <w:tc>
                <w:tcPr>
                  <w:tcW w:w="588" w:type="pct"/>
                  <w:noWrap w:val="0"/>
                  <w:vAlign w:val="center"/>
                </w:tcPr>
                <w:p w14:paraId="29005A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ascii="Times New Roman" w:hAnsi="Times New Roman" w:eastAsia="宋体" w:cs="Times New Roman"/>
                      <w:b w:val="0"/>
                      <w:bCs w:val="0"/>
                      <w:strike w:val="0"/>
                      <w:dstrike w:val="0"/>
                      <w:color w:val="auto"/>
                      <w:sz w:val="21"/>
                      <w:szCs w:val="21"/>
                      <w:highlight w:val="none"/>
                      <w:lang w:val="en-US" w:eastAsia="zh-CN"/>
                    </w:rPr>
                    <w:t>20</w:t>
                  </w:r>
                </w:p>
              </w:tc>
              <w:tc>
                <w:tcPr>
                  <w:tcW w:w="410" w:type="pct"/>
                  <w:noWrap w:val="0"/>
                  <w:vAlign w:val="center"/>
                </w:tcPr>
                <w:p w14:paraId="0EDFF3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70</w:t>
                  </w:r>
                </w:p>
              </w:tc>
              <w:tc>
                <w:tcPr>
                  <w:tcW w:w="422" w:type="pct"/>
                  <w:noWrap w:val="0"/>
                  <w:vAlign w:val="center"/>
                </w:tcPr>
                <w:p w14:paraId="7E565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8</w:t>
                  </w:r>
                </w:p>
              </w:tc>
            </w:tr>
            <w:tr w14:paraId="27479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6" w:hRule="atLeast"/>
              </w:trPr>
              <w:tc>
                <w:tcPr>
                  <w:tcW w:w="585" w:type="pct"/>
                  <w:noWrap w:val="0"/>
                  <w:vAlign w:val="center"/>
                </w:tcPr>
                <w:p w14:paraId="37B2B4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出水标准</w:t>
                  </w:r>
                </w:p>
              </w:tc>
              <w:tc>
                <w:tcPr>
                  <w:tcW w:w="878" w:type="pct"/>
                  <w:noWrap w:val="0"/>
                  <w:vAlign w:val="center"/>
                </w:tcPr>
                <w:p w14:paraId="366DA6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566" w:type="pct"/>
                  <w:noWrap w:val="0"/>
                  <w:vAlign w:val="center"/>
                </w:tcPr>
                <w:p w14:paraId="106B05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≤50</w:t>
                  </w:r>
                </w:p>
              </w:tc>
              <w:tc>
                <w:tcPr>
                  <w:tcW w:w="495" w:type="pct"/>
                  <w:noWrap w:val="0"/>
                  <w:vAlign w:val="center"/>
                </w:tcPr>
                <w:p w14:paraId="730F3B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02" w:type="pct"/>
                  <w:noWrap w:val="0"/>
                  <w:vAlign w:val="center"/>
                </w:tcPr>
                <w:p w14:paraId="0A117F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50" w:type="pct"/>
                  <w:noWrap w:val="0"/>
                  <w:vAlign w:val="center"/>
                </w:tcPr>
                <w:p w14:paraId="4EF7EE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w:t>
                  </w:r>
                </w:p>
              </w:tc>
              <w:tc>
                <w:tcPr>
                  <w:tcW w:w="588" w:type="pct"/>
                  <w:noWrap w:val="0"/>
                  <w:vAlign w:val="center"/>
                </w:tcPr>
                <w:p w14:paraId="6FC835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ascii="Times New Roman" w:hAnsi="Times New Roman" w:eastAsia="宋体" w:cs="Times New Roman"/>
                      <w:b w:val="0"/>
                      <w:bCs w:val="0"/>
                      <w:strike w:val="0"/>
                      <w:dstrike w:val="0"/>
                      <w:color w:val="auto"/>
                      <w:sz w:val="21"/>
                      <w:szCs w:val="21"/>
                      <w:highlight w:val="none"/>
                      <w:lang w:val="en-US" w:eastAsia="zh-CN"/>
                    </w:rPr>
                    <w:t>1</w:t>
                  </w:r>
                </w:p>
              </w:tc>
              <w:tc>
                <w:tcPr>
                  <w:tcW w:w="410" w:type="pct"/>
                  <w:noWrap w:val="0"/>
                  <w:vAlign w:val="center"/>
                </w:tcPr>
                <w:p w14:paraId="21ABA8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w:t>
                  </w:r>
                </w:p>
              </w:tc>
              <w:tc>
                <w:tcPr>
                  <w:tcW w:w="422" w:type="pct"/>
                  <w:noWrap w:val="0"/>
                  <w:vAlign w:val="center"/>
                </w:tcPr>
                <w:p w14:paraId="0642B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bl>
          <w:p w14:paraId="051B0436">
            <w:pPr>
              <w:pStyle w:val="9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w:t>
            </w:r>
            <w:r>
              <w:rPr>
                <w:rFonts w:hint="eastAsia" w:ascii="Times New Roman" w:hAnsi="Times New Roman" w:eastAsia="宋体" w:cs="Times New Roman"/>
                <w:color w:val="auto"/>
                <w:lang w:val="en-US" w:eastAsia="zh-CN"/>
              </w:rPr>
              <w:t>接管可行性</w:t>
            </w:r>
          </w:p>
          <w:p w14:paraId="39DC7033">
            <w:pPr>
              <w:pStyle w:val="90"/>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根据《福州江阴港城总体规划（2018</w:t>
            </w:r>
            <w:r>
              <w:rPr>
                <w:rFonts w:hint="eastAsia" w:cs="Times New Roman"/>
                <w:color w:val="auto"/>
                <w:lang w:val="en-US" w:eastAsia="zh-CN"/>
              </w:rPr>
              <w:t>—</w:t>
            </w:r>
            <w:r>
              <w:rPr>
                <w:rFonts w:hint="default" w:ascii="Times New Roman" w:hAnsi="Times New Roman" w:eastAsia="宋体" w:cs="Times New Roman"/>
                <w:color w:val="auto"/>
                <w:lang w:val="en-US" w:eastAsia="zh-CN"/>
              </w:rPr>
              <w:t>2035年）》中的污水工程规划，本项目在规划的污水管网覆盖范围内。</w:t>
            </w:r>
            <w:r>
              <w:rPr>
                <w:rFonts w:hint="eastAsia" w:ascii="Times New Roman" w:hAnsi="Times New Roman" w:eastAsia="宋体" w:cs="Times New Roman"/>
                <w:color w:val="auto"/>
                <w:lang w:val="en-US" w:eastAsia="zh-CN"/>
              </w:rPr>
              <w:t>本项目排入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lang w:val="en-US" w:eastAsia="zh-CN"/>
              </w:rPr>
              <w:t>的废水量为3.2</w:t>
            </w:r>
            <w:r>
              <w:rPr>
                <w:rFonts w:hint="default" w:ascii="Times New Roman" w:hAnsi="Times New Roman" w:eastAsia="宋体" w:cs="Times New Roman"/>
                <w:color w:val="auto"/>
                <w:lang w:val="en-US" w:eastAsia="zh-CN"/>
              </w:rPr>
              <w:t>t/d（</w:t>
            </w:r>
            <w:r>
              <w:rPr>
                <w:rFonts w:hint="eastAsia" w:ascii="Times New Roman" w:hAnsi="Times New Roman" w:eastAsia="宋体" w:cs="Times New Roman"/>
                <w:color w:val="auto"/>
                <w:lang w:val="en-US" w:eastAsia="zh-CN"/>
              </w:rPr>
              <w:t>1056t/</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w:t>
            </w:r>
            <w:r>
              <w:rPr>
                <w:rFonts w:hint="eastAsia" w:cs="Times New Roman"/>
                <w:color w:val="auto"/>
                <w:lang w:val="en-US" w:eastAsia="zh-CN"/>
              </w:rPr>
              <w:t>江阴工业集中区污水厂</w:t>
            </w:r>
            <w:r>
              <w:rPr>
                <w:rFonts w:hint="eastAsia" w:ascii="Times New Roman" w:hAnsi="Times New Roman" w:eastAsia="宋体" w:cs="Times New Roman"/>
                <w:color w:val="auto"/>
                <w:lang w:val="en-US" w:eastAsia="zh-CN"/>
              </w:rPr>
              <w:t>目前8万t/d的处理规模，约占其处理规模的0.00288%。本项目废水量较少且在</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lang w:val="en-US" w:eastAsia="zh-CN"/>
              </w:rPr>
              <w:t>可处理余量范围内，不会对</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lang w:val="en-US" w:eastAsia="zh-CN"/>
              </w:rPr>
              <w:t>的负荷产生冲击。因此，从水量接纳可行性上分析，本项目废水排入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lang w:val="en-US" w:eastAsia="zh-CN"/>
              </w:rPr>
              <w:t>集中处理是可行的。</w:t>
            </w:r>
          </w:p>
          <w:p w14:paraId="5FC71941">
            <w:pPr>
              <w:pStyle w:val="9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w:t>
            </w:r>
            <w:r>
              <w:rPr>
                <w:rFonts w:hint="eastAsia" w:cs="Times New Roman"/>
                <w:color w:val="auto"/>
                <w:lang w:val="en-US" w:eastAsia="zh-CN"/>
              </w:rPr>
              <w:t>江</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lang w:val="en-US" w:eastAsia="zh-CN"/>
              </w:rPr>
              <w:t>预处理工艺采用“粗格栅+细格栅+旋流沉砂池”工艺；主体生化工艺采用”水解酸化+多级A/O”工艺；深度处理工艺采用“芬顿高级氧化+高密度沉淀池+转盘式微过滤+接触消毒”工艺。经上述工艺处理后，出水水质可达到《城镇</w:t>
            </w:r>
            <w:r>
              <w:rPr>
                <w:rFonts w:hint="eastAsia" w:cs="Times New Roman"/>
                <w:color w:val="auto"/>
                <w:lang w:val="en-US" w:eastAsia="zh-CN"/>
              </w:rPr>
              <w:t>污水厂</w:t>
            </w:r>
            <w:r>
              <w:rPr>
                <w:rFonts w:hint="default" w:ascii="Times New Roman" w:hAnsi="Times New Roman" w:eastAsia="宋体" w:cs="Times New Roman"/>
                <w:color w:val="auto"/>
                <w:lang w:val="en-US" w:eastAsia="zh-CN"/>
              </w:rPr>
              <w:t>污染物排放标准》（GB18918-2002）一级A标准。</w:t>
            </w:r>
          </w:p>
          <w:p w14:paraId="3317076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82" w:name="_Toc5960"/>
            <w:bookmarkStart w:id="183" w:name="_Toc15342"/>
            <w:r>
              <w:rPr>
                <w:rFonts w:hint="eastAsia" w:ascii="Times New Roman" w:hAnsi="Times New Roman" w:eastAsia="宋体" w:cs="Times New Roman"/>
                <w:color w:val="auto"/>
                <w:sz w:val="28"/>
                <w:szCs w:val="28"/>
                <w:u w:val="none"/>
                <w:lang w:val="en-US" w:eastAsia="zh-CN"/>
              </w:rPr>
              <w:t>4.3噪声环境影响分析和污染防治措施</w:t>
            </w:r>
            <w:bookmarkEnd w:id="182"/>
            <w:bookmarkEnd w:id="183"/>
          </w:p>
          <w:p w14:paraId="78F6E399">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en-US" w:eastAsia="zh-CN"/>
              </w:rPr>
            </w:pPr>
            <w:bookmarkStart w:id="184" w:name="_Toc20783"/>
            <w:bookmarkStart w:id="185" w:name="_Toc21346"/>
            <w:r>
              <w:rPr>
                <w:rFonts w:hint="default"/>
                <w:b/>
                <w:color w:val="auto"/>
                <w:kern w:val="0"/>
                <w:sz w:val="24"/>
                <w:lang w:val="en-US" w:eastAsia="zh-CN"/>
              </w:rPr>
              <w:t>4.3.1噪声源强分析</w:t>
            </w:r>
            <w:bookmarkEnd w:id="184"/>
            <w:bookmarkEnd w:id="185"/>
          </w:p>
          <w:p w14:paraId="06E95046">
            <w:pPr>
              <w:pStyle w:val="59"/>
              <w:spacing w:line="360" w:lineRule="auto"/>
              <w:ind w:firstLine="480"/>
              <w:rPr>
                <w:rFonts w:hint="default" w:ascii="Times New Roman" w:hAnsi="Times New Roman" w:eastAsia="宋体" w:cs="Times New Roman"/>
                <w:b/>
                <w:bCs/>
                <w:color w:val="auto"/>
                <w:sz w:val="24"/>
                <w:szCs w:val="24"/>
              </w:rPr>
            </w:pPr>
            <w:r>
              <w:rPr>
                <w:rFonts w:ascii="Times New Roman" w:hAnsi="Times New Roman"/>
                <w:bCs w:val="0"/>
                <w:color w:val="auto"/>
                <w:szCs w:val="24"/>
              </w:rPr>
              <w:t>项目的噪声源主要为项目运营时机械设备运转产生的噪声，其噪声级及治理措施见表4.3-1。</w:t>
            </w:r>
          </w:p>
          <w:p w14:paraId="2D587277">
            <w:pPr>
              <w:keepNext w:val="0"/>
              <w:keepLines w:val="0"/>
              <w:pageBreakBefore w:val="0"/>
              <w:widowControl w:val="0"/>
              <w:tabs>
                <w:tab w:val="left" w:pos="482"/>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sz w:val="24"/>
                <w:szCs w:val="24"/>
              </w:rPr>
              <w:t>表4.3-1噪声源强调查清单（室内声源）</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6"/>
              <w:gridCol w:w="471"/>
              <w:gridCol w:w="574"/>
              <w:gridCol w:w="618"/>
              <w:gridCol w:w="590"/>
              <w:gridCol w:w="590"/>
              <w:gridCol w:w="464"/>
              <w:gridCol w:w="505"/>
              <w:gridCol w:w="479"/>
              <w:gridCol w:w="491"/>
              <w:gridCol w:w="438"/>
              <w:gridCol w:w="618"/>
              <w:gridCol w:w="562"/>
              <w:gridCol w:w="698"/>
              <w:gridCol w:w="741"/>
              <w:gridCol w:w="756"/>
            </w:tblGrid>
            <w:tr w14:paraId="4148A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150" w:type="pct"/>
                  <w:vMerge w:val="restart"/>
                  <w:noWrap w:val="0"/>
                  <w:vAlign w:val="center"/>
                </w:tcPr>
                <w:p w14:paraId="62FA156E">
                  <w:pPr>
                    <w:jc w:val="center"/>
                    <w:rPr>
                      <w:rFonts w:hint="eastAsia"/>
                      <w:color w:val="auto"/>
                      <w:szCs w:val="21"/>
                    </w:rPr>
                  </w:pPr>
                  <w:r>
                    <w:rPr>
                      <w:rFonts w:hint="eastAsia"/>
                      <w:color w:val="auto"/>
                      <w:szCs w:val="21"/>
                    </w:rPr>
                    <w:t>序号</w:t>
                  </w:r>
                </w:p>
              </w:tc>
              <w:tc>
                <w:tcPr>
                  <w:tcW w:w="266" w:type="pct"/>
                  <w:vMerge w:val="restart"/>
                  <w:noWrap w:val="0"/>
                  <w:vAlign w:val="center"/>
                </w:tcPr>
                <w:p w14:paraId="1E78D581">
                  <w:pPr>
                    <w:jc w:val="center"/>
                    <w:rPr>
                      <w:rFonts w:hint="eastAsia"/>
                      <w:color w:val="auto"/>
                      <w:szCs w:val="21"/>
                    </w:rPr>
                  </w:pPr>
                  <w:r>
                    <w:rPr>
                      <w:rFonts w:hint="eastAsia"/>
                      <w:color w:val="auto"/>
                      <w:szCs w:val="21"/>
                    </w:rPr>
                    <w:t>建筑物名称</w:t>
                  </w:r>
                </w:p>
              </w:tc>
              <w:tc>
                <w:tcPr>
                  <w:tcW w:w="324" w:type="pct"/>
                  <w:vMerge w:val="restart"/>
                  <w:noWrap w:val="0"/>
                  <w:vAlign w:val="center"/>
                </w:tcPr>
                <w:p w14:paraId="7874F41E">
                  <w:pPr>
                    <w:jc w:val="center"/>
                    <w:rPr>
                      <w:rFonts w:hint="eastAsia"/>
                      <w:color w:val="auto"/>
                      <w:szCs w:val="21"/>
                    </w:rPr>
                  </w:pPr>
                  <w:r>
                    <w:rPr>
                      <w:rFonts w:hint="eastAsia"/>
                      <w:color w:val="auto"/>
                      <w:szCs w:val="21"/>
                    </w:rPr>
                    <w:t>声源名称</w:t>
                  </w:r>
                </w:p>
              </w:tc>
              <w:tc>
                <w:tcPr>
                  <w:tcW w:w="349" w:type="pct"/>
                  <w:vMerge w:val="restart"/>
                  <w:noWrap w:val="0"/>
                  <w:vAlign w:val="center"/>
                </w:tcPr>
                <w:p w14:paraId="2ED653C8">
                  <w:pPr>
                    <w:jc w:val="center"/>
                    <w:rPr>
                      <w:rFonts w:hint="eastAsia"/>
                      <w:color w:val="auto"/>
                      <w:szCs w:val="21"/>
                    </w:rPr>
                  </w:pPr>
                  <w:r>
                    <w:rPr>
                      <w:rFonts w:hint="eastAsia"/>
                      <w:color w:val="auto"/>
                      <w:szCs w:val="21"/>
                    </w:rPr>
                    <w:t>台/套数</w:t>
                  </w:r>
                </w:p>
              </w:tc>
              <w:tc>
                <w:tcPr>
                  <w:tcW w:w="333" w:type="pct"/>
                  <w:vMerge w:val="restart"/>
                  <w:noWrap w:val="0"/>
                  <w:vAlign w:val="center"/>
                </w:tcPr>
                <w:p w14:paraId="55821A3C">
                  <w:pPr>
                    <w:jc w:val="center"/>
                    <w:rPr>
                      <w:rFonts w:hint="eastAsia"/>
                      <w:color w:val="auto"/>
                      <w:szCs w:val="21"/>
                    </w:rPr>
                  </w:pPr>
                  <w:r>
                    <w:rPr>
                      <w:rFonts w:hint="eastAsia"/>
                      <w:color w:val="auto"/>
                      <w:szCs w:val="21"/>
                    </w:rPr>
                    <w:t>声功率级</w:t>
                  </w:r>
                </w:p>
                <w:p w14:paraId="5BF14801">
                  <w:pPr>
                    <w:jc w:val="center"/>
                    <w:rPr>
                      <w:rFonts w:hint="eastAsia"/>
                      <w:color w:val="auto"/>
                      <w:szCs w:val="21"/>
                    </w:rPr>
                  </w:pPr>
                  <w:r>
                    <w:rPr>
                      <w:rFonts w:hint="eastAsia"/>
                      <w:color w:val="auto"/>
                      <w:szCs w:val="21"/>
                    </w:rPr>
                    <w:t>/dB(A)</w:t>
                  </w:r>
                </w:p>
              </w:tc>
              <w:tc>
                <w:tcPr>
                  <w:tcW w:w="333" w:type="pct"/>
                  <w:vMerge w:val="restart"/>
                  <w:noWrap w:val="0"/>
                  <w:vAlign w:val="center"/>
                </w:tcPr>
                <w:p w14:paraId="35A820C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声源控制措施</w:t>
                  </w:r>
                </w:p>
                <w:p w14:paraId="372C524A">
                  <w:pPr>
                    <w:jc w:val="center"/>
                    <w:rPr>
                      <w:rFonts w:hint="eastAsia" w:ascii="Times New Roman" w:hAnsi="Times New Roman" w:eastAsia="宋体" w:cs="Times New Roman"/>
                      <w:color w:val="auto"/>
                      <w:kern w:val="2"/>
                      <w:sz w:val="21"/>
                      <w:szCs w:val="21"/>
                      <w:lang w:val="en-US" w:eastAsia="zh-CN" w:bidi="ar-SA"/>
                    </w:rPr>
                  </w:pPr>
                </w:p>
                <w:p w14:paraId="03273020">
                  <w:pPr>
                    <w:jc w:val="center"/>
                    <w:rPr>
                      <w:rFonts w:hint="eastAsia"/>
                      <w:color w:val="auto"/>
                      <w:szCs w:val="21"/>
                    </w:rPr>
                  </w:pPr>
                </w:p>
              </w:tc>
              <w:tc>
                <w:tcPr>
                  <w:tcW w:w="817" w:type="pct"/>
                  <w:gridSpan w:val="3"/>
                  <w:noWrap w:val="0"/>
                  <w:vAlign w:val="center"/>
                </w:tcPr>
                <w:p w14:paraId="51CBB0C0">
                  <w:pPr>
                    <w:jc w:val="center"/>
                    <w:rPr>
                      <w:rFonts w:hint="eastAsia"/>
                      <w:color w:val="auto"/>
                      <w:szCs w:val="21"/>
                    </w:rPr>
                  </w:pPr>
                  <w:r>
                    <w:rPr>
                      <w:rFonts w:hint="eastAsia"/>
                      <w:color w:val="auto"/>
                      <w:szCs w:val="21"/>
                    </w:rPr>
                    <w:t>空间相对位置/m</w:t>
                  </w:r>
                </w:p>
              </w:tc>
              <w:tc>
                <w:tcPr>
                  <w:tcW w:w="524" w:type="pct"/>
                  <w:gridSpan w:val="2"/>
                  <w:vMerge w:val="restart"/>
                  <w:noWrap w:val="0"/>
                  <w:vAlign w:val="center"/>
                </w:tcPr>
                <w:p w14:paraId="369DC476">
                  <w:pPr>
                    <w:jc w:val="center"/>
                    <w:rPr>
                      <w:rFonts w:hint="eastAsia"/>
                      <w:color w:val="auto"/>
                      <w:szCs w:val="21"/>
                    </w:rPr>
                  </w:pPr>
                  <w:r>
                    <w:rPr>
                      <w:rFonts w:hint="eastAsia"/>
                      <w:color w:val="auto"/>
                      <w:szCs w:val="21"/>
                    </w:rPr>
                    <w:t>距室内边界距离/m</w:t>
                  </w:r>
                </w:p>
              </w:tc>
              <w:tc>
                <w:tcPr>
                  <w:tcW w:w="349" w:type="pct"/>
                  <w:vMerge w:val="restart"/>
                  <w:noWrap w:val="0"/>
                  <w:vAlign w:val="center"/>
                </w:tcPr>
                <w:p w14:paraId="3BD05F07">
                  <w:pPr>
                    <w:jc w:val="center"/>
                    <w:rPr>
                      <w:rFonts w:hint="eastAsia"/>
                      <w:color w:val="auto"/>
                      <w:szCs w:val="21"/>
                    </w:rPr>
                  </w:pPr>
                  <w:r>
                    <w:rPr>
                      <w:rFonts w:hint="eastAsia"/>
                      <w:color w:val="auto"/>
                      <w:szCs w:val="21"/>
                    </w:rPr>
                    <w:t>室内边界声级</w:t>
                  </w:r>
                </w:p>
                <w:p w14:paraId="01D05D15">
                  <w:pPr>
                    <w:jc w:val="center"/>
                    <w:rPr>
                      <w:rFonts w:hint="eastAsia"/>
                      <w:color w:val="auto"/>
                      <w:szCs w:val="21"/>
                    </w:rPr>
                  </w:pPr>
                  <w:r>
                    <w:rPr>
                      <w:rFonts w:hint="eastAsia"/>
                      <w:color w:val="auto"/>
                      <w:szCs w:val="21"/>
                    </w:rPr>
                    <w:t>/dB(A)</w:t>
                  </w:r>
                </w:p>
              </w:tc>
              <w:tc>
                <w:tcPr>
                  <w:tcW w:w="317" w:type="pct"/>
                  <w:vMerge w:val="restart"/>
                  <w:noWrap w:val="0"/>
                  <w:vAlign w:val="center"/>
                </w:tcPr>
                <w:p w14:paraId="3431DE61">
                  <w:pPr>
                    <w:jc w:val="center"/>
                    <w:rPr>
                      <w:rFonts w:hint="eastAsia"/>
                      <w:color w:val="auto"/>
                      <w:szCs w:val="21"/>
                    </w:rPr>
                  </w:pPr>
                  <w:r>
                    <w:rPr>
                      <w:rFonts w:hint="eastAsia"/>
                      <w:color w:val="auto"/>
                      <w:szCs w:val="21"/>
                    </w:rPr>
                    <w:t>运行时段</w:t>
                  </w:r>
                </w:p>
              </w:tc>
              <w:tc>
                <w:tcPr>
                  <w:tcW w:w="394" w:type="pct"/>
                  <w:vMerge w:val="restart"/>
                  <w:noWrap w:val="0"/>
                  <w:vAlign w:val="center"/>
                </w:tcPr>
                <w:p w14:paraId="12F67225">
                  <w:pPr>
                    <w:jc w:val="center"/>
                    <w:rPr>
                      <w:rFonts w:hint="eastAsia"/>
                      <w:color w:val="auto"/>
                      <w:szCs w:val="21"/>
                    </w:rPr>
                  </w:pPr>
                  <w:r>
                    <w:rPr>
                      <w:rFonts w:hint="eastAsia"/>
                      <w:color w:val="auto"/>
                      <w:szCs w:val="21"/>
                    </w:rPr>
                    <w:t>建筑物插入损失/dB(A)</w:t>
                  </w:r>
                </w:p>
              </w:tc>
              <w:tc>
                <w:tcPr>
                  <w:tcW w:w="838" w:type="pct"/>
                  <w:gridSpan w:val="2"/>
                  <w:noWrap w:val="0"/>
                  <w:vAlign w:val="center"/>
                </w:tcPr>
                <w:p w14:paraId="1123375D">
                  <w:pPr>
                    <w:jc w:val="center"/>
                    <w:rPr>
                      <w:rFonts w:hint="eastAsia"/>
                      <w:color w:val="auto"/>
                      <w:szCs w:val="21"/>
                    </w:rPr>
                  </w:pPr>
                  <w:r>
                    <w:rPr>
                      <w:rFonts w:hint="eastAsia"/>
                      <w:color w:val="auto"/>
                      <w:szCs w:val="21"/>
                    </w:rPr>
                    <w:t>建筑物外噪声</w:t>
                  </w:r>
                </w:p>
              </w:tc>
            </w:tr>
            <w:tr w14:paraId="0613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79" w:hRule="atLeast"/>
                <w:jc w:val="center"/>
              </w:trPr>
              <w:tc>
                <w:tcPr>
                  <w:tcW w:w="150" w:type="pct"/>
                  <w:vMerge w:val="continue"/>
                  <w:noWrap w:val="0"/>
                  <w:vAlign w:val="center"/>
                </w:tcPr>
                <w:p w14:paraId="2A56588D">
                  <w:pPr>
                    <w:jc w:val="center"/>
                    <w:rPr>
                      <w:rFonts w:hint="eastAsia"/>
                      <w:color w:val="auto"/>
                      <w:szCs w:val="21"/>
                    </w:rPr>
                  </w:pPr>
                </w:p>
              </w:tc>
              <w:tc>
                <w:tcPr>
                  <w:tcW w:w="266" w:type="pct"/>
                  <w:vMerge w:val="continue"/>
                  <w:noWrap w:val="0"/>
                  <w:vAlign w:val="center"/>
                </w:tcPr>
                <w:p w14:paraId="71B354A8">
                  <w:pPr>
                    <w:jc w:val="center"/>
                    <w:rPr>
                      <w:rFonts w:hint="eastAsia"/>
                      <w:color w:val="auto"/>
                      <w:szCs w:val="21"/>
                    </w:rPr>
                  </w:pPr>
                </w:p>
              </w:tc>
              <w:tc>
                <w:tcPr>
                  <w:tcW w:w="324" w:type="pct"/>
                  <w:vMerge w:val="continue"/>
                  <w:noWrap w:val="0"/>
                  <w:vAlign w:val="center"/>
                </w:tcPr>
                <w:p w14:paraId="26391101">
                  <w:pPr>
                    <w:jc w:val="center"/>
                    <w:rPr>
                      <w:rFonts w:hint="eastAsia"/>
                      <w:color w:val="auto"/>
                      <w:szCs w:val="21"/>
                    </w:rPr>
                  </w:pPr>
                </w:p>
              </w:tc>
              <w:tc>
                <w:tcPr>
                  <w:tcW w:w="349" w:type="pct"/>
                  <w:vMerge w:val="continue"/>
                  <w:noWrap w:val="0"/>
                  <w:vAlign w:val="center"/>
                </w:tcPr>
                <w:p w14:paraId="4EC4C098">
                  <w:pPr>
                    <w:jc w:val="center"/>
                    <w:rPr>
                      <w:rFonts w:hint="eastAsia"/>
                      <w:color w:val="auto"/>
                      <w:szCs w:val="21"/>
                    </w:rPr>
                  </w:pPr>
                </w:p>
              </w:tc>
              <w:tc>
                <w:tcPr>
                  <w:tcW w:w="333" w:type="pct"/>
                  <w:vMerge w:val="continue"/>
                  <w:noWrap w:val="0"/>
                  <w:vAlign w:val="center"/>
                </w:tcPr>
                <w:p w14:paraId="72455F16">
                  <w:pPr>
                    <w:jc w:val="center"/>
                    <w:rPr>
                      <w:rFonts w:hint="eastAsia"/>
                      <w:color w:val="auto"/>
                      <w:szCs w:val="21"/>
                    </w:rPr>
                  </w:pPr>
                </w:p>
              </w:tc>
              <w:tc>
                <w:tcPr>
                  <w:tcW w:w="333" w:type="pct"/>
                  <w:vMerge w:val="continue"/>
                  <w:noWrap w:val="0"/>
                  <w:vAlign w:val="center"/>
                </w:tcPr>
                <w:p w14:paraId="07BA0A6E">
                  <w:pPr>
                    <w:jc w:val="center"/>
                    <w:rPr>
                      <w:rFonts w:hint="eastAsia"/>
                      <w:color w:val="auto"/>
                      <w:szCs w:val="21"/>
                    </w:rPr>
                  </w:pPr>
                </w:p>
              </w:tc>
              <w:tc>
                <w:tcPr>
                  <w:tcW w:w="262" w:type="pct"/>
                  <w:noWrap w:val="0"/>
                  <w:vAlign w:val="center"/>
                </w:tcPr>
                <w:p w14:paraId="7A391080">
                  <w:pPr>
                    <w:jc w:val="center"/>
                    <w:rPr>
                      <w:rFonts w:hint="eastAsia"/>
                      <w:color w:val="auto"/>
                      <w:szCs w:val="21"/>
                    </w:rPr>
                  </w:pPr>
                  <w:r>
                    <w:rPr>
                      <w:rFonts w:hint="eastAsia"/>
                      <w:color w:val="auto"/>
                      <w:szCs w:val="21"/>
                    </w:rPr>
                    <w:t>X</w:t>
                  </w:r>
                </w:p>
              </w:tc>
              <w:tc>
                <w:tcPr>
                  <w:tcW w:w="285" w:type="pct"/>
                  <w:noWrap w:val="0"/>
                  <w:vAlign w:val="center"/>
                </w:tcPr>
                <w:p w14:paraId="6A09235D">
                  <w:pPr>
                    <w:jc w:val="center"/>
                    <w:rPr>
                      <w:rFonts w:hint="eastAsia"/>
                      <w:color w:val="auto"/>
                      <w:szCs w:val="21"/>
                    </w:rPr>
                  </w:pPr>
                  <w:r>
                    <w:rPr>
                      <w:rFonts w:hint="eastAsia"/>
                      <w:color w:val="auto"/>
                      <w:szCs w:val="21"/>
                    </w:rPr>
                    <w:t>Y</w:t>
                  </w:r>
                </w:p>
              </w:tc>
              <w:tc>
                <w:tcPr>
                  <w:tcW w:w="270" w:type="pct"/>
                  <w:noWrap w:val="0"/>
                  <w:vAlign w:val="center"/>
                </w:tcPr>
                <w:p w14:paraId="31AD39D7">
                  <w:pPr>
                    <w:jc w:val="center"/>
                    <w:rPr>
                      <w:rFonts w:hint="eastAsia"/>
                      <w:color w:val="auto"/>
                      <w:szCs w:val="21"/>
                    </w:rPr>
                  </w:pPr>
                  <w:r>
                    <w:rPr>
                      <w:rFonts w:hint="eastAsia"/>
                      <w:color w:val="auto"/>
                      <w:szCs w:val="21"/>
                    </w:rPr>
                    <w:t>Z</w:t>
                  </w:r>
                </w:p>
              </w:tc>
              <w:tc>
                <w:tcPr>
                  <w:tcW w:w="524" w:type="pct"/>
                  <w:gridSpan w:val="2"/>
                  <w:vMerge w:val="continue"/>
                  <w:noWrap w:val="0"/>
                  <w:vAlign w:val="center"/>
                </w:tcPr>
                <w:p w14:paraId="62F09364">
                  <w:pPr>
                    <w:jc w:val="center"/>
                    <w:rPr>
                      <w:rFonts w:hint="eastAsia"/>
                      <w:color w:val="auto"/>
                      <w:szCs w:val="21"/>
                    </w:rPr>
                  </w:pPr>
                </w:p>
              </w:tc>
              <w:tc>
                <w:tcPr>
                  <w:tcW w:w="349" w:type="pct"/>
                  <w:vMerge w:val="continue"/>
                  <w:noWrap w:val="0"/>
                  <w:vAlign w:val="center"/>
                </w:tcPr>
                <w:p w14:paraId="013391F1">
                  <w:pPr>
                    <w:jc w:val="center"/>
                    <w:rPr>
                      <w:rFonts w:hint="eastAsia"/>
                      <w:color w:val="auto"/>
                      <w:szCs w:val="21"/>
                    </w:rPr>
                  </w:pPr>
                </w:p>
              </w:tc>
              <w:tc>
                <w:tcPr>
                  <w:tcW w:w="317" w:type="pct"/>
                  <w:vMerge w:val="continue"/>
                  <w:noWrap w:val="0"/>
                  <w:vAlign w:val="center"/>
                </w:tcPr>
                <w:p w14:paraId="3A1B1726">
                  <w:pPr>
                    <w:jc w:val="center"/>
                    <w:rPr>
                      <w:rFonts w:hint="eastAsia"/>
                      <w:color w:val="auto"/>
                      <w:szCs w:val="21"/>
                    </w:rPr>
                  </w:pPr>
                </w:p>
              </w:tc>
              <w:tc>
                <w:tcPr>
                  <w:tcW w:w="394" w:type="pct"/>
                  <w:vMerge w:val="continue"/>
                  <w:noWrap w:val="0"/>
                  <w:vAlign w:val="center"/>
                </w:tcPr>
                <w:p w14:paraId="74132505">
                  <w:pPr>
                    <w:jc w:val="center"/>
                    <w:rPr>
                      <w:rFonts w:hint="eastAsia"/>
                      <w:color w:val="auto"/>
                      <w:szCs w:val="21"/>
                    </w:rPr>
                  </w:pPr>
                </w:p>
              </w:tc>
              <w:tc>
                <w:tcPr>
                  <w:tcW w:w="418" w:type="pct"/>
                  <w:noWrap w:val="0"/>
                  <w:vAlign w:val="center"/>
                </w:tcPr>
                <w:p w14:paraId="5669A91D">
                  <w:pPr>
                    <w:jc w:val="center"/>
                    <w:rPr>
                      <w:rFonts w:hint="eastAsia"/>
                      <w:color w:val="auto"/>
                      <w:szCs w:val="21"/>
                    </w:rPr>
                  </w:pPr>
                  <w:r>
                    <w:rPr>
                      <w:rFonts w:hint="eastAsia"/>
                      <w:color w:val="auto"/>
                      <w:szCs w:val="21"/>
                    </w:rPr>
                    <w:t>声压级</w:t>
                  </w:r>
                </w:p>
                <w:p w14:paraId="41B58377">
                  <w:pPr>
                    <w:jc w:val="center"/>
                    <w:rPr>
                      <w:rFonts w:hint="eastAsia"/>
                      <w:color w:val="auto"/>
                      <w:szCs w:val="21"/>
                    </w:rPr>
                  </w:pPr>
                  <w:r>
                    <w:rPr>
                      <w:rFonts w:hint="eastAsia"/>
                      <w:color w:val="auto"/>
                      <w:szCs w:val="21"/>
                    </w:rPr>
                    <w:t>/dB(A)</w:t>
                  </w:r>
                </w:p>
              </w:tc>
              <w:tc>
                <w:tcPr>
                  <w:tcW w:w="419" w:type="pct"/>
                  <w:noWrap w:val="0"/>
                  <w:vAlign w:val="center"/>
                </w:tcPr>
                <w:p w14:paraId="121D7657">
                  <w:pPr>
                    <w:jc w:val="center"/>
                    <w:rPr>
                      <w:rFonts w:hint="eastAsia"/>
                      <w:color w:val="auto"/>
                      <w:szCs w:val="21"/>
                    </w:rPr>
                  </w:pPr>
                  <w:r>
                    <w:rPr>
                      <w:rFonts w:hint="eastAsia"/>
                      <w:color w:val="auto"/>
                      <w:szCs w:val="21"/>
                    </w:rPr>
                    <w:t>建筑物外距离</w:t>
                  </w:r>
                </w:p>
              </w:tc>
            </w:tr>
            <w:tr w14:paraId="05B4B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50" w:type="pct"/>
                  <w:vMerge w:val="restart"/>
                  <w:noWrap w:val="0"/>
                  <w:vAlign w:val="center"/>
                </w:tcPr>
                <w:p w14:paraId="20900564">
                  <w:pPr>
                    <w:jc w:val="center"/>
                    <w:rPr>
                      <w:rFonts w:hint="eastAsia" w:eastAsia="宋体"/>
                      <w:color w:val="auto"/>
                      <w:szCs w:val="21"/>
                      <w:lang w:val="en-US" w:eastAsia="zh-CN"/>
                    </w:rPr>
                  </w:pPr>
                  <w:r>
                    <w:rPr>
                      <w:rFonts w:hint="eastAsia"/>
                      <w:color w:val="auto"/>
                      <w:szCs w:val="21"/>
                    </w:rPr>
                    <w:t>1</w:t>
                  </w:r>
                </w:p>
              </w:tc>
              <w:tc>
                <w:tcPr>
                  <w:tcW w:w="266" w:type="pct"/>
                  <w:vMerge w:val="restart"/>
                  <w:noWrap w:val="0"/>
                  <w:vAlign w:val="center"/>
                </w:tcPr>
                <w:p w14:paraId="0BF64E75">
                  <w:pPr>
                    <w:jc w:val="center"/>
                    <w:rPr>
                      <w:rFonts w:hint="default" w:eastAsia="宋体"/>
                      <w:color w:val="auto"/>
                      <w:szCs w:val="21"/>
                      <w:lang w:val="en-US" w:eastAsia="zh-CN"/>
                    </w:rPr>
                  </w:pPr>
                  <w:r>
                    <w:rPr>
                      <w:rFonts w:hint="eastAsia"/>
                      <w:color w:val="auto"/>
                      <w:szCs w:val="21"/>
                      <w:lang w:val="en-US" w:eastAsia="zh-CN"/>
                    </w:rPr>
                    <w:t>1#生产车间内</w:t>
                  </w:r>
                </w:p>
              </w:tc>
              <w:tc>
                <w:tcPr>
                  <w:tcW w:w="324" w:type="pct"/>
                  <w:vMerge w:val="restart"/>
                  <w:noWrap w:val="0"/>
                  <w:vAlign w:val="center"/>
                </w:tcPr>
                <w:p w14:paraId="2A13FBC5">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发料机</w:t>
                  </w:r>
                </w:p>
              </w:tc>
              <w:tc>
                <w:tcPr>
                  <w:tcW w:w="349" w:type="pct"/>
                  <w:vMerge w:val="restart"/>
                  <w:noWrap w:val="0"/>
                  <w:vAlign w:val="center"/>
                </w:tcPr>
                <w:p w14:paraId="0CE1859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333" w:type="pct"/>
                  <w:vMerge w:val="restart"/>
                  <w:noWrap w:val="0"/>
                  <w:vAlign w:val="center"/>
                </w:tcPr>
                <w:p w14:paraId="770758CF">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r>
                    <w:rPr>
                      <w:rFonts w:hint="eastAsia" w:cs="Times New Roman"/>
                      <w:color w:val="auto"/>
                      <w:szCs w:val="21"/>
                      <w:lang w:val="en-US" w:eastAsia="zh-CN"/>
                    </w:rPr>
                    <w:t>0</w:t>
                  </w:r>
                  <w:r>
                    <w:rPr>
                      <w:rFonts w:hint="eastAsia" w:ascii="Times New Roman" w:hAnsi="Times New Roman" w:eastAsia="宋体" w:cs="Times New Roman"/>
                      <w:color w:val="auto"/>
                      <w:szCs w:val="21"/>
                      <w:lang w:val="en-US" w:eastAsia="zh-CN"/>
                    </w:rPr>
                    <w:t>-75</w:t>
                  </w:r>
                </w:p>
              </w:tc>
              <w:tc>
                <w:tcPr>
                  <w:tcW w:w="333" w:type="pct"/>
                  <w:vMerge w:val="restart"/>
                  <w:noWrap w:val="0"/>
                  <w:vAlign w:val="center"/>
                </w:tcPr>
                <w:p w14:paraId="47621061">
                  <w:pPr>
                    <w:jc w:val="center"/>
                    <w:rPr>
                      <w:rFonts w:hint="eastAsia"/>
                      <w:color w:val="auto"/>
                      <w:szCs w:val="21"/>
                    </w:rPr>
                  </w:pPr>
                  <w:r>
                    <w:rPr>
                      <w:rFonts w:hint="eastAsia"/>
                      <w:color w:val="auto"/>
                      <w:szCs w:val="21"/>
                    </w:rPr>
                    <w:t>减震垫，墙体隔声</w:t>
                  </w:r>
                </w:p>
                <w:p w14:paraId="4AA5C45E">
                  <w:pPr>
                    <w:jc w:val="center"/>
                    <w:rPr>
                      <w:rFonts w:hint="eastAsia" w:ascii="Times New Roman" w:hAnsi="Times New Roman" w:eastAsia="宋体" w:cs="Times New Roman"/>
                      <w:color w:val="auto"/>
                      <w:kern w:val="2"/>
                      <w:sz w:val="21"/>
                      <w:szCs w:val="21"/>
                      <w:lang w:val="en-US" w:eastAsia="zh-CN" w:bidi="ar-SA"/>
                    </w:rPr>
                  </w:pPr>
                </w:p>
                <w:p w14:paraId="2530A185">
                  <w:pPr>
                    <w:jc w:val="center"/>
                    <w:rPr>
                      <w:rFonts w:hint="eastAsia"/>
                      <w:color w:val="auto"/>
                      <w:szCs w:val="21"/>
                      <w:lang w:val="en-US" w:eastAsia="zh-CN"/>
                    </w:rPr>
                  </w:pPr>
                </w:p>
              </w:tc>
              <w:tc>
                <w:tcPr>
                  <w:tcW w:w="262" w:type="pct"/>
                  <w:vMerge w:val="restart"/>
                  <w:noWrap w:val="0"/>
                  <w:vAlign w:val="center"/>
                </w:tcPr>
                <w:p w14:paraId="3C19E2DB">
                  <w:pPr>
                    <w:jc w:val="center"/>
                    <w:rPr>
                      <w:rFonts w:hint="default" w:eastAsia="宋体"/>
                      <w:color w:val="auto"/>
                      <w:szCs w:val="21"/>
                      <w:lang w:val="en-US" w:eastAsia="zh-CN"/>
                    </w:rPr>
                  </w:pPr>
                  <w:r>
                    <w:rPr>
                      <w:rFonts w:hint="eastAsia"/>
                      <w:color w:val="auto"/>
                      <w:szCs w:val="21"/>
                      <w:lang w:val="en-US" w:eastAsia="zh-CN"/>
                    </w:rPr>
                    <w:t>1-45</w:t>
                  </w:r>
                </w:p>
              </w:tc>
              <w:tc>
                <w:tcPr>
                  <w:tcW w:w="285" w:type="pct"/>
                  <w:vMerge w:val="restart"/>
                  <w:noWrap w:val="0"/>
                  <w:vAlign w:val="center"/>
                </w:tcPr>
                <w:p w14:paraId="4936935D">
                  <w:pPr>
                    <w:jc w:val="center"/>
                    <w:rPr>
                      <w:rFonts w:hint="default" w:eastAsia="宋体"/>
                      <w:color w:val="auto"/>
                      <w:szCs w:val="21"/>
                      <w:lang w:val="en-US" w:eastAsia="zh-CN"/>
                    </w:rPr>
                  </w:pPr>
                  <w:r>
                    <w:rPr>
                      <w:rFonts w:hint="eastAsia"/>
                      <w:color w:val="auto"/>
                      <w:szCs w:val="21"/>
                      <w:lang w:val="en-US" w:eastAsia="zh-CN"/>
                    </w:rPr>
                    <w:t>2-8</w:t>
                  </w:r>
                </w:p>
              </w:tc>
              <w:tc>
                <w:tcPr>
                  <w:tcW w:w="270" w:type="pct"/>
                  <w:vMerge w:val="restart"/>
                  <w:noWrap w:val="0"/>
                  <w:vAlign w:val="center"/>
                </w:tcPr>
                <w:p w14:paraId="553ED1B7">
                  <w:pPr>
                    <w:jc w:val="center"/>
                    <w:rPr>
                      <w:rFonts w:hint="default" w:eastAsia="宋体"/>
                      <w:color w:val="auto"/>
                      <w:szCs w:val="21"/>
                      <w:lang w:val="en-US" w:eastAsia="zh-CN"/>
                    </w:rPr>
                  </w:pPr>
                  <w:r>
                    <w:rPr>
                      <w:rFonts w:hint="eastAsia" w:eastAsia="宋体"/>
                      <w:color w:val="auto"/>
                      <w:szCs w:val="21"/>
                      <w:lang w:val="en-US" w:eastAsia="zh-CN"/>
                    </w:rPr>
                    <w:t>1.2</w:t>
                  </w:r>
                </w:p>
              </w:tc>
              <w:tc>
                <w:tcPr>
                  <w:tcW w:w="277" w:type="pct"/>
                  <w:tcBorders>
                    <w:right w:val="single" w:color="000000" w:sz="4" w:space="0"/>
                  </w:tcBorders>
                  <w:noWrap w:val="0"/>
                  <w:vAlign w:val="center"/>
                </w:tcPr>
                <w:p w14:paraId="50762D2A">
                  <w:pPr>
                    <w:jc w:val="center"/>
                    <w:rPr>
                      <w:rFonts w:hint="eastAsia" w:eastAsia="宋体"/>
                      <w:color w:val="auto"/>
                      <w:szCs w:val="21"/>
                      <w:lang w:val="en-US" w:eastAsia="zh-CN"/>
                    </w:rPr>
                  </w:pPr>
                  <w:r>
                    <w:rPr>
                      <w:rFonts w:hint="eastAsia"/>
                      <w:color w:val="auto"/>
                      <w:szCs w:val="21"/>
                      <w:lang w:val="en-US" w:eastAsia="zh-CN"/>
                    </w:rPr>
                    <w:t>西北</w:t>
                  </w:r>
                </w:p>
              </w:tc>
              <w:tc>
                <w:tcPr>
                  <w:tcW w:w="246" w:type="pct"/>
                  <w:tcBorders>
                    <w:left w:val="single" w:color="000000" w:sz="4" w:space="0"/>
                  </w:tcBorders>
                  <w:noWrap w:val="0"/>
                  <w:vAlign w:val="center"/>
                </w:tcPr>
                <w:p w14:paraId="0D13013A">
                  <w:pPr>
                    <w:jc w:val="center"/>
                    <w:rPr>
                      <w:rFonts w:hint="default" w:eastAsia="宋体"/>
                      <w:color w:val="auto"/>
                      <w:szCs w:val="21"/>
                      <w:lang w:val="en-US" w:eastAsia="zh-CN"/>
                    </w:rPr>
                  </w:pPr>
                  <w:r>
                    <w:rPr>
                      <w:rFonts w:hint="eastAsia"/>
                      <w:color w:val="auto"/>
                      <w:szCs w:val="21"/>
                      <w:lang w:val="en-US" w:eastAsia="zh-CN"/>
                    </w:rPr>
                    <w:t>1</w:t>
                  </w:r>
                </w:p>
              </w:tc>
              <w:tc>
                <w:tcPr>
                  <w:tcW w:w="349" w:type="pct"/>
                  <w:noWrap w:val="0"/>
                  <w:vAlign w:val="center"/>
                </w:tcPr>
                <w:p w14:paraId="2C478B7E">
                  <w:pPr>
                    <w:jc w:val="center"/>
                    <w:rPr>
                      <w:rFonts w:hint="default" w:eastAsia="宋体"/>
                      <w:color w:val="auto"/>
                      <w:szCs w:val="21"/>
                      <w:lang w:val="en-US" w:eastAsia="zh-CN"/>
                    </w:rPr>
                  </w:pPr>
                  <w:r>
                    <w:rPr>
                      <w:rFonts w:hint="eastAsia"/>
                      <w:color w:val="auto"/>
                      <w:szCs w:val="21"/>
                      <w:lang w:val="en-US" w:eastAsia="zh-CN"/>
                    </w:rPr>
                    <w:t>70.5</w:t>
                  </w:r>
                </w:p>
              </w:tc>
              <w:tc>
                <w:tcPr>
                  <w:tcW w:w="317" w:type="pct"/>
                  <w:vMerge w:val="restart"/>
                  <w:noWrap w:val="0"/>
                  <w:vAlign w:val="center"/>
                </w:tcPr>
                <w:p w14:paraId="092B136B">
                  <w:pPr>
                    <w:jc w:val="center"/>
                    <w:rPr>
                      <w:rFonts w:hint="eastAsia"/>
                      <w:color w:val="auto"/>
                      <w:szCs w:val="21"/>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noWrap w:val="0"/>
                  <w:vAlign w:val="center"/>
                </w:tcPr>
                <w:p w14:paraId="0EA9C8DD">
                  <w:pPr>
                    <w:jc w:val="center"/>
                    <w:rPr>
                      <w:rFonts w:hint="eastAsia"/>
                      <w:color w:val="auto"/>
                      <w:szCs w:val="21"/>
                    </w:rPr>
                  </w:pPr>
                  <w:r>
                    <w:rPr>
                      <w:rFonts w:hint="eastAsia"/>
                      <w:color w:val="auto"/>
                      <w:szCs w:val="21"/>
                    </w:rPr>
                    <w:t>-15</w:t>
                  </w:r>
                </w:p>
              </w:tc>
              <w:tc>
                <w:tcPr>
                  <w:tcW w:w="418" w:type="pct"/>
                  <w:noWrap w:val="0"/>
                  <w:vAlign w:val="center"/>
                </w:tcPr>
                <w:p w14:paraId="27DE4437">
                  <w:pPr>
                    <w:jc w:val="center"/>
                    <w:rPr>
                      <w:rFonts w:hint="default" w:eastAsia="宋体"/>
                      <w:color w:val="auto"/>
                      <w:szCs w:val="21"/>
                      <w:lang w:val="en-US" w:eastAsia="zh-CN"/>
                    </w:rPr>
                  </w:pPr>
                  <w:r>
                    <w:rPr>
                      <w:rFonts w:hint="eastAsia"/>
                      <w:color w:val="auto"/>
                      <w:szCs w:val="21"/>
                      <w:lang w:val="en-US" w:eastAsia="zh-CN"/>
                    </w:rPr>
                    <w:t>55.5</w:t>
                  </w:r>
                </w:p>
              </w:tc>
              <w:tc>
                <w:tcPr>
                  <w:tcW w:w="419" w:type="pct"/>
                  <w:vMerge w:val="restart"/>
                  <w:noWrap w:val="0"/>
                  <w:vAlign w:val="center"/>
                </w:tcPr>
                <w:p w14:paraId="00B18668">
                  <w:pPr>
                    <w:jc w:val="center"/>
                    <w:rPr>
                      <w:rFonts w:hint="eastAsia"/>
                      <w:color w:val="auto"/>
                      <w:szCs w:val="21"/>
                    </w:rPr>
                  </w:pPr>
                  <w:r>
                    <w:rPr>
                      <w:rFonts w:hint="eastAsia"/>
                      <w:color w:val="auto"/>
                      <w:szCs w:val="21"/>
                    </w:rPr>
                    <w:t>1</w:t>
                  </w:r>
                </w:p>
              </w:tc>
            </w:tr>
            <w:tr w14:paraId="19BF6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50" w:type="pct"/>
                  <w:vMerge w:val="continue"/>
                  <w:noWrap w:val="0"/>
                  <w:vAlign w:val="center"/>
                </w:tcPr>
                <w:p w14:paraId="0F224AB7">
                  <w:pPr>
                    <w:jc w:val="center"/>
                    <w:rPr>
                      <w:rFonts w:hint="eastAsia"/>
                      <w:color w:val="auto"/>
                      <w:szCs w:val="21"/>
                    </w:rPr>
                  </w:pPr>
                </w:p>
              </w:tc>
              <w:tc>
                <w:tcPr>
                  <w:tcW w:w="266" w:type="pct"/>
                  <w:vMerge w:val="continue"/>
                  <w:noWrap w:val="0"/>
                  <w:vAlign w:val="center"/>
                </w:tcPr>
                <w:p w14:paraId="034489CB">
                  <w:pPr>
                    <w:jc w:val="center"/>
                    <w:rPr>
                      <w:rFonts w:hint="eastAsia"/>
                      <w:color w:val="auto"/>
                      <w:szCs w:val="21"/>
                    </w:rPr>
                  </w:pPr>
                </w:p>
              </w:tc>
              <w:tc>
                <w:tcPr>
                  <w:tcW w:w="324" w:type="pct"/>
                  <w:vMerge w:val="continue"/>
                  <w:noWrap w:val="0"/>
                  <w:vAlign w:val="center"/>
                </w:tcPr>
                <w:p w14:paraId="531F28F1">
                  <w:pPr>
                    <w:jc w:val="center"/>
                    <w:rPr>
                      <w:rFonts w:hint="eastAsia" w:ascii="Times New Roman" w:hAnsi="Times New Roman" w:eastAsia="宋体" w:cs="Times New Roman"/>
                      <w:color w:val="auto"/>
                      <w:szCs w:val="21"/>
                      <w:lang w:val="en-US" w:eastAsia="zh-CN"/>
                    </w:rPr>
                  </w:pPr>
                </w:p>
              </w:tc>
              <w:tc>
                <w:tcPr>
                  <w:tcW w:w="349" w:type="pct"/>
                  <w:vMerge w:val="continue"/>
                  <w:noWrap w:val="0"/>
                  <w:vAlign w:val="center"/>
                </w:tcPr>
                <w:p w14:paraId="55D33786">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5451AFF0">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1383C931">
                  <w:pPr>
                    <w:jc w:val="center"/>
                    <w:rPr>
                      <w:rFonts w:hint="eastAsia"/>
                      <w:color w:val="auto"/>
                      <w:szCs w:val="21"/>
                    </w:rPr>
                  </w:pPr>
                </w:p>
              </w:tc>
              <w:tc>
                <w:tcPr>
                  <w:tcW w:w="262" w:type="pct"/>
                  <w:vMerge w:val="continue"/>
                  <w:noWrap w:val="0"/>
                  <w:vAlign w:val="center"/>
                </w:tcPr>
                <w:p w14:paraId="20B09230">
                  <w:pPr>
                    <w:jc w:val="center"/>
                    <w:rPr>
                      <w:color w:val="auto"/>
                      <w:szCs w:val="21"/>
                    </w:rPr>
                  </w:pPr>
                </w:p>
              </w:tc>
              <w:tc>
                <w:tcPr>
                  <w:tcW w:w="285" w:type="pct"/>
                  <w:vMerge w:val="continue"/>
                  <w:noWrap w:val="0"/>
                  <w:vAlign w:val="center"/>
                </w:tcPr>
                <w:p w14:paraId="0929CF9A">
                  <w:pPr>
                    <w:jc w:val="center"/>
                    <w:rPr>
                      <w:color w:val="auto"/>
                      <w:szCs w:val="21"/>
                    </w:rPr>
                  </w:pPr>
                </w:p>
              </w:tc>
              <w:tc>
                <w:tcPr>
                  <w:tcW w:w="270" w:type="pct"/>
                  <w:vMerge w:val="continue"/>
                  <w:noWrap w:val="0"/>
                  <w:vAlign w:val="center"/>
                </w:tcPr>
                <w:p w14:paraId="63F6C3F7">
                  <w:pPr>
                    <w:jc w:val="center"/>
                    <w:rPr>
                      <w:rFonts w:hint="eastAsia"/>
                      <w:color w:val="auto"/>
                      <w:szCs w:val="21"/>
                    </w:rPr>
                  </w:pPr>
                </w:p>
              </w:tc>
              <w:tc>
                <w:tcPr>
                  <w:tcW w:w="277" w:type="pct"/>
                  <w:tcBorders>
                    <w:right w:val="single" w:color="000000" w:sz="4" w:space="0"/>
                  </w:tcBorders>
                  <w:noWrap w:val="0"/>
                  <w:vAlign w:val="center"/>
                </w:tcPr>
                <w:p w14:paraId="6B845918">
                  <w:pPr>
                    <w:jc w:val="center"/>
                    <w:rPr>
                      <w:rFonts w:hint="eastAsia" w:eastAsia="宋体"/>
                      <w:color w:val="auto"/>
                      <w:szCs w:val="21"/>
                      <w:lang w:val="en-US" w:eastAsia="zh-CN"/>
                    </w:rPr>
                  </w:pPr>
                  <w:r>
                    <w:rPr>
                      <w:rFonts w:hint="eastAsia"/>
                      <w:color w:val="auto"/>
                      <w:szCs w:val="21"/>
                      <w:lang w:val="en-US" w:eastAsia="zh-CN"/>
                    </w:rPr>
                    <w:t>西南</w:t>
                  </w:r>
                </w:p>
              </w:tc>
              <w:tc>
                <w:tcPr>
                  <w:tcW w:w="246" w:type="pct"/>
                  <w:tcBorders>
                    <w:left w:val="single" w:color="000000" w:sz="4" w:space="0"/>
                  </w:tcBorders>
                  <w:noWrap w:val="0"/>
                  <w:vAlign w:val="center"/>
                </w:tcPr>
                <w:p w14:paraId="527E7CA0">
                  <w:pPr>
                    <w:jc w:val="center"/>
                    <w:rPr>
                      <w:rFonts w:hint="default" w:eastAsia="宋体"/>
                      <w:color w:val="auto"/>
                      <w:szCs w:val="21"/>
                      <w:lang w:val="en-US" w:eastAsia="zh-CN"/>
                    </w:rPr>
                  </w:pPr>
                  <w:r>
                    <w:rPr>
                      <w:rFonts w:hint="eastAsia"/>
                      <w:color w:val="auto"/>
                      <w:szCs w:val="21"/>
                      <w:lang w:val="en-US" w:eastAsia="zh-CN"/>
                    </w:rPr>
                    <w:t>12</w:t>
                  </w:r>
                </w:p>
              </w:tc>
              <w:tc>
                <w:tcPr>
                  <w:tcW w:w="349" w:type="pct"/>
                  <w:noWrap w:val="0"/>
                  <w:vAlign w:val="center"/>
                </w:tcPr>
                <w:p w14:paraId="0A3FBEEA">
                  <w:pPr>
                    <w:jc w:val="center"/>
                    <w:rPr>
                      <w:rFonts w:hint="default" w:eastAsia="宋体"/>
                      <w:color w:val="auto"/>
                      <w:szCs w:val="21"/>
                      <w:lang w:val="en-US" w:eastAsia="zh-CN"/>
                    </w:rPr>
                  </w:pPr>
                  <w:r>
                    <w:rPr>
                      <w:rFonts w:hint="eastAsia"/>
                      <w:color w:val="auto"/>
                      <w:szCs w:val="21"/>
                      <w:lang w:val="en-US" w:eastAsia="zh-CN"/>
                    </w:rPr>
                    <w:t>60.1</w:t>
                  </w:r>
                </w:p>
              </w:tc>
              <w:tc>
                <w:tcPr>
                  <w:tcW w:w="317" w:type="pct"/>
                  <w:vMerge w:val="continue"/>
                  <w:noWrap w:val="0"/>
                  <w:vAlign w:val="center"/>
                </w:tcPr>
                <w:p w14:paraId="129114D9">
                  <w:pPr>
                    <w:jc w:val="center"/>
                    <w:rPr>
                      <w:rFonts w:hint="eastAsia"/>
                      <w:snapToGrid w:val="0"/>
                      <w:color w:val="auto"/>
                      <w:szCs w:val="21"/>
                      <w:lang w:val="en-US" w:eastAsia="zh-CN"/>
                    </w:rPr>
                  </w:pPr>
                </w:p>
              </w:tc>
              <w:tc>
                <w:tcPr>
                  <w:tcW w:w="394" w:type="pct"/>
                  <w:vMerge w:val="continue"/>
                  <w:noWrap w:val="0"/>
                  <w:vAlign w:val="center"/>
                </w:tcPr>
                <w:p w14:paraId="380C412F">
                  <w:pPr>
                    <w:jc w:val="center"/>
                    <w:rPr>
                      <w:rFonts w:hint="eastAsia"/>
                      <w:color w:val="auto"/>
                      <w:szCs w:val="21"/>
                    </w:rPr>
                  </w:pPr>
                </w:p>
              </w:tc>
              <w:tc>
                <w:tcPr>
                  <w:tcW w:w="418" w:type="pct"/>
                  <w:noWrap w:val="0"/>
                  <w:vAlign w:val="center"/>
                </w:tcPr>
                <w:p w14:paraId="4CF794A9">
                  <w:pPr>
                    <w:jc w:val="center"/>
                    <w:rPr>
                      <w:rFonts w:hint="default" w:eastAsia="宋体"/>
                      <w:color w:val="auto"/>
                      <w:szCs w:val="21"/>
                      <w:lang w:val="en-US" w:eastAsia="zh-CN"/>
                    </w:rPr>
                  </w:pPr>
                  <w:r>
                    <w:rPr>
                      <w:rFonts w:hint="eastAsia"/>
                      <w:color w:val="auto"/>
                      <w:szCs w:val="21"/>
                      <w:lang w:val="en-US" w:eastAsia="zh-CN"/>
                    </w:rPr>
                    <w:t>45.1</w:t>
                  </w:r>
                </w:p>
              </w:tc>
              <w:tc>
                <w:tcPr>
                  <w:tcW w:w="419" w:type="pct"/>
                  <w:vMerge w:val="continue"/>
                  <w:noWrap w:val="0"/>
                  <w:vAlign w:val="center"/>
                </w:tcPr>
                <w:p w14:paraId="4C959A22">
                  <w:pPr>
                    <w:jc w:val="center"/>
                    <w:rPr>
                      <w:rFonts w:hint="eastAsia"/>
                      <w:color w:val="auto"/>
                      <w:szCs w:val="21"/>
                    </w:rPr>
                  </w:pPr>
                </w:p>
              </w:tc>
            </w:tr>
            <w:tr w14:paraId="21D49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50" w:type="pct"/>
                  <w:vMerge w:val="continue"/>
                  <w:noWrap w:val="0"/>
                  <w:vAlign w:val="center"/>
                </w:tcPr>
                <w:p w14:paraId="36D34A22">
                  <w:pPr>
                    <w:jc w:val="center"/>
                    <w:rPr>
                      <w:rFonts w:hint="eastAsia"/>
                      <w:color w:val="auto"/>
                      <w:szCs w:val="21"/>
                    </w:rPr>
                  </w:pPr>
                </w:p>
              </w:tc>
              <w:tc>
                <w:tcPr>
                  <w:tcW w:w="266" w:type="pct"/>
                  <w:vMerge w:val="continue"/>
                  <w:noWrap w:val="0"/>
                  <w:vAlign w:val="center"/>
                </w:tcPr>
                <w:p w14:paraId="1EEF55F7">
                  <w:pPr>
                    <w:jc w:val="center"/>
                    <w:rPr>
                      <w:rFonts w:hint="eastAsia"/>
                      <w:color w:val="auto"/>
                      <w:szCs w:val="21"/>
                    </w:rPr>
                  </w:pPr>
                </w:p>
              </w:tc>
              <w:tc>
                <w:tcPr>
                  <w:tcW w:w="324" w:type="pct"/>
                  <w:vMerge w:val="continue"/>
                  <w:noWrap w:val="0"/>
                  <w:vAlign w:val="center"/>
                </w:tcPr>
                <w:p w14:paraId="7B64C734">
                  <w:pPr>
                    <w:jc w:val="center"/>
                    <w:rPr>
                      <w:rFonts w:hint="eastAsia" w:ascii="Times New Roman" w:hAnsi="Times New Roman" w:eastAsia="宋体" w:cs="Times New Roman"/>
                      <w:color w:val="auto"/>
                      <w:szCs w:val="21"/>
                      <w:lang w:val="en-US" w:eastAsia="zh-CN"/>
                    </w:rPr>
                  </w:pPr>
                </w:p>
              </w:tc>
              <w:tc>
                <w:tcPr>
                  <w:tcW w:w="349" w:type="pct"/>
                  <w:vMerge w:val="continue"/>
                  <w:noWrap w:val="0"/>
                  <w:vAlign w:val="center"/>
                </w:tcPr>
                <w:p w14:paraId="41A04AAC">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485AF579">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7FDBC0D4">
                  <w:pPr>
                    <w:jc w:val="center"/>
                    <w:rPr>
                      <w:rFonts w:hint="eastAsia"/>
                      <w:color w:val="auto"/>
                      <w:szCs w:val="21"/>
                    </w:rPr>
                  </w:pPr>
                </w:p>
              </w:tc>
              <w:tc>
                <w:tcPr>
                  <w:tcW w:w="262" w:type="pct"/>
                  <w:vMerge w:val="continue"/>
                  <w:noWrap w:val="0"/>
                  <w:vAlign w:val="center"/>
                </w:tcPr>
                <w:p w14:paraId="1821CE39">
                  <w:pPr>
                    <w:jc w:val="center"/>
                    <w:rPr>
                      <w:rFonts w:hint="eastAsia"/>
                      <w:color w:val="auto"/>
                      <w:szCs w:val="21"/>
                    </w:rPr>
                  </w:pPr>
                </w:p>
              </w:tc>
              <w:tc>
                <w:tcPr>
                  <w:tcW w:w="285" w:type="pct"/>
                  <w:vMerge w:val="continue"/>
                  <w:noWrap w:val="0"/>
                  <w:vAlign w:val="center"/>
                </w:tcPr>
                <w:p w14:paraId="1CF1EC50">
                  <w:pPr>
                    <w:jc w:val="center"/>
                    <w:rPr>
                      <w:rFonts w:hint="eastAsia"/>
                      <w:color w:val="auto"/>
                      <w:szCs w:val="21"/>
                    </w:rPr>
                  </w:pPr>
                </w:p>
              </w:tc>
              <w:tc>
                <w:tcPr>
                  <w:tcW w:w="270" w:type="pct"/>
                  <w:vMerge w:val="continue"/>
                  <w:noWrap w:val="0"/>
                  <w:vAlign w:val="center"/>
                </w:tcPr>
                <w:p w14:paraId="3C44B57A">
                  <w:pPr>
                    <w:jc w:val="center"/>
                    <w:rPr>
                      <w:rFonts w:hint="eastAsia"/>
                      <w:color w:val="auto"/>
                      <w:szCs w:val="21"/>
                    </w:rPr>
                  </w:pPr>
                </w:p>
              </w:tc>
              <w:tc>
                <w:tcPr>
                  <w:tcW w:w="277" w:type="pct"/>
                  <w:tcBorders>
                    <w:right w:val="single" w:color="000000" w:sz="4" w:space="0"/>
                  </w:tcBorders>
                  <w:noWrap w:val="0"/>
                  <w:vAlign w:val="center"/>
                </w:tcPr>
                <w:p w14:paraId="21DC38D7">
                  <w:pPr>
                    <w:jc w:val="center"/>
                    <w:rPr>
                      <w:rFonts w:hint="eastAsia" w:eastAsia="宋体"/>
                      <w:color w:val="auto"/>
                      <w:szCs w:val="21"/>
                      <w:lang w:val="en-US" w:eastAsia="zh-CN"/>
                    </w:rPr>
                  </w:pPr>
                  <w:r>
                    <w:rPr>
                      <w:rFonts w:hint="eastAsia"/>
                      <w:color w:val="auto"/>
                      <w:szCs w:val="21"/>
                      <w:lang w:val="en-US" w:eastAsia="zh-CN"/>
                    </w:rPr>
                    <w:t>东北</w:t>
                  </w:r>
                </w:p>
              </w:tc>
              <w:tc>
                <w:tcPr>
                  <w:tcW w:w="246" w:type="pct"/>
                  <w:tcBorders>
                    <w:left w:val="single" w:color="000000" w:sz="4" w:space="0"/>
                  </w:tcBorders>
                  <w:noWrap w:val="0"/>
                  <w:vAlign w:val="center"/>
                </w:tcPr>
                <w:p w14:paraId="41BB612A">
                  <w:pPr>
                    <w:jc w:val="center"/>
                    <w:rPr>
                      <w:rFonts w:hint="default" w:eastAsia="宋体"/>
                      <w:color w:val="auto"/>
                      <w:szCs w:val="21"/>
                      <w:lang w:val="en-US" w:eastAsia="zh-CN"/>
                    </w:rPr>
                  </w:pPr>
                  <w:r>
                    <w:rPr>
                      <w:rFonts w:hint="eastAsia"/>
                      <w:color w:val="auto"/>
                      <w:szCs w:val="21"/>
                      <w:lang w:val="en-US" w:eastAsia="zh-CN"/>
                    </w:rPr>
                    <w:t>2</w:t>
                  </w:r>
                </w:p>
              </w:tc>
              <w:tc>
                <w:tcPr>
                  <w:tcW w:w="349" w:type="pct"/>
                  <w:noWrap w:val="0"/>
                  <w:vAlign w:val="center"/>
                </w:tcPr>
                <w:p w14:paraId="7F84AF43">
                  <w:pPr>
                    <w:jc w:val="center"/>
                    <w:rPr>
                      <w:rFonts w:hint="default" w:eastAsia="宋体"/>
                      <w:color w:val="auto"/>
                      <w:szCs w:val="21"/>
                      <w:lang w:val="en-US" w:eastAsia="zh-CN"/>
                    </w:rPr>
                  </w:pPr>
                  <w:r>
                    <w:rPr>
                      <w:rFonts w:hint="eastAsia"/>
                      <w:color w:val="auto"/>
                      <w:szCs w:val="21"/>
                      <w:lang w:val="en-US" w:eastAsia="zh-CN"/>
                    </w:rPr>
                    <w:t>65.6</w:t>
                  </w:r>
                </w:p>
              </w:tc>
              <w:tc>
                <w:tcPr>
                  <w:tcW w:w="317" w:type="pct"/>
                  <w:vMerge w:val="continue"/>
                  <w:noWrap w:val="0"/>
                  <w:vAlign w:val="center"/>
                </w:tcPr>
                <w:p w14:paraId="4E9F3453">
                  <w:pPr>
                    <w:jc w:val="center"/>
                    <w:rPr>
                      <w:rFonts w:hint="eastAsia"/>
                      <w:color w:val="auto"/>
                      <w:szCs w:val="21"/>
                    </w:rPr>
                  </w:pPr>
                </w:p>
              </w:tc>
              <w:tc>
                <w:tcPr>
                  <w:tcW w:w="394" w:type="pct"/>
                  <w:vMerge w:val="continue"/>
                  <w:noWrap w:val="0"/>
                  <w:vAlign w:val="center"/>
                </w:tcPr>
                <w:p w14:paraId="7AC98529">
                  <w:pPr>
                    <w:jc w:val="center"/>
                    <w:rPr>
                      <w:rFonts w:hint="eastAsia"/>
                      <w:color w:val="auto"/>
                      <w:szCs w:val="21"/>
                    </w:rPr>
                  </w:pPr>
                </w:p>
              </w:tc>
              <w:tc>
                <w:tcPr>
                  <w:tcW w:w="418" w:type="pct"/>
                  <w:noWrap w:val="0"/>
                  <w:vAlign w:val="center"/>
                </w:tcPr>
                <w:p w14:paraId="593832D0">
                  <w:pPr>
                    <w:jc w:val="center"/>
                    <w:rPr>
                      <w:rFonts w:hint="default" w:eastAsia="宋体"/>
                      <w:color w:val="auto"/>
                      <w:szCs w:val="21"/>
                      <w:lang w:val="en-US" w:eastAsia="zh-CN"/>
                    </w:rPr>
                  </w:pPr>
                  <w:r>
                    <w:rPr>
                      <w:rFonts w:hint="eastAsia"/>
                      <w:color w:val="auto"/>
                      <w:szCs w:val="21"/>
                      <w:lang w:val="en-US" w:eastAsia="zh-CN"/>
                    </w:rPr>
                    <w:t>50.6</w:t>
                  </w:r>
                </w:p>
              </w:tc>
              <w:tc>
                <w:tcPr>
                  <w:tcW w:w="419" w:type="pct"/>
                  <w:vMerge w:val="continue"/>
                  <w:noWrap w:val="0"/>
                  <w:vAlign w:val="center"/>
                </w:tcPr>
                <w:p w14:paraId="34702E43">
                  <w:pPr>
                    <w:jc w:val="center"/>
                    <w:rPr>
                      <w:rFonts w:hint="eastAsia"/>
                      <w:color w:val="auto"/>
                      <w:szCs w:val="21"/>
                    </w:rPr>
                  </w:pPr>
                </w:p>
              </w:tc>
            </w:tr>
            <w:tr w14:paraId="1BF6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150" w:type="pct"/>
                  <w:vMerge w:val="continue"/>
                  <w:noWrap w:val="0"/>
                  <w:vAlign w:val="center"/>
                </w:tcPr>
                <w:p w14:paraId="23EA6699">
                  <w:pPr>
                    <w:jc w:val="center"/>
                    <w:rPr>
                      <w:rFonts w:hint="eastAsia"/>
                      <w:color w:val="auto"/>
                      <w:szCs w:val="21"/>
                    </w:rPr>
                  </w:pPr>
                </w:p>
              </w:tc>
              <w:tc>
                <w:tcPr>
                  <w:tcW w:w="266" w:type="pct"/>
                  <w:vMerge w:val="continue"/>
                  <w:noWrap w:val="0"/>
                  <w:vAlign w:val="center"/>
                </w:tcPr>
                <w:p w14:paraId="26B1D270">
                  <w:pPr>
                    <w:jc w:val="center"/>
                    <w:rPr>
                      <w:rFonts w:hint="eastAsia"/>
                      <w:color w:val="auto"/>
                      <w:szCs w:val="21"/>
                    </w:rPr>
                  </w:pPr>
                </w:p>
              </w:tc>
              <w:tc>
                <w:tcPr>
                  <w:tcW w:w="324" w:type="pct"/>
                  <w:vMerge w:val="continue"/>
                  <w:noWrap w:val="0"/>
                  <w:vAlign w:val="center"/>
                </w:tcPr>
                <w:p w14:paraId="26157CA7">
                  <w:pPr>
                    <w:jc w:val="center"/>
                    <w:rPr>
                      <w:rFonts w:hint="eastAsia" w:ascii="Times New Roman" w:hAnsi="Times New Roman" w:eastAsia="宋体" w:cs="Times New Roman"/>
                      <w:color w:val="auto"/>
                      <w:szCs w:val="21"/>
                      <w:lang w:val="en-US" w:eastAsia="zh-CN"/>
                    </w:rPr>
                  </w:pPr>
                </w:p>
              </w:tc>
              <w:tc>
                <w:tcPr>
                  <w:tcW w:w="349" w:type="pct"/>
                  <w:vMerge w:val="continue"/>
                  <w:noWrap w:val="0"/>
                  <w:vAlign w:val="center"/>
                </w:tcPr>
                <w:p w14:paraId="69745296">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6E4D2AF2">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63D3BDCE">
                  <w:pPr>
                    <w:jc w:val="center"/>
                    <w:rPr>
                      <w:rFonts w:hint="eastAsia"/>
                      <w:color w:val="auto"/>
                      <w:szCs w:val="21"/>
                    </w:rPr>
                  </w:pPr>
                </w:p>
              </w:tc>
              <w:tc>
                <w:tcPr>
                  <w:tcW w:w="262" w:type="pct"/>
                  <w:vMerge w:val="continue"/>
                  <w:noWrap w:val="0"/>
                  <w:vAlign w:val="center"/>
                </w:tcPr>
                <w:p w14:paraId="42F90A44">
                  <w:pPr>
                    <w:jc w:val="center"/>
                    <w:rPr>
                      <w:rFonts w:hint="eastAsia"/>
                      <w:color w:val="auto"/>
                      <w:szCs w:val="21"/>
                    </w:rPr>
                  </w:pPr>
                </w:p>
              </w:tc>
              <w:tc>
                <w:tcPr>
                  <w:tcW w:w="285" w:type="pct"/>
                  <w:vMerge w:val="continue"/>
                  <w:noWrap w:val="0"/>
                  <w:vAlign w:val="center"/>
                </w:tcPr>
                <w:p w14:paraId="0261B98F">
                  <w:pPr>
                    <w:jc w:val="center"/>
                    <w:rPr>
                      <w:rFonts w:hint="eastAsia"/>
                      <w:color w:val="auto"/>
                      <w:szCs w:val="21"/>
                    </w:rPr>
                  </w:pPr>
                </w:p>
              </w:tc>
              <w:tc>
                <w:tcPr>
                  <w:tcW w:w="270" w:type="pct"/>
                  <w:vMerge w:val="continue"/>
                  <w:noWrap w:val="0"/>
                  <w:vAlign w:val="center"/>
                </w:tcPr>
                <w:p w14:paraId="454D2B8C">
                  <w:pPr>
                    <w:jc w:val="center"/>
                    <w:rPr>
                      <w:rFonts w:hint="eastAsia"/>
                      <w:color w:val="auto"/>
                      <w:szCs w:val="21"/>
                    </w:rPr>
                  </w:pPr>
                </w:p>
              </w:tc>
              <w:tc>
                <w:tcPr>
                  <w:tcW w:w="277" w:type="pct"/>
                  <w:tcBorders>
                    <w:right w:val="single" w:color="000000" w:sz="4" w:space="0"/>
                  </w:tcBorders>
                  <w:noWrap w:val="0"/>
                  <w:vAlign w:val="center"/>
                </w:tcPr>
                <w:p w14:paraId="21C4F1D3">
                  <w:pPr>
                    <w:jc w:val="center"/>
                    <w:rPr>
                      <w:rFonts w:hint="eastAsia" w:eastAsia="宋体"/>
                      <w:color w:val="auto"/>
                      <w:szCs w:val="21"/>
                      <w:lang w:val="en-US" w:eastAsia="zh-CN"/>
                    </w:rPr>
                  </w:pPr>
                  <w:r>
                    <w:rPr>
                      <w:rFonts w:hint="eastAsia"/>
                      <w:color w:val="auto"/>
                      <w:szCs w:val="21"/>
                      <w:lang w:val="en-US" w:eastAsia="zh-CN"/>
                    </w:rPr>
                    <w:t>东南</w:t>
                  </w:r>
                </w:p>
              </w:tc>
              <w:tc>
                <w:tcPr>
                  <w:tcW w:w="246" w:type="pct"/>
                  <w:tcBorders>
                    <w:left w:val="single" w:color="000000" w:sz="4" w:space="0"/>
                  </w:tcBorders>
                  <w:noWrap w:val="0"/>
                  <w:vAlign w:val="center"/>
                </w:tcPr>
                <w:p w14:paraId="2D925FDF">
                  <w:pPr>
                    <w:jc w:val="center"/>
                    <w:rPr>
                      <w:rFonts w:hint="default" w:eastAsia="宋体"/>
                      <w:color w:val="auto"/>
                      <w:szCs w:val="21"/>
                      <w:lang w:val="en-US" w:eastAsia="zh-CN"/>
                    </w:rPr>
                  </w:pPr>
                  <w:r>
                    <w:rPr>
                      <w:rFonts w:hint="eastAsia"/>
                      <w:color w:val="auto"/>
                      <w:szCs w:val="21"/>
                      <w:lang w:val="en-US" w:eastAsia="zh-CN"/>
                    </w:rPr>
                    <w:t>2</w:t>
                  </w:r>
                </w:p>
              </w:tc>
              <w:tc>
                <w:tcPr>
                  <w:tcW w:w="349" w:type="pct"/>
                  <w:noWrap w:val="0"/>
                  <w:vAlign w:val="center"/>
                </w:tcPr>
                <w:p w14:paraId="314F5F85">
                  <w:pPr>
                    <w:jc w:val="center"/>
                    <w:rPr>
                      <w:rFonts w:hint="default" w:eastAsia="宋体"/>
                      <w:color w:val="auto"/>
                      <w:szCs w:val="21"/>
                      <w:lang w:val="en-US" w:eastAsia="zh-CN"/>
                    </w:rPr>
                  </w:pPr>
                  <w:r>
                    <w:rPr>
                      <w:rFonts w:hint="eastAsia"/>
                      <w:color w:val="auto"/>
                      <w:szCs w:val="21"/>
                      <w:lang w:val="en-US" w:eastAsia="zh-CN"/>
                    </w:rPr>
                    <w:t>65.4</w:t>
                  </w:r>
                </w:p>
              </w:tc>
              <w:tc>
                <w:tcPr>
                  <w:tcW w:w="317" w:type="pct"/>
                  <w:vMerge w:val="continue"/>
                  <w:noWrap w:val="0"/>
                  <w:vAlign w:val="center"/>
                </w:tcPr>
                <w:p w14:paraId="6EBA34F4">
                  <w:pPr>
                    <w:jc w:val="center"/>
                    <w:rPr>
                      <w:rFonts w:hint="eastAsia"/>
                      <w:color w:val="auto"/>
                      <w:szCs w:val="21"/>
                    </w:rPr>
                  </w:pPr>
                </w:p>
              </w:tc>
              <w:tc>
                <w:tcPr>
                  <w:tcW w:w="394" w:type="pct"/>
                  <w:vMerge w:val="continue"/>
                  <w:noWrap w:val="0"/>
                  <w:vAlign w:val="center"/>
                </w:tcPr>
                <w:p w14:paraId="2E5465F8">
                  <w:pPr>
                    <w:jc w:val="center"/>
                    <w:rPr>
                      <w:rFonts w:hint="eastAsia"/>
                      <w:color w:val="auto"/>
                      <w:szCs w:val="21"/>
                    </w:rPr>
                  </w:pPr>
                </w:p>
              </w:tc>
              <w:tc>
                <w:tcPr>
                  <w:tcW w:w="418" w:type="pct"/>
                  <w:noWrap w:val="0"/>
                  <w:vAlign w:val="center"/>
                </w:tcPr>
                <w:p w14:paraId="7BD87CF3">
                  <w:pPr>
                    <w:jc w:val="center"/>
                    <w:rPr>
                      <w:rFonts w:hint="default" w:eastAsia="宋体"/>
                      <w:color w:val="auto"/>
                      <w:szCs w:val="21"/>
                      <w:lang w:val="en-US" w:eastAsia="zh-CN"/>
                    </w:rPr>
                  </w:pPr>
                  <w:r>
                    <w:rPr>
                      <w:rFonts w:hint="eastAsia"/>
                      <w:color w:val="auto"/>
                      <w:szCs w:val="21"/>
                      <w:lang w:val="en-US" w:eastAsia="zh-CN"/>
                    </w:rPr>
                    <w:t>50.4</w:t>
                  </w:r>
                </w:p>
              </w:tc>
              <w:tc>
                <w:tcPr>
                  <w:tcW w:w="419" w:type="pct"/>
                  <w:vMerge w:val="continue"/>
                  <w:noWrap w:val="0"/>
                  <w:vAlign w:val="center"/>
                </w:tcPr>
                <w:p w14:paraId="401F0159">
                  <w:pPr>
                    <w:jc w:val="center"/>
                    <w:rPr>
                      <w:rFonts w:hint="eastAsia"/>
                      <w:color w:val="auto"/>
                      <w:szCs w:val="21"/>
                    </w:rPr>
                  </w:pPr>
                </w:p>
              </w:tc>
            </w:tr>
            <w:tr w14:paraId="1A69F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restart"/>
                  <w:vAlign w:val="center"/>
                </w:tcPr>
                <w:p w14:paraId="7C9B0B93">
                  <w:pPr>
                    <w:jc w:val="center"/>
                    <w:rPr>
                      <w:rFonts w:hint="eastAsia" w:eastAsia="宋体"/>
                      <w:color w:val="auto"/>
                      <w:szCs w:val="21"/>
                      <w:lang w:val="en-US" w:eastAsia="zh-CN"/>
                    </w:rPr>
                  </w:pPr>
                  <w:r>
                    <w:rPr>
                      <w:rFonts w:hint="eastAsia"/>
                      <w:color w:val="auto"/>
                      <w:szCs w:val="21"/>
                      <w:lang w:val="en-US" w:eastAsia="zh-CN"/>
                    </w:rPr>
                    <w:t>2</w:t>
                  </w:r>
                </w:p>
              </w:tc>
              <w:tc>
                <w:tcPr>
                  <w:tcW w:w="266" w:type="pct"/>
                  <w:vMerge w:val="continue"/>
                  <w:vAlign w:val="center"/>
                </w:tcPr>
                <w:p w14:paraId="6CBC750B">
                  <w:pPr>
                    <w:jc w:val="center"/>
                    <w:rPr>
                      <w:rFonts w:hint="eastAsia"/>
                      <w:color w:val="auto"/>
                      <w:szCs w:val="21"/>
                    </w:rPr>
                  </w:pPr>
                </w:p>
              </w:tc>
              <w:tc>
                <w:tcPr>
                  <w:tcW w:w="324" w:type="pct"/>
                  <w:vMerge w:val="restart"/>
                  <w:shd w:val="clear" w:color="auto" w:fill="auto"/>
                  <w:vAlign w:val="center"/>
                </w:tcPr>
                <w:p w14:paraId="2042F45A">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成型机</w:t>
                  </w:r>
                </w:p>
              </w:tc>
              <w:tc>
                <w:tcPr>
                  <w:tcW w:w="349" w:type="pct"/>
                  <w:vMerge w:val="restart"/>
                  <w:shd w:val="clear" w:color="auto" w:fill="auto"/>
                  <w:vAlign w:val="center"/>
                </w:tcPr>
                <w:p w14:paraId="17DD228C">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34</w:t>
                  </w:r>
                </w:p>
              </w:tc>
              <w:tc>
                <w:tcPr>
                  <w:tcW w:w="333" w:type="pct"/>
                  <w:vMerge w:val="restart"/>
                  <w:vAlign w:val="center"/>
                </w:tcPr>
                <w:p w14:paraId="31958D1F">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75-80</w:t>
                  </w:r>
                </w:p>
              </w:tc>
              <w:tc>
                <w:tcPr>
                  <w:tcW w:w="333" w:type="pct"/>
                  <w:vMerge w:val="continue"/>
                  <w:vAlign w:val="center"/>
                </w:tcPr>
                <w:p w14:paraId="33A21C49">
                  <w:pPr>
                    <w:jc w:val="center"/>
                    <w:rPr>
                      <w:rFonts w:hint="eastAsia"/>
                      <w:color w:val="auto"/>
                      <w:szCs w:val="21"/>
                    </w:rPr>
                  </w:pPr>
                </w:p>
              </w:tc>
              <w:tc>
                <w:tcPr>
                  <w:tcW w:w="262" w:type="pct"/>
                  <w:vMerge w:val="restart"/>
                  <w:shd w:val="clear" w:color="auto" w:fill="auto"/>
                  <w:vAlign w:val="center"/>
                </w:tcPr>
                <w:p w14:paraId="60BAB81E">
                  <w:pPr>
                    <w:jc w:val="center"/>
                    <w:rPr>
                      <w:rFonts w:hint="default"/>
                      <w:color w:val="auto"/>
                      <w:szCs w:val="21"/>
                      <w:lang w:val="en-US"/>
                    </w:rPr>
                  </w:pPr>
                  <w:r>
                    <w:rPr>
                      <w:rFonts w:hint="eastAsia" w:cs="Times New Roman"/>
                      <w:color w:val="auto"/>
                      <w:kern w:val="2"/>
                      <w:sz w:val="21"/>
                      <w:szCs w:val="21"/>
                      <w:lang w:val="en-US" w:eastAsia="zh-CN" w:bidi="ar-SA"/>
                    </w:rPr>
                    <w:t>1-45</w:t>
                  </w:r>
                </w:p>
              </w:tc>
              <w:tc>
                <w:tcPr>
                  <w:tcW w:w="285" w:type="pct"/>
                  <w:vMerge w:val="restart"/>
                  <w:shd w:val="clear" w:color="auto" w:fill="auto"/>
                  <w:vAlign w:val="center"/>
                </w:tcPr>
                <w:p w14:paraId="72898F46">
                  <w:pPr>
                    <w:jc w:val="center"/>
                    <w:rPr>
                      <w:rFonts w:hint="default" w:eastAsia="宋体"/>
                      <w:color w:val="auto"/>
                      <w:szCs w:val="21"/>
                      <w:lang w:val="en-US" w:eastAsia="zh-CN"/>
                    </w:rPr>
                  </w:pPr>
                  <w:r>
                    <w:rPr>
                      <w:rFonts w:hint="eastAsia"/>
                      <w:color w:val="auto"/>
                      <w:szCs w:val="21"/>
                      <w:lang w:val="en-US" w:eastAsia="zh-CN"/>
                    </w:rPr>
                    <w:t>9-15</w:t>
                  </w:r>
                </w:p>
              </w:tc>
              <w:tc>
                <w:tcPr>
                  <w:tcW w:w="270" w:type="pct"/>
                  <w:vMerge w:val="restart"/>
                  <w:shd w:val="clear" w:color="auto" w:fill="auto"/>
                  <w:vAlign w:val="center"/>
                </w:tcPr>
                <w:p w14:paraId="295EC59C">
                  <w:pPr>
                    <w:jc w:val="center"/>
                    <w:rPr>
                      <w:rFonts w:hint="eastAsia"/>
                      <w:color w:val="auto"/>
                      <w:szCs w:val="21"/>
                    </w:rPr>
                  </w:pPr>
                  <w:r>
                    <w:rPr>
                      <w:rFonts w:hint="eastAsia"/>
                      <w:color w:val="auto"/>
                      <w:szCs w:val="21"/>
                      <w:lang w:val="en-US" w:eastAsia="zh-CN"/>
                    </w:rPr>
                    <w:t>1.2</w:t>
                  </w:r>
                </w:p>
              </w:tc>
              <w:tc>
                <w:tcPr>
                  <w:tcW w:w="277" w:type="pct"/>
                  <w:shd w:val="clear" w:color="auto" w:fill="auto"/>
                  <w:vAlign w:val="center"/>
                </w:tcPr>
                <w:p w14:paraId="3AC916A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11B35EB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349" w:type="pct"/>
                  <w:vAlign w:val="center"/>
                </w:tcPr>
                <w:p w14:paraId="2096534C">
                  <w:pPr>
                    <w:jc w:val="center"/>
                    <w:rPr>
                      <w:rFonts w:hint="default"/>
                      <w:color w:val="auto"/>
                      <w:szCs w:val="21"/>
                      <w:lang w:val="en-US" w:eastAsia="zh-CN"/>
                    </w:rPr>
                  </w:pPr>
                  <w:r>
                    <w:rPr>
                      <w:rFonts w:hint="eastAsia"/>
                      <w:color w:val="auto"/>
                      <w:szCs w:val="21"/>
                      <w:lang w:val="en-US" w:eastAsia="zh-CN"/>
                    </w:rPr>
                    <w:t>72.2</w:t>
                  </w:r>
                </w:p>
              </w:tc>
              <w:tc>
                <w:tcPr>
                  <w:tcW w:w="317" w:type="pct"/>
                  <w:vMerge w:val="continue"/>
                  <w:vAlign w:val="center"/>
                </w:tcPr>
                <w:p w14:paraId="099C2390">
                  <w:pPr>
                    <w:jc w:val="center"/>
                    <w:rPr>
                      <w:rFonts w:hint="eastAsia"/>
                      <w:color w:val="auto"/>
                      <w:szCs w:val="21"/>
                    </w:rPr>
                  </w:pPr>
                </w:p>
              </w:tc>
              <w:tc>
                <w:tcPr>
                  <w:tcW w:w="394" w:type="pct"/>
                  <w:vMerge w:val="continue"/>
                  <w:vAlign w:val="center"/>
                </w:tcPr>
                <w:p w14:paraId="51DE8630">
                  <w:pPr>
                    <w:jc w:val="center"/>
                    <w:rPr>
                      <w:rFonts w:hint="eastAsia"/>
                      <w:color w:val="auto"/>
                      <w:szCs w:val="21"/>
                    </w:rPr>
                  </w:pPr>
                </w:p>
              </w:tc>
              <w:tc>
                <w:tcPr>
                  <w:tcW w:w="418" w:type="pct"/>
                  <w:vAlign w:val="center"/>
                </w:tcPr>
                <w:p w14:paraId="12D0CA0E">
                  <w:pPr>
                    <w:jc w:val="center"/>
                    <w:rPr>
                      <w:rFonts w:hint="default"/>
                      <w:color w:val="auto"/>
                      <w:szCs w:val="21"/>
                      <w:lang w:val="en-US" w:eastAsia="zh-CN"/>
                    </w:rPr>
                  </w:pPr>
                  <w:r>
                    <w:rPr>
                      <w:rFonts w:hint="eastAsia"/>
                      <w:color w:val="auto"/>
                      <w:szCs w:val="21"/>
                      <w:lang w:val="en-US" w:eastAsia="zh-CN"/>
                    </w:rPr>
                    <w:t>57.2</w:t>
                  </w:r>
                </w:p>
              </w:tc>
              <w:tc>
                <w:tcPr>
                  <w:tcW w:w="419" w:type="pct"/>
                  <w:vMerge w:val="continue"/>
                  <w:vAlign w:val="center"/>
                </w:tcPr>
                <w:p w14:paraId="2D6FE7CD">
                  <w:pPr>
                    <w:jc w:val="center"/>
                    <w:rPr>
                      <w:rFonts w:hint="eastAsia"/>
                      <w:color w:val="auto"/>
                      <w:szCs w:val="21"/>
                    </w:rPr>
                  </w:pPr>
                </w:p>
              </w:tc>
            </w:tr>
            <w:tr w14:paraId="7161A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5DB685E3">
                  <w:pPr>
                    <w:jc w:val="center"/>
                    <w:rPr>
                      <w:color w:val="auto"/>
                    </w:rPr>
                  </w:pPr>
                </w:p>
              </w:tc>
              <w:tc>
                <w:tcPr>
                  <w:tcW w:w="266" w:type="pct"/>
                  <w:vMerge w:val="continue"/>
                  <w:vAlign w:val="center"/>
                </w:tcPr>
                <w:p w14:paraId="02349115">
                  <w:pPr>
                    <w:jc w:val="center"/>
                    <w:rPr>
                      <w:color w:val="auto"/>
                    </w:rPr>
                  </w:pPr>
                </w:p>
              </w:tc>
              <w:tc>
                <w:tcPr>
                  <w:tcW w:w="324" w:type="pct"/>
                  <w:vMerge w:val="continue"/>
                  <w:shd w:val="clear" w:color="auto" w:fill="auto"/>
                  <w:vAlign w:val="center"/>
                </w:tcPr>
                <w:p w14:paraId="55752C50">
                  <w:pPr>
                    <w:jc w:val="center"/>
                    <w:rPr>
                      <w:color w:val="auto"/>
                    </w:rPr>
                  </w:pPr>
                </w:p>
              </w:tc>
              <w:tc>
                <w:tcPr>
                  <w:tcW w:w="349" w:type="pct"/>
                  <w:vMerge w:val="continue"/>
                  <w:shd w:val="clear" w:color="auto" w:fill="auto"/>
                  <w:vAlign w:val="center"/>
                </w:tcPr>
                <w:p w14:paraId="40AEB890">
                  <w:pPr>
                    <w:jc w:val="center"/>
                    <w:rPr>
                      <w:color w:val="auto"/>
                    </w:rPr>
                  </w:pPr>
                </w:p>
              </w:tc>
              <w:tc>
                <w:tcPr>
                  <w:tcW w:w="333" w:type="pct"/>
                  <w:vMerge w:val="continue"/>
                  <w:vAlign w:val="center"/>
                </w:tcPr>
                <w:p w14:paraId="36A8C40F">
                  <w:pPr>
                    <w:jc w:val="center"/>
                    <w:rPr>
                      <w:color w:val="auto"/>
                    </w:rPr>
                  </w:pPr>
                </w:p>
              </w:tc>
              <w:tc>
                <w:tcPr>
                  <w:tcW w:w="333" w:type="pct"/>
                  <w:vMerge w:val="continue"/>
                  <w:vAlign w:val="center"/>
                </w:tcPr>
                <w:p w14:paraId="39640948">
                  <w:pPr>
                    <w:jc w:val="center"/>
                    <w:rPr>
                      <w:color w:val="auto"/>
                    </w:rPr>
                  </w:pPr>
                </w:p>
              </w:tc>
              <w:tc>
                <w:tcPr>
                  <w:tcW w:w="262" w:type="pct"/>
                  <w:vMerge w:val="continue"/>
                  <w:vAlign w:val="center"/>
                </w:tcPr>
                <w:p w14:paraId="4D1FBA4B">
                  <w:pPr>
                    <w:jc w:val="center"/>
                    <w:rPr>
                      <w:color w:val="auto"/>
                    </w:rPr>
                  </w:pPr>
                </w:p>
              </w:tc>
              <w:tc>
                <w:tcPr>
                  <w:tcW w:w="285" w:type="pct"/>
                  <w:vMerge w:val="continue"/>
                  <w:vAlign w:val="center"/>
                </w:tcPr>
                <w:p w14:paraId="3B62F255">
                  <w:pPr>
                    <w:jc w:val="center"/>
                    <w:rPr>
                      <w:color w:val="auto"/>
                    </w:rPr>
                  </w:pPr>
                </w:p>
              </w:tc>
              <w:tc>
                <w:tcPr>
                  <w:tcW w:w="270" w:type="pct"/>
                  <w:vMerge w:val="continue"/>
                  <w:vAlign w:val="center"/>
                </w:tcPr>
                <w:p w14:paraId="0FB69189">
                  <w:pPr>
                    <w:jc w:val="center"/>
                    <w:rPr>
                      <w:color w:val="auto"/>
                    </w:rPr>
                  </w:pPr>
                </w:p>
              </w:tc>
              <w:tc>
                <w:tcPr>
                  <w:tcW w:w="277" w:type="pct"/>
                  <w:shd w:val="clear" w:color="auto" w:fill="auto"/>
                  <w:vAlign w:val="center"/>
                </w:tcPr>
                <w:p w14:paraId="41A838F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FA2B8C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349" w:type="pct"/>
                  <w:vAlign w:val="center"/>
                </w:tcPr>
                <w:p w14:paraId="20D2BD50">
                  <w:pPr>
                    <w:jc w:val="center"/>
                    <w:rPr>
                      <w:rFonts w:hint="default"/>
                      <w:color w:val="auto"/>
                      <w:szCs w:val="21"/>
                      <w:lang w:val="en-US" w:eastAsia="zh-CN"/>
                    </w:rPr>
                  </w:pPr>
                  <w:r>
                    <w:rPr>
                      <w:rFonts w:hint="eastAsia"/>
                      <w:color w:val="auto"/>
                      <w:szCs w:val="21"/>
                      <w:lang w:val="en-US" w:eastAsia="zh-CN"/>
                    </w:rPr>
                    <w:t>68.3</w:t>
                  </w:r>
                </w:p>
              </w:tc>
              <w:tc>
                <w:tcPr>
                  <w:tcW w:w="317" w:type="pct"/>
                  <w:vMerge w:val="continue"/>
                  <w:vAlign w:val="center"/>
                </w:tcPr>
                <w:p w14:paraId="6A56812A">
                  <w:pPr>
                    <w:jc w:val="center"/>
                    <w:rPr>
                      <w:rFonts w:hint="eastAsia"/>
                      <w:color w:val="auto"/>
                      <w:szCs w:val="21"/>
                      <w:lang w:val="en-US" w:eastAsia="zh-CN"/>
                    </w:rPr>
                  </w:pPr>
                </w:p>
              </w:tc>
              <w:tc>
                <w:tcPr>
                  <w:tcW w:w="394" w:type="pct"/>
                  <w:vMerge w:val="continue"/>
                  <w:vAlign w:val="center"/>
                </w:tcPr>
                <w:p w14:paraId="0F68F3A7">
                  <w:pPr>
                    <w:jc w:val="center"/>
                    <w:rPr>
                      <w:rFonts w:hint="eastAsia"/>
                      <w:color w:val="auto"/>
                      <w:szCs w:val="21"/>
                      <w:lang w:val="en-US" w:eastAsia="zh-CN"/>
                    </w:rPr>
                  </w:pPr>
                </w:p>
              </w:tc>
              <w:tc>
                <w:tcPr>
                  <w:tcW w:w="418" w:type="pct"/>
                  <w:vAlign w:val="center"/>
                </w:tcPr>
                <w:p w14:paraId="44E7418C">
                  <w:pPr>
                    <w:jc w:val="center"/>
                    <w:rPr>
                      <w:rFonts w:hint="default"/>
                      <w:color w:val="auto"/>
                      <w:szCs w:val="21"/>
                      <w:lang w:val="en-US" w:eastAsia="zh-CN"/>
                    </w:rPr>
                  </w:pPr>
                  <w:r>
                    <w:rPr>
                      <w:rFonts w:hint="eastAsia"/>
                      <w:color w:val="auto"/>
                      <w:szCs w:val="21"/>
                      <w:lang w:val="en-US" w:eastAsia="zh-CN"/>
                    </w:rPr>
                    <w:t>53.3</w:t>
                  </w:r>
                </w:p>
              </w:tc>
              <w:tc>
                <w:tcPr>
                  <w:tcW w:w="419" w:type="pct"/>
                  <w:vMerge w:val="continue"/>
                  <w:vAlign w:val="center"/>
                </w:tcPr>
                <w:p w14:paraId="502F5D0E">
                  <w:pPr>
                    <w:jc w:val="center"/>
                    <w:rPr>
                      <w:rFonts w:hint="eastAsia"/>
                      <w:color w:val="auto"/>
                      <w:szCs w:val="21"/>
                      <w:lang w:val="en-US" w:eastAsia="zh-CN"/>
                    </w:rPr>
                  </w:pPr>
                </w:p>
              </w:tc>
            </w:tr>
            <w:tr w14:paraId="2801C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1DC13233">
                  <w:pPr>
                    <w:jc w:val="center"/>
                    <w:rPr>
                      <w:rFonts w:hint="eastAsia"/>
                      <w:color w:val="auto"/>
                      <w:szCs w:val="21"/>
                      <w:lang w:val="en-US" w:eastAsia="zh-CN"/>
                    </w:rPr>
                  </w:pPr>
                </w:p>
              </w:tc>
              <w:tc>
                <w:tcPr>
                  <w:tcW w:w="266" w:type="pct"/>
                  <w:vMerge w:val="continue"/>
                  <w:vAlign w:val="center"/>
                </w:tcPr>
                <w:p w14:paraId="70EDC5C2">
                  <w:pPr>
                    <w:jc w:val="center"/>
                    <w:rPr>
                      <w:rFonts w:hint="eastAsia"/>
                      <w:color w:val="auto"/>
                      <w:szCs w:val="21"/>
                      <w:lang w:val="en-US" w:eastAsia="zh-CN"/>
                    </w:rPr>
                  </w:pPr>
                </w:p>
              </w:tc>
              <w:tc>
                <w:tcPr>
                  <w:tcW w:w="324" w:type="pct"/>
                  <w:vMerge w:val="continue"/>
                  <w:shd w:val="clear" w:color="auto" w:fill="auto"/>
                  <w:vAlign w:val="center"/>
                </w:tcPr>
                <w:p w14:paraId="04AF4E53">
                  <w:pPr>
                    <w:jc w:val="center"/>
                    <w:rPr>
                      <w:rFonts w:hint="eastAsia"/>
                      <w:color w:val="auto"/>
                      <w:szCs w:val="21"/>
                      <w:lang w:val="en-US" w:eastAsia="zh-CN"/>
                    </w:rPr>
                  </w:pPr>
                </w:p>
              </w:tc>
              <w:tc>
                <w:tcPr>
                  <w:tcW w:w="349" w:type="pct"/>
                  <w:vMerge w:val="continue"/>
                  <w:shd w:val="clear" w:color="auto" w:fill="auto"/>
                  <w:vAlign w:val="center"/>
                </w:tcPr>
                <w:p w14:paraId="76CB0B33">
                  <w:pPr>
                    <w:jc w:val="center"/>
                    <w:rPr>
                      <w:rFonts w:hint="eastAsia"/>
                      <w:color w:val="auto"/>
                      <w:szCs w:val="21"/>
                      <w:lang w:val="en-US" w:eastAsia="zh-CN"/>
                    </w:rPr>
                  </w:pPr>
                </w:p>
              </w:tc>
              <w:tc>
                <w:tcPr>
                  <w:tcW w:w="333" w:type="pct"/>
                  <w:vMerge w:val="continue"/>
                  <w:vAlign w:val="center"/>
                </w:tcPr>
                <w:p w14:paraId="28372FC5">
                  <w:pPr>
                    <w:jc w:val="center"/>
                    <w:rPr>
                      <w:rFonts w:hint="eastAsia"/>
                      <w:color w:val="auto"/>
                      <w:szCs w:val="21"/>
                      <w:lang w:val="en-US" w:eastAsia="zh-CN"/>
                    </w:rPr>
                  </w:pPr>
                </w:p>
              </w:tc>
              <w:tc>
                <w:tcPr>
                  <w:tcW w:w="333" w:type="pct"/>
                  <w:vMerge w:val="continue"/>
                  <w:vAlign w:val="center"/>
                </w:tcPr>
                <w:p w14:paraId="7A6EDD92">
                  <w:pPr>
                    <w:jc w:val="center"/>
                    <w:rPr>
                      <w:rFonts w:hint="eastAsia"/>
                      <w:color w:val="auto"/>
                      <w:szCs w:val="21"/>
                      <w:lang w:val="en-US" w:eastAsia="zh-CN"/>
                    </w:rPr>
                  </w:pPr>
                </w:p>
              </w:tc>
              <w:tc>
                <w:tcPr>
                  <w:tcW w:w="262" w:type="pct"/>
                  <w:vMerge w:val="continue"/>
                  <w:vAlign w:val="center"/>
                </w:tcPr>
                <w:p w14:paraId="54768F0D">
                  <w:pPr>
                    <w:jc w:val="center"/>
                    <w:rPr>
                      <w:rFonts w:hint="eastAsia"/>
                      <w:color w:val="auto"/>
                      <w:szCs w:val="21"/>
                      <w:lang w:val="en-US" w:eastAsia="zh-CN"/>
                    </w:rPr>
                  </w:pPr>
                </w:p>
              </w:tc>
              <w:tc>
                <w:tcPr>
                  <w:tcW w:w="285" w:type="pct"/>
                  <w:vMerge w:val="continue"/>
                  <w:vAlign w:val="center"/>
                </w:tcPr>
                <w:p w14:paraId="36DE7048">
                  <w:pPr>
                    <w:jc w:val="center"/>
                    <w:rPr>
                      <w:rFonts w:hint="eastAsia"/>
                      <w:color w:val="auto"/>
                      <w:szCs w:val="21"/>
                      <w:lang w:val="en-US" w:eastAsia="zh-CN"/>
                    </w:rPr>
                  </w:pPr>
                </w:p>
              </w:tc>
              <w:tc>
                <w:tcPr>
                  <w:tcW w:w="270" w:type="pct"/>
                  <w:vMerge w:val="continue"/>
                  <w:vAlign w:val="center"/>
                </w:tcPr>
                <w:p w14:paraId="40076A50">
                  <w:pPr>
                    <w:jc w:val="center"/>
                    <w:rPr>
                      <w:rFonts w:hint="eastAsia"/>
                      <w:color w:val="auto"/>
                      <w:szCs w:val="21"/>
                      <w:lang w:val="en-US" w:eastAsia="zh-CN"/>
                    </w:rPr>
                  </w:pPr>
                </w:p>
              </w:tc>
              <w:tc>
                <w:tcPr>
                  <w:tcW w:w="277" w:type="pct"/>
                  <w:shd w:val="clear" w:color="auto" w:fill="auto"/>
                  <w:vAlign w:val="center"/>
                </w:tcPr>
                <w:p w14:paraId="145B410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000054B1">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349" w:type="pct"/>
                  <w:vAlign w:val="center"/>
                </w:tcPr>
                <w:p w14:paraId="186D919F">
                  <w:pPr>
                    <w:jc w:val="center"/>
                    <w:rPr>
                      <w:rFonts w:hint="default"/>
                      <w:color w:val="auto"/>
                      <w:szCs w:val="21"/>
                      <w:lang w:val="en-US" w:eastAsia="zh-CN"/>
                    </w:rPr>
                  </w:pPr>
                  <w:r>
                    <w:rPr>
                      <w:rFonts w:hint="eastAsia"/>
                      <w:color w:val="auto"/>
                      <w:szCs w:val="21"/>
                      <w:lang w:val="en-US" w:eastAsia="zh-CN"/>
                    </w:rPr>
                    <w:t>71.1</w:t>
                  </w:r>
                </w:p>
              </w:tc>
              <w:tc>
                <w:tcPr>
                  <w:tcW w:w="317" w:type="pct"/>
                  <w:vMerge w:val="continue"/>
                  <w:vAlign w:val="center"/>
                </w:tcPr>
                <w:p w14:paraId="3E1AD8C9">
                  <w:pPr>
                    <w:jc w:val="center"/>
                    <w:rPr>
                      <w:rFonts w:hint="eastAsia"/>
                      <w:color w:val="auto"/>
                      <w:szCs w:val="21"/>
                      <w:lang w:val="en-US" w:eastAsia="zh-CN"/>
                    </w:rPr>
                  </w:pPr>
                </w:p>
              </w:tc>
              <w:tc>
                <w:tcPr>
                  <w:tcW w:w="394" w:type="pct"/>
                  <w:vMerge w:val="continue"/>
                  <w:vAlign w:val="center"/>
                </w:tcPr>
                <w:p w14:paraId="784D3569">
                  <w:pPr>
                    <w:jc w:val="center"/>
                    <w:rPr>
                      <w:rFonts w:hint="eastAsia"/>
                      <w:color w:val="auto"/>
                      <w:szCs w:val="21"/>
                      <w:lang w:val="en-US" w:eastAsia="zh-CN"/>
                    </w:rPr>
                  </w:pPr>
                </w:p>
              </w:tc>
              <w:tc>
                <w:tcPr>
                  <w:tcW w:w="418" w:type="pct"/>
                  <w:vAlign w:val="center"/>
                </w:tcPr>
                <w:p w14:paraId="7CD958CE">
                  <w:pPr>
                    <w:jc w:val="center"/>
                    <w:rPr>
                      <w:rFonts w:hint="default"/>
                      <w:color w:val="auto"/>
                      <w:szCs w:val="21"/>
                      <w:lang w:val="en-US" w:eastAsia="zh-CN"/>
                    </w:rPr>
                  </w:pPr>
                  <w:r>
                    <w:rPr>
                      <w:rFonts w:hint="eastAsia"/>
                      <w:color w:val="auto"/>
                      <w:szCs w:val="21"/>
                      <w:lang w:val="en-US" w:eastAsia="zh-CN"/>
                    </w:rPr>
                    <w:t>56.1</w:t>
                  </w:r>
                </w:p>
              </w:tc>
              <w:tc>
                <w:tcPr>
                  <w:tcW w:w="419" w:type="pct"/>
                  <w:vMerge w:val="continue"/>
                  <w:vAlign w:val="center"/>
                </w:tcPr>
                <w:p w14:paraId="120F8E0E">
                  <w:pPr>
                    <w:jc w:val="center"/>
                    <w:rPr>
                      <w:rFonts w:hint="eastAsia"/>
                      <w:color w:val="auto"/>
                      <w:szCs w:val="21"/>
                      <w:lang w:val="en-US" w:eastAsia="zh-CN"/>
                    </w:rPr>
                  </w:pPr>
                </w:p>
              </w:tc>
            </w:tr>
            <w:tr w14:paraId="25615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1E393A54">
                  <w:pPr>
                    <w:jc w:val="center"/>
                    <w:rPr>
                      <w:rFonts w:hint="eastAsia"/>
                      <w:color w:val="auto"/>
                      <w:szCs w:val="21"/>
                      <w:lang w:val="en-US" w:eastAsia="zh-CN"/>
                    </w:rPr>
                  </w:pPr>
                </w:p>
              </w:tc>
              <w:tc>
                <w:tcPr>
                  <w:tcW w:w="266" w:type="pct"/>
                  <w:vMerge w:val="continue"/>
                  <w:vAlign w:val="center"/>
                </w:tcPr>
                <w:p w14:paraId="10DDB833">
                  <w:pPr>
                    <w:jc w:val="center"/>
                    <w:rPr>
                      <w:rFonts w:hint="eastAsia"/>
                      <w:color w:val="auto"/>
                      <w:szCs w:val="21"/>
                      <w:lang w:val="en-US" w:eastAsia="zh-CN"/>
                    </w:rPr>
                  </w:pPr>
                </w:p>
              </w:tc>
              <w:tc>
                <w:tcPr>
                  <w:tcW w:w="324" w:type="pct"/>
                  <w:vMerge w:val="continue"/>
                  <w:shd w:val="clear" w:color="auto" w:fill="auto"/>
                  <w:vAlign w:val="center"/>
                </w:tcPr>
                <w:p w14:paraId="1E7E56CF">
                  <w:pPr>
                    <w:jc w:val="center"/>
                    <w:rPr>
                      <w:rFonts w:hint="eastAsia"/>
                      <w:color w:val="auto"/>
                      <w:szCs w:val="21"/>
                      <w:lang w:val="en-US" w:eastAsia="zh-CN"/>
                    </w:rPr>
                  </w:pPr>
                </w:p>
              </w:tc>
              <w:tc>
                <w:tcPr>
                  <w:tcW w:w="349" w:type="pct"/>
                  <w:vMerge w:val="continue"/>
                  <w:shd w:val="clear" w:color="auto" w:fill="auto"/>
                  <w:vAlign w:val="center"/>
                </w:tcPr>
                <w:p w14:paraId="3E503B02">
                  <w:pPr>
                    <w:jc w:val="center"/>
                    <w:rPr>
                      <w:rFonts w:hint="eastAsia"/>
                      <w:color w:val="auto"/>
                      <w:szCs w:val="21"/>
                      <w:lang w:val="en-US" w:eastAsia="zh-CN"/>
                    </w:rPr>
                  </w:pPr>
                </w:p>
              </w:tc>
              <w:tc>
                <w:tcPr>
                  <w:tcW w:w="333" w:type="pct"/>
                  <w:vMerge w:val="continue"/>
                  <w:vAlign w:val="center"/>
                </w:tcPr>
                <w:p w14:paraId="77F39276">
                  <w:pPr>
                    <w:jc w:val="center"/>
                    <w:rPr>
                      <w:rFonts w:hint="eastAsia"/>
                      <w:color w:val="auto"/>
                      <w:szCs w:val="21"/>
                      <w:lang w:val="en-US" w:eastAsia="zh-CN"/>
                    </w:rPr>
                  </w:pPr>
                </w:p>
              </w:tc>
              <w:tc>
                <w:tcPr>
                  <w:tcW w:w="333" w:type="pct"/>
                  <w:vMerge w:val="continue"/>
                  <w:vAlign w:val="center"/>
                </w:tcPr>
                <w:p w14:paraId="010F0520">
                  <w:pPr>
                    <w:jc w:val="center"/>
                    <w:rPr>
                      <w:rFonts w:hint="eastAsia"/>
                      <w:color w:val="auto"/>
                      <w:szCs w:val="21"/>
                      <w:lang w:val="en-US" w:eastAsia="zh-CN"/>
                    </w:rPr>
                  </w:pPr>
                </w:p>
              </w:tc>
              <w:tc>
                <w:tcPr>
                  <w:tcW w:w="262" w:type="pct"/>
                  <w:vMerge w:val="continue"/>
                  <w:vAlign w:val="center"/>
                </w:tcPr>
                <w:p w14:paraId="42C128FB">
                  <w:pPr>
                    <w:jc w:val="center"/>
                    <w:rPr>
                      <w:rFonts w:hint="eastAsia"/>
                      <w:color w:val="auto"/>
                      <w:szCs w:val="21"/>
                      <w:lang w:val="en-US" w:eastAsia="zh-CN"/>
                    </w:rPr>
                  </w:pPr>
                </w:p>
              </w:tc>
              <w:tc>
                <w:tcPr>
                  <w:tcW w:w="285" w:type="pct"/>
                  <w:vMerge w:val="continue"/>
                  <w:vAlign w:val="center"/>
                </w:tcPr>
                <w:p w14:paraId="54C11346">
                  <w:pPr>
                    <w:jc w:val="center"/>
                    <w:rPr>
                      <w:rFonts w:hint="eastAsia"/>
                      <w:color w:val="auto"/>
                      <w:szCs w:val="21"/>
                      <w:lang w:val="en-US" w:eastAsia="zh-CN"/>
                    </w:rPr>
                  </w:pPr>
                </w:p>
              </w:tc>
              <w:tc>
                <w:tcPr>
                  <w:tcW w:w="270" w:type="pct"/>
                  <w:vMerge w:val="continue"/>
                  <w:vAlign w:val="center"/>
                </w:tcPr>
                <w:p w14:paraId="05D955CB">
                  <w:pPr>
                    <w:jc w:val="center"/>
                    <w:rPr>
                      <w:rFonts w:hint="eastAsia"/>
                      <w:color w:val="auto"/>
                      <w:szCs w:val="21"/>
                      <w:lang w:val="en-US" w:eastAsia="zh-CN"/>
                    </w:rPr>
                  </w:pPr>
                </w:p>
              </w:tc>
              <w:tc>
                <w:tcPr>
                  <w:tcW w:w="277" w:type="pct"/>
                  <w:shd w:val="clear" w:color="auto" w:fill="auto"/>
                  <w:vAlign w:val="center"/>
                </w:tcPr>
                <w:p w14:paraId="756C174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2CBB999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349" w:type="pct"/>
                  <w:vAlign w:val="center"/>
                </w:tcPr>
                <w:p w14:paraId="42F8D8D6">
                  <w:pPr>
                    <w:jc w:val="center"/>
                    <w:rPr>
                      <w:rFonts w:hint="default"/>
                      <w:color w:val="auto"/>
                      <w:szCs w:val="21"/>
                      <w:lang w:val="en-US" w:eastAsia="zh-CN"/>
                    </w:rPr>
                  </w:pPr>
                  <w:r>
                    <w:rPr>
                      <w:rFonts w:hint="eastAsia"/>
                      <w:color w:val="auto"/>
                      <w:szCs w:val="21"/>
                      <w:lang w:val="en-US" w:eastAsia="zh-CN"/>
                    </w:rPr>
                    <w:t>71.5</w:t>
                  </w:r>
                </w:p>
              </w:tc>
              <w:tc>
                <w:tcPr>
                  <w:tcW w:w="317" w:type="pct"/>
                  <w:vMerge w:val="continue"/>
                  <w:vAlign w:val="center"/>
                </w:tcPr>
                <w:p w14:paraId="1F218D4B">
                  <w:pPr>
                    <w:jc w:val="center"/>
                    <w:rPr>
                      <w:rFonts w:hint="eastAsia"/>
                      <w:color w:val="auto"/>
                      <w:szCs w:val="21"/>
                      <w:lang w:val="en-US" w:eastAsia="zh-CN"/>
                    </w:rPr>
                  </w:pPr>
                </w:p>
              </w:tc>
              <w:tc>
                <w:tcPr>
                  <w:tcW w:w="394" w:type="pct"/>
                  <w:vMerge w:val="continue"/>
                  <w:vAlign w:val="center"/>
                </w:tcPr>
                <w:p w14:paraId="7A5B7B04">
                  <w:pPr>
                    <w:jc w:val="center"/>
                    <w:rPr>
                      <w:rFonts w:hint="eastAsia"/>
                      <w:color w:val="auto"/>
                      <w:szCs w:val="21"/>
                      <w:lang w:val="en-US" w:eastAsia="zh-CN"/>
                    </w:rPr>
                  </w:pPr>
                </w:p>
              </w:tc>
              <w:tc>
                <w:tcPr>
                  <w:tcW w:w="418" w:type="pct"/>
                  <w:vAlign w:val="center"/>
                </w:tcPr>
                <w:p w14:paraId="3B1F8E44">
                  <w:pPr>
                    <w:jc w:val="center"/>
                    <w:rPr>
                      <w:rFonts w:hint="default"/>
                      <w:color w:val="auto"/>
                      <w:szCs w:val="21"/>
                      <w:lang w:val="en-US" w:eastAsia="zh-CN"/>
                    </w:rPr>
                  </w:pPr>
                  <w:r>
                    <w:rPr>
                      <w:rFonts w:hint="eastAsia"/>
                      <w:color w:val="auto"/>
                      <w:szCs w:val="21"/>
                      <w:lang w:val="en-US" w:eastAsia="zh-CN"/>
                    </w:rPr>
                    <w:t>56.5</w:t>
                  </w:r>
                </w:p>
              </w:tc>
              <w:tc>
                <w:tcPr>
                  <w:tcW w:w="419" w:type="pct"/>
                  <w:vMerge w:val="continue"/>
                  <w:vAlign w:val="center"/>
                </w:tcPr>
                <w:p w14:paraId="675D058C">
                  <w:pPr>
                    <w:jc w:val="center"/>
                    <w:rPr>
                      <w:rFonts w:hint="eastAsia"/>
                      <w:color w:val="auto"/>
                      <w:szCs w:val="21"/>
                      <w:lang w:val="en-US" w:eastAsia="zh-CN"/>
                    </w:rPr>
                  </w:pPr>
                </w:p>
              </w:tc>
            </w:tr>
            <w:tr w14:paraId="7000B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150" w:type="pct"/>
                  <w:vMerge w:val="restart"/>
                  <w:vAlign w:val="center"/>
                </w:tcPr>
                <w:p w14:paraId="7F0B5497">
                  <w:pPr>
                    <w:jc w:val="center"/>
                    <w:rPr>
                      <w:rFonts w:hint="default"/>
                      <w:color w:val="auto"/>
                      <w:szCs w:val="21"/>
                      <w:lang w:val="en-US" w:eastAsia="zh-CN"/>
                    </w:rPr>
                  </w:pPr>
                  <w:r>
                    <w:rPr>
                      <w:rFonts w:hint="eastAsia"/>
                      <w:color w:val="auto"/>
                      <w:szCs w:val="21"/>
                      <w:lang w:val="en-US" w:eastAsia="zh-CN"/>
                    </w:rPr>
                    <w:t>3</w:t>
                  </w:r>
                </w:p>
              </w:tc>
              <w:tc>
                <w:tcPr>
                  <w:tcW w:w="266" w:type="pct"/>
                  <w:vMerge w:val="continue"/>
                  <w:vAlign w:val="center"/>
                </w:tcPr>
                <w:p w14:paraId="5A6A5C35">
                  <w:pPr>
                    <w:jc w:val="center"/>
                    <w:rPr>
                      <w:rFonts w:hint="eastAsia"/>
                      <w:color w:val="auto"/>
                      <w:szCs w:val="21"/>
                      <w:lang w:val="en-US" w:eastAsia="zh-CN"/>
                    </w:rPr>
                  </w:pPr>
                </w:p>
              </w:tc>
              <w:tc>
                <w:tcPr>
                  <w:tcW w:w="324" w:type="pct"/>
                  <w:vMerge w:val="restart"/>
                  <w:shd w:val="clear" w:color="auto" w:fill="auto"/>
                  <w:vAlign w:val="center"/>
                </w:tcPr>
                <w:p w14:paraId="473D395A">
                  <w:pPr>
                    <w:jc w:val="center"/>
                    <w:rPr>
                      <w:rFonts w:hint="default"/>
                      <w:color w:val="auto"/>
                      <w:szCs w:val="21"/>
                      <w:lang w:val="en-US" w:eastAsia="zh-CN"/>
                    </w:rPr>
                  </w:pPr>
                  <w:r>
                    <w:rPr>
                      <w:rFonts w:hint="eastAsia"/>
                      <w:color w:val="auto"/>
                      <w:szCs w:val="21"/>
                      <w:lang w:val="en-US" w:eastAsia="zh-CN"/>
                    </w:rPr>
                    <w:t>烘干机</w:t>
                  </w:r>
                </w:p>
              </w:tc>
              <w:tc>
                <w:tcPr>
                  <w:tcW w:w="349" w:type="pct"/>
                  <w:vMerge w:val="restart"/>
                  <w:shd w:val="clear" w:color="auto" w:fill="auto"/>
                  <w:vAlign w:val="center"/>
                </w:tcPr>
                <w:p w14:paraId="6DBED5F1">
                  <w:pPr>
                    <w:jc w:val="center"/>
                    <w:rPr>
                      <w:rFonts w:hint="default"/>
                      <w:color w:val="auto"/>
                      <w:szCs w:val="21"/>
                      <w:lang w:val="en-US" w:eastAsia="zh-CN"/>
                    </w:rPr>
                  </w:pPr>
                  <w:r>
                    <w:rPr>
                      <w:rFonts w:hint="eastAsia"/>
                      <w:color w:val="auto"/>
                      <w:szCs w:val="21"/>
                      <w:lang w:val="en-US" w:eastAsia="zh-CN"/>
                    </w:rPr>
                    <w:t>3</w:t>
                  </w:r>
                </w:p>
              </w:tc>
              <w:tc>
                <w:tcPr>
                  <w:tcW w:w="333" w:type="pct"/>
                  <w:vMerge w:val="restart"/>
                  <w:shd w:val="clear" w:color="auto" w:fill="auto"/>
                  <w:vAlign w:val="center"/>
                </w:tcPr>
                <w:p w14:paraId="19738AC9">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55-60</w:t>
                  </w:r>
                </w:p>
                <w:p w14:paraId="6816748F">
                  <w:pPr>
                    <w:jc w:val="center"/>
                    <w:rPr>
                      <w:rFonts w:hint="eastAsia"/>
                      <w:color w:val="auto"/>
                      <w:szCs w:val="21"/>
                      <w:lang w:val="en-US" w:eastAsia="zh-CN"/>
                    </w:rPr>
                  </w:pPr>
                </w:p>
              </w:tc>
              <w:tc>
                <w:tcPr>
                  <w:tcW w:w="333" w:type="pct"/>
                  <w:vMerge w:val="continue"/>
                  <w:shd w:val="clear" w:color="auto" w:fill="auto"/>
                  <w:vAlign w:val="center"/>
                </w:tcPr>
                <w:p w14:paraId="290E6336">
                  <w:pPr>
                    <w:jc w:val="center"/>
                    <w:rPr>
                      <w:rFonts w:hint="eastAsia"/>
                      <w:color w:val="auto"/>
                      <w:szCs w:val="21"/>
                      <w:lang w:val="en-US" w:eastAsia="zh-CN"/>
                    </w:rPr>
                  </w:pPr>
                </w:p>
              </w:tc>
              <w:tc>
                <w:tcPr>
                  <w:tcW w:w="262" w:type="pct"/>
                  <w:vMerge w:val="restart"/>
                  <w:shd w:val="clear" w:color="auto" w:fill="auto"/>
                  <w:vAlign w:val="center"/>
                </w:tcPr>
                <w:p w14:paraId="5399BF0A">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1-12</w:t>
                  </w:r>
                </w:p>
                <w:p w14:paraId="06CFD903">
                  <w:pPr>
                    <w:jc w:val="center"/>
                    <w:rPr>
                      <w:rFonts w:hint="eastAsia"/>
                      <w:color w:val="auto"/>
                      <w:szCs w:val="21"/>
                      <w:lang w:val="en-US" w:eastAsia="zh-CN"/>
                    </w:rPr>
                  </w:pPr>
                </w:p>
              </w:tc>
              <w:tc>
                <w:tcPr>
                  <w:tcW w:w="285" w:type="pct"/>
                  <w:vMerge w:val="restart"/>
                  <w:shd w:val="clear" w:color="auto" w:fill="auto"/>
                  <w:vAlign w:val="center"/>
                </w:tcPr>
                <w:p w14:paraId="4689790C">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12-20</w:t>
                  </w:r>
                </w:p>
                <w:p w14:paraId="1E3E52F2">
                  <w:pPr>
                    <w:jc w:val="center"/>
                    <w:rPr>
                      <w:rFonts w:hint="eastAsia"/>
                      <w:color w:val="auto"/>
                      <w:szCs w:val="21"/>
                      <w:lang w:val="en-US" w:eastAsia="zh-CN"/>
                    </w:rPr>
                  </w:pPr>
                </w:p>
              </w:tc>
              <w:tc>
                <w:tcPr>
                  <w:tcW w:w="270" w:type="pct"/>
                  <w:vMerge w:val="restart"/>
                  <w:shd w:val="clear" w:color="auto" w:fill="auto"/>
                  <w:vAlign w:val="center"/>
                </w:tcPr>
                <w:p w14:paraId="1906D9E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p w14:paraId="7DA0ABB4">
                  <w:pPr>
                    <w:jc w:val="center"/>
                    <w:rPr>
                      <w:rFonts w:hint="eastAsia"/>
                      <w:color w:val="auto"/>
                      <w:szCs w:val="21"/>
                      <w:lang w:val="en-US" w:eastAsia="zh-CN"/>
                    </w:rPr>
                  </w:pPr>
                </w:p>
              </w:tc>
              <w:tc>
                <w:tcPr>
                  <w:tcW w:w="277" w:type="pct"/>
                  <w:shd w:val="clear" w:color="auto" w:fill="auto"/>
                  <w:vAlign w:val="center"/>
                </w:tcPr>
                <w:p w14:paraId="336A406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312D7B0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349" w:type="pct"/>
                  <w:shd w:val="clear" w:color="auto" w:fill="auto"/>
                  <w:vAlign w:val="center"/>
                </w:tcPr>
                <w:p w14:paraId="745C360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59.4</w:t>
                  </w:r>
                </w:p>
              </w:tc>
              <w:tc>
                <w:tcPr>
                  <w:tcW w:w="317" w:type="pct"/>
                  <w:vMerge w:val="restart"/>
                  <w:shd w:val="clear" w:color="auto" w:fill="auto"/>
                  <w:vAlign w:val="center"/>
                </w:tcPr>
                <w:p w14:paraId="1BB37DA4">
                  <w:pPr>
                    <w:jc w:val="center"/>
                    <w:rPr>
                      <w:rFonts w:hint="eastAsia" w:ascii="Times New Roman" w:hAnsi="Times New Roman" w:eastAsia="宋体" w:cs="Times New Roman"/>
                      <w:color w:val="auto"/>
                      <w:kern w:val="2"/>
                      <w:sz w:val="21"/>
                      <w:szCs w:val="21"/>
                      <w:lang w:val="en-US" w:eastAsia="zh-CN" w:bidi="ar-SA"/>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shd w:val="clear" w:color="auto" w:fill="auto"/>
                  <w:vAlign w:val="center"/>
                </w:tcPr>
                <w:p w14:paraId="773FDB2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-15</w:t>
                  </w:r>
                </w:p>
              </w:tc>
              <w:tc>
                <w:tcPr>
                  <w:tcW w:w="418" w:type="pct"/>
                  <w:shd w:val="clear" w:color="auto" w:fill="auto"/>
                  <w:vAlign w:val="center"/>
                </w:tcPr>
                <w:p w14:paraId="7E67886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44.4</w:t>
                  </w:r>
                </w:p>
              </w:tc>
              <w:tc>
                <w:tcPr>
                  <w:tcW w:w="419" w:type="pct"/>
                  <w:vMerge w:val="continue"/>
                  <w:vAlign w:val="center"/>
                </w:tcPr>
                <w:p w14:paraId="70783F70">
                  <w:pPr>
                    <w:jc w:val="center"/>
                    <w:rPr>
                      <w:rFonts w:hint="eastAsia"/>
                      <w:color w:val="auto"/>
                      <w:szCs w:val="21"/>
                      <w:lang w:val="en-US" w:eastAsia="zh-CN"/>
                    </w:rPr>
                  </w:pPr>
                </w:p>
              </w:tc>
            </w:tr>
            <w:tr w14:paraId="4E24B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447406C2">
                  <w:pPr>
                    <w:jc w:val="center"/>
                    <w:rPr>
                      <w:rFonts w:hint="eastAsia"/>
                      <w:color w:val="auto"/>
                      <w:szCs w:val="21"/>
                      <w:lang w:val="en-US" w:eastAsia="zh-CN"/>
                    </w:rPr>
                  </w:pPr>
                </w:p>
              </w:tc>
              <w:tc>
                <w:tcPr>
                  <w:tcW w:w="266" w:type="pct"/>
                  <w:vMerge w:val="continue"/>
                  <w:vAlign w:val="center"/>
                </w:tcPr>
                <w:p w14:paraId="64F1C694">
                  <w:pPr>
                    <w:jc w:val="center"/>
                    <w:rPr>
                      <w:rFonts w:hint="eastAsia"/>
                      <w:color w:val="auto"/>
                      <w:szCs w:val="21"/>
                      <w:lang w:val="en-US" w:eastAsia="zh-CN"/>
                    </w:rPr>
                  </w:pPr>
                </w:p>
              </w:tc>
              <w:tc>
                <w:tcPr>
                  <w:tcW w:w="324" w:type="pct"/>
                  <w:vMerge w:val="continue"/>
                  <w:shd w:val="clear" w:color="auto" w:fill="auto"/>
                  <w:vAlign w:val="center"/>
                </w:tcPr>
                <w:p w14:paraId="4D53ADBC">
                  <w:pPr>
                    <w:jc w:val="center"/>
                    <w:rPr>
                      <w:rFonts w:hint="eastAsia"/>
                      <w:color w:val="auto"/>
                      <w:szCs w:val="21"/>
                      <w:lang w:val="en-US" w:eastAsia="zh-CN"/>
                    </w:rPr>
                  </w:pPr>
                </w:p>
              </w:tc>
              <w:tc>
                <w:tcPr>
                  <w:tcW w:w="349" w:type="pct"/>
                  <w:vMerge w:val="continue"/>
                  <w:shd w:val="clear" w:color="auto" w:fill="auto"/>
                  <w:vAlign w:val="center"/>
                </w:tcPr>
                <w:p w14:paraId="21CEE4AA">
                  <w:pPr>
                    <w:jc w:val="center"/>
                    <w:rPr>
                      <w:rFonts w:hint="eastAsia"/>
                      <w:color w:val="auto"/>
                      <w:szCs w:val="21"/>
                      <w:lang w:val="en-US" w:eastAsia="zh-CN"/>
                    </w:rPr>
                  </w:pPr>
                </w:p>
              </w:tc>
              <w:tc>
                <w:tcPr>
                  <w:tcW w:w="333" w:type="pct"/>
                  <w:vMerge w:val="continue"/>
                  <w:vAlign w:val="center"/>
                </w:tcPr>
                <w:p w14:paraId="1C1581AC">
                  <w:pPr>
                    <w:jc w:val="center"/>
                    <w:rPr>
                      <w:rFonts w:hint="eastAsia"/>
                      <w:color w:val="auto"/>
                      <w:szCs w:val="21"/>
                      <w:lang w:val="en-US" w:eastAsia="zh-CN"/>
                    </w:rPr>
                  </w:pPr>
                </w:p>
              </w:tc>
              <w:tc>
                <w:tcPr>
                  <w:tcW w:w="333" w:type="pct"/>
                  <w:vMerge w:val="continue"/>
                  <w:vAlign w:val="center"/>
                </w:tcPr>
                <w:p w14:paraId="4802D9AE">
                  <w:pPr>
                    <w:jc w:val="center"/>
                    <w:rPr>
                      <w:rFonts w:hint="eastAsia"/>
                      <w:color w:val="auto"/>
                      <w:szCs w:val="21"/>
                      <w:lang w:val="en-US" w:eastAsia="zh-CN"/>
                    </w:rPr>
                  </w:pPr>
                </w:p>
              </w:tc>
              <w:tc>
                <w:tcPr>
                  <w:tcW w:w="262" w:type="pct"/>
                  <w:vMerge w:val="continue"/>
                  <w:vAlign w:val="center"/>
                </w:tcPr>
                <w:p w14:paraId="02C8B127">
                  <w:pPr>
                    <w:jc w:val="center"/>
                    <w:rPr>
                      <w:rFonts w:hint="eastAsia"/>
                      <w:color w:val="auto"/>
                      <w:szCs w:val="21"/>
                      <w:lang w:val="en-US" w:eastAsia="zh-CN"/>
                    </w:rPr>
                  </w:pPr>
                </w:p>
              </w:tc>
              <w:tc>
                <w:tcPr>
                  <w:tcW w:w="285" w:type="pct"/>
                  <w:vMerge w:val="continue"/>
                  <w:vAlign w:val="center"/>
                </w:tcPr>
                <w:p w14:paraId="27F69EA9">
                  <w:pPr>
                    <w:jc w:val="center"/>
                    <w:rPr>
                      <w:rFonts w:hint="eastAsia"/>
                      <w:color w:val="auto"/>
                      <w:szCs w:val="21"/>
                      <w:lang w:val="en-US" w:eastAsia="zh-CN"/>
                    </w:rPr>
                  </w:pPr>
                </w:p>
              </w:tc>
              <w:tc>
                <w:tcPr>
                  <w:tcW w:w="270" w:type="pct"/>
                  <w:vMerge w:val="continue"/>
                  <w:vAlign w:val="center"/>
                </w:tcPr>
                <w:p w14:paraId="65BBB425">
                  <w:pPr>
                    <w:jc w:val="center"/>
                    <w:rPr>
                      <w:rFonts w:hint="eastAsia"/>
                      <w:color w:val="auto"/>
                      <w:szCs w:val="21"/>
                      <w:lang w:val="en-US" w:eastAsia="zh-CN"/>
                    </w:rPr>
                  </w:pPr>
                </w:p>
              </w:tc>
              <w:tc>
                <w:tcPr>
                  <w:tcW w:w="277" w:type="pct"/>
                  <w:shd w:val="clear" w:color="auto" w:fill="auto"/>
                  <w:vAlign w:val="center"/>
                </w:tcPr>
                <w:p w14:paraId="09D8812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19CAAF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349" w:type="pct"/>
                  <w:shd w:val="clear" w:color="auto" w:fill="auto"/>
                  <w:vAlign w:val="center"/>
                </w:tcPr>
                <w:p w14:paraId="75D1762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48.9</w:t>
                  </w:r>
                </w:p>
              </w:tc>
              <w:tc>
                <w:tcPr>
                  <w:tcW w:w="317" w:type="pct"/>
                  <w:vMerge w:val="continue"/>
                  <w:vAlign w:val="center"/>
                </w:tcPr>
                <w:p w14:paraId="06E6DFD5">
                  <w:pPr>
                    <w:jc w:val="center"/>
                    <w:rPr>
                      <w:rFonts w:hint="eastAsia"/>
                      <w:color w:val="auto"/>
                      <w:szCs w:val="21"/>
                      <w:lang w:val="en-US" w:eastAsia="zh-CN"/>
                    </w:rPr>
                  </w:pPr>
                </w:p>
              </w:tc>
              <w:tc>
                <w:tcPr>
                  <w:tcW w:w="394" w:type="pct"/>
                  <w:vMerge w:val="continue"/>
                  <w:vAlign w:val="center"/>
                </w:tcPr>
                <w:p w14:paraId="2B399637">
                  <w:pPr>
                    <w:jc w:val="center"/>
                    <w:rPr>
                      <w:rFonts w:hint="eastAsia"/>
                      <w:color w:val="auto"/>
                      <w:szCs w:val="21"/>
                      <w:lang w:val="en-US" w:eastAsia="zh-CN"/>
                    </w:rPr>
                  </w:pPr>
                </w:p>
              </w:tc>
              <w:tc>
                <w:tcPr>
                  <w:tcW w:w="418" w:type="pct"/>
                  <w:shd w:val="clear" w:color="auto" w:fill="auto"/>
                  <w:vAlign w:val="center"/>
                </w:tcPr>
                <w:p w14:paraId="3F0FF38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33.9</w:t>
                  </w:r>
                </w:p>
              </w:tc>
              <w:tc>
                <w:tcPr>
                  <w:tcW w:w="419" w:type="pct"/>
                  <w:vMerge w:val="continue"/>
                  <w:vAlign w:val="center"/>
                </w:tcPr>
                <w:p w14:paraId="3CD3FB63">
                  <w:pPr>
                    <w:jc w:val="center"/>
                    <w:rPr>
                      <w:rFonts w:hint="eastAsia"/>
                      <w:color w:val="auto"/>
                      <w:szCs w:val="21"/>
                      <w:lang w:val="en-US" w:eastAsia="zh-CN"/>
                    </w:rPr>
                  </w:pPr>
                </w:p>
              </w:tc>
            </w:tr>
            <w:tr w14:paraId="583D0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171BAA83">
                  <w:pPr>
                    <w:jc w:val="center"/>
                    <w:rPr>
                      <w:rFonts w:hint="eastAsia"/>
                      <w:color w:val="auto"/>
                      <w:szCs w:val="21"/>
                      <w:lang w:val="en-US" w:eastAsia="zh-CN"/>
                    </w:rPr>
                  </w:pPr>
                </w:p>
              </w:tc>
              <w:tc>
                <w:tcPr>
                  <w:tcW w:w="266" w:type="pct"/>
                  <w:vMerge w:val="continue"/>
                  <w:vAlign w:val="center"/>
                </w:tcPr>
                <w:p w14:paraId="1CC7879E">
                  <w:pPr>
                    <w:jc w:val="center"/>
                    <w:rPr>
                      <w:rFonts w:hint="eastAsia"/>
                      <w:color w:val="auto"/>
                      <w:szCs w:val="21"/>
                      <w:lang w:val="en-US" w:eastAsia="zh-CN"/>
                    </w:rPr>
                  </w:pPr>
                </w:p>
              </w:tc>
              <w:tc>
                <w:tcPr>
                  <w:tcW w:w="324" w:type="pct"/>
                  <w:vMerge w:val="continue"/>
                  <w:shd w:val="clear" w:color="auto" w:fill="auto"/>
                  <w:vAlign w:val="center"/>
                </w:tcPr>
                <w:p w14:paraId="54488E41">
                  <w:pPr>
                    <w:jc w:val="center"/>
                    <w:rPr>
                      <w:rFonts w:hint="eastAsia"/>
                      <w:color w:val="auto"/>
                      <w:szCs w:val="21"/>
                      <w:lang w:val="en-US" w:eastAsia="zh-CN"/>
                    </w:rPr>
                  </w:pPr>
                </w:p>
              </w:tc>
              <w:tc>
                <w:tcPr>
                  <w:tcW w:w="349" w:type="pct"/>
                  <w:vMerge w:val="continue"/>
                  <w:shd w:val="clear" w:color="auto" w:fill="auto"/>
                  <w:vAlign w:val="center"/>
                </w:tcPr>
                <w:p w14:paraId="269EDDA5">
                  <w:pPr>
                    <w:jc w:val="center"/>
                    <w:rPr>
                      <w:rFonts w:hint="eastAsia"/>
                      <w:color w:val="auto"/>
                      <w:szCs w:val="21"/>
                      <w:lang w:val="en-US" w:eastAsia="zh-CN"/>
                    </w:rPr>
                  </w:pPr>
                </w:p>
              </w:tc>
              <w:tc>
                <w:tcPr>
                  <w:tcW w:w="333" w:type="pct"/>
                  <w:vMerge w:val="continue"/>
                  <w:vAlign w:val="center"/>
                </w:tcPr>
                <w:p w14:paraId="368572FF">
                  <w:pPr>
                    <w:jc w:val="center"/>
                    <w:rPr>
                      <w:rFonts w:hint="eastAsia"/>
                      <w:color w:val="auto"/>
                      <w:szCs w:val="21"/>
                      <w:lang w:val="en-US" w:eastAsia="zh-CN"/>
                    </w:rPr>
                  </w:pPr>
                </w:p>
              </w:tc>
              <w:tc>
                <w:tcPr>
                  <w:tcW w:w="333" w:type="pct"/>
                  <w:vMerge w:val="continue"/>
                  <w:vAlign w:val="center"/>
                </w:tcPr>
                <w:p w14:paraId="37038268">
                  <w:pPr>
                    <w:jc w:val="center"/>
                    <w:rPr>
                      <w:rFonts w:hint="eastAsia"/>
                      <w:color w:val="auto"/>
                      <w:szCs w:val="21"/>
                      <w:lang w:val="en-US" w:eastAsia="zh-CN"/>
                    </w:rPr>
                  </w:pPr>
                </w:p>
              </w:tc>
              <w:tc>
                <w:tcPr>
                  <w:tcW w:w="262" w:type="pct"/>
                  <w:vMerge w:val="continue"/>
                  <w:vAlign w:val="center"/>
                </w:tcPr>
                <w:p w14:paraId="4904C18D">
                  <w:pPr>
                    <w:jc w:val="center"/>
                    <w:rPr>
                      <w:rFonts w:hint="eastAsia"/>
                      <w:color w:val="auto"/>
                      <w:szCs w:val="21"/>
                      <w:lang w:val="en-US" w:eastAsia="zh-CN"/>
                    </w:rPr>
                  </w:pPr>
                </w:p>
              </w:tc>
              <w:tc>
                <w:tcPr>
                  <w:tcW w:w="285" w:type="pct"/>
                  <w:vMerge w:val="continue"/>
                  <w:vAlign w:val="center"/>
                </w:tcPr>
                <w:p w14:paraId="07F09AD5">
                  <w:pPr>
                    <w:jc w:val="center"/>
                    <w:rPr>
                      <w:rFonts w:hint="eastAsia"/>
                      <w:color w:val="auto"/>
                      <w:szCs w:val="21"/>
                      <w:lang w:val="en-US" w:eastAsia="zh-CN"/>
                    </w:rPr>
                  </w:pPr>
                </w:p>
              </w:tc>
              <w:tc>
                <w:tcPr>
                  <w:tcW w:w="270" w:type="pct"/>
                  <w:vMerge w:val="continue"/>
                  <w:vAlign w:val="center"/>
                </w:tcPr>
                <w:p w14:paraId="287D712A">
                  <w:pPr>
                    <w:jc w:val="center"/>
                    <w:rPr>
                      <w:rFonts w:hint="eastAsia"/>
                      <w:color w:val="auto"/>
                      <w:szCs w:val="21"/>
                      <w:lang w:val="en-US" w:eastAsia="zh-CN"/>
                    </w:rPr>
                  </w:pPr>
                </w:p>
              </w:tc>
              <w:tc>
                <w:tcPr>
                  <w:tcW w:w="277" w:type="pct"/>
                  <w:shd w:val="clear" w:color="auto" w:fill="auto"/>
                  <w:vAlign w:val="center"/>
                </w:tcPr>
                <w:p w14:paraId="337B827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7D3F5DA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349" w:type="pct"/>
                  <w:shd w:val="clear" w:color="auto" w:fill="auto"/>
                  <w:vAlign w:val="center"/>
                </w:tcPr>
                <w:p w14:paraId="7BEEA88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56.4</w:t>
                  </w:r>
                </w:p>
              </w:tc>
              <w:tc>
                <w:tcPr>
                  <w:tcW w:w="317" w:type="pct"/>
                  <w:vMerge w:val="continue"/>
                  <w:vAlign w:val="center"/>
                </w:tcPr>
                <w:p w14:paraId="0C487664">
                  <w:pPr>
                    <w:jc w:val="center"/>
                    <w:rPr>
                      <w:rFonts w:hint="eastAsia"/>
                      <w:color w:val="auto"/>
                      <w:szCs w:val="21"/>
                      <w:lang w:val="en-US" w:eastAsia="zh-CN"/>
                    </w:rPr>
                  </w:pPr>
                </w:p>
              </w:tc>
              <w:tc>
                <w:tcPr>
                  <w:tcW w:w="394" w:type="pct"/>
                  <w:vMerge w:val="continue"/>
                  <w:vAlign w:val="center"/>
                </w:tcPr>
                <w:p w14:paraId="40CD699B">
                  <w:pPr>
                    <w:jc w:val="center"/>
                    <w:rPr>
                      <w:rFonts w:hint="eastAsia"/>
                      <w:color w:val="auto"/>
                      <w:szCs w:val="21"/>
                      <w:lang w:val="en-US" w:eastAsia="zh-CN"/>
                    </w:rPr>
                  </w:pPr>
                </w:p>
              </w:tc>
              <w:tc>
                <w:tcPr>
                  <w:tcW w:w="418" w:type="pct"/>
                  <w:shd w:val="clear" w:color="auto" w:fill="auto"/>
                  <w:vAlign w:val="center"/>
                </w:tcPr>
                <w:p w14:paraId="2AAD701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41.4</w:t>
                  </w:r>
                </w:p>
              </w:tc>
              <w:tc>
                <w:tcPr>
                  <w:tcW w:w="419" w:type="pct"/>
                  <w:vMerge w:val="continue"/>
                  <w:vAlign w:val="center"/>
                </w:tcPr>
                <w:p w14:paraId="728F8101">
                  <w:pPr>
                    <w:jc w:val="center"/>
                    <w:rPr>
                      <w:rFonts w:hint="eastAsia"/>
                      <w:color w:val="auto"/>
                      <w:szCs w:val="21"/>
                      <w:lang w:val="en-US" w:eastAsia="zh-CN"/>
                    </w:rPr>
                  </w:pPr>
                </w:p>
              </w:tc>
            </w:tr>
            <w:tr w14:paraId="596D1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42BEA437">
                  <w:pPr>
                    <w:jc w:val="center"/>
                    <w:rPr>
                      <w:rFonts w:hint="eastAsia"/>
                      <w:color w:val="auto"/>
                      <w:szCs w:val="21"/>
                      <w:lang w:val="en-US" w:eastAsia="zh-CN"/>
                    </w:rPr>
                  </w:pPr>
                </w:p>
              </w:tc>
              <w:tc>
                <w:tcPr>
                  <w:tcW w:w="266" w:type="pct"/>
                  <w:vMerge w:val="continue"/>
                  <w:vAlign w:val="center"/>
                </w:tcPr>
                <w:p w14:paraId="705E1185">
                  <w:pPr>
                    <w:jc w:val="center"/>
                    <w:rPr>
                      <w:rFonts w:hint="eastAsia"/>
                      <w:color w:val="auto"/>
                      <w:szCs w:val="21"/>
                      <w:lang w:val="en-US" w:eastAsia="zh-CN"/>
                    </w:rPr>
                  </w:pPr>
                </w:p>
              </w:tc>
              <w:tc>
                <w:tcPr>
                  <w:tcW w:w="324" w:type="pct"/>
                  <w:vMerge w:val="continue"/>
                  <w:shd w:val="clear" w:color="auto" w:fill="auto"/>
                  <w:vAlign w:val="center"/>
                </w:tcPr>
                <w:p w14:paraId="45194F5E">
                  <w:pPr>
                    <w:jc w:val="center"/>
                    <w:rPr>
                      <w:rFonts w:hint="eastAsia"/>
                      <w:color w:val="auto"/>
                      <w:szCs w:val="21"/>
                      <w:lang w:val="en-US" w:eastAsia="zh-CN"/>
                    </w:rPr>
                  </w:pPr>
                </w:p>
              </w:tc>
              <w:tc>
                <w:tcPr>
                  <w:tcW w:w="349" w:type="pct"/>
                  <w:vMerge w:val="continue"/>
                  <w:shd w:val="clear" w:color="auto" w:fill="auto"/>
                  <w:vAlign w:val="center"/>
                </w:tcPr>
                <w:p w14:paraId="030D9155">
                  <w:pPr>
                    <w:jc w:val="center"/>
                    <w:rPr>
                      <w:rFonts w:hint="eastAsia"/>
                      <w:color w:val="auto"/>
                      <w:szCs w:val="21"/>
                      <w:lang w:val="en-US" w:eastAsia="zh-CN"/>
                    </w:rPr>
                  </w:pPr>
                </w:p>
              </w:tc>
              <w:tc>
                <w:tcPr>
                  <w:tcW w:w="333" w:type="pct"/>
                  <w:vMerge w:val="continue"/>
                  <w:vAlign w:val="center"/>
                </w:tcPr>
                <w:p w14:paraId="01415841">
                  <w:pPr>
                    <w:jc w:val="center"/>
                    <w:rPr>
                      <w:rFonts w:hint="eastAsia"/>
                      <w:color w:val="auto"/>
                      <w:szCs w:val="21"/>
                      <w:lang w:val="en-US" w:eastAsia="zh-CN"/>
                    </w:rPr>
                  </w:pPr>
                </w:p>
              </w:tc>
              <w:tc>
                <w:tcPr>
                  <w:tcW w:w="333" w:type="pct"/>
                  <w:vMerge w:val="continue"/>
                  <w:vAlign w:val="center"/>
                </w:tcPr>
                <w:p w14:paraId="3948FBA1">
                  <w:pPr>
                    <w:jc w:val="center"/>
                    <w:rPr>
                      <w:rFonts w:hint="eastAsia"/>
                      <w:color w:val="auto"/>
                      <w:szCs w:val="21"/>
                      <w:lang w:val="en-US" w:eastAsia="zh-CN"/>
                    </w:rPr>
                  </w:pPr>
                </w:p>
              </w:tc>
              <w:tc>
                <w:tcPr>
                  <w:tcW w:w="262" w:type="pct"/>
                  <w:vMerge w:val="continue"/>
                  <w:vAlign w:val="center"/>
                </w:tcPr>
                <w:p w14:paraId="6E792066">
                  <w:pPr>
                    <w:jc w:val="center"/>
                    <w:rPr>
                      <w:rFonts w:hint="eastAsia"/>
                      <w:color w:val="auto"/>
                      <w:szCs w:val="21"/>
                      <w:lang w:val="en-US" w:eastAsia="zh-CN"/>
                    </w:rPr>
                  </w:pPr>
                </w:p>
              </w:tc>
              <w:tc>
                <w:tcPr>
                  <w:tcW w:w="285" w:type="pct"/>
                  <w:vMerge w:val="continue"/>
                  <w:vAlign w:val="center"/>
                </w:tcPr>
                <w:p w14:paraId="35010B71">
                  <w:pPr>
                    <w:jc w:val="center"/>
                    <w:rPr>
                      <w:rFonts w:hint="eastAsia"/>
                      <w:color w:val="auto"/>
                      <w:szCs w:val="21"/>
                      <w:lang w:val="en-US" w:eastAsia="zh-CN"/>
                    </w:rPr>
                  </w:pPr>
                </w:p>
              </w:tc>
              <w:tc>
                <w:tcPr>
                  <w:tcW w:w="270" w:type="pct"/>
                  <w:vMerge w:val="continue"/>
                  <w:vAlign w:val="center"/>
                </w:tcPr>
                <w:p w14:paraId="1E7B7866">
                  <w:pPr>
                    <w:jc w:val="center"/>
                    <w:rPr>
                      <w:rFonts w:hint="eastAsia"/>
                      <w:color w:val="auto"/>
                      <w:szCs w:val="21"/>
                      <w:lang w:val="en-US" w:eastAsia="zh-CN"/>
                    </w:rPr>
                  </w:pPr>
                </w:p>
              </w:tc>
              <w:tc>
                <w:tcPr>
                  <w:tcW w:w="277" w:type="pct"/>
                  <w:shd w:val="clear" w:color="auto" w:fill="auto"/>
                  <w:vAlign w:val="center"/>
                </w:tcPr>
                <w:p w14:paraId="278E806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074FB95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29</w:t>
                  </w:r>
                </w:p>
              </w:tc>
              <w:tc>
                <w:tcPr>
                  <w:tcW w:w="349" w:type="pct"/>
                  <w:shd w:val="clear" w:color="auto" w:fill="auto"/>
                  <w:vAlign w:val="center"/>
                </w:tcPr>
                <w:p w14:paraId="7AB8990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43.3</w:t>
                  </w:r>
                </w:p>
              </w:tc>
              <w:tc>
                <w:tcPr>
                  <w:tcW w:w="317" w:type="pct"/>
                  <w:vMerge w:val="continue"/>
                  <w:vAlign w:val="center"/>
                </w:tcPr>
                <w:p w14:paraId="31D6EC7D">
                  <w:pPr>
                    <w:jc w:val="center"/>
                    <w:rPr>
                      <w:rFonts w:hint="eastAsia"/>
                      <w:color w:val="auto"/>
                      <w:szCs w:val="21"/>
                      <w:lang w:val="en-US" w:eastAsia="zh-CN"/>
                    </w:rPr>
                  </w:pPr>
                </w:p>
              </w:tc>
              <w:tc>
                <w:tcPr>
                  <w:tcW w:w="394" w:type="pct"/>
                  <w:vMerge w:val="continue"/>
                  <w:vAlign w:val="center"/>
                </w:tcPr>
                <w:p w14:paraId="2BCFD5A4">
                  <w:pPr>
                    <w:jc w:val="center"/>
                    <w:rPr>
                      <w:rFonts w:hint="eastAsia"/>
                      <w:color w:val="auto"/>
                      <w:szCs w:val="21"/>
                      <w:lang w:val="en-US" w:eastAsia="zh-CN"/>
                    </w:rPr>
                  </w:pPr>
                </w:p>
              </w:tc>
              <w:tc>
                <w:tcPr>
                  <w:tcW w:w="418" w:type="pct"/>
                  <w:shd w:val="clear" w:color="auto" w:fill="auto"/>
                  <w:vAlign w:val="center"/>
                </w:tcPr>
                <w:p w14:paraId="18840DB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27.3</w:t>
                  </w:r>
                </w:p>
              </w:tc>
              <w:tc>
                <w:tcPr>
                  <w:tcW w:w="419" w:type="pct"/>
                  <w:vMerge w:val="continue"/>
                  <w:vAlign w:val="center"/>
                </w:tcPr>
                <w:p w14:paraId="3DFE9FBC">
                  <w:pPr>
                    <w:jc w:val="center"/>
                    <w:rPr>
                      <w:rFonts w:hint="eastAsia"/>
                      <w:color w:val="auto"/>
                      <w:szCs w:val="21"/>
                      <w:lang w:val="en-US" w:eastAsia="zh-CN"/>
                    </w:rPr>
                  </w:pPr>
                </w:p>
              </w:tc>
            </w:tr>
            <w:tr w14:paraId="65C6B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restart"/>
                  <w:vAlign w:val="center"/>
                </w:tcPr>
                <w:p w14:paraId="38439F92">
                  <w:pPr>
                    <w:jc w:val="center"/>
                    <w:rPr>
                      <w:rFonts w:hint="default"/>
                      <w:color w:val="auto"/>
                      <w:szCs w:val="21"/>
                      <w:lang w:val="en-US" w:eastAsia="zh-CN"/>
                    </w:rPr>
                  </w:pPr>
                  <w:r>
                    <w:rPr>
                      <w:rFonts w:hint="eastAsia"/>
                      <w:color w:val="auto"/>
                      <w:szCs w:val="21"/>
                      <w:lang w:val="en-US" w:eastAsia="zh-CN"/>
                    </w:rPr>
                    <w:t>4</w:t>
                  </w:r>
                </w:p>
              </w:tc>
              <w:tc>
                <w:tcPr>
                  <w:tcW w:w="266" w:type="pct"/>
                  <w:vMerge w:val="continue"/>
                  <w:vAlign w:val="center"/>
                </w:tcPr>
                <w:p w14:paraId="7E9A4363">
                  <w:pPr>
                    <w:jc w:val="center"/>
                    <w:rPr>
                      <w:rFonts w:hint="eastAsia"/>
                      <w:color w:val="auto"/>
                      <w:szCs w:val="21"/>
                      <w:lang w:val="en-US" w:eastAsia="zh-CN"/>
                    </w:rPr>
                  </w:pPr>
                </w:p>
              </w:tc>
              <w:tc>
                <w:tcPr>
                  <w:tcW w:w="324" w:type="pct"/>
                  <w:vMerge w:val="restart"/>
                  <w:shd w:val="clear" w:color="auto" w:fill="auto"/>
                  <w:vAlign w:val="center"/>
                </w:tcPr>
                <w:p w14:paraId="544EBA31">
                  <w:pPr>
                    <w:jc w:val="center"/>
                    <w:rPr>
                      <w:rFonts w:hint="default"/>
                      <w:color w:val="auto"/>
                      <w:szCs w:val="21"/>
                      <w:lang w:val="en-US" w:eastAsia="zh-CN"/>
                    </w:rPr>
                  </w:pPr>
                  <w:r>
                    <w:rPr>
                      <w:rFonts w:hint="eastAsia"/>
                      <w:color w:val="auto"/>
                      <w:szCs w:val="21"/>
                      <w:lang w:val="en-US" w:eastAsia="zh-CN"/>
                    </w:rPr>
                    <w:t>干燥机</w:t>
                  </w:r>
                </w:p>
              </w:tc>
              <w:tc>
                <w:tcPr>
                  <w:tcW w:w="349" w:type="pct"/>
                  <w:vMerge w:val="restart"/>
                  <w:shd w:val="clear" w:color="auto" w:fill="auto"/>
                  <w:vAlign w:val="center"/>
                </w:tcPr>
                <w:p w14:paraId="0EF9E364">
                  <w:pPr>
                    <w:jc w:val="center"/>
                    <w:rPr>
                      <w:rFonts w:hint="default"/>
                      <w:color w:val="auto"/>
                      <w:szCs w:val="21"/>
                      <w:lang w:val="en-US" w:eastAsia="zh-CN"/>
                    </w:rPr>
                  </w:pPr>
                  <w:r>
                    <w:rPr>
                      <w:rFonts w:hint="eastAsia"/>
                      <w:color w:val="auto"/>
                      <w:szCs w:val="21"/>
                      <w:lang w:val="en-US" w:eastAsia="zh-CN"/>
                    </w:rPr>
                    <w:t>1</w:t>
                  </w:r>
                </w:p>
              </w:tc>
              <w:tc>
                <w:tcPr>
                  <w:tcW w:w="333" w:type="pct"/>
                  <w:vMerge w:val="restart"/>
                  <w:shd w:val="clear" w:color="auto" w:fill="auto"/>
                  <w:vAlign w:val="center"/>
                </w:tcPr>
                <w:p w14:paraId="0740E1C5">
                  <w:pPr>
                    <w:jc w:val="center"/>
                    <w:rPr>
                      <w:rFonts w:hint="default"/>
                      <w:color w:val="auto"/>
                      <w:szCs w:val="21"/>
                      <w:lang w:val="en-US" w:eastAsia="zh-CN"/>
                    </w:rPr>
                  </w:pPr>
                  <w:r>
                    <w:rPr>
                      <w:rFonts w:hint="eastAsia"/>
                      <w:color w:val="auto"/>
                      <w:szCs w:val="21"/>
                      <w:lang w:val="en-US" w:eastAsia="zh-CN"/>
                    </w:rPr>
                    <w:t>55-60</w:t>
                  </w:r>
                </w:p>
              </w:tc>
              <w:tc>
                <w:tcPr>
                  <w:tcW w:w="333" w:type="pct"/>
                  <w:vMerge w:val="continue"/>
                  <w:shd w:val="clear" w:color="auto" w:fill="auto"/>
                  <w:vAlign w:val="center"/>
                </w:tcPr>
                <w:p w14:paraId="7932C91B">
                  <w:pPr>
                    <w:jc w:val="center"/>
                    <w:rPr>
                      <w:rFonts w:hint="eastAsia"/>
                      <w:color w:val="auto"/>
                      <w:szCs w:val="21"/>
                      <w:lang w:val="en-US" w:eastAsia="zh-CN"/>
                    </w:rPr>
                  </w:pPr>
                </w:p>
              </w:tc>
              <w:tc>
                <w:tcPr>
                  <w:tcW w:w="262" w:type="pct"/>
                  <w:vMerge w:val="restart"/>
                  <w:shd w:val="clear" w:color="auto" w:fill="auto"/>
                  <w:vAlign w:val="center"/>
                </w:tcPr>
                <w:p w14:paraId="6A831295">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1-12</w:t>
                  </w:r>
                </w:p>
                <w:p w14:paraId="3D2D94EC">
                  <w:pPr>
                    <w:jc w:val="center"/>
                    <w:rPr>
                      <w:rFonts w:hint="eastAsia" w:ascii="Times New Roman" w:hAnsi="Times New Roman" w:eastAsia="宋体" w:cs="Times New Roman"/>
                      <w:color w:val="auto"/>
                      <w:kern w:val="2"/>
                      <w:sz w:val="21"/>
                      <w:szCs w:val="21"/>
                      <w:lang w:val="en-US" w:eastAsia="zh-CN" w:bidi="ar-SA"/>
                    </w:rPr>
                  </w:pPr>
                </w:p>
              </w:tc>
              <w:tc>
                <w:tcPr>
                  <w:tcW w:w="285" w:type="pct"/>
                  <w:vMerge w:val="restart"/>
                  <w:shd w:val="clear" w:color="auto" w:fill="auto"/>
                  <w:vAlign w:val="center"/>
                </w:tcPr>
                <w:p w14:paraId="30098691">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12-20</w:t>
                  </w:r>
                </w:p>
                <w:p w14:paraId="5A9B90DE">
                  <w:pPr>
                    <w:jc w:val="center"/>
                    <w:rPr>
                      <w:rFonts w:hint="eastAsia" w:ascii="Times New Roman" w:hAnsi="Times New Roman" w:eastAsia="宋体" w:cs="Times New Roman"/>
                      <w:color w:val="auto"/>
                      <w:kern w:val="2"/>
                      <w:sz w:val="21"/>
                      <w:szCs w:val="21"/>
                      <w:lang w:val="en-US" w:eastAsia="zh-CN" w:bidi="ar-SA"/>
                    </w:rPr>
                  </w:pPr>
                </w:p>
              </w:tc>
              <w:tc>
                <w:tcPr>
                  <w:tcW w:w="270" w:type="pct"/>
                  <w:vMerge w:val="restart"/>
                  <w:shd w:val="clear" w:color="auto" w:fill="auto"/>
                  <w:vAlign w:val="center"/>
                </w:tcPr>
                <w:p w14:paraId="73146DD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p w14:paraId="472F329D">
                  <w:pPr>
                    <w:jc w:val="center"/>
                    <w:rPr>
                      <w:rFonts w:hint="eastAsia" w:ascii="Times New Roman" w:hAnsi="Times New Roman" w:eastAsia="宋体" w:cs="Times New Roman"/>
                      <w:color w:val="auto"/>
                      <w:kern w:val="2"/>
                      <w:sz w:val="21"/>
                      <w:szCs w:val="21"/>
                      <w:lang w:val="en-US" w:eastAsia="zh-CN" w:bidi="ar-SA"/>
                    </w:rPr>
                  </w:pPr>
                </w:p>
              </w:tc>
              <w:tc>
                <w:tcPr>
                  <w:tcW w:w="277" w:type="pct"/>
                  <w:shd w:val="clear" w:color="auto" w:fill="auto"/>
                  <w:vAlign w:val="center"/>
                </w:tcPr>
                <w:p w14:paraId="5F03F8F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390632C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349" w:type="pct"/>
                  <w:shd w:val="clear" w:color="auto" w:fill="auto"/>
                  <w:vAlign w:val="center"/>
                </w:tcPr>
                <w:p w14:paraId="0F9396F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57.4</w:t>
                  </w:r>
                </w:p>
              </w:tc>
              <w:tc>
                <w:tcPr>
                  <w:tcW w:w="317" w:type="pct"/>
                  <w:vMerge w:val="restart"/>
                  <w:shd w:val="clear" w:color="auto" w:fill="auto"/>
                  <w:vAlign w:val="center"/>
                </w:tcPr>
                <w:p w14:paraId="2795B2F1">
                  <w:pPr>
                    <w:jc w:val="center"/>
                    <w:rPr>
                      <w:rFonts w:hint="eastAsia" w:ascii="Times New Roman" w:hAnsi="Times New Roman" w:eastAsia="宋体" w:cs="Times New Roman"/>
                      <w:color w:val="auto"/>
                      <w:kern w:val="2"/>
                      <w:sz w:val="21"/>
                      <w:szCs w:val="21"/>
                      <w:lang w:val="en-US" w:eastAsia="zh-CN" w:bidi="ar-SA"/>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shd w:val="clear" w:color="auto" w:fill="auto"/>
                  <w:vAlign w:val="center"/>
                </w:tcPr>
                <w:p w14:paraId="6D35395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-15</w:t>
                  </w:r>
                </w:p>
              </w:tc>
              <w:tc>
                <w:tcPr>
                  <w:tcW w:w="418" w:type="pct"/>
                  <w:shd w:val="clear" w:color="auto" w:fill="auto"/>
                  <w:vAlign w:val="center"/>
                </w:tcPr>
                <w:p w14:paraId="7E751A0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42.4</w:t>
                  </w:r>
                </w:p>
              </w:tc>
              <w:tc>
                <w:tcPr>
                  <w:tcW w:w="419" w:type="pct"/>
                  <w:vMerge w:val="continue"/>
                  <w:vAlign w:val="center"/>
                </w:tcPr>
                <w:p w14:paraId="37D293B8">
                  <w:pPr>
                    <w:jc w:val="center"/>
                    <w:rPr>
                      <w:rFonts w:hint="eastAsia"/>
                      <w:color w:val="auto"/>
                      <w:szCs w:val="21"/>
                      <w:lang w:val="en-US" w:eastAsia="zh-CN"/>
                    </w:rPr>
                  </w:pPr>
                </w:p>
              </w:tc>
            </w:tr>
            <w:tr w14:paraId="4E15F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240AB11B">
                  <w:pPr>
                    <w:jc w:val="center"/>
                    <w:rPr>
                      <w:rFonts w:hint="eastAsia"/>
                      <w:color w:val="auto"/>
                      <w:szCs w:val="21"/>
                      <w:lang w:val="en-US" w:eastAsia="zh-CN"/>
                    </w:rPr>
                  </w:pPr>
                </w:p>
              </w:tc>
              <w:tc>
                <w:tcPr>
                  <w:tcW w:w="266" w:type="pct"/>
                  <w:vMerge w:val="continue"/>
                  <w:vAlign w:val="center"/>
                </w:tcPr>
                <w:p w14:paraId="52070613">
                  <w:pPr>
                    <w:jc w:val="center"/>
                    <w:rPr>
                      <w:rFonts w:hint="eastAsia"/>
                      <w:color w:val="auto"/>
                      <w:szCs w:val="21"/>
                      <w:lang w:val="en-US" w:eastAsia="zh-CN"/>
                    </w:rPr>
                  </w:pPr>
                </w:p>
              </w:tc>
              <w:tc>
                <w:tcPr>
                  <w:tcW w:w="324" w:type="pct"/>
                  <w:vMerge w:val="continue"/>
                  <w:shd w:val="clear" w:color="auto" w:fill="auto"/>
                  <w:vAlign w:val="center"/>
                </w:tcPr>
                <w:p w14:paraId="3D3A93D6">
                  <w:pPr>
                    <w:jc w:val="center"/>
                    <w:rPr>
                      <w:rFonts w:hint="eastAsia"/>
                      <w:color w:val="auto"/>
                      <w:szCs w:val="21"/>
                      <w:lang w:val="en-US" w:eastAsia="zh-CN"/>
                    </w:rPr>
                  </w:pPr>
                </w:p>
              </w:tc>
              <w:tc>
                <w:tcPr>
                  <w:tcW w:w="349" w:type="pct"/>
                  <w:vMerge w:val="continue"/>
                  <w:shd w:val="clear" w:color="auto" w:fill="auto"/>
                  <w:vAlign w:val="center"/>
                </w:tcPr>
                <w:p w14:paraId="00EA29EE">
                  <w:pPr>
                    <w:jc w:val="center"/>
                    <w:rPr>
                      <w:rFonts w:hint="eastAsia"/>
                      <w:color w:val="auto"/>
                      <w:szCs w:val="21"/>
                      <w:lang w:val="en-US" w:eastAsia="zh-CN"/>
                    </w:rPr>
                  </w:pPr>
                </w:p>
              </w:tc>
              <w:tc>
                <w:tcPr>
                  <w:tcW w:w="333" w:type="pct"/>
                  <w:vMerge w:val="continue"/>
                  <w:vAlign w:val="center"/>
                </w:tcPr>
                <w:p w14:paraId="0C2619B8">
                  <w:pPr>
                    <w:jc w:val="center"/>
                    <w:rPr>
                      <w:rFonts w:hint="eastAsia"/>
                      <w:color w:val="auto"/>
                      <w:szCs w:val="21"/>
                      <w:lang w:val="en-US" w:eastAsia="zh-CN"/>
                    </w:rPr>
                  </w:pPr>
                </w:p>
              </w:tc>
              <w:tc>
                <w:tcPr>
                  <w:tcW w:w="333" w:type="pct"/>
                  <w:vMerge w:val="continue"/>
                  <w:vAlign w:val="center"/>
                </w:tcPr>
                <w:p w14:paraId="1ACE94AC">
                  <w:pPr>
                    <w:jc w:val="center"/>
                    <w:rPr>
                      <w:rFonts w:hint="eastAsia"/>
                      <w:color w:val="auto"/>
                      <w:szCs w:val="21"/>
                      <w:lang w:val="en-US" w:eastAsia="zh-CN"/>
                    </w:rPr>
                  </w:pPr>
                </w:p>
              </w:tc>
              <w:tc>
                <w:tcPr>
                  <w:tcW w:w="262" w:type="pct"/>
                  <w:vMerge w:val="continue"/>
                  <w:vAlign w:val="center"/>
                </w:tcPr>
                <w:p w14:paraId="5C694990">
                  <w:pPr>
                    <w:jc w:val="center"/>
                    <w:rPr>
                      <w:rFonts w:hint="eastAsia"/>
                      <w:color w:val="auto"/>
                      <w:szCs w:val="21"/>
                      <w:lang w:val="en-US" w:eastAsia="zh-CN"/>
                    </w:rPr>
                  </w:pPr>
                </w:p>
              </w:tc>
              <w:tc>
                <w:tcPr>
                  <w:tcW w:w="285" w:type="pct"/>
                  <w:vMerge w:val="continue"/>
                  <w:vAlign w:val="center"/>
                </w:tcPr>
                <w:p w14:paraId="5B046D3D">
                  <w:pPr>
                    <w:jc w:val="center"/>
                    <w:rPr>
                      <w:rFonts w:hint="eastAsia"/>
                      <w:color w:val="auto"/>
                      <w:szCs w:val="21"/>
                      <w:lang w:val="en-US" w:eastAsia="zh-CN"/>
                    </w:rPr>
                  </w:pPr>
                </w:p>
              </w:tc>
              <w:tc>
                <w:tcPr>
                  <w:tcW w:w="270" w:type="pct"/>
                  <w:vMerge w:val="continue"/>
                  <w:vAlign w:val="center"/>
                </w:tcPr>
                <w:p w14:paraId="41706763">
                  <w:pPr>
                    <w:jc w:val="center"/>
                    <w:rPr>
                      <w:rFonts w:hint="eastAsia"/>
                      <w:color w:val="auto"/>
                      <w:szCs w:val="21"/>
                      <w:lang w:val="en-US" w:eastAsia="zh-CN"/>
                    </w:rPr>
                  </w:pPr>
                </w:p>
              </w:tc>
              <w:tc>
                <w:tcPr>
                  <w:tcW w:w="277" w:type="pct"/>
                  <w:shd w:val="clear" w:color="auto" w:fill="auto"/>
                  <w:vAlign w:val="center"/>
                </w:tcPr>
                <w:p w14:paraId="2870AD3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223C6AB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349" w:type="pct"/>
                  <w:shd w:val="clear" w:color="auto" w:fill="auto"/>
                  <w:vAlign w:val="center"/>
                </w:tcPr>
                <w:p w14:paraId="5BE88D5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42.9</w:t>
                  </w:r>
                </w:p>
              </w:tc>
              <w:tc>
                <w:tcPr>
                  <w:tcW w:w="317" w:type="pct"/>
                  <w:vMerge w:val="continue"/>
                  <w:vAlign w:val="center"/>
                </w:tcPr>
                <w:p w14:paraId="7455ABC7">
                  <w:pPr>
                    <w:jc w:val="center"/>
                    <w:rPr>
                      <w:rFonts w:hint="eastAsia"/>
                      <w:color w:val="auto"/>
                      <w:szCs w:val="21"/>
                      <w:lang w:val="en-US" w:eastAsia="zh-CN"/>
                    </w:rPr>
                  </w:pPr>
                </w:p>
              </w:tc>
              <w:tc>
                <w:tcPr>
                  <w:tcW w:w="394" w:type="pct"/>
                  <w:vMerge w:val="continue"/>
                  <w:vAlign w:val="center"/>
                </w:tcPr>
                <w:p w14:paraId="76412B69">
                  <w:pPr>
                    <w:jc w:val="center"/>
                    <w:rPr>
                      <w:rFonts w:hint="eastAsia"/>
                      <w:color w:val="auto"/>
                      <w:szCs w:val="21"/>
                      <w:lang w:val="en-US" w:eastAsia="zh-CN"/>
                    </w:rPr>
                  </w:pPr>
                </w:p>
              </w:tc>
              <w:tc>
                <w:tcPr>
                  <w:tcW w:w="418" w:type="pct"/>
                  <w:shd w:val="clear" w:color="auto" w:fill="auto"/>
                  <w:vAlign w:val="center"/>
                </w:tcPr>
                <w:p w14:paraId="3FD4DF8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27.9</w:t>
                  </w:r>
                </w:p>
              </w:tc>
              <w:tc>
                <w:tcPr>
                  <w:tcW w:w="419" w:type="pct"/>
                  <w:vMerge w:val="continue"/>
                  <w:vAlign w:val="center"/>
                </w:tcPr>
                <w:p w14:paraId="6054C55A">
                  <w:pPr>
                    <w:jc w:val="center"/>
                    <w:rPr>
                      <w:rFonts w:hint="eastAsia"/>
                      <w:color w:val="auto"/>
                      <w:szCs w:val="21"/>
                      <w:lang w:val="en-US" w:eastAsia="zh-CN"/>
                    </w:rPr>
                  </w:pPr>
                </w:p>
              </w:tc>
            </w:tr>
            <w:tr w14:paraId="4B162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37DDEAC3">
                  <w:pPr>
                    <w:jc w:val="center"/>
                    <w:rPr>
                      <w:rFonts w:hint="eastAsia"/>
                      <w:color w:val="auto"/>
                      <w:szCs w:val="21"/>
                      <w:lang w:val="en-US" w:eastAsia="zh-CN"/>
                    </w:rPr>
                  </w:pPr>
                </w:p>
              </w:tc>
              <w:tc>
                <w:tcPr>
                  <w:tcW w:w="266" w:type="pct"/>
                  <w:vMerge w:val="continue"/>
                  <w:vAlign w:val="center"/>
                </w:tcPr>
                <w:p w14:paraId="54B54DC9">
                  <w:pPr>
                    <w:jc w:val="center"/>
                    <w:rPr>
                      <w:rFonts w:hint="eastAsia"/>
                      <w:color w:val="auto"/>
                      <w:szCs w:val="21"/>
                      <w:lang w:val="en-US" w:eastAsia="zh-CN"/>
                    </w:rPr>
                  </w:pPr>
                </w:p>
              </w:tc>
              <w:tc>
                <w:tcPr>
                  <w:tcW w:w="324" w:type="pct"/>
                  <w:vMerge w:val="continue"/>
                  <w:shd w:val="clear" w:color="auto" w:fill="auto"/>
                  <w:vAlign w:val="center"/>
                </w:tcPr>
                <w:p w14:paraId="706B7183">
                  <w:pPr>
                    <w:jc w:val="center"/>
                    <w:rPr>
                      <w:rFonts w:hint="eastAsia"/>
                      <w:color w:val="auto"/>
                      <w:szCs w:val="21"/>
                      <w:lang w:val="en-US" w:eastAsia="zh-CN"/>
                    </w:rPr>
                  </w:pPr>
                </w:p>
              </w:tc>
              <w:tc>
                <w:tcPr>
                  <w:tcW w:w="349" w:type="pct"/>
                  <w:vMerge w:val="continue"/>
                  <w:shd w:val="clear" w:color="auto" w:fill="auto"/>
                  <w:vAlign w:val="center"/>
                </w:tcPr>
                <w:p w14:paraId="3E3AB8AC">
                  <w:pPr>
                    <w:jc w:val="center"/>
                    <w:rPr>
                      <w:rFonts w:hint="eastAsia"/>
                      <w:color w:val="auto"/>
                      <w:szCs w:val="21"/>
                      <w:lang w:val="en-US" w:eastAsia="zh-CN"/>
                    </w:rPr>
                  </w:pPr>
                </w:p>
              </w:tc>
              <w:tc>
                <w:tcPr>
                  <w:tcW w:w="333" w:type="pct"/>
                  <w:vMerge w:val="continue"/>
                  <w:vAlign w:val="center"/>
                </w:tcPr>
                <w:p w14:paraId="0A46B577">
                  <w:pPr>
                    <w:jc w:val="center"/>
                    <w:rPr>
                      <w:rFonts w:hint="eastAsia"/>
                      <w:color w:val="auto"/>
                      <w:szCs w:val="21"/>
                      <w:lang w:val="en-US" w:eastAsia="zh-CN"/>
                    </w:rPr>
                  </w:pPr>
                </w:p>
              </w:tc>
              <w:tc>
                <w:tcPr>
                  <w:tcW w:w="333" w:type="pct"/>
                  <w:vMerge w:val="continue"/>
                  <w:vAlign w:val="center"/>
                </w:tcPr>
                <w:p w14:paraId="7A3C0359">
                  <w:pPr>
                    <w:jc w:val="center"/>
                    <w:rPr>
                      <w:rFonts w:hint="eastAsia"/>
                      <w:color w:val="auto"/>
                      <w:szCs w:val="21"/>
                      <w:lang w:val="en-US" w:eastAsia="zh-CN"/>
                    </w:rPr>
                  </w:pPr>
                </w:p>
              </w:tc>
              <w:tc>
                <w:tcPr>
                  <w:tcW w:w="262" w:type="pct"/>
                  <w:vMerge w:val="continue"/>
                  <w:vAlign w:val="center"/>
                </w:tcPr>
                <w:p w14:paraId="36C185E4">
                  <w:pPr>
                    <w:jc w:val="center"/>
                    <w:rPr>
                      <w:rFonts w:hint="eastAsia"/>
                      <w:color w:val="auto"/>
                      <w:szCs w:val="21"/>
                      <w:lang w:val="en-US" w:eastAsia="zh-CN"/>
                    </w:rPr>
                  </w:pPr>
                </w:p>
              </w:tc>
              <w:tc>
                <w:tcPr>
                  <w:tcW w:w="285" w:type="pct"/>
                  <w:vMerge w:val="continue"/>
                  <w:vAlign w:val="center"/>
                </w:tcPr>
                <w:p w14:paraId="3B48A106">
                  <w:pPr>
                    <w:jc w:val="center"/>
                    <w:rPr>
                      <w:rFonts w:hint="eastAsia"/>
                      <w:color w:val="auto"/>
                      <w:szCs w:val="21"/>
                      <w:lang w:val="en-US" w:eastAsia="zh-CN"/>
                    </w:rPr>
                  </w:pPr>
                </w:p>
              </w:tc>
              <w:tc>
                <w:tcPr>
                  <w:tcW w:w="270" w:type="pct"/>
                  <w:vMerge w:val="continue"/>
                  <w:vAlign w:val="center"/>
                </w:tcPr>
                <w:p w14:paraId="203C63C0">
                  <w:pPr>
                    <w:jc w:val="center"/>
                    <w:rPr>
                      <w:rFonts w:hint="eastAsia"/>
                      <w:color w:val="auto"/>
                      <w:szCs w:val="21"/>
                      <w:lang w:val="en-US" w:eastAsia="zh-CN"/>
                    </w:rPr>
                  </w:pPr>
                </w:p>
              </w:tc>
              <w:tc>
                <w:tcPr>
                  <w:tcW w:w="277" w:type="pct"/>
                  <w:shd w:val="clear" w:color="auto" w:fill="auto"/>
                  <w:vAlign w:val="center"/>
                </w:tcPr>
                <w:p w14:paraId="39BA1F1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11AED7B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349" w:type="pct"/>
                  <w:shd w:val="clear" w:color="auto" w:fill="auto"/>
                  <w:vAlign w:val="center"/>
                </w:tcPr>
                <w:p w14:paraId="187ABD6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52.4</w:t>
                  </w:r>
                </w:p>
              </w:tc>
              <w:tc>
                <w:tcPr>
                  <w:tcW w:w="317" w:type="pct"/>
                  <w:vMerge w:val="continue"/>
                  <w:vAlign w:val="center"/>
                </w:tcPr>
                <w:p w14:paraId="142E9CC7">
                  <w:pPr>
                    <w:jc w:val="center"/>
                    <w:rPr>
                      <w:rFonts w:hint="eastAsia"/>
                      <w:color w:val="auto"/>
                      <w:szCs w:val="21"/>
                      <w:lang w:val="en-US" w:eastAsia="zh-CN"/>
                    </w:rPr>
                  </w:pPr>
                </w:p>
              </w:tc>
              <w:tc>
                <w:tcPr>
                  <w:tcW w:w="394" w:type="pct"/>
                  <w:vMerge w:val="continue"/>
                  <w:vAlign w:val="center"/>
                </w:tcPr>
                <w:p w14:paraId="1A6873B1">
                  <w:pPr>
                    <w:jc w:val="center"/>
                    <w:rPr>
                      <w:rFonts w:hint="eastAsia"/>
                      <w:color w:val="auto"/>
                      <w:szCs w:val="21"/>
                      <w:lang w:val="en-US" w:eastAsia="zh-CN"/>
                    </w:rPr>
                  </w:pPr>
                </w:p>
              </w:tc>
              <w:tc>
                <w:tcPr>
                  <w:tcW w:w="418" w:type="pct"/>
                  <w:shd w:val="clear" w:color="auto" w:fill="auto"/>
                  <w:vAlign w:val="center"/>
                </w:tcPr>
                <w:p w14:paraId="6E4D330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37.4</w:t>
                  </w:r>
                </w:p>
              </w:tc>
              <w:tc>
                <w:tcPr>
                  <w:tcW w:w="419" w:type="pct"/>
                  <w:vMerge w:val="continue"/>
                  <w:vAlign w:val="center"/>
                </w:tcPr>
                <w:p w14:paraId="20E9DFFA">
                  <w:pPr>
                    <w:jc w:val="center"/>
                    <w:rPr>
                      <w:rFonts w:hint="eastAsia"/>
                      <w:color w:val="auto"/>
                      <w:szCs w:val="21"/>
                      <w:lang w:val="en-US" w:eastAsia="zh-CN"/>
                    </w:rPr>
                  </w:pPr>
                </w:p>
              </w:tc>
            </w:tr>
            <w:tr w14:paraId="386BD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25A3EA02">
                  <w:pPr>
                    <w:jc w:val="center"/>
                    <w:rPr>
                      <w:rFonts w:hint="eastAsia"/>
                      <w:color w:val="auto"/>
                      <w:szCs w:val="21"/>
                      <w:lang w:val="en-US" w:eastAsia="zh-CN"/>
                    </w:rPr>
                  </w:pPr>
                </w:p>
              </w:tc>
              <w:tc>
                <w:tcPr>
                  <w:tcW w:w="266" w:type="pct"/>
                  <w:vMerge w:val="continue"/>
                  <w:vAlign w:val="center"/>
                </w:tcPr>
                <w:p w14:paraId="03E36255">
                  <w:pPr>
                    <w:jc w:val="center"/>
                    <w:rPr>
                      <w:rFonts w:hint="eastAsia"/>
                      <w:color w:val="auto"/>
                      <w:szCs w:val="21"/>
                      <w:lang w:val="en-US" w:eastAsia="zh-CN"/>
                    </w:rPr>
                  </w:pPr>
                </w:p>
              </w:tc>
              <w:tc>
                <w:tcPr>
                  <w:tcW w:w="324" w:type="pct"/>
                  <w:vMerge w:val="continue"/>
                  <w:shd w:val="clear" w:color="auto" w:fill="auto"/>
                  <w:vAlign w:val="center"/>
                </w:tcPr>
                <w:p w14:paraId="003B6767">
                  <w:pPr>
                    <w:jc w:val="center"/>
                    <w:rPr>
                      <w:rFonts w:hint="eastAsia"/>
                      <w:color w:val="auto"/>
                      <w:szCs w:val="21"/>
                      <w:lang w:val="en-US" w:eastAsia="zh-CN"/>
                    </w:rPr>
                  </w:pPr>
                </w:p>
              </w:tc>
              <w:tc>
                <w:tcPr>
                  <w:tcW w:w="349" w:type="pct"/>
                  <w:vMerge w:val="continue"/>
                  <w:shd w:val="clear" w:color="auto" w:fill="auto"/>
                  <w:vAlign w:val="center"/>
                </w:tcPr>
                <w:p w14:paraId="33CE0B62">
                  <w:pPr>
                    <w:jc w:val="center"/>
                    <w:rPr>
                      <w:rFonts w:hint="eastAsia"/>
                      <w:color w:val="auto"/>
                      <w:szCs w:val="21"/>
                      <w:lang w:val="en-US" w:eastAsia="zh-CN"/>
                    </w:rPr>
                  </w:pPr>
                </w:p>
              </w:tc>
              <w:tc>
                <w:tcPr>
                  <w:tcW w:w="333" w:type="pct"/>
                  <w:vMerge w:val="continue"/>
                  <w:vAlign w:val="center"/>
                </w:tcPr>
                <w:p w14:paraId="3BA6277B">
                  <w:pPr>
                    <w:jc w:val="center"/>
                    <w:rPr>
                      <w:rFonts w:hint="eastAsia"/>
                      <w:color w:val="auto"/>
                      <w:szCs w:val="21"/>
                      <w:lang w:val="en-US" w:eastAsia="zh-CN"/>
                    </w:rPr>
                  </w:pPr>
                </w:p>
              </w:tc>
              <w:tc>
                <w:tcPr>
                  <w:tcW w:w="333" w:type="pct"/>
                  <w:vMerge w:val="continue"/>
                  <w:vAlign w:val="center"/>
                </w:tcPr>
                <w:p w14:paraId="48679E8C">
                  <w:pPr>
                    <w:jc w:val="center"/>
                    <w:rPr>
                      <w:rFonts w:hint="eastAsia"/>
                      <w:color w:val="auto"/>
                      <w:szCs w:val="21"/>
                      <w:lang w:val="en-US" w:eastAsia="zh-CN"/>
                    </w:rPr>
                  </w:pPr>
                </w:p>
              </w:tc>
              <w:tc>
                <w:tcPr>
                  <w:tcW w:w="262" w:type="pct"/>
                  <w:vMerge w:val="continue"/>
                  <w:vAlign w:val="center"/>
                </w:tcPr>
                <w:p w14:paraId="62A0CD54">
                  <w:pPr>
                    <w:jc w:val="center"/>
                    <w:rPr>
                      <w:rFonts w:hint="eastAsia"/>
                      <w:color w:val="auto"/>
                      <w:szCs w:val="21"/>
                      <w:lang w:val="en-US" w:eastAsia="zh-CN"/>
                    </w:rPr>
                  </w:pPr>
                </w:p>
              </w:tc>
              <w:tc>
                <w:tcPr>
                  <w:tcW w:w="285" w:type="pct"/>
                  <w:vMerge w:val="continue"/>
                  <w:vAlign w:val="center"/>
                </w:tcPr>
                <w:p w14:paraId="09F3686C">
                  <w:pPr>
                    <w:jc w:val="center"/>
                    <w:rPr>
                      <w:rFonts w:hint="eastAsia"/>
                      <w:color w:val="auto"/>
                      <w:szCs w:val="21"/>
                      <w:lang w:val="en-US" w:eastAsia="zh-CN"/>
                    </w:rPr>
                  </w:pPr>
                </w:p>
              </w:tc>
              <w:tc>
                <w:tcPr>
                  <w:tcW w:w="270" w:type="pct"/>
                  <w:vMerge w:val="continue"/>
                  <w:vAlign w:val="center"/>
                </w:tcPr>
                <w:p w14:paraId="1C23236E">
                  <w:pPr>
                    <w:jc w:val="center"/>
                    <w:rPr>
                      <w:rFonts w:hint="eastAsia"/>
                      <w:color w:val="auto"/>
                      <w:szCs w:val="21"/>
                      <w:lang w:val="en-US" w:eastAsia="zh-CN"/>
                    </w:rPr>
                  </w:pPr>
                </w:p>
              </w:tc>
              <w:tc>
                <w:tcPr>
                  <w:tcW w:w="277" w:type="pct"/>
                  <w:shd w:val="clear" w:color="auto" w:fill="auto"/>
                  <w:vAlign w:val="center"/>
                </w:tcPr>
                <w:p w14:paraId="21CFA25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5B2F5A1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29</w:t>
                  </w:r>
                </w:p>
              </w:tc>
              <w:tc>
                <w:tcPr>
                  <w:tcW w:w="349" w:type="pct"/>
                  <w:shd w:val="clear" w:color="auto" w:fill="auto"/>
                  <w:vAlign w:val="center"/>
                </w:tcPr>
                <w:p w14:paraId="32CEC1C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42.3</w:t>
                  </w:r>
                </w:p>
              </w:tc>
              <w:tc>
                <w:tcPr>
                  <w:tcW w:w="317" w:type="pct"/>
                  <w:vMerge w:val="continue"/>
                  <w:vAlign w:val="center"/>
                </w:tcPr>
                <w:p w14:paraId="012A7C8B">
                  <w:pPr>
                    <w:jc w:val="center"/>
                    <w:rPr>
                      <w:rFonts w:hint="eastAsia"/>
                      <w:color w:val="auto"/>
                      <w:szCs w:val="21"/>
                      <w:lang w:val="en-US" w:eastAsia="zh-CN"/>
                    </w:rPr>
                  </w:pPr>
                </w:p>
              </w:tc>
              <w:tc>
                <w:tcPr>
                  <w:tcW w:w="394" w:type="pct"/>
                  <w:vMerge w:val="continue"/>
                  <w:vAlign w:val="center"/>
                </w:tcPr>
                <w:p w14:paraId="09709BAA">
                  <w:pPr>
                    <w:jc w:val="center"/>
                    <w:rPr>
                      <w:rFonts w:hint="eastAsia"/>
                      <w:color w:val="auto"/>
                      <w:szCs w:val="21"/>
                      <w:lang w:val="en-US" w:eastAsia="zh-CN"/>
                    </w:rPr>
                  </w:pPr>
                </w:p>
              </w:tc>
              <w:tc>
                <w:tcPr>
                  <w:tcW w:w="418" w:type="pct"/>
                  <w:shd w:val="clear" w:color="auto" w:fill="auto"/>
                  <w:vAlign w:val="center"/>
                </w:tcPr>
                <w:p w14:paraId="1DAB624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27.3</w:t>
                  </w:r>
                </w:p>
              </w:tc>
              <w:tc>
                <w:tcPr>
                  <w:tcW w:w="419" w:type="pct"/>
                  <w:vMerge w:val="continue"/>
                  <w:vAlign w:val="center"/>
                </w:tcPr>
                <w:p w14:paraId="1A8FF9D5">
                  <w:pPr>
                    <w:jc w:val="center"/>
                    <w:rPr>
                      <w:rFonts w:hint="eastAsia"/>
                      <w:color w:val="auto"/>
                      <w:szCs w:val="21"/>
                      <w:lang w:val="en-US" w:eastAsia="zh-CN"/>
                    </w:rPr>
                  </w:pPr>
                </w:p>
              </w:tc>
            </w:tr>
            <w:tr w14:paraId="7F60F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restart"/>
                  <w:vAlign w:val="center"/>
                </w:tcPr>
                <w:p w14:paraId="751D8986">
                  <w:pPr>
                    <w:jc w:val="center"/>
                    <w:rPr>
                      <w:rFonts w:hint="default"/>
                      <w:color w:val="auto"/>
                      <w:szCs w:val="21"/>
                      <w:lang w:val="en-US" w:eastAsia="zh-CN"/>
                    </w:rPr>
                  </w:pPr>
                  <w:r>
                    <w:rPr>
                      <w:rFonts w:hint="eastAsia"/>
                      <w:color w:val="auto"/>
                      <w:szCs w:val="21"/>
                      <w:lang w:val="en-US" w:eastAsia="zh-CN"/>
                    </w:rPr>
                    <w:t>5</w:t>
                  </w:r>
                </w:p>
              </w:tc>
              <w:tc>
                <w:tcPr>
                  <w:tcW w:w="266" w:type="pct"/>
                  <w:vMerge w:val="continue"/>
                  <w:vAlign w:val="center"/>
                </w:tcPr>
                <w:p w14:paraId="3C6A1E81">
                  <w:pPr>
                    <w:jc w:val="center"/>
                    <w:rPr>
                      <w:rFonts w:hint="eastAsia"/>
                      <w:color w:val="auto"/>
                      <w:szCs w:val="21"/>
                      <w:lang w:val="en-US" w:eastAsia="zh-CN"/>
                    </w:rPr>
                  </w:pPr>
                </w:p>
              </w:tc>
              <w:tc>
                <w:tcPr>
                  <w:tcW w:w="324" w:type="pct"/>
                  <w:vMerge w:val="restart"/>
                  <w:shd w:val="clear" w:color="auto" w:fill="auto"/>
                  <w:vAlign w:val="center"/>
                </w:tcPr>
                <w:p w14:paraId="2D8A6E4F">
                  <w:pPr>
                    <w:jc w:val="center"/>
                    <w:rPr>
                      <w:rFonts w:hint="default"/>
                      <w:color w:val="auto"/>
                      <w:szCs w:val="21"/>
                      <w:lang w:val="en-US" w:eastAsia="zh-CN"/>
                    </w:rPr>
                  </w:pPr>
                  <w:r>
                    <w:rPr>
                      <w:rFonts w:hint="eastAsia"/>
                      <w:color w:val="auto"/>
                      <w:szCs w:val="21"/>
                      <w:lang w:val="en-US" w:eastAsia="zh-CN"/>
                    </w:rPr>
                    <w:t>190模机框</w:t>
                  </w:r>
                </w:p>
              </w:tc>
              <w:tc>
                <w:tcPr>
                  <w:tcW w:w="349" w:type="pct"/>
                  <w:vMerge w:val="restart"/>
                  <w:shd w:val="clear" w:color="auto" w:fill="auto"/>
                  <w:vAlign w:val="center"/>
                </w:tcPr>
                <w:p w14:paraId="706D3B2A">
                  <w:pPr>
                    <w:jc w:val="center"/>
                    <w:rPr>
                      <w:rFonts w:hint="default"/>
                      <w:color w:val="auto"/>
                      <w:szCs w:val="21"/>
                      <w:lang w:val="en-US" w:eastAsia="zh-CN"/>
                    </w:rPr>
                  </w:pPr>
                  <w:r>
                    <w:rPr>
                      <w:rFonts w:hint="eastAsia"/>
                      <w:color w:val="auto"/>
                      <w:szCs w:val="21"/>
                      <w:lang w:val="en-US" w:eastAsia="zh-CN"/>
                    </w:rPr>
                    <w:t>6</w:t>
                  </w:r>
                </w:p>
              </w:tc>
              <w:tc>
                <w:tcPr>
                  <w:tcW w:w="333" w:type="pct"/>
                  <w:vMerge w:val="restart"/>
                  <w:vAlign w:val="center"/>
                </w:tcPr>
                <w:p w14:paraId="075B5ED9">
                  <w:pPr>
                    <w:jc w:val="center"/>
                    <w:rPr>
                      <w:rFonts w:hint="default"/>
                      <w:color w:val="auto"/>
                      <w:szCs w:val="21"/>
                      <w:lang w:val="en-US" w:eastAsia="zh-CN"/>
                    </w:rPr>
                  </w:pPr>
                  <w:r>
                    <w:rPr>
                      <w:rFonts w:hint="eastAsia"/>
                      <w:color w:val="auto"/>
                      <w:szCs w:val="21"/>
                      <w:lang w:val="en-US" w:eastAsia="zh-CN"/>
                    </w:rPr>
                    <w:t>40-45</w:t>
                  </w:r>
                </w:p>
              </w:tc>
              <w:tc>
                <w:tcPr>
                  <w:tcW w:w="333" w:type="pct"/>
                  <w:vMerge w:val="continue"/>
                  <w:vAlign w:val="center"/>
                </w:tcPr>
                <w:p w14:paraId="044F34F5">
                  <w:pPr>
                    <w:jc w:val="center"/>
                    <w:rPr>
                      <w:rFonts w:hint="eastAsia"/>
                      <w:color w:val="auto"/>
                      <w:szCs w:val="21"/>
                      <w:lang w:val="en-US" w:eastAsia="zh-CN"/>
                    </w:rPr>
                  </w:pPr>
                </w:p>
              </w:tc>
              <w:tc>
                <w:tcPr>
                  <w:tcW w:w="262" w:type="pct"/>
                  <w:vMerge w:val="restart"/>
                  <w:vAlign w:val="center"/>
                </w:tcPr>
                <w:p w14:paraId="4B93D23D">
                  <w:pPr>
                    <w:jc w:val="center"/>
                    <w:rPr>
                      <w:rFonts w:hint="default"/>
                      <w:color w:val="auto"/>
                      <w:szCs w:val="21"/>
                      <w:lang w:val="en-US" w:eastAsia="zh-CN"/>
                    </w:rPr>
                  </w:pPr>
                  <w:r>
                    <w:rPr>
                      <w:rFonts w:hint="eastAsia"/>
                      <w:color w:val="auto"/>
                      <w:szCs w:val="21"/>
                      <w:lang w:val="en-US" w:eastAsia="zh-CN"/>
                    </w:rPr>
                    <w:t>1-10</w:t>
                  </w:r>
                </w:p>
              </w:tc>
              <w:tc>
                <w:tcPr>
                  <w:tcW w:w="285" w:type="pct"/>
                  <w:vMerge w:val="restart"/>
                  <w:vAlign w:val="center"/>
                </w:tcPr>
                <w:p w14:paraId="48B3E37C">
                  <w:pPr>
                    <w:jc w:val="center"/>
                    <w:rPr>
                      <w:rFonts w:hint="default"/>
                      <w:color w:val="auto"/>
                      <w:szCs w:val="21"/>
                      <w:lang w:val="en-US" w:eastAsia="zh-CN"/>
                    </w:rPr>
                  </w:pPr>
                  <w:r>
                    <w:rPr>
                      <w:rFonts w:hint="eastAsia"/>
                      <w:color w:val="auto"/>
                      <w:szCs w:val="21"/>
                      <w:lang w:val="en-US" w:eastAsia="zh-CN"/>
                    </w:rPr>
                    <w:t>20-25</w:t>
                  </w:r>
                </w:p>
              </w:tc>
              <w:tc>
                <w:tcPr>
                  <w:tcW w:w="270" w:type="pct"/>
                  <w:vMerge w:val="restart"/>
                  <w:vAlign w:val="center"/>
                </w:tcPr>
                <w:p w14:paraId="08233186">
                  <w:pPr>
                    <w:jc w:val="center"/>
                    <w:rPr>
                      <w:rFonts w:hint="default"/>
                      <w:color w:val="auto"/>
                      <w:szCs w:val="21"/>
                      <w:lang w:val="en-US" w:eastAsia="zh-CN"/>
                    </w:rPr>
                  </w:pPr>
                  <w:r>
                    <w:rPr>
                      <w:rFonts w:hint="eastAsia"/>
                      <w:color w:val="auto"/>
                      <w:szCs w:val="21"/>
                      <w:lang w:val="en-US" w:eastAsia="zh-CN"/>
                    </w:rPr>
                    <w:t>1.5</w:t>
                  </w:r>
                </w:p>
              </w:tc>
              <w:tc>
                <w:tcPr>
                  <w:tcW w:w="277" w:type="pct"/>
                  <w:shd w:val="clear" w:color="auto" w:fill="auto"/>
                  <w:vAlign w:val="center"/>
                </w:tcPr>
                <w:p w14:paraId="67E0613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71E0186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349" w:type="pct"/>
                  <w:shd w:val="clear" w:color="auto" w:fill="auto"/>
                  <w:vAlign w:val="center"/>
                </w:tcPr>
                <w:p w14:paraId="04D0A63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40.4</w:t>
                  </w:r>
                </w:p>
              </w:tc>
              <w:tc>
                <w:tcPr>
                  <w:tcW w:w="317" w:type="pct"/>
                  <w:vMerge w:val="restart"/>
                  <w:shd w:val="clear" w:color="auto" w:fill="auto"/>
                  <w:vAlign w:val="center"/>
                </w:tcPr>
                <w:p w14:paraId="7DFFD2FD">
                  <w:pPr>
                    <w:jc w:val="center"/>
                    <w:rPr>
                      <w:rFonts w:hint="eastAsia" w:ascii="Times New Roman" w:hAnsi="Times New Roman" w:eastAsia="宋体" w:cs="Times New Roman"/>
                      <w:color w:val="auto"/>
                      <w:kern w:val="2"/>
                      <w:sz w:val="21"/>
                      <w:szCs w:val="21"/>
                      <w:lang w:val="en-US" w:eastAsia="zh-CN" w:bidi="ar-SA"/>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shd w:val="clear" w:color="auto" w:fill="auto"/>
                  <w:vAlign w:val="center"/>
                </w:tcPr>
                <w:p w14:paraId="1AE4C4F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-15</w:t>
                  </w:r>
                </w:p>
              </w:tc>
              <w:tc>
                <w:tcPr>
                  <w:tcW w:w="418" w:type="pct"/>
                  <w:shd w:val="clear" w:color="auto" w:fill="auto"/>
                  <w:vAlign w:val="center"/>
                </w:tcPr>
                <w:p w14:paraId="7DA8F83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25.4</w:t>
                  </w:r>
                </w:p>
              </w:tc>
              <w:tc>
                <w:tcPr>
                  <w:tcW w:w="419" w:type="pct"/>
                  <w:vMerge w:val="continue"/>
                  <w:vAlign w:val="center"/>
                </w:tcPr>
                <w:p w14:paraId="0624EDCA">
                  <w:pPr>
                    <w:jc w:val="center"/>
                    <w:rPr>
                      <w:rFonts w:hint="eastAsia"/>
                      <w:color w:val="auto"/>
                      <w:szCs w:val="21"/>
                      <w:lang w:val="en-US" w:eastAsia="zh-CN"/>
                    </w:rPr>
                  </w:pPr>
                </w:p>
              </w:tc>
            </w:tr>
            <w:tr w14:paraId="128D5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6C574BCE">
                  <w:pPr>
                    <w:jc w:val="center"/>
                    <w:rPr>
                      <w:rFonts w:hint="eastAsia"/>
                      <w:color w:val="auto"/>
                      <w:szCs w:val="21"/>
                      <w:lang w:val="en-US" w:eastAsia="zh-CN"/>
                    </w:rPr>
                  </w:pPr>
                </w:p>
              </w:tc>
              <w:tc>
                <w:tcPr>
                  <w:tcW w:w="266" w:type="pct"/>
                  <w:vMerge w:val="continue"/>
                  <w:vAlign w:val="center"/>
                </w:tcPr>
                <w:p w14:paraId="26592391">
                  <w:pPr>
                    <w:jc w:val="center"/>
                    <w:rPr>
                      <w:rFonts w:hint="eastAsia"/>
                      <w:color w:val="auto"/>
                      <w:szCs w:val="21"/>
                      <w:lang w:val="en-US" w:eastAsia="zh-CN"/>
                    </w:rPr>
                  </w:pPr>
                </w:p>
              </w:tc>
              <w:tc>
                <w:tcPr>
                  <w:tcW w:w="324" w:type="pct"/>
                  <w:vMerge w:val="continue"/>
                  <w:shd w:val="clear" w:color="auto" w:fill="auto"/>
                  <w:vAlign w:val="center"/>
                </w:tcPr>
                <w:p w14:paraId="42C6D88B">
                  <w:pPr>
                    <w:jc w:val="center"/>
                    <w:rPr>
                      <w:rFonts w:hint="eastAsia"/>
                      <w:color w:val="auto"/>
                      <w:szCs w:val="21"/>
                      <w:lang w:val="en-US" w:eastAsia="zh-CN"/>
                    </w:rPr>
                  </w:pPr>
                </w:p>
              </w:tc>
              <w:tc>
                <w:tcPr>
                  <w:tcW w:w="349" w:type="pct"/>
                  <w:vMerge w:val="continue"/>
                  <w:shd w:val="clear" w:color="auto" w:fill="auto"/>
                  <w:vAlign w:val="center"/>
                </w:tcPr>
                <w:p w14:paraId="153281BD">
                  <w:pPr>
                    <w:jc w:val="center"/>
                    <w:rPr>
                      <w:rFonts w:hint="eastAsia"/>
                      <w:color w:val="auto"/>
                      <w:szCs w:val="21"/>
                      <w:lang w:val="en-US" w:eastAsia="zh-CN"/>
                    </w:rPr>
                  </w:pPr>
                </w:p>
              </w:tc>
              <w:tc>
                <w:tcPr>
                  <w:tcW w:w="333" w:type="pct"/>
                  <w:vMerge w:val="continue"/>
                  <w:vAlign w:val="center"/>
                </w:tcPr>
                <w:p w14:paraId="45EAE3DF">
                  <w:pPr>
                    <w:jc w:val="center"/>
                    <w:rPr>
                      <w:rFonts w:hint="eastAsia"/>
                      <w:color w:val="auto"/>
                      <w:szCs w:val="21"/>
                      <w:lang w:val="en-US" w:eastAsia="zh-CN"/>
                    </w:rPr>
                  </w:pPr>
                </w:p>
              </w:tc>
              <w:tc>
                <w:tcPr>
                  <w:tcW w:w="333" w:type="pct"/>
                  <w:vMerge w:val="continue"/>
                  <w:vAlign w:val="center"/>
                </w:tcPr>
                <w:p w14:paraId="2015E5A6">
                  <w:pPr>
                    <w:jc w:val="center"/>
                    <w:rPr>
                      <w:rFonts w:hint="eastAsia"/>
                      <w:color w:val="auto"/>
                      <w:szCs w:val="21"/>
                      <w:lang w:val="en-US" w:eastAsia="zh-CN"/>
                    </w:rPr>
                  </w:pPr>
                </w:p>
              </w:tc>
              <w:tc>
                <w:tcPr>
                  <w:tcW w:w="262" w:type="pct"/>
                  <w:vMerge w:val="continue"/>
                  <w:vAlign w:val="center"/>
                </w:tcPr>
                <w:p w14:paraId="3DBCB896">
                  <w:pPr>
                    <w:jc w:val="center"/>
                    <w:rPr>
                      <w:rFonts w:hint="eastAsia"/>
                      <w:color w:val="auto"/>
                      <w:szCs w:val="21"/>
                      <w:lang w:val="en-US" w:eastAsia="zh-CN"/>
                    </w:rPr>
                  </w:pPr>
                </w:p>
              </w:tc>
              <w:tc>
                <w:tcPr>
                  <w:tcW w:w="285" w:type="pct"/>
                  <w:vMerge w:val="continue"/>
                  <w:vAlign w:val="center"/>
                </w:tcPr>
                <w:p w14:paraId="2601B98B">
                  <w:pPr>
                    <w:jc w:val="center"/>
                    <w:rPr>
                      <w:rFonts w:hint="eastAsia"/>
                      <w:color w:val="auto"/>
                      <w:szCs w:val="21"/>
                      <w:lang w:val="en-US" w:eastAsia="zh-CN"/>
                    </w:rPr>
                  </w:pPr>
                </w:p>
              </w:tc>
              <w:tc>
                <w:tcPr>
                  <w:tcW w:w="270" w:type="pct"/>
                  <w:vMerge w:val="continue"/>
                  <w:vAlign w:val="center"/>
                </w:tcPr>
                <w:p w14:paraId="3EFB45AD">
                  <w:pPr>
                    <w:jc w:val="center"/>
                    <w:rPr>
                      <w:rFonts w:hint="eastAsia"/>
                      <w:color w:val="auto"/>
                      <w:szCs w:val="21"/>
                      <w:lang w:val="en-US" w:eastAsia="zh-CN"/>
                    </w:rPr>
                  </w:pPr>
                </w:p>
              </w:tc>
              <w:tc>
                <w:tcPr>
                  <w:tcW w:w="277" w:type="pct"/>
                  <w:shd w:val="clear" w:color="auto" w:fill="auto"/>
                  <w:vAlign w:val="center"/>
                </w:tcPr>
                <w:p w14:paraId="7984737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BB1D62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349" w:type="pct"/>
                  <w:shd w:val="clear" w:color="auto" w:fill="auto"/>
                  <w:vAlign w:val="center"/>
                </w:tcPr>
                <w:p w14:paraId="018B86C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41.9</w:t>
                  </w:r>
                </w:p>
              </w:tc>
              <w:tc>
                <w:tcPr>
                  <w:tcW w:w="317" w:type="pct"/>
                  <w:vMerge w:val="continue"/>
                  <w:vAlign w:val="center"/>
                </w:tcPr>
                <w:p w14:paraId="4F0C76A7">
                  <w:pPr>
                    <w:jc w:val="center"/>
                    <w:rPr>
                      <w:rFonts w:hint="eastAsia"/>
                      <w:color w:val="auto"/>
                      <w:szCs w:val="21"/>
                      <w:lang w:val="en-US" w:eastAsia="zh-CN"/>
                    </w:rPr>
                  </w:pPr>
                </w:p>
              </w:tc>
              <w:tc>
                <w:tcPr>
                  <w:tcW w:w="394" w:type="pct"/>
                  <w:vMerge w:val="continue"/>
                  <w:vAlign w:val="center"/>
                </w:tcPr>
                <w:p w14:paraId="65425B0A">
                  <w:pPr>
                    <w:jc w:val="center"/>
                    <w:rPr>
                      <w:rFonts w:hint="eastAsia"/>
                      <w:color w:val="auto"/>
                      <w:szCs w:val="21"/>
                      <w:lang w:val="en-US" w:eastAsia="zh-CN"/>
                    </w:rPr>
                  </w:pPr>
                </w:p>
              </w:tc>
              <w:tc>
                <w:tcPr>
                  <w:tcW w:w="418" w:type="pct"/>
                  <w:shd w:val="clear" w:color="auto" w:fill="auto"/>
                  <w:vAlign w:val="center"/>
                </w:tcPr>
                <w:p w14:paraId="6CA17EC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26.9</w:t>
                  </w:r>
                </w:p>
              </w:tc>
              <w:tc>
                <w:tcPr>
                  <w:tcW w:w="419" w:type="pct"/>
                  <w:vMerge w:val="continue"/>
                  <w:vAlign w:val="center"/>
                </w:tcPr>
                <w:p w14:paraId="348CCDC9">
                  <w:pPr>
                    <w:jc w:val="center"/>
                    <w:rPr>
                      <w:rFonts w:hint="eastAsia"/>
                      <w:color w:val="auto"/>
                      <w:szCs w:val="21"/>
                      <w:lang w:val="en-US" w:eastAsia="zh-CN"/>
                    </w:rPr>
                  </w:pPr>
                </w:p>
              </w:tc>
            </w:tr>
            <w:tr w14:paraId="02C66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7EAD3122">
                  <w:pPr>
                    <w:jc w:val="center"/>
                    <w:rPr>
                      <w:rFonts w:hint="eastAsia"/>
                      <w:color w:val="auto"/>
                      <w:szCs w:val="21"/>
                      <w:lang w:val="en-US" w:eastAsia="zh-CN"/>
                    </w:rPr>
                  </w:pPr>
                </w:p>
              </w:tc>
              <w:tc>
                <w:tcPr>
                  <w:tcW w:w="266" w:type="pct"/>
                  <w:vMerge w:val="continue"/>
                  <w:vAlign w:val="center"/>
                </w:tcPr>
                <w:p w14:paraId="64115EB2">
                  <w:pPr>
                    <w:jc w:val="center"/>
                    <w:rPr>
                      <w:rFonts w:hint="eastAsia"/>
                      <w:color w:val="auto"/>
                      <w:szCs w:val="21"/>
                      <w:lang w:val="en-US" w:eastAsia="zh-CN"/>
                    </w:rPr>
                  </w:pPr>
                </w:p>
              </w:tc>
              <w:tc>
                <w:tcPr>
                  <w:tcW w:w="324" w:type="pct"/>
                  <w:vMerge w:val="continue"/>
                  <w:shd w:val="clear" w:color="auto" w:fill="auto"/>
                  <w:vAlign w:val="center"/>
                </w:tcPr>
                <w:p w14:paraId="663A13CB">
                  <w:pPr>
                    <w:jc w:val="center"/>
                    <w:rPr>
                      <w:rFonts w:hint="eastAsia"/>
                      <w:color w:val="auto"/>
                      <w:szCs w:val="21"/>
                      <w:lang w:val="en-US" w:eastAsia="zh-CN"/>
                    </w:rPr>
                  </w:pPr>
                </w:p>
              </w:tc>
              <w:tc>
                <w:tcPr>
                  <w:tcW w:w="349" w:type="pct"/>
                  <w:vMerge w:val="continue"/>
                  <w:shd w:val="clear" w:color="auto" w:fill="auto"/>
                  <w:vAlign w:val="center"/>
                </w:tcPr>
                <w:p w14:paraId="59F3F41D">
                  <w:pPr>
                    <w:jc w:val="center"/>
                    <w:rPr>
                      <w:rFonts w:hint="eastAsia"/>
                      <w:color w:val="auto"/>
                      <w:szCs w:val="21"/>
                      <w:lang w:val="en-US" w:eastAsia="zh-CN"/>
                    </w:rPr>
                  </w:pPr>
                </w:p>
              </w:tc>
              <w:tc>
                <w:tcPr>
                  <w:tcW w:w="333" w:type="pct"/>
                  <w:vMerge w:val="continue"/>
                  <w:vAlign w:val="center"/>
                </w:tcPr>
                <w:p w14:paraId="7F149EC7">
                  <w:pPr>
                    <w:jc w:val="center"/>
                    <w:rPr>
                      <w:rFonts w:hint="eastAsia"/>
                      <w:color w:val="auto"/>
                      <w:szCs w:val="21"/>
                      <w:lang w:val="en-US" w:eastAsia="zh-CN"/>
                    </w:rPr>
                  </w:pPr>
                </w:p>
              </w:tc>
              <w:tc>
                <w:tcPr>
                  <w:tcW w:w="333" w:type="pct"/>
                  <w:vMerge w:val="continue"/>
                  <w:vAlign w:val="center"/>
                </w:tcPr>
                <w:p w14:paraId="026CC8E5">
                  <w:pPr>
                    <w:jc w:val="center"/>
                    <w:rPr>
                      <w:rFonts w:hint="eastAsia"/>
                      <w:color w:val="auto"/>
                      <w:szCs w:val="21"/>
                      <w:lang w:val="en-US" w:eastAsia="zh-CN"/>
                    </w:rPr>
                  </w:pPr>
                </w:p>
              </w:tc>
              <w:tc>
                <w:tcPr>
                  <w:tcW w:w="262" w:type="pct"/>
                  <w:vMerge w:val="continue"/>
                  <w:vAlign w:val="center"/>
                </w:tcPr>
                <w:p w14:paraId="3A44F91C">
                  <w:pPr>
                    <w:jc w:val="center"/>
                    <w:rPr>
                      <w:rFonts w:hint="eastAsia"/>
                      <w:color w:val="auto"/>
                      <w:szCs w:val="21"/>
                      <w:lang w:val="en-US" w:eastAsia="zh-CN"/>
                    </w:rPr>
                  </w:pPr>
                </w:p>
              </w:tc>
              <w:tc>
                <w:tcPr>
                  <w:tcW w:w="285" w:type="pct"/>
                  <w:vMerge w:val="continue"/>
                  <w:vAlign w:val="center"/>
                </w:tcPr>
                <w:p w14:paraId="484CDDFA">
                  <w:pPr>
                    <w:jc w:val="center"/>
                    <w:rPr>
                      <w:rFonts w:hint="eastAsia"/>
                      <w:color w:val="auto"/>
                      <w:szCs w:val="21"/>
                      <w:lang w:val="en-US" w:eastAsia="zh-CN"/>
                    </w:rPr>
                  </w:pPr>
                </w:p>
              </w:tc>
              <w:tc>
                <w:tcPr>
                  <w:tcW w:w="270" w:type="pct"/>
                  <w:vMerge w:val="continue"/>
                  <w:vAlign w:val="center"/>
                </w:tcPr>
                <w:p w14:paraId="6EB49B77">
                  <w:pPr>
                    <w:jc w:val="center"/>
                    <w:rPr>
                      <w:rFonts w:hint="eastAsia"/>
                      <w:color w:val="auto"/>
                      <w:szCs w:val="21"/>
                      <w:lang w:val="en-US" w:eastAsia="zh-CN"/>
                    </w:rPr>
                  </w:pPr>
                </w:p>
              </w:tc>
              <w:tc>
                <w:tcPr>
                  <w:tcW w:w="277" w:type="pct"/>
                  <w:shd w:val="clear" w:color="auto" w:fill="auto"/>
                  <w:vAlign w:val="center"/>
                </w:tcPr>
                <w:p w14:paraId="17C4E3F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4735808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349" w:type="pct"/>
                  <w:shd w:val="clear" w:color="auto" w:fill="auto"/>
                  <w:vAlign w:val="center"/>
                </w:tcPr>
                <w:p w14:paraId="175455B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40.4</w:t>
                  </w:r>
                </w:p>
              </w:tc>
              <w:tc>
                <w:tcPr>
                  <w:tcW w:w="317" w:type="pct"/>
                  <w:vMerge w:val="continue"/>
                  <w:vAlign w:val="center"/>
                </w:tcPr>
                <w:p w14:paraId="657032F7">
                  <w:pPr>
                    <w:jc w:val="center"/>
                    <w:rPr>
                      <w:rFonts w:hint="eastAsia"/>
                      <w:color w:val="auto"/>
                      <w:szCs w:val="21"/>
                      <w:lang w:val="en-US" w:eastAsia="zh-CN"/>
                    </w:rPr>
                  </w:pPr>
                </w:p>
              </w:tc>
              <w:tc>
                <w:tcPr>
                  <w:tcW w:w="394" w:type="pct"/>
                  <w:vMerge w:val="continue"/>
                  <w:vAlign w:val="center"/>
                </w:tcPr>
                <w:p w14:paraId="3D9537A4">
                  <w:pPr>
                    <w:jc w:val="center"/>
                    <w:rPr>
                      <w:rFonts w:hint="eastAsia"/>
                      <w:color w:val="auto"/>
                      <w:szCs w:val="21"/>
                      <w:lang w:val="en-US" w:eastAsia="zh-CN"/>
                    </w:rPr>
                  </w:pPr>
                </w:p>
              </w:tc>
              <w:tc>
                <w:tcPr>
                  <w:tcW w:w="418" w:type="pct"/>
                  <w:shd w:val="clear" w:color="auto" w:fill="auto"/>
                  <w:vAlign w:val="center"/>
                </w:tcPr>
                <w:p w14:paraId="0642779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25.4</w:t>
                  </w:r>
                </w:p>
              </w:tc>
              <w:tc>
                <w:tcPr>
                  <w:tcW w:w="419" w:type="pct"/>
                  <w:vMerge w:val="continue"/>
                  <w:vAlign w:val="center"/>
                </w:tcPr>
                <w:p w14:paraId="043EACE0">
                  <w:pPr>
                    <w:jc w:val="center"/>
                    <w:rPr>
                      <w:rFonts w:hint="eastAsia"/>
                      <w:color w:val="auto"/>
                      <w:szCs w:val="21"/>
                      <w:lang w:val="en-US" w:eastAsia="zh-CN"/>
                    </w:rPr>
                  </w:pPr>
                </w:p>
              </w:tc>
            </w:tr>
            <w:tr w14:paraId="67DBB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7E3251D2">
                  <w:pPr>
                    <w:jc w:val="center"/>
                    <w:rPr>
                      <w:rFonts w:hint="eastAsia"/>
                      <w:color w:val="auto"/>
                      <w:szCs w:val="21"/>
                      <w:lang w:val="en-US" w:eastAsia="zh-CN"/>
                    </w:rPr>
                  </w:pPr>
                </w:p>
              </w:tc>
              <w:tc>
                <w:tcPr>
                  <w:tcW w:w="266" w:type="pct"/>
                  <w:vMerge w:val="continue"/>
                  <w:vAlign w:val="center"/>
                </w:tcPr>
                <w:p w14:paraId="63CA975D">
                  <w:pPr>
                    <w:jc w:val="center"/>
                    <w:rPr>
                      <w:rFonts w:hint="eastAsia"/>
                      <w:color w:val="auto"/>
                      <w:szCs w:val="21"/>
                      <w:lang w:val="en-US" w:eastAsia="zh-CN"/>
                    </w:rPr>
                  </w:pPr>
                </w:p>
              </w:tc>
              <w:tc>
                <w:tcPr>
                  <w:tcW w:w="324" w:type="pct"/>
                  <w:vMerge w:val="continue"/>
                  <w:shd w:val="clear" w:color="auto" w:fill="auto"/>
                  <w:vAlign w:val="center"/>
                </w:tcPr>
                <w:p w14:paraId="3CB49927">
                  <w:pPr>
                    <w:jc w:val="center"/>
                    <w:rPr>
                      <w:rFonts w:hint="eastAsia"/>
                      <w:color w:val="auto"/>
                      <w:szCs w:val="21"/>
                      <w:lang w:val="en-US" w:eastAsia="zh-CN"/>
                    </w:rPr>
                  </w:pPr>
                </w:p>
              </w:tc>
              <w:tc>
                <w:tcPr>
                  <w:tcW w:w="349" w:type="pct"/>
                  <w:vMerge w:val="continue"/>
                  <w:shd w:val="clear" w:color="auto" w:fill="auto"/>
                  <w:vAlign w:val="center"/>
                </w:tcPr>
                <w:p w14:paraId="2C309210">
                  <w:pPr>
                    <w:jc w:val="center"/>
                    <w:rPr>
                      <w:rFonts w:hint="eastAsia"/>
                      <w:color w:val="auto"/>
                      <w:szCs w:val="21"/>
                      <w:lang w:val="en-US" w:eastAsia="zh-CN"/>
                    </w:rPr>
                  </w:pPr>
                </w:p>
              </w:tc>
              <w:tc>
                <w:tcPr>
                  <w:tcW w:w="333" w:type="pct"/>
                  <w:vMerge w:val="continue"/>
                  <w:vAlign w:val="center"/>
                </w:tcPr>
                <w:p w14:paraId="5621991C">
                  <w:pPr>
                    <w:jc w:val="center"/>
                    <w:rPr>
                      <w:rFonts w:hint="eastAsia"/>
                      <w:color w:val="auto"/>
                      <w:szCs w:val="21"/>
                      <w:lang w:val="en-US" w:eastAsia="zh-CN"/>
                    </w:rPr>
                  </w:pPr>
                </w:p>
              </w:tc>
              <w:tc>
                <w:tcPr>
                  <w:tcW w:w="333" w:type="pct"/>
                  <w:vMerge w:val="continue"/>
                  <w:vAlign w:val="center"/>
                </w:tcPr>
                <w:p w14:paraId="2E691951">
                  <w:pPr>
                    <w:jc w:val="center"/>
                    <w:rPr>
                      <w:rFonts w:hint="eastAsia"/>
                      <w:color w:val="auto"/>
                      <w:szCs w:val="21"/>
                      <w:lang w:val="en-US" w:eastAsia="zh-CN"/>
                    </w:rPr>
                  </w:pPr>
                </w:p>
              </w:tc>
              <w:tc>
                <w:tcPr>
                  <w:tcW w:w="262" w:type="pct"/>
                  <w:vMerge w:val="continue"/>
                  <w:vAlign w:val="center"/>
                </w:tcPr>
                <w:p w14:paraId="6CF4D008">
                  <w:pPr>
                    <w:jc w:val="center"/>
                    <w:rPr>
                      <w:rFonts w:hint="eastAsia"/>
                      <w:color w:val="auto"/>
                      <w:szCs w:val="21"/>
                      <w:lang w:val="en-US" w:eastAsia="zh-CN"/>
                    </w:rPr>
                  </w:pPr>
                </w:p>
              </w:tc>
              <w:tc>
                <w:tcPr>
                  <w:tcW w:w="285" w:type="pct"/>
                  <w:vMerge w:val="continue"/>
                  <w:vAlign w:val="center"/>
                </w:tcPr>
                <w:p w14:paraId="56AB9CDB">
                  <w:pPr>
                    <w:jc w:val="center"/>
                    <w:rPr>
                      <w:rFonts w:hint="eastAsia"/>
                      <w:color w:val="auto"/>
                      <w:szCs w:val="21"/>
                      <w:lang w:val="en-US" w:eastAsia="zh-CN"/>
                    </w:rPr>
                  </w:pPr>
                </w:p>
              </w:tc>
              <w:tc>
                <w:tcPr>
                  <w:tcW w:w="270" w:type="pct"/>
                  <w:vMerge w:val="continue"/>
                  <w:vAlign w:val="center"/>
                </w:tcPr>
                <w:p w14:paraId="5D906D65">
                  <w:pPr>
                    <w:jc w:val="center"/>
                    <w:rPr>
                      <w:rFonts w:hint="eastAsia"/>
                      <w:color w:val="auto"/>
                      <w:szCs w:val="21"/>
                      <w:lang w:val="en-US" w:eastAsia="zh-CN"/>
                    </w:rPr>
                  </w:pPr>
                </w:p>
              </w:tc>
              <w:tc>
                <w:tcPr>
                  <w:tcW w:w="277" w:type="pct"/>
                  <w:shd w:val="clear" w:color="auto" w:fill="auto"/>
                  <w:vAlign w:val="center"/>
                </w:tcPr>
                <w:p w14:paraId="765B760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7DE7BB1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29</w:t>
                  </w:r>
                </w:p>
              </w:tc>
              <w:tc>
                <w:tcPr>
                  <w:tcW w:w="349" w:type="pct"/>
                  <w:shd w:val="clear" w:color="auto" w:fill="auto"/>
                  <w:vAlign w:val="center"/>
                </w:tcPr>
                <w:p w14:paraId="46EDB49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43.3</w:t>
                  </w:r>
                </w:p>
              </w:tc>
              <w:tc>
                <w:tcPr>
                  <w:tcW w:w="317" w:type="pct"/>
                  <w:vMerge w:val="continue"/>
                  <w:vAlign w:val="center"/>
                </w:tcPr>
                <w:p w14:paraId="29E400DE">
                  <w:pPr>
                    <w:jc w:val="center"/>
                    <w:rPr>
                      <w:rFonts w:hint="eastAsia"/>
                      <w:color w:val="auto"/>
                      <w:szCs w:val="21"/>
                      <w:lang w:val="en-US" w:eastAsia="zh-CN"/>
                    </w:rPr>
                  </w:pPr>
                </w:p>
              </w:tc>
              <w:tc>
                <w:tcPr>
                  <w:tcW w:w="394" w:type="pct"/>
                  <w:vMerge w:val="continue"/>
                  <w:vAlign w:val="center"/>
                </w:tcPr>
                <w:p w14:paraId="1C0FF70F">
                  <w:pPr>
                    <w:jc w:val="center"/>
                    <w:rPr>
                      <w:rFonts w:hint="eastAsia"/>
                      <w:color w:val="auto"/>
                      <w:szCs w:val="21"/>
                      <w:lang w:val="en-US" w:eastAsia="zh-CN"/>
                    </w:rPr>
                  </w:pPr>
                </w:p>
              </w:tc>
              <w:tc>
                <w:tcPr>
                  <w:tcW w:w="418" w:type="pct"/>
                  <w:shd w:val="clear" w:color="auto" w:fill="auto"/>
                  <w:vAlign w:val="center"/>
                </w:tcPr>
                <w:p w14:paraId="770CE6B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28.3</w:t>
                  </w:r>
                </w:p>
              </w:tc>
              <w:tc>
                <w:tcPr>
                  <w:tcW w:w="419" w:type="pct"/>
                  <w:vMerge w:val="continue"/>
                  <w:vAlign w:val="center"/>
                </w:tcPr>
                <w:p w14:paraId="14834B21">
                  <w:pPr>
                    <w:jc w:val="center"/>
                    <w:rPr>
                      <w:rFonts w:hint="eastAsia"/>
                      <w:color w:val="auto"/>
                      <w:szCs w:val="21"/>
                      <w:lang w:val="en-US" w:eastAsia="zh-CN"/>
                    </w:rPr>
                  </w:pPr>
                </w:p>
              </w:tc>
            </w:tr>
            <w:tr w14:paraId="12488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restart"/>
                  <w:vAlign w:val="center"/>
                </w:tcPr>
                <w:p w14:paraId="25F40E27">
                  <w:pPr>
                    <w:jc w:val="center"/>
                    <w:rPr>
                      <w:rFonts w:hint="default"/>
                      <w:color w:val="auto"/>
                      <w:szCs w:val="21"/>
                      <w:lang w:val="en-US" w:eastAsia="zh-CN"/>
                    </w:rPr>
                  </w:pPr>
                  <w:r>
                    <w:rPr>
                      <w:rFonts w:hint="eastAsia"/>
                      <w:color w:val="auto"/>
                      <w:szCs w:val="21"/>
                      <w:lang w:val="en-US" w:eastAsia="zh-CN"/>
                    </w:rPr>
                    <w:t>6</w:t>
                  </w:r>
                </w:p>
              </w:tc>
              <w:tc>
                <w:tcPr>
                  <w:tcW w:w="266" w:type="pct"/>
                  <w:vMerge w:val="restart"/>
                  <w:vAlign w:val="center"/>
                </w:tcPr>
                <w:p w14:paraId="533BE056">
                  <w:pPr>
                    <w:jc w:val="center"/>
                    <w:rPr>
                      <w:rFonts w:hint="default"/>
                      <w:color w:val="auto"/>
                      <w:szCs w:val="21"/>
                      <w:lang w:val="en-US" w:eastAsia="zh-CN"/>
                    </w:rPr>
                  </w:pPr>
                  <w:r>
                    <w:rPr>
                      <w:rFonts w:hint="eastAsia"/>
                      <w:color w:val="auto"/>
                      <w:szCs w:val="21"/>
                      <w:lang w:val="en-US" w:eastAsia="zh-CN"/>
                    </w:rPr>
                    <w:t>控制机房</w:t>
                  </w:r>
                </w:p>
              </w:tc>
              <w:tc>
                <w:tcPr>
                  <w:tcW w:w="324" w:type="pct"/>
                  <w:vMerge w:val="restart"/>
                  <w:shd w:val="clear" w:color="auto" w:fill="auto"/>
                  <w:vAlign w:val="center"/>
                </w:tcPr>
                <w:p w14:paraId="72C59E7E">
                  <w:pPr>
                    <w:jc w:val="center"/>
                    <w:rPr>
                      <w:rFonts w:hint="default"/>
                      <w:color w:val="auto"/>
                      <w:szCs w:val="21"/>
                      <w:lang w:val="en-US" w:eastAsia="zh-CN"/>
                    </w:rPr>
                  </w:pPr>
                  <w:r>
                    <w:rPr>
                      <w:rFonts w:hint="eastAsia"/>
                      <w:color w:val="auto"/>
                      <w:szCs w:val="21"/>
                      <w:lang w:val="en-US" w:eastAsia="zh-CN"/>
                    </w:rPr>
                    <w:t>压缩机</w:t>
                  </w:r>
                </w:p>
              </w:tc>
              <w:tc>
                <w:tcPr>
                  <w:tcW w:w="349" w:type="pct"/>
                  <w:vMerge w:val="restart"/>
                  <w:shd w:val="clear" w:color="auto" w:fill="auto"/>
                  <w:vAlign w:val="center"/>
                </w:tcPr>
                <w:p w14:paraId="63CD6C08">
                  <w:pPr>
                    <w:jc w:val="center"/>
                    <w:rPr>
                      <w:rFonts w:hint="default"/>
                      <w:color w:val="auto"/>
                      <w:szCs w:val="21"/>
                      <w:lang w:val="en-US" w:eastAsia="zh-CN"/>
                    </w:rPr>
                  </w:pPr>
                  <w:r>
                    <w:rPr>
                      <w:rFonts w:hint="eastAsia"/>
                      <w:color w:val="auto"/>
                      <w:szCs w:val="21"/>
                      <w:lang w:val="en-US" w:eastAsia="zh-CN"/>
                    </w:rPr>
                    <w:t>3</w:t>
                  </w:r>
                </w:p>
              </w:tc>
              <w:tc>
                <w:tcPr>
                  <w:tcW w:w="333" w:type="pct"/>
                  <w:vMerge w:val="restart"/>
                  <w:vAlign w:val="center"/>
                </w:tcPr>
                <w:p w14:paraId="739028B1">
                  <w:pPr>
                    <w:jc w:val="center"/>
                    <w:rPr>
                      <w:rFonts w:hint="default"/>
                      <w:color w:val="auto"/>
                      <w:szCs w:val="21"/>
                      <w:lang w:val="en-US" w:eastAsia="zh-CN"/>
                    </w:rPr>
                  </w:pPr>
                  <w:r>
                    <w:rPr>
                      <w:rFonts w:hint="eastAsia"/>
                      <w:color w:val="auto"/>
                      <w:szCs w:val="21"/>
                      <w:lang w:val="en-US" w:eastAsia="zh-CN"/>
                    </w:rPr>
                    <w:t>70-80</w:t>
                  </w:r>
                </w:p>
              </w:tc>
              <w:tc>
                <w:tcPr>
                  <w:tcW w:w="333" w:type="pct"/>
                  <w:vMerge w:val="continue"/>
                  <w:vAlign w:val="center"/>
                </w:tcPr>
                <w:p w14:paraId="008A6351">
                  <w:pPr>
                    <w:jc w:val="center"/>
                    <w:rPr>
                      <w:rFonts w:hint="eastAsia"/>
                      <w:color w:val="auto"/>
                      <w:szCs w:val="21"/>
                      <w:lang w:val="en-US" w:eastAsia="zh-CN"/>
                    </w:rPr>
                  </w:pPr>
                </w:p>
              </w:tc>
              <w:tc>
                <w:tcPr>
                  <w:tcW w:w="262" w:type="pct"/>
                  <w:vMerge w:val="restart"/>
                  <w:vAlign w:val="center"/>
                </w:tcPr>
                <w:p w14:paraId="099A82F2">
                  <w:pPr>
                    <w:jc w:val="center"/>
                    <w:rPr>
                      <w:rFonts w:hint="default"/>
                      <w:color w:val="auto"/>
                      <w:szCs w:val="21"/>
                      <w:lang w:val="en-US" w:eastAsia="zh-CN"/>
                    </w:rPr>
                  </w:pPr>
                  <w:r>
                    <w:rPr>
                      <w:rFonts w:hint="eastAsia"/>
                      <w:color w:val="auto"/>
                      <w:szCs w:val="21"/>
                      <w:lang w:val="en-US" w:eastAsia="zh-CN"/>
                    </w:rPr>
                    <w:t>2-40</w:t>
                  </w:r>
                </w:p>
              </w:tc>
              <w:tc>
                <w:tcPr>
                  <w:tcW w:w="285" w:type="pct"/>
                  <w:vMerge w:val="restart"/>
                  <w:vAlign w:val="center"/>
                </w:tcPr>
                <w:p w14:paraId="51438AD7">
                  <w:pPr>
                    <w:jc w:val="center"/>
                    <w:rPr>
                      <w:rFonts w:hint="default"/>
                      <w:color w:val="auto"/>
                      <w:szCs w:val="21"/>
                      <w:lang w:val="en-US" w:eastAsia="zh-CN"/>
                    </w:rPr>
                  </w:pPr>
                  <w:r>
                    <w:rPr>
                      <w:rFonts w:hint="eastAsia"/>
                      <w:color w:val="auto"/>
                      <w:szCs w:val="21"/>
                      <w:lang w:val="en-US" w:eastAsia="zh-CN"/>
                    </w:rPr>
                    <w:t>1-10</w:t>
                  </w:r>
                </w:p>
              </w:tc>
              <w:tc>
                <w:tcPr>
                  <w:tcW w:w="270" w:type="pct"/>
                  <w:vMerge w:val="restart"/>
                  <w:vAlign w:val="center"/>
                </w:tcPr>
                <w:p w14:paraId="2B1570C3">
                  <w:pPr>
                    <w:jc w:val="center"/>
                    <w:rPr>
                      <w:rFonts w:hint="default"/>
                      <w:color w:val="auto"/>
                      <w:szCs w:val="21"/>
                      <w:lang w:val="en-US" w:eastAsia="zh-CN"/>
                    </w:rPr>
                  </w:pPr>
                  <w:r>
                    <w:rPr>
                      <w:rFonts w:hint="eastAsia"/>
                      <w:color w:val="auto"/>
                      <w:szCs w:val="21"/>
                      <w:lang w:val="en-US" w:eastAsia="zh-CN"/>
                    </w:rPr>
                    <w:t>1.5</w:t>
                  </w:r>
                </w:p>
              </w:tc>
              <w:tc>
                <w:tcPr>
                  <w:tcW w:w="277" w:type="pct"/>
                  <w:shd w:val="clear" w:color="auto" w:fill="auto"/>
                  <w:vAlign w:val="center"/>
                </w:tcPr>
                <w:p w14:paraId="11A9192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1F39868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349" w:type="pct"/>
                  <w:vAlign w:val="center"/>
                </w:tcPr>
                <w:p w14:paraId="6A206DF1">
                  <w:pPr>
                    <w:jc w:val="center"/>
                    <w:rPr>
                      <w:rFonts w:hint="default"/>
                      <w:color w:val="auto"/>
                      <w:szCs w:val="21"/>
                      <w:lang w:val="en-US" w:eastAsia="zh-CN"/>
                    </w:rPr>
                  </w:pPr>
                  <w:r>
                    <w:rPr>
                      <w:rFonts w:hint="eastAsia"/>
                      <w:color w:val="auto"/>
                      <w:szCs w:val="21"/>
                      <w:lang w:val="en-US" w:eastAsia="zh-CN"/>
                    </w:rPr>
                    <w:t>75.5</w:t>
                  </w:r>
                </w:p>
              </w:tc>
              <w:tc>
                <w:tcPr>
                  <w:tcW w:w="317" w:type="pct"/>
                  <w:vMerge w:val="restart"/>
                  <w:vAlign w:val="center"/>
                </w:tcPr>
                <w:p w14:paraId="06EC7D8F">
                  <w:pPr>
                    <w:jc w:val="center"/>
                    <w:rPr>
                      <w:rFonts w:hint="eastAsia"/>
                      <w:color w:val="auto"/>
                      <w:szCs w:val="21"/>
                      <w:lang w:val="en-US" w:eastAsia="zh-CN"/>
                    </w:rPr>
                  </w:pPr>
                  <w:r>
                    <w:rPr>
                      <w:rFonts w:hint="eastAsia"/>
                      <w:snapToGrid w:val="0"/>
                      <w:color w:val="auto"/>
                      <w:szCs w:val="21"/>
                      <w:lang w:val="en-US" w:eastAsia="zh-CN"/>
                    </w:rPr>
                    <w:t>24h</w:t>
                  </w:r>
                  <w:r>
                    <w:rPr>
                      <w:rFonts w:hint="eastAsia"/>
                      <w:snapToGrid w:val="0"/>
                      <w:color w:val="auto"/>
                      <w:szCs w:val="21"/>
                    </w:rPr>
                    <w:t>/d</w:t>
                  </w:r>
                </w:p>
              </w:tc>
              <w:tc>
                <w:tcPr>
                  <w:tcW w:w="394" w:type="pct"/>
                  <w:vMerge w:val="restart"/>
                  <w:vAlign w:val="center"/>
                </w:tcPr>
                <w:p w14:paraId="291F9BB0">
                  <w:pPr>
                    <w:jc w:val="center"/>
                    <w:rPr>
                      <w:rFonts w:hint="eastAsia"/>
                      <w:color w:val="auto"/>
                      <w:szCs w:val="21"/>
                      <w:lang w:val="en-US" w:eastAsia="zh-CN"/>
                    </w:rPr>
                  </w:pPr>
                  <w:r>
                    <w:rPr>
                      <w:rFonts w:hint="eastAsia"/>
                      <w:color w:val="auto"/>
                      <w:szCs w:val="21"/>
                    </w:rPr>
                    <w:t>-15</w:t>
                  </w:r>
                </w:p>
              </w:tc>
              <w:tc>
                <w:tcPr>
                  <w:tcW w:w="418" w:type="pct"/>
                  <w:vAlign w:val="center"/>
                </w:tcPr>
                <w:p w14:paraId="4F5C3DAF">
                  <w:pPr>
                    <w:jc w:val="center"/>
                    <w:rPr>
                      <w:rFonts w:hint="default"/>
                      <w:color w:val="auto"/>
                      <w:szCs w:val="21"/>
                      <w:lang w:val="en-US" w:eastAsia="zh-CN"/>
                    </w:rPr>
                  </w:pPr>
                  <w:r>
                    <w:rPr>
                      <w:rFonts w:hint="eastAsia"/>
                      <w:color w:val="auto"/>
                      <w:szCs w:val="21"/>
                      <w:lang w:val="en-US" w:eastAsia="zh-CN"/>
                    </w:rPr>
                    <w:t>60.5</w:t>
                  </w:r>
                </w:p>
              </w:tc>
              <w:tc>
                <w:tcPr>
                  <w:tcW w:w="419" w:type="pct"/>
                  <w:vMerge w:val="continue"/>
                  <w:vAlign w:val="center"/>
                </w:tcPr>
                <w:p w14:paraId="4E2B9964">
                  <w:pPr>
                    <w:jc w:val="center"/>
                    <w:rPr>
                      <w:rFonts w:hint="eastAsia"/>
                      <w:color w:val="auto"/>
                      <w:szCs w:val="21"/>
                      <w:lang w:val="en-US" w:eastAsia="zh-CN"/>
                    </w:rPr>
                  </w:pPr>
                </w:p>
              </w:tc>
            </w:tr>
            <w:tr w14:paraId="623EB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50407A91">
                  <w:pPr>
                    <w:jc w:val="center"/>
                    <w:rPr>
                      <w:color w:val="auto"/>
                    </w:rPr>
                  </w:pPr>
                </w:p>
              </w:tc>
              <w:tc>
                <w:tcPr>
                  <w:tcW w:w="266" w:type="pct"/>
                  <w:vMerge w:val="continue"/>
                  <w:vAlign w:val="center"/>
                </w:tcPr>
                <w:p w14:paraId="215983DB">
                  <w:pPr>
                    <w:jc w:val="center"/>
                    <w:rPr>
                      <w:color w:val="auto"/>
                    </w:rPr>
                  </w:pPr>
                </w:p>
              </w:tc>
              <w:tc>
                <w:tcPr>
                  <w:tcW w:w="324" w:type="pct"/>
                  <w:vMerge w:val="continue"/>
                  <w:shd w:val="clear" w:color="auto" w:fill="auto"/>
                  <w:vAlign w:val="center"/>
                </w:tcPr>
                <w:p w14:paraId="2ED469E5">
                  <w:pPr>
                    <w:jc w:val="center"/>
                    <w:rPr>
                      <w:color w:val="auto"/>
                    </w:rPr>
                  </w:pPr>
                </w:p>
              </w:tc>
              <w:tc>
                <w:tcPr>
                  <w:tcW w:w="349" w:type="pct"/>
                  <w:vMerge w:val="continue"/>
                  <w:shd w:val="clear" w:color="auto" w:fill="auto"/>
                  <w:vAlign w:val="center"/>
                </w:tcPr>
                <w:p w14:paraId="37567906">
                  <w:pPr>
                    <w:jc w:val="center"/>
                    <w:rPr>
                      <w:color w:val="auto"/>
                    </w:rPr>
                  </w:pPr>
                </w:p>
              </w:tc>
              <w:tc>
                <w:tcPr>
                  <w:tcW w:w="333" w:type="pct"/>
                  <w:vMerge w:val="continue"/>
                  <w:vAlign w:val="center"/>
                </w:tcPr>
                <w:p w14:paraId="577BA027">
                  <w:pPr>
                    <w:jc w:val="center"/>
                    <w:rPr>
                      <w:color w:val="auto"/>
                    </w:rPr>
                  </w:pPr>
                </w:p>
              </w:tc>
              <w:tc>
                <w:tcPr>
                  <w:tcW w:w="333" w:type="pct"/>
                  <w:vMerge w:val="continue"/>
                  <w:vAlign w:val="center"/>
                </w:tcPr>
                <w:p w14:paraId="0C8D6134">
                  <w:pPr>
                    <w:jc w:val="center"/>
                    <w:rPr>
                      <w:color w:val="auto"/>
                    </w:rPr>
                  </w:pPr>
                </w:p>
              </w:tc>
              <w:tc>
                <w:tcPr>
                  <w:tcW w:w="262" w:type="pct"/>
                  <w:vMerge w:val="continue"/>
                  <w:vAlign w:val="center"/>
                </w:tcPr>
                <w:p w14:paraId="3D326139">
                  <w:pPr>
                    <w:jc w:val="center"/>
                    <w:rPr>
                      <w:color w:val="auto"/>
                    </w:rPr>
                  </w:pPr>
                </w:p>
              </w:tc>
              <w:tc>
                <w:tcPr>
                  <w:tcW w:w="285" w:type="pct"/>
                  <w:vMerge w:val="continue"/>
                  <w:vAlign w:val="center"/>
                </w:tcPr>
                <w:p w14:paraId="40D61B3D">
                  <w:pPr>
                    <w:jc w:val="center"/>
                    <w:rPr>
                      <w:color w:val="auto"/>
                    </w:rPr>
                  </w:pPr>
                </w:p>
              </w:tc>
              <w:tc>
                <w:tcPr>
                  <w:tcW w:w="270" w:type="pct"/>
                  <w:vMerge w:val="continue"/>
                  <w:vAlign w:val="center"/>
                </w:tcPr>
                <w:p w14:paraId="12BADF8B">
                  <w:pPr>
                    <w:jc w:val="center"/>
                    <w:rPr>
                      <w:color w:val="auto"/>
                    </w:rPr>
                  </w:pPr>
                </w:p>
              </w:tc>
              <w:tc>
                <w:tcPr>
                  <w:tcW w:w="277" w:type="pct"/>
                  <w:shd w:val="clear" w:color="auto" w:fill="auto"/>
                  <w:vAlign w:val="center"/>
                </w:tcPr>
                <w:p w14:paraId="010D5A7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3704FA7E">
                  <w:pPr>
                    <w:jc w:val="center"/>
                    <w:rPr>
                      <w:rFonts w:hint="default"/>
                      <w:color w:val="auto"/>
                      <w:szCs w:val="21"/>
                      <w:lang w:val="en-US" w:eastAsia="zh-CN"/>
                    </w:rPr>
                  </w:pPr>
                  <w:r>
                    <w:rPr>
                      <w:rFonts w:hint="eastAsia"/>
                      <w:color w:val="auto"/>
                      <w:szCs w:val="21"/>
                      <w:lang w:val="en-US" w:eastAsia="zh-CN"/>
                    </w:rPr>
                    <w:t>17</w:t>
                  </w:r>
                </w:p>
              </w:tc>
              <w:tc>
                <w:tcPr>
                  <w:tcW w:w="349" w:type="pct"/>
                  <w:vAlign w:val="center"/>
                </w:tcPr>
                <w:p w14:paraId="5B2335FD">
                  <w:pPr>
                    <w:jc w:val="center"/>
                    <w:rPr>
                      <w:rFonts w:hint="default"/>
                      <w:color w:val="auto"/>
                      <w:szCs w:val="21"/>
                      <w:lang w:val="en-US" w:eastAsia="zh-CN"/>
                    </w:rPr>
                  </w:pPr>
                  <w:r>
                    <w:rPr>
                      <w:rFonts w:hint="eastAsia"/>
                      <w:color w:val="auto"/>
                      <w:szCs w:val="21"/>
                      <w:lang w:val="en-US" w:eastAsia="zh-CN"/>
                    </w:rPr>
                    <w:t>67.8</w:t>
                  </w:r>
                </w:p>
              </w:tc>
              <w:tc>
                <w:tcPr>
                  <w:tcW w:w="317" w:type="pct"/>
                  <w:vMerge w:val="continue"/>
                  <w:vAlign w:val="center"/>
                </w:tcPr>
                <w:p w14:paraId="7AEFDEA6">
                  <w:pPr>
                    <w:jc w:val="center"/>
                    <w:rPr>
                      <w:rFonts w:hint="eastAsia"/>
                      <w:color w:val="auto"/>
                      <w:szCs w:val="21"/>
                      <w:lang w:val="en-US" w:eastAsia="zh-CN"/>
                    </w:rPr>
                  </w:pPr>
                </w:p>
              </w:tc>
              <w:tc>
                <w:tcPr>
                  <w:tcW w:w="394" w:type="pct"/>
                  <w:vMerge w:val="continue"/>
                  <w:vAlign w:val="center"/>
                </w:tcPr>
                <w:p w14:paraId="0525D50C">
                  <w:pPr>
                    <w:jc w:val="center"/>
                    <w:rPr>
                      <w:rFonts w:hint="eastAsia"/>
                      <w:color w:val="auto"/>
                      <w:szCs w:val="21"/>
                      <w:lang w:val="en-US" w:eastAsia="zh-CN"/>
                    </w:rPr>
                  </w:pPr>
                </w:p>
              </w:tc>
              <w:tc>
                <w:tcPr>
                  <w:tcW w:w="418" w:type="pct"/>
                  <w:vAlign w:val="center"/>
                </w:tcPr>
                <w:p w14:paraId="3E8B99A1">
                  <w:pPr>
                    <w:jc w:val="center"/>
                    <w:rPr>
                      <w:rFonts w:hint="default"/>
                      <w:color w:val="auto"/>
                      <w:szCs w:val="21"/>
                      <w:lang w:val="en-US" w:eastAsia="zh-CN"/>
                    </w:rPr>
                  </w:pPr>
                  <w:r>
                    <w:rPr>
                      <w:rFonts w:hint="eastAsia"/>
                      <w:color w:val="auto"/>
                      <w:szCs w:val="21"/>
                      <w:lang w:val="en-US" w:eastAsia="zh-CN"/>
                    </w:rPr>
                    <w:t>52.8</w:t>
                  </w:r>
                </w:p>
              </w:tc>
              <w:tc>
                <w:tcPr>
                  <w:tcW w:w="419" w:type="pct"/>
                  <w:vMerge w:val="continue"/>
                  <w:vAlign w:val="center"/>
                </w:tcPr>
                <w:p w14:paraId="662A2C35">
                  <w:pPr>
                    <w:jc w:val="center"/>
                    <w:rPr>
                      <w:rFonts w:hint="eastAsia"/>
                      <w:color w:val="auto"/>
                      <w:szCs w:val="21"/>
                      <w:lang w:val="en-US" w:eastAsia="zh-CN"/>
                    </w:rPr>
                  </w:pPr>
                </w:p>
              </w:tc>
            </w:tr>
            <w:tr w14:paraId="28093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3F44C1C6">
                  <w:pPr>
                    <w:jc w:val="center"/>
                    <w:rPr>
                      <w:rFonts w:hint="eastAsia"/>
                      <w:color w:val="auto"/>
                      <w:szCs w:val="21"/>
                      <w:lang w:val="en-US" w:eastAsia="zh-CN"/>
                    </w:rPr>
                  </w:pPr>
                </w:p>
              </w:tc>
              <w:tc>
                <w:tcPr>
                  <w:tcW w:w="266" w:type="pct"/>
                  <w:vMerge w:val="continue"/>
                  <w:vAlign w:val="center"/>
                </w:tcPr>
                <w:p w14:paraId="3E0143FF">
                  <w:pPr>
                    <w:jc w:val="center"/>
                    <w:rPr>
                      <w:rFonts w:hint="eastAsia"/>
                      <w:color w:val="auto"/>
                      <w:szCs w:val="21"/>
                      <w:lang w:val="en-US" w:eastAsia="zh-CN"/>
                    </w:rPr>
                  </w:pPr>
                </w:p>
              </w:tc>
              <w:tc>
                <w:tcPr>
                  <w:tcW w:w="324" w:type="pct"/>
                  <w:vMerge w:val="continue"/>
                  <w:shd w:val="clear" w:color="auto" w:fill="auto"/>
                  <w:vAlign w:val="center"/>
                </w:tcPr>
                <w:p w14:paraId="6D2FA941">
                  <w:pPr>
                    <w:jc w:val="center"/>
                    <w:rPr>
                      <w:rFonts w:hint="eastAsia"/>
                      <w:color w:val="auto"/>
                      <w:szCs w:val="21"/>
                      <w:lang w:val="en-US" w:eastAsia="zh-CN"/>
                    </w:rPr>
                  </w:pPr>
                </w:p>
              </w:tc>
              <w:tc>
                <w:tcPr>
                  <w:tcW w:w="349" w:type="pct"/>
                  <w:vMerge w:val="continue"/>
                  <w:shd w:val="clear" w:color="auto" w:fill="auto"/>
                  <w:vAlign w:val="center"/>
                </w:tcPr>
                <w:p w14:paraId="43B749FC">
                  <w:pPr>
                    <w:jc w:val="center"/>
                    <w:rPr>
                      <w:rFonts w:hint="eastAsia"/>
                      <w:color w:val="auto"/>
                      <w:szCs w:val="21"/>
                      <w:lang w:val="en-US" w:eastAsia="zh-CN"/>
                    </w:rPr>
                  </w:pPr>
                </w:p>
              </w:tc>
              <w:tc>
                <w:tcPr>
                  <w:tcW w:w="333" w:type="pct"/>
                  <w:vMerge w:val="continue"/>
                  <w:vAlign w:val="center"/>
                </w:tcPr>
                <w:p w14:paraId="11CD1906">
                  <w:pPr>
                    <w:jc w:val="center"/>
                    <w:rPr>
                      <w:rFonts w:hint="eastAsia"/>
                      <w:color w:val="auto"/>
                      <w:szCs w:val="21"/>
                      <w:lang w:val="en-US" w:eastAsia="zh-CN"/>
                    </w:rPr>
                  </w:pPr>
                </w:p>
              </w:tc>
              <w:tc>
                <w:tcPr>
                  <w:tcW w:w="333" w:type="pct"/>
                  <w:vMerge w:val="continue"/>
                  <w:vAlign w:val="center"/>
                </w:tcPr>
                <w:p w14:paraId="008EF555">
                  <w:pPr>
                    <w:jc w:val="center"/>
                    <w:rPr>
                      <w:rFonts w:hint="eastAsia"/>
                      <w:color w:val="auto"/>
                      <w:szCs w:val="21"/>
                      <w:lang w:val="en-US" w:eastAsia="zh-CN"/>
                    </w:rPr>
                  </w:pPr>
                </w:p>
              </w:tc>
              <w:tc>
                <w:tcPr>
                  <w:tcW w:w="262" w:type="pct"/>
                  <w:vMerge w:val="continue"/>
                  <w:vAlign w:val="center"/>
                </w:tcPr>
                <w:p w14:paraId="37A0C34F">
                  <w:pPr>
                    <w:jc w:val="center"/>
                    <w:rPr>
                      <w:rFonts w:hint="eastAsia"/>
                      <w:color w:val="auto"/>
                      <w:szCs w:val="21"/>
                      <w:lang w:val="en-US" w:eastAsia="zh-CN"/>
                    </w:rPr>
                  </w:pPr>
                </w:p>
              </w:tc>
              <w:tc>
                <w:tcPr>
                  <w:tcW w:w="285" w:type="pct"/>
                  <w:vMerge w:val="continue"/>
                  <w:vAlign w:val="center"/>
                </w:tcPr>
                <w:p w14:paraId="155BA591">
                  <w:pPr>
                    <w:jc w:val="center"/>
                    <w:rPr>
                      <w:rFonts w:hint="eastAsia"/>
                      <w:color w:val="auto"/>
                      <w:szCs w:val="21"/>
                      <w:lang w:val="en-US" w:eastAsia="zh-CN"/>
                    </w:rPr>
                  </w:pPr>
                </w:p>
              </w:tc>
              <w:tc>
                <w:tcPr>
                  <w:tcW w:w="270" w:type="pct"/>
                  <w:vMerge w:val="continue"/>
                  <w:vAlign w:val="center"/>
                </w:tcPr>
                <w:p w14:paraId="6FF2FB71">
                  <w:pPr>
                    <w:jc w:val="center"/>
                    <w:rPr>
                      <w:rFonts w:hint="eastAsia"/>
                      <w:color w:val="auto"/>
                      <w:szCs w:val="21"/>
                      <w:lang w:val="en-US" w:eastAsia="zh-CN"/>
                    </w:rPr>
                  </w:pPr>
                </w:p>
              </w:tc>
              <w:tc>
                <w:tcPr>
                  <w:tcW w:w="277" w:type="pct"/>
                  <w:shd w:val="clear" w:color="auto" w:fill="auto"/>
                  <w:vAlign w:val="center"/>
                </w:tcPr>
                <w:p w14:paraId="3449213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1CB62F9E">
                  <w:pPr>
                    <w:jc w:val="center"/>
                    <w:rPr>
                      <w:rFonts w:hint="default"/>
                      <w:color w:val="auto"/>
                      <w:szCs w:val="21"/>
                      <w:lang w:val="en-US" w:eastAsia="zh-CN"/>
                    </w:rPr>
                  </w:pPr>
                  <w:r>
                    <w:rPr>
                      <w:rFonts w:hint="eastAsia"/>
                      <w:color w:val="auto"/>
                      <w:szCs w:val="21"/>
                      <w:lang w:val="en-US" w:eastAsia="zh-CN"/>
                    </w:rPr>
                    <w:t>2</w:t>
                  </w:r>
                </w:p>
              </w:tc>
              <w:tc>
                <w:tcPr>
                  <w:tcW w:w="349" w:type="pct"/>
                  <w:vAlign w:val="center"/>
                </w:tcPr>
                <w:p w14:paraId="1E46F559">
                  <w:pPr>
                    <w:jc w:val="center"/>
                    <w:rPr>
                      <w:rFonts w:hint="default"/>
                      <w:color w:val="auto"/>
                      <w:szCs w:val="21"/>
                      <w:lang w:val="en-US" w:eastAsia="zh-CN"/>
                    </w:rPr>
                  </w:pPr>
                  <w:r>
                    <w:rPr>
                      <w:rFonts w:hint="eastAsia"/>
                      <w:color w:val="auto"/>
                      <w:szCs w:val="21"/>
                      <w:lang w:val="en-US" w:eastAsia="zh-CN"/>
                    </w:rPr>
                    <w:t>72.7</w:t>
                  </w:r>
                </w:p>
              </w:tc>
              <w:tc>
                <w:tcPr>
                  <w:tcW w:w="317" w:type="pct"/>
                  <w:vMerge w:val="continue"/>
                  <w:vAlign w:val="center"/>
                </w:tcPr>
                <w:p w14:paraId="5766C663">
                  <w:pPr>
                    <w:jc w:val="center"/>
                    <w:rPr>
                      <w:rFonts w:hint="eastAsia"/>
                      <w:color w:val="auto"/>
                      <w:szCs w:val="21"/>
                      <w:lang w:val="en-US" w:eastAsia="zh-CN"/>
                    </w:rPr>
                  </w:pPr>
                </w:p>
              </w:tc>
              <w:tc>
                <w:tcPr>
                  <w:tcW w:w="394" w:type="pct"/>
                  <w:vMerge w:val="continue"/>
                  <w:vAlign w:val="center"/>
                </w:tcPr>
                <w:p w14:paraId="7DC38544">
                  <w:pPr>
                    <w:jc w:val="center"/>
                    <w:rPr>
                      <w:rFonts w:hint="eastAsia"/>
                      <w:color w:val="auto"/>
                      <w:szCs w:val="21"/>
                      <w:lang w:val="en-US" w:eastAsia="zh-CN"/>
                    </w:rPr>
                  </w:pPr>
                </w:p>
              </w:tc>
              <w:tc>
                <w:tcPr>
                  <w:tcW w:w="418" w:type="pct"/>
                  <w:vAlign w:val="center"/>
                </w:tcPr>
                <w:p w14:paraId="6BC72F00">
                  <w:pPr>
                    <w:jc w:val="center"/>
                    <w:rPr>
                      <w:rFonts w:hint="default"/>
                      <w:color w:val="auto"/>
                      <w:szCs w:val="21"/>
                      <w:lang w:val="en-US" w:eastAsia="zh-CN"/>
                    </w:rPr>
                  </w:pPr>
                  <w:r>
                    <w:rPr>
                      <w:rFonts w:hint="eastAsia"/>
                      <w:color w:val="auto"/>
                      <w:szCs w:val="21"/>
                      <w:lang w:val="en-US" w:eastAsia="zh-CN"/>
                    </w:rPr>
                    <w:t>58.7</w:t>
                  </w:r>
                </w:p>
              </w:tc>
              <w:tc>
                <w:tcPr>
                  <w:tcW w:w="419" w:type="pct"/>
                  <w:vMerge w:val="continue"/>
                  <w:vAlign w:val="center"/>
                </w:tcPr>
                <w:p w14:paraId="11C9F43E">
                  <w:pPr>
                    <w:jc w:val="center"/>
                    <w:rPr>
                      <w:rFonts w:hint="eastAsia"/>
                      <w:color w:val="auto"/>
                      <w:szCs w:val="21"/>
                      <w:lang w:val="en-US" w:eastAsia="zh-CN"/>
                    </w:rPr>
                  </w:pPr>
                </w:p>
              </w:tc>
            </w:tr>
            <w:tr w14:paraId="1ED75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12A55470">
                  <w:pPr>
                    <w:jc w:val="center"/>
                    <w:rPr>
                      <w:rFonts w:hint="eastAsia"/>
                      <w:color w:val="auto"/>
                      <w:szCs w:val="21"/>
                      <w:lang w:val="en-US" w:eastAsia="zh-CN"/>
                    </w:rPr>
                  </w:pPr>
                </w:p>
              </w:tc>
              <w:tc>
                <w:tcPr>
                  <w:tcW w:w="266" w:type="pct"/>
                  <w:vMerge w:val="continue"/>
                  <w:vAlign w:val="center"/>
                </w:tcPr>
                <w:p w14:paraId="4794ADD9">
                  <w:pPr>
                    <w:jc w:val="center"/>
                    <w:rPr>
                      <w:rFonts w:hint="eastAsia"/>
                      <w:color w:val="auto"/>
                      <w:szCs w:val="21"/>
                      <w:lang w:val="en-US" w:eastAsia="zh-CN"/>
                    </w:rPr>
                  </w:pPr>
                </w:p>
              </w:tc>
              <w:tc>
                <w:tcPr>
                  <w:tcW w:w="324" w:type="pct"/>
                  <w:vMerge w:val="continue"/>
                  <w:shd w:val="clear" w:color="auto" w:fill="auto"/>
                  <w:vAlign w:val="center"/>
                </w:tcPr>
                <w:p w14:paraId="31037E2C">
                  <w:pPr>
                    <w:jc w:val="center"/>
                    <w:rPr>
                      <w:rFonts w:hint="eastAsia"/>
                      <w:color w:val="auto"/>
                      <w:szCs w:val="21"/>
                      <w:lang w:val="en-US" w:eastAsia="zh-CN"/>
                    </w:rPr>
                  </w:pPr>
                </w:p>
              </w:tc>
              <w:tc>
                <w:tcPr>
                  <w:tcW w:w="349" w:type="pct"/>
                  <w:vMerge w:val="continue"/>
                  <w:shd w:val="clear" w:color="auto" w:fill="auto"/>
                  <w:vAlign w:val="center"/>
                </w:tcPr>
                <w:p w14:paraId="3751D23E">
                  <w:pPr>
                    <w:jc w:val="center"/>
                    <w:rPr>
                      <w:rFonts w:hint="eastAsia"/>
                      <w:color w:val="auto"/>
                      <w:szCs w:val="21"/>
                      <w:lang w:val="en-US" w:eastAsia="zh-CN"/>
                    </w:rPr>
                  </w:pPr>
                </w:p>
              </w:tc>
              <w:tc>
                <w:tcPr>
                  <w:tcW w:w="333" w:type="pct"/>
                  <w:vMerge w:val="continue"/>
                  <w:vAlign w:val="center"/>
                </w:tcPr>
                <w:p w14:paraId="48F3A760">
                  <w:pPr>
                    <w:jc w:val="center"/>
                    <w:rPr>
                      <w:rFonts w:hint="eastAsia"/>
                      <w:color w:val="auto"/>
                      <w:szCs w:val="21"/>
                      <w:lang w:val="en-US" w:eastAsia="zh-CN"/>
                    </w:rPr>
                  </w:pPr>
                </w:p>
              </w:tc>
              <w:tc>
                <w:tcPr>
                  <w:tcW w:w="333" w:type="pct"/>
                  <w:vMerge w:val="continue"/>
                  <w:vAlign w:val="center"/>
                </w:tcPr>
                <w:p w14:paraId="4BE1FB8C">
                  <w:pPr>
                    <w:jc w:val="center"/>
                    <w:rPr>
                      <w:rFonts w:hint="eastAsia"/>
                      <w:color w:val="auto"/>
                      <w:szCs w:val="21"/>
                      <w:lang w:val="en-US" w:eastAsia="zh-CN"/>
                    </w:rPr>
                  </w:pPr>
                </w:p>
              </w:tc>
              <w:tc>
                <w:tcPr>
                  <w:tcW w:w="262" w:type="pct"/>
                  <w:vMerge w:val="continue"/>
                  <w:vAlign w:val="center"/>
                </w:tcPr>
                <w:p w14:paraId="71702123">
                  <w:pPr>
                    <w:jc w:val="center"/>
                    <w:rPr>
                      <w:rFonts w:hint="eastAsia"/>
                      <w:color w:val="auto"/>
                      <w:szCs w:val="21"/>
                      <w:lang w:val="en-US" w:eastAsia="zh-CN"/>
                    </w:rPr>
                  </w:pPr>
                </w:p>
              </w:tc>
              <w:tc>
                <w:tcPr>
                  <w:tcW w:w="285" w:type="pct"/>
                  <w:vMerge w:val="continue"/>
                  <w:vAlign w:val="center"/>
                </w:tcPr>
                <w:p w14:paraId="7D9CB57F">
                  <w:pPr>
                    <w:jc w:val="center"/>
                    <w:rPr>
                      <w:rFonts w:hint="eastAsia"/>
                      <w:color w:val="auto"/>
                      <w:szCs w:val="21"/>
                      <w:lang w:val="en-US" w:eastAsia="zh-CN"/>
                    </w:rPr>
                  </w:pPr>
                </w:p>
              </w:tc>
              <w:tc>
                <w:tcPr>
                  <w:tcW w:w="270" w:type="pct"/>
                  <w:vMerge w:val="continue"/>
                  <w:vAlign w:val="center"/>
                </w:tcPr>
                <w:p w14:paraId="58B6D4CC">
                  <w:pPr>
                    <w:jc w:val="center"/>
                    <w:rPr>
                      <w:rFonts w:hint="eastAsia"/>
                      <w:color w:val="auto"/>
                      <w:szCs w:val="21"/>
                      <w:lang w:val="en-US" w:eastAsia="zh-CN"/>
                    </w:rPr>
                  </w:pPr>
                </w:p>
              </w:tc>
              <w:tc>
                <w:tcPr>
                  <w:tcW w:w="277" w:type="pct"/>
                  <w:shd w:val="clear" w:color="auto" w:fill="auto"/>
                  <w:vAlign w:val="center"/>
                </w:tcPr>
                <w:p w14:paraId="4003351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2FC8B47C">
                  <w:pPr>
                    <w:jc w:val="center"/>
                    <w:rPr>
                      <w:rFonts w:hint="default"/>
                      <w:color w:val="auto"/>
                      <w:szCs w:val="21"/>
                      <w:lang w:val="en-US" w:eastAsia="zh-CN"/>
                    </w:rPr>
                  </w:pPr>
                  <w:r>
                    <w:rPr>
                      <w:rFonts w:hint="eastAsia"/>
                      <w:color w:val="auto"/>
                      <w:szCs w:val="21"/>
                      <w:lang w:val="en-US" w:eastAsia="zh-CN"/>
                    </w:rPr>
                    <w:t>30</w:t>
                  </w:r>
                </w:p>
              </w:tc>
              <w:tc>
                <w:tcPr>
                  <w:tcW w:w="349" w:type="pct"/>
                  <w:vAlign w:val="center"/>
                </w:tcPr>
                <w:p w14:paraId="2410C73C">
                  <w:pPr>
                    <w:jc w:val="center"/>
                    <w:rPr>
                      <w:rFonts w:hint="default"/>
                      <w:color w:val="auto"/>
                      <w:szCs w:val="21"/>
                      <w:lang w:val="en-US" w:eastAsia="zh-CN"/>
                    </w:rPr>
                  </w:pPr>
                  <w:r>
                    <w:rPr>
                      <w:rFonts w:hint="eastAsia"/>
                      <w:color w:val="auto"/>
                      <w:szCs w:val="21"/>
                      <w:lang w:val="en-US" w:eastAsia="zh-CN"/>
                    </w:rPr>
                    <w:t>60.9</w:t>
                  </w:r>
                </w:p>
              </w:tc>
              <w:tc>
                <w:tcPr>
                  <w:tcW w:w="317" w:type="pct"/>
                  <w:vMerge w:val="continue"/>
                  <w:vAlign w:val="center"/>
                </w:tcPr>
                <w:p w14:paraId="6FC9D04D">
                  <w:pPr>
                    <w:jc w:val="center"/>
                    <w:rPr>
                      <w:rFonts w:hint="eastAsia"/>
                      <w:color w:val="auto"/>
                      <w:szCs w:val="21"/>
                      <w:lang w:val="en-US" w:eastAsia="zh-CN"/>
                    </w:rPr>
                  </w:pPr>
                </w:p>
              </w:tc>
              <w:tc>
                <w:tcPr>
                  <w:tcW w:w="394" w:type="pct"/>
                  <w:vMerge w:val="continue"/>
                  <w:vAlign w:val="center"/>
                </w:tcPr>
                <w:p w14:paraId="40EA7AA7">
                  <w:pPr>
                    <w:jc w:val="center"/>
                    <w:rPr>
                      <w:rFonts w:hint="eastAsia"/>
                      <w:color w:val="auto"/>
                      <w:szCs w:val="21"/>
                      <w:lang w:val="en-US" w:eastAsia="zh-CN"/>
                    </w:rPr>
                  </w:pPr>
                </w:p>
              </w:tc>
              <w:tc>
                <w:tcPr>
                  <w:tcW w:w="418" w:type="pct"/>
                  <w:vAlign w:val="center"/>
                </w:tcPr>
                <w:p w14:paraId="6B6CE51D">
                  <w:pPr>
                    <w:jc w:val="center"/>
                    <w:rPr>
                      <w:rFonts w:hint="default"/>
                      <w:color w:val="auto"/>
                      <w:szCs w:val="21"/>
                      <w:lang w:val="en-US" w:eastAsia="zh-CN"/>
                    </w:rPr>
                  </w:pPr>
                  <w:r>
                    <w:rPr>
                      <w:rFonts w:hint="eastAsia"/>
                      <w:color w:val="auto"/>
                      <w:szCs w:val="21"/>
                      <w:lang w:val="en-US" w:eastAsia="zh-CN"/>
                    </w:rPr>
                    <w:t>45.9</w:t>
                  </w:r>
                </w:p>
              </w:tc>
              <w:tc>
                <w:tcPr>
                  <w:tcW w:w="419" w:type="pct"/>
                  <w:vMerge w:val="continue"/>
                  <w:vAlign w:val="center"/>
                </w:tcPr>
                <w:p w14:paraId="5B3C7526">
                  <w:pPr>
                    <w:jc w:val="center"/>
                    <w:rPr>
                      <w:rFonts w:hint="eastAsia"/>
                      <w:color w:val="auto"/>
                      <w:szCs w:val="21"/>
                      <w:lang w:val="en-US" w:eastAsia="zh-CN"/>
                    </w:rPr>
                  </w:pPr>
                </w:p>
              </w:tc>
            </w:tr>
            <w:tr w14:paraId="099C4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restart"/>
                  <w:vAlign w:val="center"/>
                </w:tcPr>
                <w:p w14:paraId="010C3825">
                  <w:pPr>
                    <w:jc w:val="center"/>
                    <w:rPr>
                      <w:rFonts w:hint="default"/>
                      <w:color w:val="auto"/>
                      <w:szCs w:val="21"/>
                      <w:lang w:val="en-US" w:eastAsia="zh-CN"/>
                    </w:rPr>
                  </w:pPr>
                  <w:r>
                    <w:rPr>
                      <w:rFonts w:hint="eastAsia"/>
                      <w:color w:val="auto"/>
                      <w:szCs w:val="21"/>
                      <w:lang w:val="en-US" w:eastAsia="zh-CN"/>
                    </w:rPr>
                    <w:t>7</w:t>
                  </w:r>
                </w:p>
              </w:tc>
              <w:tc>
                <w:tcPr>
                  <w:tcW w:w="266" w:type="pct"/>
                  <w:vMerge w:val="continue"/>
                  <w:vAlign w:val="center"/>
                </w:tcPr>
                <w:p w14:paraId="569EF258">
                  <w:pPr>
                    <w:jc w:val="center"/>
                    <w:rPr>
                      <w:rFonts w:hint="eastAsia"/>
                      <w:color w:val="auto"/>
                      <w:szCs w:val="21"/>
                      <w:lang w:val="en-US" w:eastAsia="zh-CN"/>
                    </w:rPr>
                  </w:pPr>
                </w:p>
              </w:tc>
              <w:tc>
                <w:tcPr>
                  <w:tcW w:w="324" w:type="pct"/>
                  <w:vMerge w:val="restart"/>
                  <w:shd w:val="clear" w:color="auto" w:fill="auto"/>
                  <w:vAlign w:val="center"/>
                </w:tcPr>
                <w:p w14:paraId="3E4D9900">
                  <w:pPr>
                    <w:jc w:val="center"/>
                    <w:rPr>
                      <w:rFonts w:hint="default"/>
                      <w:color w:val="auto"/>
                      <w:szCs w:val="21"/>
                      <w:lang w:val="en-US" w:eastAsia="zh-CN"/>
                    </w:rPr>
                  </w:pPr>
                  <w:r>
                    <w:rPr>
                      <w:rFonts w:hint="eastAsia"/>
                      <w:color w:val="auto"/>
                      <w:szCs w:val="21"/>
                      <w:lang w:val="en-US" w:eastAsia="zh-CN"/>
                    </w:rPr>
                    <w:t>水泵</w:t>
                  </w:r>
                </w:p>
              </w:tc>
              <w:tc>
                <w:tcPr>
                  <w:tcW w:w="349" w:type="pct"/>
                  <w:vMerge w:val="restart"/>
                  <w:shd w:val="clear" w:color="auto" w:fill="auto"/>
                  <w:vAlign w:val="center"/>
                </w:tcPr>
                <w:p w14:paraId="4A3643DB">
                  <w:pPr>
                    <w:jc w:val="center"/>
                    <w:rPr>
                      <w:rFonts w:hint="default"/>
                      <w:color w:val="auto"/>
                      <w:szCs w:val="21"/>
                      <w:lang w:val="en-US" w:eastAsia="zh-CN"/>
                    </w:rPr>
                  </w:pPr>
                  <w:r>
                    <w:rPr>
                      <w:rFonts w:hint="eastAsia"/>
                      <w:color w:val="auto"/>
                      <w:szCs w:val="21"/>
                      <w:lang w:val="en-US" w:eastAsia="zh-CN"/>
                    </w:rPr>
                    <w:t>7</w:t>
                  </w:r>
                </w:p>
              </w:tc>
              <w:tc>
                <w:tcPr>
                  <w:tcW w:w="333" w:type="pct"/>
                  <w:vMerge w:val="restart"/>
                  <w:vAlign w:val="center"/>
                </w:tcPr>
                <w:p w14:paraId="72725570">
                  <w:pPr>
                    <w:jc w:val="center"/>
                    <w:rPr>
                      <w:rFonts w:hint="default"/>
                      <w:color w:val="auto"/>
                      <w:szCs w:val="21"/>
                      <w:lang w:val="en-US" w:eastAsia="zh-CN"/>
                    </w:rPr>
                  </w:pPr>
                  <w:r>
                    <w:rPr>
                      <w:rFonts w:hint="eastAsia"/>
                      <w:color w:val="auto"/>
                      <w:szCs w:val="21"/>
                      <w:lang w:val="en-US" w:eastAsia="zh-CN"/>
                    </w:rPr>
                    <w:t>50-55</w:t>
                  </w:r>
                </w:p>
              </w:tc>
              <w:tc>
                <w:tcPr>
                  <w:tcW w:w="333" w:type="pct"/>
                  <w:vMerge w:val="continue"/>
                  <w:vAlign w:val="center"/>
                </w:tcPr>
                <w:p w14:paraId="2A40482C">
                  <w:pPr>
                    <w:jc w:val="center"/>
                    <w:rPr>
                      <w:rFonts w:hint="eastAsia"/>
                      <w:color w:val="auto"/>
                      <w:szCs w:val="21"/>
                      <w:lang w:val="en-US" w:eastAsia="zh-CN"/>
                    </w:rPr>
                  </w:pPr>
                </w:p>
              </w:tc>
              <w:tc>
                <w:tcPr>
                  <w:tcW w:w="262" w:type="pct"/>
                  <w:vMerge w:val="restart"/>
                  <w:vAlign w:val="center"/>
                </w:tcPr>
                <w:p w14:paraId="32857641">
                  <w:pPr>
                    <w:jc w:val="center"/>
                    <w:rPr>
                      <w:rFonts w:hint="default"/>
                      <w:color w:val="auto"/>
                      <w:szCs w:val="21"/>
                      <w:lang w:val="en-US" w:eastAsia="zh-CN"/>
                    </w:rPr>
                  </w:pPr>
                  <w:r>
                    <w:rPr>
                      <w:rFonts w:hint="eastAsia"/>
                      <w:color w:val="auto"/>
                      <w:szCs w:val="21"/>
                      <w:lang w:val="en-US" w:eastAsia="zh-CN"/>
                    </w:rPr>
                    <w:t>1-12</w:t>
                  </w:r>
                </w:p>
              </w:tc>
              <w:tc>
                <w:tcPr>
                  <w:tcW w:w="285" w:type="pct"/>
                  <w:vMerge w:val="restart"/>
                  <w:vAlign w:val="center"/>
                </w:tcPr>
                <w:p w14:paraId="0E3F4FDC">
                  <w:pPr>
                    <w:jc w:val="center"/>
                    <w:rPr>
                      <w:rFonts w:hint="default"/>
                      <w:color w:val="auto"/>
                      <w:szCs w:val="21"/>
                      <w:lang w:val="en-US" w:eastAsia="zh-CN"/>
                    </w:rPr>
                  </w:pPr>
                  <w:r>
                    <w:rPr>
                      <w:rFonts w:hint="eastAsia"/>
                      <w:color w:val="auto"/>
                      <w:szCs w:val="21"/>
                      <w:lang w:val="en-US" w:eastAsia="zh-CN"/>
                    </w:rPr>
                    <w:t>22-24</w:t>
                  </w:r>
                </w:p>
              </w:tc>
              <w:tc>
                <w:tcPr>
                  <w:tcW w:w="270" w:type="pct"/>
                  <w:vMerge w:val="restart"/>
                  <w:vAlign w:val="center"/>
                </w:tcPr>
                <w:p w14:paraId="4B4244F5">
                  <w:pPr>
                    <w:jc w:val="center"/>
                    <w:rPr>
                      <w:rFonts w:hint="default"/>
                      <w:color w:val="auto"/>
                      <w:szCs w:val="21"/>
                      <w:lang w:val="en-US" w:eastAsia="zh-CN"/>
                    </w:rPr>
                  </w:pPr>
                  <w:r>
                    <w:rPr>
                      <w:rFonts w:hint="eastAsia"/>
                      <w:color w:val="auto"/>
                      <w:szCs w:val="21"/>
                      <w:lang w:val="en-US" w:eastAsia="zh-CN"/>
                    </w:rPr>
                    <w:t>-0.9</w:t>
                  </w:r>
                </w:p>
              </w:tc>
              <w:tc>
                <w:tcPr>
                  <w:tcW w:w="277" w:type="pct"/>
                  <w:shd w:val="clear" w:color="auto" w:fill="auto"/>
                  <w:vAlign w:val="center"/>
                </w:tcPr>
                <w:p w14:paraId="01DA1E0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20DDE3AD">
                  <w:pPr>
                    <w:jc w:val="center"/>
                    <w:rPr>
                      <w:rFonts w:hint="default"/>
                      <w:color w:val="auto"/>
                      <w:szCs w:val="21"/>
                      <w:lang w:val="en-US" w:eastAsia="zh-CN"/>
                    </w:rPr>
                  </w:pPr>
                  <w:r>
                    <w:rPr>
                      <w:rFonts w:hint="eastAsia"/>
                      <w:color w:val="auto"/>
                      <w:szCs w:val="21"/>
                      <w:lang w:val="en-US" w:eastAsia="zh-CN"/>
                    </w:rPr>
                    <w:t>1</w:t>
                  </w:r>
                </w:p>
              </w:tc>
              <w:tc>
                <w:tcPr>
                  <w:tcW w:w="349" w:type="pct"/>
                  <w:vAlign w:val="center"/>
                </w:tcPr>
                <w:p w14:paraId="7E46EB29">
                  <w:pPr>
                    <w:jc w:val="center"/>
                    <w:rPr>
                      <w:rFonts w:hint="default"/>
                      <w:color w:val="auto"/>
                      <w:szCs w:val="21"/>
                      <w:lang w:val="en-US" w:eastAsia="zh-CN"/>
                    </w:rPr>
                  </w:pPr>
                  <w:r>
                    <w:rPr>
                      <w:rFonts w:hint="eastAsia"/>
                      <w:color w:val="auto"/>
                      <w:szCs w:val="21"/>
                      <w:lang w:val="en-US" w:eastAsia="zh-CN"/>
                    </w:rPr>
                    <w:t>54.1</w:t>
                  </w:r>
                </w:p>
              </w:tc>
              <w:tc>
                <w:tcPr>
                  <w:tcW w:w="317" w:type="pct"/>
                  <w:vMerge w:val="restart"/>
                  <w:vAlign w:val="center"/>
                </w:tcPr>
                <w:p w14:paraId="37AFAED7">
                  <w:pPr>
                    <w:jc w:val="center"/>
                    <w:rPr>
                      <w:rFonts w:hint="eastAsia"/>
                      <w:color w:val="auto"/>
                      <w:szCs w:val="21"/>
                      <w:lang w:val="en-US" w:eastAsia="zh-CN"/>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vAlign w:val="center"/>
                </w:tcPr>
                <w:p w14:paraId="572B4501">
                  <w:pPr>
                    <w:jc w:val="center"/>
                    <w:rPr>
                      <w:rFonts w:hint="eastAsia"/>
                      <w:color w:val="auto"/>
                      <w:szCs w:val="21"/>
                      <w:lang w:val="en-US" w:eastAsia="zh-CN"/>
                    </w:rPr>
                  </w:pPr>
                  <w:r>
                    <w:rPr>
                      <w:rFonts w:hint="eastAsia"/>
                      <w:color w:val="auto"/>
                      <w:szCs w:val="21"/>
                    </w:rPr>
                    <w:t>-15</w:t>
                  </w:r>
                </w:p>
              </w:tc>
              <w:tc>
                <w:tcPr>
                  <w:tcW w:w="418" w:type="pct"/>
                  <w:vAlign w:val="center"/>
                </w:tcPr>
                <w:p w14:paraId="5F809B95">
                  <w:pPr>
                    <w:jc w:val="center"/>
                    <w:rPr>
                      <w:rFonts w:hint="default"/>
                      <w:color w:val="auto"/>
                      <w:szCs w:val="21"/>
                      <w:lang w:val="en-US" w:eastAsia="zh-CN"/>
                    </w:rPr>
                  </w:pPr>
                  <w:r>
                    <w:rPr>
                      <w:rFonts w:hint="eastAsia"/>
                      <w:color w:val="auto"/>
                      <w:szCs w:val="21"/>
                      <w:lang w:val="en-US" w:eastAsia="zh-CN"/>
                    </w:rPr>
                    <w:t>39.1</w:t>
                  </w:r>
                </w:p>
              </w:tc>
              <w:tc>
                <w:tcPr>
                  <w:tcW w:w="419" w:type="pct"/>
                  <w:vMerge w:val="continue"/>
                  <w:vAlign w:val="center"/>
                </w:tcPr>
                <w:p w14:paraId="67BE6584">
                  <w:pPr>
                    <w:jc w:val="center"/>
                    <w:rPr>
                      <w:rFonts w:hint="eastAsia"/>
                      <w:color w:val="auto"/>
                      <w:szCs w:val="21"/>
                      <w:lang w:val="en-US" w:eastAsia="zh-CN"/>
                    </w:rPr>
                  </w:pPr>
                </w:p>
              </w:tc>
            </w:tr>
            <w:tr w14:paraId="42DD6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0A34DDEC">
                  <w:pPr>
                    <w:jc w:val="center"/>
                    <w:rPr>
                      <w:rFonts w:hint="eastAsia"/>
                      <w:color w:val="auto"/>
                      <w:szCs w:val="21"/>
                      <w:lang w:val="en-US" w:eastAsia="zh-CN"/>
                    </w:rPr>
                  </w:pPr>
                </w:p>
              </w:tc>
              <w:tc>
                <w:tcPr>
                  <w:tcW w:w="266" w:type="pct"/>
                  <w:vMerge w:val="continue"/>
                  <w:vAlign w:val="center"/>
                </w:tcPr>
                <w:p w14:paraId="526AF426">
                  <w:pPr>
                    <w:jc w:val="center"/>
                    <w:rPr>
                      <w:rFonts w:hint="eastAsia"/>
                      <w:color w:val="auto"/>
                      <w:szCs w:val="21"/>
                      <w:lang w:val="en-US" w:eastAsia="zh-CN"/>
                    </w:rPr>
                  </w:pPr>
                </w:p>
              </w:tc>
              <w:tc>
                <w:tcPr>
                  <w:tcW w:w="324" w:type="pct"/>
                  <w:vMerge w:val="continue"/>
                  <w:shd w:val="clear" w:color="auto" w:fill="auto"/>
                  <w:vAlign w:val="center"/>
                </w:tcPr>
                <w:p w14:paraId="2D06858E">
                  <w:pPr>
                    <w:jc w:val="center"/>
                    <w:rPr>
                      <w:rFonts w:hint="eastAsia"/>
                      <w:color w:val="auto"/>
                      <w:szCs w:val="21"/>
                      <w:lang w:val="en-US" w:eastAsia="zh-CN"/>
                    </w:rPr>
                  </w:pPr>
                </w:p>
              </w:tc>
              <w:tc>
                <w:tcPr>
                  <w:tcW w:w="349" w:type="pct"/>
                  <w:vMerge w:val="continue"/>
                  <w:shd w:val="clear" w:color="auto" w:fill="auto"/>
                  <w:vAlign w:val="center"/>
                </w:tcPr>
                <w:p w14:paraId="563A7B4F">
                  <w:pPr>
                    <w:jc w:val="center"/>
                    <w:rPr>
                      <w:rFonts w:hint="eastAsia"/>
                      <w:color w:val="auto"/>
                      <w:szCs w:val="21"/>
                      <w:lang w:val="en-US" w:eastAsia="zh-CN"/>
                    </w:rPr>
                  </w:pPr>
                </w:p>
              </w:tc>
              <w:tc>
                <w:tcPr>
                  <w:tcW w:w="333" w:type="pct"/>
                  <w:vMerge w:val="continue"/>
                  <w:vAlign w:val="center"/>
                </w:tcPr>
                <w:p w14:paraId="0743E72C">
                  <w:pPr>
                    <w:jc w:val="center"/>
                    <w:rPr>
                      <w:rFonts w:hint="eastAsia"/>
                      <w:color w:val="auto"/>
                      <w:szCs w:val="21"/>
                      <w:lang w:val="en-US" w:eastAsia="zh-CN"/>
                    </w:rPr>
                  </w:pPr>
                </w:p>
              </w:tc>
              <w:tc>
                <w:tcPr>
                  <w:tcW w:w="333" w:type="pct"/>
                  <w:vMerge w:val="continue"/>
                  <w:vAlign w:val="center"/>
                </w:tcPr>
                <w:p w14:paraId="185D953C">
                  <w:pPr>
                    <w:jc w:val="center"/>
                    <w:rPr>
                      <w:rFonts w:hint="eastAsia"/>
                      <w:color w:val="auto"/>
                      <w:szCs w:val="21"/>
                      <w:lang w:val="en-US" w:eastAsia="zh-CN"/>
                    </w:rPr>
                  </w:pPr>
                </w:p>
              </w:tc>
              <w:tc>
                <w:tcPr>
                  <w:tcW w:w="262" w:type="pct"/>
                  <w:vMerge w:val="continue"/>
                  <w:vAlign w:val="center"/>
                </w:tcPr>
                <w:p w14:paraId="050308A0">
                  <w:pPr>
                    <w:jc w:val="center"/>
                    <w:rPr>
                      <w:rFonts w:hint="eastAsia"/>
                      <w:color w:val="auto"/>
                      <w:szCs w:val="21"/>
                      <w:lang w:val="en-US" w:eastAsia="zh-CN"/>
                    </w:rPr>
                  </w:pPr>
                </w:p>
              </w:tc>
              <w:tc>
                <w:tcPr>
                  <w:tcW w:w="285" w:type="pct"/>
                  <w:vMerge w:val="continue"/>
                  <w:vAlign w:val="center"/>
                </w:tcPr>
                <w:p w14:paraId="638349FF">
                  <w:pPr>
                    <w:jc w:val="center"/>
                    <w:rPr>
                      <w:rFonts w:hint="eastAsia"/>
                      <w:color w:val="auto"/>
                      <w:szCs w:val="21"/>
                      <w:lang w:val="en-US" w:eastAsia="zh-CN"/>
                    </w:rPr>
                  </w:pPr>
                </w:p>
              </w:tc>
              <w:tc>
                <w:tcPr>
                  <w:tcW w:w="270" w:type="pct"/>
                  <w:vMerge w:val="continue"/>
                  <w:vAlign w:val="center"/>
                </w:tcPr>
                <w:p w14:paraId="2401C814">
                  <w:pPr>
                    <w:jc w:val="center"/>
                    <w:rPr>
                      <w:rFonts w:hint="eastAsia"/>
                      <w:color w:val="auto"/>
                      <w:szCs w:val="21"/>
                      <w:lang w:val="en-US" w:eastAsia="zh-CN"/>
                    </w:rPr>
                  </w:pPr>
                </w:p>
              </w:tc>
              <w:tc>
                <w:tcPr>
                  <w:tcW w:w="277" w:type="pct"/>
                  <w:shd w:val="clear" w:color="auto" w:fill="auto"/>
                  <w:vAlign w:val="center"/>
                </w:tcPr>
                <w:p w14:paraId="502E326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E23026B">
                  <w:pPr>
                    <w:jc w:val="center"/>
                    <w:rPr>
                      <w:rFonts w:hint="default"/>
                      <w:color w:val="auto"/>
                      <w:szCs w:val="21"/>
                      <w:lang w:val="en-US" w:eastAsia="zh-CN"/>
                    </w:rPr>
                  </w:pPr>
                  <w:r>
                    <w:rPr>
                      <w:rFonts w:hint="eastAsia"/>
                      <w:color w:val="auto"/>
                      <w:szCs w:val="21"/>
                      <w:lang w:val="en-US" w:eastAsia="zh-CN"/>
                    </w:rPr>
                    <w:t>11</w:t>
                  </w:r>
                </w:p>
              </w:tc>
              <w:tc>
                <w:tcPr>
                  <w:tcW w:w="349" w:type="pct"/>
                  <w:vAlign w:val="center"/>
                </w:tcPr>
                <w:p w14:paraId="55A2E7B7">
                  <w:pPr>
                    <w:jc w:val="center"/>
                    <w:rPr>
                      <w:rFonts w:hint="default"/>
                      <w:color w:val="auto"/>
                      <w:szCs w:val="21"/>
                      <w:lang w:val="en-US" w:eastAsia="zh-CN"/>
                    </w:rPr>
                  </w:pPr>
                  <w:r>
                    <w:rPr>
                      <w:rFonts w:hint="eastAsia"/>
                      <w:color w:val="auto"/>
                      <w:szCs w:val="21"/>
                      <w:lang w:val="en-US" w:eastAsia="zh-CN"/>
                    </w:rPr>
                    <w:t>49.5</w:t>
                  </w:r>
                </w:p>
              </w:tc>
              <w:tc>
                <w:tcPr>
                  <w:tcW w:w="317" w:type="pct"/>
                  <w:vMerge w:val="continue"/>
                  <w:vAlign w:val="center"/>
                </w:tcPr>
                <w:p w14:paraId="23126542">
                  <w:pPr>
                    <w:jc w:val="center"/>
                    <w:rPr>
                      <w:rFonts w:hint="eastAsia"/>
                      <w:color w:val="auto"/>
                      <w:szCs w:val="21"/>
                      <w:lang w:val="en-US" w:eastAsia="zh-CN"/>
                    </w:rPr>
                  </w:pPr>
                </w:p>
              </w:tc>
              <w:tc>
                <w:tcPr>
                  <w:tcW w:w="394" w:type="pct"/>
                  <w:vMerge w:val="continue"/>
                  <w:vAlign w:val="center"/>
                </w:tcPr>
                <w:p w14:paraId="71E646BD">
                  <w:pPr>
                    <w:jc w:val="center"/>
                    <w:rPr>
                      <w:rFonts w:hint="eastAsia"/>
                      <w:color w:val="auto"/>
                      <w:szCs w:val="21"/>
                      <w:lang w:val="en-US" w:eastAsia="zh-CN"/>
                    </w:rPr>
                  </w:pPr>
                </w:p>
              </w:tc>
              <w:tc>
                <w:tcPr>
                  <w:tcW w:w="418" w:type="pct"/>
                  <w:vAlign w:val="center"/>
                </w:tcPr>
                <w:p w14:paraId="756A8DFD">
                  <w:pPr>
                    <w:jc w:val="center"/>
                    <w:rPr>
                      <w:rFonts w:hint="default"/>
                      <w:color w:val="auto"/>
                      <w:szCs w:val="21"/>
                      <w:lang w:val="en-US" w:eastAsia="zh-CN"/>
                    </w:rPr>
                  </w:pPr>
                  <w:r>
                    <w:rPr>
                      <w:rFonts w:hint="eastAsia"/>
                      <w:color w:val="auto"/>
                      <w:szCs w:val="21"/>
                      <w:lang w:val="en-US" w:eastAsia="zh-CN"/>
                    </w:rPr>
                    <w:t>34.5</w:t>
                  </w:r>
                </w:p>
              </w:tc>
              <w:tc>
                <w:tcPr>
                  <w:tcW w:w="419" w:type="pct"/>
                  <w:vMerge w:val="continue"/>
                  <w:vAlign w:val="center"/>
                </w:tcPr>
                <w:p w14:paraId="1E371C42">
                  <w:pPr>
                    <w:jc w:val="center"/>
                    <w:rPr>
                      <w:rFonts w:hint="eastAsia"/>
                      <w:color w:val="auto"/>
                      <w:szCs w:val="21"/>
                      <w:lang w:val="en-US" w:eastAsia="zh-CN"/>
                    </w:rPr>
                  </w:pPr>
                </w:p>
              </w:tc>
            </w:tr>
            <w:tr w14:paraId="32DA7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48B31354">
                  <w:pPr>
                    <w:jc w:val="center"/>
                    <w:rPr>
                      <w:rFonts w:hint="eastAsia"/>
                      <w:color w:val="auto"/>
                      <w:szCs w:val="21"/>
                      <w:lang w:val="en-US" w:eastAsia="zh-CN"/>
                    </w:rPr>
                  </w:pPr>
                </w:p>
              </w:tc>
              <w:tc>
                <w:tcPr>
                  <w:tcW w:w="266" w:type="pct"/>
                  <w:vMerge w:val="continue"/>
                  <w:vAlign w:val="center"/>
                </w:tcPr>
                <w:p w14:paraId="12CB5679">
                  <w:pPr>
                    <w:jc w:val="center"/>
                    <w:rPr>
                      <w:rFonts w:hint="eastAsia"/>
                      <w:color w:val="auto"/>
                      <w:szCs w:val="21"/>
                      <w:lang w:val="en-US" w:eastAsia="zh-CN"/>
                    </w:rPr>
                  </w:pPr>
                </w:p>
              </w:tc>
              <w:tc>
                <w:tcPr>
                  <w:tcW w:w="324" w:type="pct"/>
                  <w:vMerge w:val="continue"/>
                  <w:shd w:val="clear" w:color="auto" w:fill="auto"/>
                  <w:vAlign w:val="center"/>
                </w:tcPr>
                <w:p w14:paraId="351DB4E8">
                  <w:pPr>
                    <w:jc w:val="center"/>
                    <w:rPr>
                      <w:rFonts w:hint="eastAsia"/>
                      <w:color w:val="auto"/>
                      <w:szCs w:val="21"/>
                      <w:lang w:val="en-US" w:eastAsia="zh-CN"/>
                    </w:rPr>
                  </w:pPr>
                </w:p>
              </w:tc>
              <w:tc>
                <w:tcPr>
                  <w:tcW w:w="349" w:type="pct"/>
                  <w:vMerge w:val="continue"/>
                  <w:shd w:val="clear" w:color="auto" w:fill="auto"/>
                  <w:vAlign w:val="center"/>
                </w:tcPr>
                <w:p w14:paraId="06963B21">
                  <w:pPr>
                    <w:jc w:val="center"/>
                    <w:rPr>
                      <w:rFonts w:hint="eastAsia"/>
                      <w:color w:val="auto"/>
                      <w:szCs w:val="21"/>
                      <w:lang w:val="en-US" w:eastAsia="zh-CN"/>
                    </w:rPr>
                  </w:pPr>
                </w:p>
              </w:tc>
              <w:tc>
                <w:tcPr>
                  <w:tcW w:w="333" w:type="pct"/>
                  <w:vMerge w:val="continue"/>
                  <w:vAlign w:val="center"/>
                </w:tcPr>
                <w:p w14:paraId="44530FB7">
                  <w:pPr>
                    <w:jc w:val="center"/>
                    <w:rPr>
                      <w:rFonts w:hint="eastAsia"/>
                      <w:color w:val="auto"/>
                      <w:szCs w:val="21"/>
                      <w:lang w:val="en-US" w:eastAsia="zh-CN"/>
                    </w:rPr>
                  </w:pPr>
                </w:p>
              </w:tc>
              <w:tc>
                <w:tcPr>
                  <w:tcW w:w="333" w:type="pct"/>
                  <w:vMerge w:val="continue"/>
                  <w:vAlign w:val="center"/>
                </w:tcPr>
                <w:p w14:paraId="503D11BB">
                  <w:pPr>
                    <w:jc w:val="center"/>
                    <w:rPr>
                      <w:rFonts w:hint="eastAsia"/>
                      <w:color w:val="auto"/>
                      <w:szCs w:val="21"/>
                      <w:lang w:val="en-US" w:eastAsia="zh-CN"/>
                    </w:rPr>
                  </w:pPr>
                </w:p>
              </w:tc>
              <w:tc>
                <w:tcPr>
                  <w:tcW w:w="262" w:type="pct"/>
                  <w:vMerge w:val="continue"/>
                  <w:vAlign w:val="center"/>
                </w:tcPr>
                <w:p w14:paraId="627F5B6D">
                  <w:pPr>
                    <w:jc w:val="center"/>
                    <w:rPr>
                      <w:rFonts w:hint="eastAsia"/>
                      <w:color w:val="auto"/>
                      <w:szCs w:val="21"/>
                      <w:lang w:val="en-US" w:eastAsia="zh-CN"/>
                    </w:rPr>
                  </w:pPr>
                </w:p>
              </w:tc>
              <w:tc>
                <w:tcPr>
                  <w:tcW w:w="285" w:type="pct"/>
                  <w:vMerge w:val="continue"/>
                  <w:vAlign w:val="center"/>
                </w:tcPr>
                <w:p w14:paraId="38A8F545">
                  <w:pPr>
                    <w:jc w:val="center"/>
                    <w:rPr>
                      <w:rFonts w:hint="eastAsia"/>
                      <w:color w:val="auto"/>
                      <w:szCs w:val="21"/>
                      <w:lang w:val="en-US" w:eastAsia="zh-CN"/>
                    </w:rPr>
                  </w:pPr>
                </w:p>
              </w:tc>
              <w:tc>
                <w:tcPr>
                  <w:tcW w:w="270" w:type="pct"/>
                  <w:vMerge w:val="continue"/>
                  <w:vAlign w:val="center"/>
                </w:tcPr>
                <w:p w14:paraId="235C066A">
                  <w:pPr>
                    <w:jc w:val="center"/>
                    <w:rPr>
                      <w:rFonts w:hint="eastAsia"/>
                      <w:color w:val="auto"/>
                      <w:szCs w:val="21"/>
                      <w:lang w:val="en-US" w:eastAsia="zh-CN"/>
                    </w:rPr>
                  </w:pPr>
                </w:p>
              </w:tc>
              <w:tc>
                <w:tcPr>
                  <w:tcW w:w="277" w:type="pct"/>
                  <w:shd w:val="clear" w:color="auto" w:fill="auto"/>
                  <w:vAlign w:val="center"/>
                </w:tcPr>
                <w:p w14:paraId="23F5E42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0F49DF48">
                  <w:pPr>
                    <w:jc w:val="center"/>
                    <w:rPr>
                      <w:rFonts w:hint="default"/>
                      <w:color w:val="auto"/>
                      <w:szCs w:val="21"/>
                      <w:lang w:val="en-US" w:eastAsia="zh-CN"/>
                    </w:rPr>
                  </w:pPr>
                  <w:r>
                    <w:rPr>
                      <w:rFonts w:hint="eastAsia"/>
                      <w:color w:val="auto"/>
                      <w:szCs w:val="21"/>
                      <w:lang w:val="en-US" w:eastAsia="zh-CN"/>
                    </w:rPr>
                    <w:t>2</w:t>
                  </w:r>
                </w:p>
              </w:tc>
              <w:tc>
                <w:tcPr>
                  <w:tcW w:w="349" w:type="pct"/>
                  <w:vAlign w:val="center"/>
                </w:tcPr>
                <w:p w14:paraId="67EDF0B2">
                  <w:pPr>
                    <w:jc w:val="center"/>
                    <w:rPr>
                      <w:rFonts w:hint="default"/>
                      <w:color w:val="auto"/>
                      <w:szCs w:val="21"/>
                      <w:lang w:val="en-US" w:eastAsia="zh-CN"/>
                    </w:rPr>
                  </w:pPr>
                  <w:r>
                    <w:rPr>
                      <w:rFonts w:hint="eastAsia"/>
                      <w:color w:val="auto"/>
                      <w:szCs w:val="21"/>
                      <w:lang w:val="en-US" w:eastAsia="zh-CN"/>
                    </w:rPr>
                    <w:t>50.8</w:t>
                  </w:r>
                </w:p>
              </w:tc>
              <w:tc>
                <w:tcPr>
                  <w:tcW w:w="317" w:type="pct"/>
                  <w:vMerge w:val="continue"/>
                  <w:vAlign w:val="center"/>
                </w:tcPr>
                <w:p w14:paraId="51642D7A">
                  <w:pPr>
                    <w:jc w:val="center"/>
                    <w:rPr>
                      <w:rFonts w:hint="eastAsia"/>
                      <w:color w:val="auto"/>
                      <w:szCs w:val="21"/>
                      <w:lang w:val="en-US" w:eastAsia="zh-CN"/>
                    </w:rPr>
                  </w:pPr>
                </w:p>
              </w:tc>
              <w:tc>
                <w:tcPr>
                  <w:tcW w:w="394" w:type="pct"/>
                  <w:vMerge w:val="continue"/>
                  <w:vAlign w:val="center"/>
                </w:tcPr>
                <w:p w14:paraId="5C4B10D4">
                  <w:pPr>
                    <w:jc w:val="center"/>
                    <w:rPr>
                      <w:rFonts w:hint="eastAsia"/>
                      <w:color w:val="auto"/>
                      <w:szCs w:val="21"/>
                      <w:lang w:val="en-US" w:eastAsia="zh-CN"/>
                    </w:rPr>
                  </w:pPr>
                </w:p>
              </w:tc>
              <w:tc>
                <w:tcPr>
                  <w:tcW w:w="418" w:type="pct"/>
                  <w:vAlign w:val="center"/>
                </w:tcPr>
                <w:p w14:paraId="32C7E8E7">
                  <w:pPr>
                    <w:jc w:val="center"/>
                    <w:rPr>
                      <w:rFonts w:hint="default"/>
                      <w:color w:val="auto"/>
                      <w:szCs w:val="21"/>
                      <w:lang w:val="en-US" w:eastAsia="zh-CN"/>
                    </w:rPr>
                  </w:pPr>
                  <w:r>
                    <w:rPr>
                      <w:rFonts w:hint="eastAsia"/>
                      <w:color w:val="auto"/>
                      <w:szCs w:val="21"/>
                      <w:lang w:val="en-US" w:eastAsia="zh-CN"/>
                    </w:rPr>
                    <w:t>35.8</w:t>
                  </w:r>
                </w:p>
              </w:tc>
              <w:tc>
                <w:tcPr>
                  <w:tcW w:w="419" w:type="pct"/>
                  <w:vMerge w:val="continue"/>
                  <w:vAlign w:val="center"/>
                </w:tcPr>
                <w:p w14:paraId="461D1079">
                  <w:pPr>
                    <w:jc w:val="center"/>
                    <w:rPr>
                      <w:rFonts w:hint="eastAsia"/>
                      <w:color w:val="auto"/>
                      <w:szCs w:val="21"/>
                      <w:lang w:val="en-US" w:eastAsia="zh-CN"/>
                    </w:rPr>
                  </w:pPr>
                </w:p>
              </w:tc>
            </w:tr>
            <w:tr w14:paraId="19A83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15FF5E5E">
                  <w:pPr>
                    <w:jc w:val="center"/>
                    <w:rPr>
                      <w:rFonts w:hint="eastAsia"/>
                      <w:color w:val="auto"/>
                      <w:szCs w:val="21"/>
                      <w:lang w:val="en-US" w:eastAsia="zh-CN"/>
                    </w:rPr>
                  </w:pPr>
                </w:p>
              </w:tc>
              <w:tc>
                <w:tcPr>
                  <w:tcW w:w="266" w:type="pct"/>
                  <w:vMerge w:val="continue"/>
                  <w:vAlign w:val="center"/>
                </w:tcPr>
                <w:p w14:paraId="568D534F">
                  <w:pPr>
                    <w:jc w:val="center"/>
                    <w:rPr>
                      <w:rFonts w:hint="eastAsia"/>
                      <w:color w:val="auto"/>
                      <w:szCs w:val="21"/>
                      <w:lang w:val="en-US" w:eastAsia="zh-CN"/>
                    </w:rPr>
                  </w:pPr>
                </w:p>
              </w:tc>
              <w:tc>
                <w:tcPr>
                  <w:tcW w:w="324" w:type="pct"/>
                  <w:vMerge w:val="continue"/>
                  <w:shd w:val="clear" w:color="auto" w:fill="auto"/>
                  <w:vAlign w:val="center"/>
                </w:tcPr>
                <w:p w14:paraId="343F4821">
                  <w:pPr>
                    <w:jc w:val="center"/>
                    <w:rPr>
                      <w:rFonts w:hint="eastAsia"/>
                      <w:color w:val="auto"/>
                      <w:szCs w:val="21"/>
                      <w:lang w:val="en-US" w:eastAsia="zh-CN"/>
                    </w:rPr>
                  </w:pPr>
                </w:p>
              </w:tc>
              <w:tc>
                <w:tcPr>
                  <w:tcW w:w="349" w:type="pct"/>
                  <w:vMerge w:val="continue"/>
                  <w:shd w:val="clear" w:color="auto" w:fill="auto"/>
                  <w:vAlign w:val="center"/>
                </w:tcPr>
                <w:p w14:paraId="1211E17E">
                  <w:pPr>
                    <w:jc w:val="center"/>
                    <w:rPr>
                      <w:rFonts w:hint="eastAsia"/>
                      <w:color w:val="auto"/>
                      <w:szCs w:val="21"/>
                      <w:lang w:val="en-US" w:eastAsia="zh-CN"/>
                    </w:rPr>
                  </w:pPr>
                </w:p>
              </w:tc>
              <w:tc>
                <w:tcPr>
                  <w:tcW w:w="333" w:type="pct"/>
                  <w:vMerge w:val="continue"/>
                  <w:vAlign w:val="center"/>
                </w:tcPr>
                <w:p w14:paraId="14A49443">
                  <w:pPr>
                    <w:jc w:val="center"/>
                    <w:rPr>
                      <w:rFonts w:hint="eastAsia"/>
                      <w:color w:val="auto"/>
                      <w:szCs w:val="21"/>
                      <w:lang w:val="en-US" w:eastAsia="zh-CN"/>
                    </w:rPr>
                  </w:pPr>
                </w:p>
              </w:tc>
              <w:tc>
                <w:tcPr>
                  <w:tcW w:w="333" w:type="pct"/>
                  <w:vMerge w:val="continue"/>
                  <w:vAlign w:val="center"/>
                </w:tcPr>
                <w:p w14:paraId="38898C8D">
                  <w:pPr>
                    <w:jc w:val="center"/>
                    <w:rPr>
                      <w:rFonts w:hint="eastAsia"/>
                      <w:color w:val="auto"/>
                      <w:szCs w:val="21"/>
                      <w:lang w:val="en-US" w:eastAsia="zh-CN"/>
                    </w:rPr>
                  </w:pPr>
                </w:p>
              </w:tc>
              <w:tc>
                <w:tcPr>
                  <w:tcW w:w="262" w:type="pct"/>
                  <w:vMerge w:val="continue"/>
                  <w:vAlign w:val="center"/>
                </w:tcPr>
                <w:p w14:paraId="6EAB0569">
                  <w:pPr>
                    <w:jc w:val="center"/>
                    <w:rPr>
                      <w:rFonts w:hint="eastAsia"/>
                      <w:color w:val="auto"/>
                      <w:szCs w:val="21"/>
                      <w:lang w:val="en-US" w:eastAsia="zh-CN"/>
                    </w:rPr>
                  </w:pPr>
                </w:p>
              </w:tc>
              <w:tc>
                <w:tcPr>
                  <w:tcW w:w="285" w:type="pct"/>
                  <w:vMerge w:val="continue"/>
                  <w:vAlign w:val="center"/>
                </w:tcPr>
                <w:p w14:paraId="2B99003D">
                  <w:pPr>
                    <w:jc w:val="center"/>
                    <w:rPr>
                      <w:rFonts w:hint="eastAsia"/>
                      <w:color w:val="auto"/>
                      <w:szCs w:val="21"/>
                      <w:lang w:val="en-US" w:eastAsia="zh-CN"/>
                    </w:rPr>
                  </w:pPr>
                </w:p>
              </w:tc>
              <w:tc>
                <w:tcPr>
                  <w:tcW w:w="270" w:type="pct"/>
                  <w:vMerge w:val="continue"/>
                  <w:vAlign w:val="center"/>
                </w:tcPr>
                <w:p w14:paraId="0CD3A510">
                  <w:pPr>
                    <w:jc w:val="center"/>
                    <w:rPr>
                      <w:rFonts w:hint="eastAsia"/>
                      <w:color w:val="auto"/>
                      <w:szCs w:val="21"/>
                      <w:lang w:val="en-US" w:eastAsia="zh-CN"/>
                    </w:rPr>
                  </w:pPr>
                </w:p>
              </w:tc>
              <w:tc>
                <w:tcPr>
                  <w:tcW w:w="277" w:type="pct"/>
                  <w:shd w:val="clear" w:color="auto" w:fill="auto"/>
                  <w:vAlign w:val="center"/>
                </w:tcPr>
                <w:p w14:paraId="19275F8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5A3F80E3">
                  <w:pPr>
                    <w:jc w:val="center"/>
                    <w:rPr>
                      <w:rFonts w:hint="default"/>
                      <w:color w:val="auto"/>
                      <w:szCs w:val="21"/>
                      <w:lang w:val="en-US" w:eastAsia="zh-CN"/>
                    </w:rPr>
                  </w:pPr>
                  <w:r>
                    <w:rPr>
                      <w:rFonts w:hint="eastAsia"/>
                      <w:color w:val="auto"/>
                      <w:szCs w:val="21"/>
                      <w:lang w:val="en-US" w:eastAsia="zh-CN"/>
                    </w:rPr>
                    <w:t>29</w:t>
                  </w:r>
                </w:p>
              </w:tc>
              <w:tc>
                <w:tcPr>
                  <w:tcW w:w="349" w:type="pct"/>
                  <w:vAlign w:val="center"/>
                </w:tcPr>
                <w:p w14:paraId="3290F138">
                  <w:pPr>
                    <w:jc w:val="center"/>
                    <w:rPr>
                      <w:rFonts w:hint="default"/>
                      <w:color w:val="auto"/>
                      <w:szCs w:val="21"/>
                      <w:lang w:val="en-US" w:eastAsia="zh-CN"/>
                    </w:rPr>
                  </w:pPr>
                  <w:r>
                    <w:rPr>
                      <w:rFonts w:hint="eastAsia"/>
                      <w:color w:val="auto"/>
                      <w:szCs w:val="21"/>
                      <w:lang w:val="en-US" w:eastAsia="zh-CN"/>
                    </w:rPr>
                    <w:t>44.6</w:t>
                  </w:r>
                </w:p>
              </w:tc>
              <w:tc>
                <w:tcPr>
                  <w:tcW w:w="317" w:type="pct"/>
                  <w:vMerge w:val="continue"/>
                  <w:vAlign w:val="center"/>
                </w:tcPr>
                <w:p w14:paraId="42C96108">
                  <w:pPr>
                    <w:jc w:val="center"/>
                    <w:rPr>
                      <w:rFonts w:hint="eastAsia"/>
                      <w:color w:val="auto"/>
                      <w:szCs w:val="21"/>
                      <w:lang w:val="en-US" w:eastAsia="zh-CN"/>
                    </w:rPr>
                  </w:pPr>
                </w:p>
              </w:tc>
              <w:tc>
                <w:tcPr>
                  <w:tcW w:w="394" w:type="pct"/>
                  <w:vMerge w:val="continue"/>
                  <w:vAlign w:val="center"/>
                </w:tcPr>
                <w:p w14:paraId="133FB658">
                  <w:pPr>
                    <w:jc w:val="center"/>
                    <w:rPr>
                      <w:rFonts w:hint="eastAsia"/>
                      <w:color w:val="auto"/>
                      <w:szCs w:val="21"/>
                      <w:lang w:val="en-US" w:eastAsia="zh-CN"/>
                    </w:rPr>
                  </w:pPr>
                </w:p>
              </w:tc>
              <w:tc>
                <w:tcPr>
                  <w:tcW w:w="418" w:type="pct"/>
                  <w:vAlign w:val="center"/>
                </w:tcPr>
                <w:p w14:paraId="45A78DC3">
                  <w:pPr>
                    <w:jc w:val="center"/>
                    <w:rPr>
                      <w:rFonts w:hint="default"/>
                      <w:color w:val="auto"/>
                      <w:szCs w:val="21"/>
                      <w:lang w:val="en-US" w:eastAsia="zh-CN"/>
                    </w:rPr>
                  </w:pPr>
                  <w:r>
                    <w:rPr>
                      <w:rFonts w:hint="eastAsia"/>
                      <w:color w:val="auto"/>
                      <w:szCs w:val="21"/>
                      <w:lang w:val="en-US" w:eastAsia="zh-CN"/>
                    </w:rPr>
                    <w:t>29.6</w:t>
                  </w:r>
                </w:p>
              </w:tc>
              <w:tc>
                <w:tcPr>
                  <w:tcW w:w="419" w:type="pct"/>
                  <w:vMerge w:val="continue"/>
                  <w:vAlign w:val="center"/>
                </w:tcPr>
                <w:p w14:paraId="68D72A0F">
                  <w:pPr>
                    <w:jc w:val="center"/>
                    <w:rPr>
                      <w:rFonts w:hint="eastAsia"/>
                      <w:color w:val="auto"/>
                      <w:szCs w:val="21"/>
                      <w:lang w:val="en-US" w:eastAsia="zh-CN"/>
                    </w:rPr>
                  </w:pPr>
                </w:p>
              </w:tc>
            </w:tr>
            <w:tr w14:paraId="24A0A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restart"/>
                  <w:vAlign w:val="center"/>
                </w:tcPr>
                <w:p w14:paraId="1D3A04D6">
                  <w:pPr>
                    <w:jc w:val="center"/>
                    <w:rPr>
                      <w:rFonts w:hint="default"/>
                      <w:color w:val="auto"/>
                      <w:szCs w:val="21"/>
                      <w:lang w:val="en-US" w:eastAsia="zh-CN"/>
                    </w:rPr>
                  </w:pPr>
                  <w:r>
                    <w:rPr>
                      <w:rFonts w:hint="eastAsia"/>
                      <w:color w:val="auto"/>
                      <w:szCs w:val="21"/>
                      <w:lang w:val="en-US" w:eastAsia="zh-CN"/>
                    </w:rPr>
                    <w:t>8</w:t>
                  </w:r>
                </w:p>
              </w:tc>
              <w:tc>
                <w:tcPr>
                  <w:tcW w:w="266" w:type="pct"/>
                  <w:vMerge w:val="continue"/>
                  <w:vAlign w:val="center"/>
                </w:tcPr>
                <w:p w14:paraId="61AB1FE9">
                  <w:pPr>
                    <w:jc w:val="center"/>
                    <w:rPr>
                      <w:rFonts w:hint="eastAsia"/>
                      <w:color w:val="auto"/>
                      <w:szCs w:val="21"/>
                      <w:lang w:val="en-US" w:eastAsia="zh-CN"/>
                    </w:rPr>
                  </w:pPr>
                </w:p>
              </w:tc>
              <w:tc>
                <w:tcPr>
                  <w:tcW w:w="324" w:type="pct"/>
                  <w:vMerge w:val="restart"/>
                  <w:shd w:val="clear" w:color="auto" w:fill="auto"/>
                  <w:vAlign w:val="center"/>
                </w:tcPr>
                <w:p w14:paraId="778812C6">
                  <w:pPr>
                    <w:jc w:val="center"/>
                    <w:rPr>
                      <w:rFonts w:hint="default"/>
                      <w:color w:val="auto"/>
                      <w:szCs w:val="21"/>
                      <w:lang w:val="en-US" w:eastAsia="zh-CN"/>
                    </w:rPr>
                  </w:pPr>
                  <w:r>
                    <w:rPr>
                      <w:rFonts w:hint="eastAsia"/>
                      <w:color w:val="auto"/>
                      <w:szCs w:val="21"/>
                      <w:lang w:val="en-US" w:eastAsia="zh-CN"/>
                    </w:rPr>
                    <w:t>真空泵</w:t>
                  </w:r>
                </w:p>
              </w:tc>
              <w:tc>
                <w:tcPr>
                  <w:tcW w:w="349" w:type="pct"/>
                  <w:vMerge w:val="restart"/>
                  <w:shd w:val="clear" w:color="auto" w:fill="auto"/>
                  <w:vAlign w:val="center"/>
                </w:tcPr>
                <w:p w14:paraId="3C2803E2">
                  <w:pPr>
                    <w:jc w:val="center"/>
                    <w:rPr>
                      <w:rFonts w:hint="default"/>
                      <w:color w:val="auto"/>
                      <w:szCs w:val="21"/>
                      <w:lang w:val="en-US" w:eastAsia="zh-CN"/>
                    </w:rPr>
                  </w:pPr>
                  <w:r>
                    <w:rPr>
                      <w:rFonts w:hint="eastAsia"/>
                      <w:color w:val="auto"/>
                      <w:szCs w:val="21"/>
                      <w:lang w:val="en-US" w:eastAsia="zh-CN"/>
                    </w:rPr>
                    <w:t>4</w:t>
                  </w:r>
                </w:p>
              </w:tc>
              <w:tc>
                <w:tcPr>
                  <w:tcW w:w="333" w:type="pct"/>
                  <w:vMerge w:val="restart"/>
                  <w:vAlign w:val="center"/>
                </w:tcPr>
                <w:p w14:paraId="337D2398">
                  <w:pPr>
                    <w:jc w:val="center"/>
                    <w:rPr>
                      <w:rFonts w:hint="default"/>
                      <w:color w:val="auto"/>
                      <w:szCs w:val="21"/>
                      <w:lang w:val="en-US" w:eastAsia="zh-CN"/>
                    </w:rPr>
                  </w:pPr>
                  <w:r>
                    <w:rPr>
                      <w:rFonts w:hint="eastAsia"/>
                      <w:color w:val="auto"/>
                      <w:szCs w:val="21"/>
                      <w:lang w:val="en-US" w:eastAsia="zh-CN"/>
                    </w:rPr>
                    <w:t>55-60</w:t>
                  </w:r>
                </w:p>
              </w:tc>
              <w:tc>
                <w:tcPr>
                  <w:tcW w:w="333" w:type="pct"/>
                  <w:vMerge w:val="continue"/>
                  <w:vAlign w:val="center"/>
                </w:tcPr>
                <w:p w14:paraId="5B259B7E">
                  <w:pPr>
                    <w:jc w:val="center"/>
                    <w:rPr>
                      <w:rFonts w:hint="eastAsia"/>
                      <w:color w:val="auto"/>
                      <w:szCs w:val="21"/>
                      <w:lang w:val="en-US" w:eastAsia="zh-CN"/>
                    </w:rPr>
                  </w:pPr>
                </w:p>
              </w:tc>
              <w:tc>
                <w:tcPr>
                  <w:tcW w:w="262" w:type="pct"/>
                  <w:vMerge w:val="restart"/>
                  <w:vAlign w:val="center"/>
                </w:tcPr>
                <w:p w14:paraId="39065B1D">
                  <w:pPr>
                    <w:jc w:val="center"/>
                    <w:rPr>
                      <w:rFonts w:hint="default"/>
                      <w:color w:val="auto"/>
                      <w:szCs w:val="21"/>
                      <w:lang w:val="en-US" w:eastAsia="zh-CN"/>
                    </w:rPr>
                  </w:pPr>
                  <w:r>
                    <w:rPr>
                      <w:rFonts w:hint="eastAsia"/>
                      <w:color w:val="auto"/>
                      <w:szCs w:val="21"/>
                      <w:lang w:val="en-US" w:eastAsia="zh-CN"/>
                    </w:rPr>
                    <w:t>1-12</w:t>
                  </w:r>
                </w:p>
              </w:tc>
              <w:tc>
                <w:tcPr>
                  <w:tcW w:w="285" w:type="pct"/>
                  <w:vMerge w:val="restart"/>
                  <w:vAlign w:val="center"/>
                </w:tcPr>
                <w:p w14:paraId="5706A019">
                  <w:pPr>
                    <w:jc w:val="center"/>
                    <w:rPr>
                      <w:rFonts w:hint="default"/>
                      <w:color w:val="auto"/>
                      <w:szCs w:val="21"/>
                      <w:lang w:val="en-US" w:eastAsia="zh-CN"/>
                    </w:rPr>
                  </w:pPr>
                  <w:r>
                    <w:rPr>
                      <w:rFonts w:hint="eastAsia"/>
                      <w:color w:val="auto"/>
                      <w:szCs w:val="21"/>
                      <w:lang w:val="en-US" w:eastAsia="zh-CN"/>
                    </w:rPr>
                    <w:t>12-20</w:t>
                  </w:r>
                </w:p>
              </w:tc>
              <w:tc>
                <w:tcPr>
                  <w:tcW w:w="270" w:type="pct"/>
                  <w:vMerge w:val="restart"/>
                  <w:vAlign w:val="center"/>
                </w:tcPr>
                <w:p w14:paraId="1E6B7A9F">
                  <w:pPr>
                    <w:jc w:val="center"/>
                    <w:rPr>
                      <w:rFonts w:hint="default"/>
                      <w:color w:val="auto"/>
                      <w:szCs w:val="21"/>
                      <w:lang w:val="en-US" w:eastAsia="zh-CN"/>
                    </w:rPr>
                  </w:pPr>
                  <w:r>
                    <w:rPr>
                      <w:rFonts w:hint="eastAsia"/>
                      <w:color w:val="auto"/>
                      <w:szCs w:val="21"/>
                      <w:lang w:val="en-US" w:eastAsia="zh-CN"/>
                    </w:rPr>
                    <w:t>0.5</w:t>
                  </w:r>
                </w:p>
              </w:tc>
              <w:tc>
                <w:tcPr>
                  <w:tcW w:w="277" w:type="pct"/>
                  <w:shd w:val="clear" w:color="auto" w:fill="auto"/>
                  <w:vAlign w:val="center"/>
                </w:tcPr>
                <w:p w14:paraId="2726449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6D2B3C50">
                  <w:pPr>
                    <w:jc w:val="center"/>
                    <w:rPr>
                      <w:rFonts w:hint="default"/>
                      <w:color w:val="auto"/>
                      <w:szCs w:val="21"/>
                      <w:lang w:val="en-US" w:eastAsia="zh-CN"/>
                    </w:rPr>
                  </w:pPr>
                  <w:r>
                    <w:rPr>
                      <w:rFonts w:hint="eastAsia"/>
                      <w:color w:val="auto"/>
                      <w:szCs w:val="21"/>
                      <w:lang w:val="en-US" w:eastAsia="zh-CN"/>
                    </w:rPr>
                    <w:t>1</w:t>
                  </w:r>
                </w:p>
              </w:tc>
              <w:tc>
                <w:tcPr>
                  <w:tcW w:w="349" w:type="pct"/>
                  <w:vAlign w:val="center"/>
                </w:tcPr>
                <w:p w14:paraId="42EB4B3E">
                  <w:pPr>
                    <w:jc w:val="center"/>
                    <w:rPr>
                      <w:rFonts w:hint="default"/>
                      <w:color w:val="auto"/>
                      <w:szCs w:val="21"/>
                      <w:lang w:val="en-US" w:eastAsia="zh-CN"/>
                    </w:rPr>
                  </w:pPr>
                  <w:r>
                    <w:rPr>
                      <w:rFonts w:hint="eastAsia"/>
                      <w:color w:val="auto"/>
                      <w:szCs w:val="21"/>
                      <w:lang w:val="en-US" w:eastAsia="zh-CN"/>
                    </w:rPr>
                    <w:t>59.4</w:t>
                  </w:r>
                </w:p>
              </w:tc>
              <w:tc>
                <w:tcPr>
                  <w:tcW w:w="317" w:type="pct"/>
                  <w:vMerge w:val="restart"/>
                  <w:vAlign w:val="center"/>
                </w:tcPr>
                <w:p w14:paraId="3E62F814">
                  <w:pPr>
                    <w:jc w:val="center"/>
                    <w:rPr>
                      <w:rFonts w:hint="eastAsia"/>
                      <w:color w:val="auto"/>
                      <w:szCs w:val="21"/>
                      <w:lang w:val="en-US" w:eastAsia="zh-CN"/>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vAlign w:val="center"/>
                </w:tcPr>
                <w:p w14:paraId="04A3DA9E">
                  <w:pPr>
                    <w:jc w:val="center"/>
                    <w:rPr>
                      <w:rFonts w:hint="eastAsia"/>
                      <w:color w:val="auto"/>
                      <w:szCs w:val="21"/>
                      <w:lang w:val="en-US" w:eastAsia="zh-CN"/>
                    </w:rPr>
                  </w:pPr>
                  <w:r>
                    <w:rPr>
                      <w:rFonts w:hint="eastAsia"/>
                      <w:color w:val="auto"/>
                      <w:szCs w:val="21"/>
                    </w:rPr>
                    <w:t>-15</w:t>
                  </w:r>
                </w:p>
              </w:tc>
              <w:tc>
                <w:tcPr>
                  <w:tcW w:w="418" w:type="pct"/>
                  <w:vAlign w:val="center"/>
                </w:tcPr>
                <w:p w14:paraId="04A39359">
                  <w:pPr>
                    <w:jc w:val="center"/>
                    <w:rPr>
                      <w:rFonts w:hint="default"/>
                      <w:color w:val="auto"/>
                      <w:szCs w:val="21"/>
                      <w:lang w:val="en-US" w:eastAsia="zh-CN"/>
                    </w:rPr>
                  </w:pPr>
                  <w:r>
                    <w:rPr>
                      <w:rFonts w:hint="eastAsia"/>
                      <w:color w:val="auto"/>
                      <w:szCs w:val="21"/>
                      <w:lang w:val="en-US" w:eastAsia="zh-CN"/>
                    </w:rPr>
                    <w:t>44.4</w:t>
                  </w:r>
                </w:p>
              </w:tc>
              <w:tc>
                <w:tcPr>
                  <w:tcW w:w="419" w:type="pct"/>
                  <w:vMerge w:val="continue"/>
                  <w:vAlign w:val="center"/>
                </w:tcPr>
                <w:p w14:paraId="338FF732">
                  <w:pPr>
                    <w:jc w:val="center"/>
                    <w:rPr>
                      <w:rFonts w:hint="eastAsia"/>
                      <w:color w:val="auto"/>
                      <w:szCs w:val="21"/>
                      <w:lang w:val="en-US" w:eastAsia="zh-CN"/>
                    </w:rPr>
                  </w:pPr>
                </w:p>
              </w:tc>
            </w:tr>
            <w:tr w14:paraId="17E7B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6F99D8B5">
                  <w:pPr>
                    <w:jc w:val="center"/>
                    <w:rPr>
                      <w:color w:val="auto"/>
                    </w:rPr>
                  </w:pPr>
                </w:p>
              </w:tc>
              <w:tc>
                <w:tcPr>
                  <w:tcW w:w="266" w:type="pct"/>
                  <w:vMerge w:val="continue"/>
                  <w:vAlign w:val="center"/>
                </w:tcPr>
                <w:p w14:paraId="76FD189F">
                  <w:pPr>
                    <w:jc w:val="center"/>
                    <w:rPr>
                      <w:color w:val="auto"/>
                    </w:rPr>
                  </w:pPr>
                </w:p>
              </w:tc>
              <w:tc>
                <w:tcPr>
                  <w:tcW w:w="324" w:type="pct"/>
                  <w:vMerge w:val="continue"/>
                  <w:shd w:val="clear" w:color="auto" w:fill="auto"/>
                  <w:vAlign w:val="center"/>
                </w:tcPr>
                <w:p w14:paraId="14933718">
                  <w:pPr>
                    <w:jc w:val="center"/>
                    <w:rPr>
                      <w:color w:val="auto"/>
                    </w:rPr>
                  </w:pPr>
                </w:p>
              </w:tc>
              <w:tc>
                <w:tcPr>
                  <w:tcW w:w="349" w:type="pct"/>
                  <w:vMerge w:val="continue"/>
                  <w:shd w:val="clear" w:color="auto" w:fill="auto"/>
                  <w:vAlign w:val="center"/>
                </w:tcPr>
                <w:p w14:paraId="16EE1D29">
                  <w:pPr>
                    <w:jc w:val="center"/>
                    <w:rPr>
                      <w:color w:val="auto"/>
                    </w:rPr>
                  </w:pPr>
                </w:p>
              </w:tc>
              <w:tc>
                <w:tcPr>
                  <w:tcW w:w="333" w:type="pct"/>
                  <w:vMerge w:val="continue"/>
                  <w:vAlign w:val="center"/>
                </w:tcPr>
                <w:p w14:paraId="0510121E">
                  <w:pPr>
                    <w:jc w:val="center"/>
                    <w:rPr>
                      <w:color w:val="auto"/>
                    </w:rPr>
                  </w:pPr>
                </w:p>
              </w:tc>
              <w:tc>
                <w:tcPr>
                  <w:tcW w:w="333" w:type="pct"/>
                  <w:vMerge w:val="continue"/>
                  <w:vAlign w:val="center"/>
                </w:tcPr>
                <w:p w14:paraId="6622F20D">
                  <w:pPr>
                    <w:jc w:val="center"/>
                    <w:rPr>
                      <w:color w:val="auto"/>
                    </w:rPr>
                  </w:pPr>
                </w:p>
              </w:tc>
              <w:tc>
                <w:tcPr>
                  <w:tcW w:w="262" w:type="pct"/>
                  <w:vMerge w:val="continue"/>
                  <w:vAlign w:val="center"/>
                </w:tcPr>
                <w:p w14:paraId="5571B66D">
                  <w:pPr>
                    <w:jc w:val="center"/>
                    <w:rPr>
                      <w:color w:val="auto"/>
                    </w:rPr>
                  </w:pPr>
                </w:p>
              </w:tc>
              <w:tc>
                <w:tcPr>
                  <w:tcW w:w="285" w:type="pct"/>
                  <w:vMerge w:val="continue"/>
                  <w:vAlign w:val="center"/>
                </w:tcPr>
                <w:p w14:paraId="55C026EC">
                  <w:pPr>
                    <w:jc w:val="center"/>
                    <w:rPr>
                      <w:color w:val="auto"/>
                    </w:rPr>
                  </w:pPr>
                </w:p>
              </w:tc>
              <w:tc>
                <w:tcPr>
                  <w:tcW w:w="270" w:type="pct"/>
                  <w:vMerge w:val="continue"/>
                  <w:vAlign w:val="center"/>
                </w:tcPr>
                <w:p w14:paraId="69159A1E">
                  <w:pPr>
                    <w:jc w:val="center"/>
                    <w:rPr>
                      <w:color w:val="auto"/>
                    </w:rPr>
                  </w:pPr>
                </w:p>
              </w:tc>
              <w:tc>
                <w:tcPr>
                  <w:tcW w:w="277" w:type="pct"/>
                  <w:shd w:val="clear" w:color="auto" w:fill="auto"/>
                  <w:vAlign w:val="center"/>
                </w:tcPr>
                <w:p w14:paraId="15B9D08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E06F6E5">
                  <w:pPr>
                    <w:jc w:val="center"/>
                    <w:rPr>
                      <w:rFonts w:hint="default"/>
                      <w:color w:val="auto"/>
                      <w:szCs w:val="21"/>
                      <w:lang w:val="en-US" w:eastAsia="zh-CN"/>
                    </w:rPr>
                  </w:pPr>
                  <w:r>
                    <w:rPr>
                      <w:rFonts w:hint="eastAsia"/>
                      <w:color w:val="auto"/>
                      <w:szCs w:val="21"/>
                      <w:lang w:val="en-US" w:eastAsia="zh-CN"/>
                    </w:rPr>
                    <w:t>20</w:t>
                  </w:r>
                </w:p>
              </w:tc>
              <w:tc>
                <w:tcPr>
                  <w:tcW w:w="349" w:type="pct"/>
                  <w:vAlign w:val="center"/>
                </w:tcPr>
                <w:p w14:paraId="25358B4B">
                  <w:pPr>
                    <w:jc w:val="center"/>
                    <w:rPr>
                      <w:rFonts w:hint="default"/>
                      <w:color w:val="auto"/>
                      <w:szCs w:val="21"/>
                      <w:lang w:val="en-US" w:eastAsia="zh-CN"/>
                    </w:rPr>
                  </w:pPr>
                  <w:r>
                    <w:rPr>
                      <w:rFonts w:hint="eastAsia"/>
                      <w:color w:val="auto"/>
                      <w:szCs w:val="21"/>
                      <w:lang w:val="en-US" w:eastAsia="zh-CN"/>
                    </w:rPr>
                    <w:t>48.9</w:t>
                  </w:r>
                </w:p>
              </w:tc>
              <w:tc>
                <w:tcPr>
                  <w:tcW w:w="317" w:type="pct"/>
                  <w:vMerge w:val="continue"/>
                  <w:vAlign w:val="center"/>
                </w:tcPr>
                <w:p w14:paraId="318E1EAD">
                  <w:pPr>
                    <w:jc w:val="center"/>
                    <w:rPr>
                      <w:rFonts w:hint="eastAsia"/>
                      <w:color w:val="auto"/>
                      <w:szCs w:val="21"/>
                      <w:lang w:val="en-US" w:eastAsia="zh-CN"/>
                    </w:rPr>
                  </w:pPr>
                </w:p>
              </w:tc>
              <w:tc>
                <w:tcPr>
                  <w:tcW w:w="394" w:type="pct"/>
                  <w:vMerge w:val="continue"/>
                  <w:vAlign w:val="center"/>
                </w:tcPr>
                <w:p w14:paraId="3EFDB7F2">
                  <w:pPr>
                    <w:jc w:val="center"/>
                    <w:rPr>
                      <w:rFonts w:hint="eastAsia"/>
                      <w:color w:val="auto"/>
                      <w:szCs w:val="21"/>
                      <w:lang w:val="en-US" w:eastAsia="zh-CN"/>
                    </w:rPr>
                  </w:pPr>
                </w:p>
              </w:tc>
              <w:tc>
                <w:tcPr>
                  <w:tcW w:w="418" w:type="pct"/>
                  <w:vAlign w:val="center"/>
                </w:tcPr>
                <w:p w14:paraId="115FF108">
                  <w:pPr>
                    <w:jc w:val="center"/>
                    <w:rPr>
                      <w:rFonts w:hint="default"/>
                      <w:color w:val="auto"/>
                      <w:szCs w:val="21"/>
                      <w:lang w:val="en-US" w:eastAsia="zh-CN"/>
                    </w:rPr>
                  </w:pPr>
                  <w:r>
                    <w:rPr>
                      <w:rFonts w:hint="eastAsia"/>
                      <w:color w:val="auto"/>
                      <w:szCs w:val="21"/>
                      <w:lang w:val="en-US" w:eastAsia="zh-CN"/>
                    </w:rPr>
                    <w:t>33.9</w:t>
                  </w:r>
                </w:p>
              </w:tc>
              <w:tc>
                <w:tcPr>
                  <w:tcW w:w="419" w:type="pct"/>
                  <w:vMerge w:val="continue"/>
                  <w:vAlign w:val="center"/>
                </w:tcPr>
                <w:p w14:paraId="579A0E9F">
                  <w:pPr>
                    <w:jc w:val="center"/>
                    <w:rPr>
                      <w:rFonts w:hint="eastAsia"/>
                      <w:color w:val="auto"/>
                      <w:szCs w:val="21"/>
                      <w:lang w:val="en-US" w:eastAsia="zh-CN"/>
                    </w:rPr>
                  </w:pPr>
                </w:p>
              </w:tc>
            </w:tr>
            <w:tr w14:paraId="111A9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754AD130">
                  <w:pPr>
                    <w:jc w:val="center"/>
                    <w:rPr>
                      <w:rFonts w:hint="eastAsia"/>
                      <w:color w:val="auto"/>
                      <w:szCs w:val="21"/>
                      <w:lang w:val="en-US" w:eastAsia="zh-CN"/>
                    </w:rPr>
                  </w:pPr>
                </w:p>
              </w:tc>
              <w:tc>
                <w:tcPr>
                  <w:tcW w:w="266" w:type="pct"/>
                  <w:vMerge w:val="continue"/>
                  <w:vAlign w:val="center"/>
                </w:tcPr>
                <w:p w14:paraId="6713EF8F">
                  <w:pPr>
                    <w:jc w:val="center"/>
                    <w:rPr>
                      <w:rFonts w:hint="eastAsia"/>
                      <w:color w:val="auto"/>
                      <w:szCs w:val="21"/>
                      <w:lang w:val="en-US" w:eastAsia="zh-CN"/>
                    </w:rPr>
                  </w:pPr>
                </w:p>
              </w:tc>
              <w:tc>
                <w:tcPr>
                  <w:tcW w:w="324" w:type="pct"/>
                  <w:vMerge w:val="continue"/>
                  <w:shd w:val="clear" w:color="auto" w:fill="auto"/>
                  <w:vAlign w:val="center"/>
                </w:tcPr>
                <w:p w14:paraId="3F67347D">
                  <w:pPr>
                    <w:jc w:val="center"/>
                    <w:rPr>
                      <w:rFonts w:hint="eastAsia"/>
                      <w:color w:val="auto"/>
                      <w:szCs w:val="21"/>
                      <w:lang w:val="en-US" w:eastAsia="zh-CN"/>
                    </w:rPr>
                  </w:pPr>
                </w:p>
              </w:tc>
              <w:tc>
                <w:tcPr>
                  <w:tcW w:w="349" w:type="pct"/>
                  <w:vMerge w:val="continue"/>
                  <w:shd w:val="clear" w:color="auto" w:fill="auto"/>
                  <w:vAlign w:val="center"/>
                </w:tcPr>
                <w:p w14:paraId="38FF9755">
                  <w:pPr>
                    <w:jc w:val="center"/>
                    <w:rPr>
                      <w:rFonts w:hint="eastAsia"/>
                      <w:color w:val="auto"/>
                      <w:szCs w:val="21"/>
                      <w:lang w:val="en-US" w:eastAsia="zh-CN"/>
                    </w:rPr>
                  </w:pPr>
                </w:p>
              </w:tc>
              <w:tc>
                <w:tcPr>
                  <w:tcW w:w="333" w:type="pct"/>
                  <w:vMerge w:val="continue"/>
                  <w:vAlign w:val="center"/>
                </w:tcPr>
                <w:p w14:paraId="7486D99E">
                  <w:pPr>
                    <w:jc w:val="center"/>
                    <w:rPr>
                      <w:rFonts w:hint="eastAsia"/>
                      <w:color w:val="auto"/>
                      <w:szCs w:val="21"/>
                      <w:lang w:val="en-US" w:eastAsia="zh-CN"/>
                    </w:rPr>
                  </w:pPr>
                </w:p>
              </w:tc>
              <w:tc>
                <w:tcPr>
                  <w:tcW w:w="333" w:type="pct"/>
                  <w:vMerge w:val="continue"/>
                  <w:vAlign w:val="center"/>
                </w:tcPr>
                <w:p w14:paraId="7C40747B">
                  <w:pPr>
                    <w:jc w:val="center"/>
                    <w:rPr>
                      <w:rFonts w:hint="eastAsia"/>
                      <w:color w:val="auto"/>
                      <w:szCs w:val="21"/>
                      <w:lang w:val="en-US" w:eastAsia="zh-CN"/>
                    </w:rPr>
                  </w:pPr>
                </w:p>
              </w:tc>
              <w:tc>
                <w:tcPr>
                  <w:tcW w:w="262" w:type="pct"/>
                  <w:vMerge w:val="continue"/>
                  <w:vAlign w:val="center"/>
                </w:tcPr>
                <w:p w14:paraId="777B719A">
                  <w:pPr>
                    <w:jc w:val="center"/>
                    <w:rPr>
                      <w:rFonts w:hint="eastAsia"/>
                      <w:color w:val="auto"/>
                      <w:szCs w:val="21"/>
                      <w:lang w:val="en-US" w:eastAsia="zh-CN"/>
                    </w:rPr>
                  </w:pPr>
                </w:p>
              </w:tc>
              <w:tc>
                <w:tcPr>
                  <w:tcW w:w="285" w:type="pct"/>
                  <w:vMerge w:val="continue"/>
                  <w:vAlign w:val="center"/>
                </w:tcPr>
                <w:p w14:paraId="22C1E18B">
                  <w:pPr>
                    <w:jc w:val="center"/>
                    <w:rPr>
                      <w:rFonts w:hint="eastAsia"/>
                      <w:color w:val="auto"/>
                      <w:szCs w:val="21"/>
                      <w:lang w:val="en-US" w:eastAsia="zh-CN"/>
                    </w:rPr>
                  </w:pPr>
                </w:p>
              </w:tc>
              <w:tc>
                <w:tcPr>
                  <w:tcW w:w="270" w:type="pct"/>
                  <w:vMerge w:val="continue"/>
                  <w:vAlign w:val="center"/>
                </w:tcPr>
                <w:p w14:paraId="76FFBD0E">
                  <w:pPr>
                    <w:jc w:val="center"/>
                    <w:rPr>
                      <w:rFonts w:hint="eastAsia"/>
                      <w:color w:val="auto"/>
                      <w:szCs w:val="21"/>
                      <w:lang w:val="en-US" w:eastAsia="zh-CN"/>
                    </w:rPr>
                  </w:pPr>
                </w:p>
              </w:tc>
              <w:tc>
                <w:tcPr>
                  <w:tcW w:w="277" w:type="pct"/>
                  <w:shd w:val="clear" w:color="auto" w:fill="auto"/>
                  <w:vAlign w:val="center"/>
                </w:tcPr>
                <w:p w14:paraId="28BE90E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6EC60FC2">
                  <w:pPr>
                    <w:jc w:val="center"/>
                    <w:rPr>
                      <w:rFonts w:hint="default"/>
                      <w:color w:val="auto"/>
                      <w:szCs w:val="21"/>
                      <w:lang w:val="en-US" w:eastAsia="zh-CN"/>
                    </w:rPr>
                  </w:pPr>
                  <w:r>
                    <w:rPr>
                      <w:rFonts w:hint="eastAsia"/>
                      <w:color w:val="auto"/>
                      <w:szCs w:val="21"/>
                      <w:lang w:val="en-US" w:eastAsia="zh-CN"/>
                    </w:rPr>
                    <w:t>2</w:t>
                  </w:r>
                </w:p>
              </w:tc>
              <w:tc>
                <w:tcPr>
                  <w:tcW w:w="349" w:type="pct"/>
                  <w:vAlign w:val="center"/>
                </w:tcPr>
                <w:p w14:paraId="7DE12157">
                  <w:pPr>
                    <w:jc w:val="center"/>
                    <w:rPr>
                      <w:rFonts w:hint="default"/>
                      <w:color w:val="auto"/>
                      <w:szCs w:val="21"/>
                      <w:lang w:val="en-US" w:eastAsia="zh-CN"/>
                    </w:rPr>
                  </w:pPr>
                  <w:r>
                    <w:rPr>
                      <w:rFonts w:hint="eastAsia"/>
                      <w:color w:val="auto"/>
                      <w:szCs w:val="21"/>
                      <w:lang w:val="en-US" w:eastAsia="zh-CN"/>
                    </w:rPr>
                    <w:t>56.4</w:t>
                  </w:r>
                </w:p>
              </w:tc>
              <w:tc>
                <w:tcPr>
                  <w:tcW w:w="317" w:type="pct"/>
                  <w:vMerge w:val="continue"/>
                  <w:vAlign w:val="center"/>
                </w:tcPr>
                <w:p w14:paraId="22C80C65">
                  <w:pPr>
                    <w:jc w:val="center"/>
                    <w:rPr>
                      <w:rFonts w:hint="eastAsia"/>
                      <w:color w:val="auto"/>
                      <w:szCs w:val="21"/>
                      <w:lang w:val="en-US" w:eastAsia="zh-CN"/>
                    </w:rPr>
                  </w:pPr>
                </w:p>
              </w:tc>
              <w:tc>
                <w:tcPr>
                  <w:tcW w:w="394" w:type="pct"/>
                  <w:vMerge w:val="continue"/>
                  <w:vAlign w:val="center"/>
                </w:tcPr>
                <w:p w14:paraId="7F98FE0D">
                  <w:pPr>
                    <w:jc w:val="center"/>
                    <w:rPr>
                      <w:rFonts w:hint="eastAsia"/>
                      <w:color w:val="auto"/>
                      <w:szCs w:val="21"/>
                      <w:lang w:val="en-US" w:eastAsia="zh-CN"/>
                    </w:rPr>
                  </w:pPr>
                </w:p>
              </w:tc>
              <w:tc>
                <w:tcPr>
                  <w:tcW w:w="418" w:type="pct"/>
                  <w:vAlign w:val="center"/>
                </w:tcPr>
                <w:p w14:paraId="548F8950">
                  <w:pPr>
                    <w:jc w:val="center"/>
                    <w:rPr>
                      <w:rFonts w:hint="default"/>
                      <w:color w:val="auto"/>
                      <w:szCs w:val="21"/>
                      <w:lang w:val="en-US" w:eastAsia="zh-CN"/>
                    </w:rPr>
                  </w:pPr>
                  <w:r>
                    <w:rPr>
                      <w:rFonts w:hint="eastAsia"/>
                      <w:color w:val="auto"/>
                      <w:szCs w:val="21"/>
                      <w:lang w:val="en-US" w:eastAsia="zh-CN"/>
                    </w:rPr>
                    <w:t>41.4</w:t>
                  </w:r>
                </w:p>
              </w:tc>
              <w:tc>
                <w:tcPr>
                  <w:tcW w:w="419" w:type="pct"/>
                  <w:vMerge w:val="continue"/>
                  <w:vAlign w:val="center"/>
                </w:tcPr>
                <w:p w14:paraId="1D0DE8E1">
                  <w:pPr>
                    <w:jc w:val="center"/>
                    <w:rPr>
                      <w:rFonts w:hint="eastAsia"/>
                      <w:color w:val="auto"/>
                      <w:szCs w:val="21"/>
                      <w:lang w:val="en-US" w:eastAsia="zh-CN"/>
                    </w:rPr>
                  </w:pPr>
                </w:p>
              </w:tc>
            </w:tr>
            <w:tr w14:paraId="0AC6E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21CC42F8">
                  <w:pPr>
                    <w:jc w:val="center"/>
                    <w:rPr>
                      <w:rFonts w:hint="eastAsia"/>
                      <w:color w:val="auto"/>
                      <w:szCs w:val="21"/>
                      <w:lang w:val="en-US" w:eastAsia="zh-CN"/>
                    </w:rPr>
                  </w:pPr>
                </w:p>
              </w:tc>
              <w:tc>
                <w:tcPr>
                  <w:tcW w:w="266" w:type="pct"/>
                  <w:vMerge w:val="continue"/>
                  <w:vAlign w:val="center"/>
                </w:tcPr>
                <w:p w14:paraId="18688A55">
                  <w:pPr>
                    <w:jc w:val="center"/>
                    <w:rPr>
                      <w:rFonts w:hint="eastAsia"/>
                      <w:color w:val="auto"/>
                      <w:szCs w:val="21"/>
                      <w:lang w:val="en-US" w:eastAsia="zh-CN"/>
                    </w:rPr>
                  </w:pPr>
                </w:p>
              </w:tc>
              <w:tc>
                <w:tcPr>
                  <w:tcW w:w="324" w:type="pct"/>
                  <w:vMerge w:val="continue"/>
                  <w:shd w:val="clear" w:color="auto" w:fill="auto"/>
                  <w:vAlign w:val="center"/>
                </w:tcPr>
                <w:p w14:paraId="00C94760">
                  <w:pPr>
                    <w:jc w:val="center"/>
                    <w:rPr>
                      <w:rFonts w:hint="eastAsia"/>
                      <w:color w:val="auto"/>
                      <w:szCs w:val="21"/>
                      <w:lang w:val="en-US" w:eastAsia="zh-CN"/>
                    </w:rPr>
                  </w:pPr>
                </w:p>
              </w:tc>
              <w:tc>
                <w:tcPr>
                  <w:tcW w:w="349" w:type="pct"/>
                  <w:vMerge w:val="continue"/>
                  <w:shd w:val="clear" w:color="auto" w:fill="auto"/>
                  <w:vAlign w:val="center"/>
                </w:tcPr>
                <w:p w14:paraId="261A5058">
                  <w:pPr>
                    <w:jc w:val="center"/>
                    <w:rPr>
                      <w:rFonts w:hint="eastAsia"/>
                      <w:color w:val="auto"/>
                      <w:szCs w:val="21"/>
                      <w:lang w:val="en-US" w:eastAsia="zh-CN"/>
                    </w:rPr>
                  </w:pPr>
                </w:p>
              </w:tc>
              <w:tc>
                <w:tcPr>
                  <w:tcW w:w="333" w:type="pct"/>
                  <w:vMerge w:val="continue"/>
                  <w:vAlign w:val="center"/>
                </w:tcPr>
                <w:p w14:paraId="0385DE0C">
                  <w:pPr>
                    <w:jc w:val="center"/>
                    <w:rPr>
                      <w:rFonts w:hint="eastAsia"/>
                      <w:color w:val="auto"/>
                      <w:szCs w:val="21"/>
                      <w:lang w:val="en-US" w:eastAsia="zh-CN"/>
                    </w:rPr>
                  </w:pPr>
                </w:p>
              </w:tc>
              <w:tc>
                <w:tcPr>
                  <w:tcW w:w="333" w:type="pct"/>
                  <w:vMerge w:val="continue"/>
                  <w:vAlign w:val="center"/>
                </w:tcPr>
                <w:p w14:paraId="5DB37AD9">
                  <w:pPr>
                    <w:jc w:val="center"/>
                    <w:rPr>
                      <w:rFonts w:hint="eastAsia"/>
                      <w:color w:val="auto"/>
                      <w:szCs w:val="21"/>
                      <w:lang w:val="en-US" w:eastAsia="zh-CN"/>
                    </w:rPr>
                  </w:pPr>
                </w:p>
              </w:tc>
              <w:tc>
                <w:tcPr>
                  <w:tcW w:w="262" w:type="pct"/>
                  <w:vMerge w:val="continue"/>
                  <w:vAlign w:val="center"/>
                </w:tcPr>
                <w:p w14:paraId="36B0F0EF">
                  <w:pPr>
                    <w:jc w:val="center"/>
                    <w:rPr>
                      <w:rFonts w:hint="eastAsia"/>
                      <w:color w:val="auto"/>
                      <w:szCs w:val="21"/>
                      <w:lang w:val="en-US" w:eastAsia="zh-CN"/>
                    </w:rPr>
                  </w:pPr>
                </w:p>
              </w:tc>
              <w:tc>
                <w:tcPr>
                  <w:tcW w:w="285" w:type="pct"/>
                  <w:vMerge w:val="continue"/>
                  <w:vAlign w:val="center"/>
                </w:tcPr>
                <w:p w14:paraId="4AB89476">
                  <w:pPr>
                    <w:jc w:val="center"/>
                    <w:rPr>
                      <w:rFonts w:hint="eastAsia"/>
                      <w:color w:val="auto"/>
                      <w:szCs w:val="21"/>
                      <w:lang w:val="en-US" w:eastAsia="zh-CN"/>
                    </w:rPr>
                  </w:pPr>
                </w:p>
              </w:tc>
              <w:tc>
                <w:tcPr>
                  <w:tcW w:w="270" w:type="pct"/>
                  <w:vMerge w:val="continue"/>
                  <w:vAlign w:val="center"/>
                </w:tcPr>
                <w:p w14:paraId="199DA8C0">
                  <w:pPr>
                    <w:jc w:val="center"/>
                    <w:rPr>
                      <w:rFonts w:hint="eastAsia"/>
                      <w:color w:val="auto"/>
                      <w:szCs w:val="21"/>
                      <w:lang w:val="en-US" w:eastAsia="zh-CN"/>
                    </w:rPr>
                  </w:pPr>
                </w:p>
              </w:tc>
              <w:tc>
                <w:tcPr>
                  <w:tcW w:w="277" w:type="pct"/>
                  <w:shd w:val="clear" w:color="auto" w:fill="auto"/>
                  <w:vAlign w:val="center"/>
                </w:tcPr>
                <w:p w14:paraId="657162CB">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574196CE">
                  <w:pPr>
                    <w:jc w:val="center"/>
                    <w:rPr>
                      <w:rFonts w:hint="default"/>
                      <w:color w:val="auto"/>
                      <w:szCs w:val="21"/>
                      <w:lang w:val="en-US" w:eastAsia="zh-CN"/>
                    </w:rPr>
                  </w:pPr>
                  <w:r>
                    <w:rPr>
                      <w:rFonts w:hint="eastAsia"/>
                      <w:color w:val="auto"/>
                      <w:szCs w:val="21"/>
                      <w:lang w:val="en-US" w:eastAsia="zh-CN"/>
                    </w:rPr>
                    <w:t>29</w:t>
                  </w:r>
                </w:p>
              </w:tc>
              <w:tc>
                <w:tcPr>
                  <w:tcW w:w="349" w:type="pct"/>
                  <w:vAlign w:val="center"/>
                </w:tcPr>
                <w:p w14:paraId="6AB44301">
                  <w:pPr>
                    <w:jc w:val="center"/>
                    <w:rPr>
                      <w:rFonts w:hint="default"/>
                      <w:color w:val="auto"/>
                      <w:szCs w:val="21"/>
                      <w:lang w:val="en-US" w:eastAsia="zh-CN"/>
                    </w:rPr>
                  </w:pPr>
                  <w:r>
                    <w:rPr>
                      <w:rFonts w:hint="eastAsia"/>
                      <w:color w:val="auto"/>
                      <w:szCs w:val="21"/>
                      <w:lang w:val="en-US" w:eastAsia="zh-CN"/>
                    </w:rPr>
                    <w:t>43.3</w:t>
                  </w:r>
                </w:p>
              </w:tc>
              <w:tc>
                <w:tcPr>
                  <w:tcW w:w="317" w:type="pct"/>
                  <w:vMerge w:val="continue"/>
                  <w:vAlign w:val="center"/>
                </w:tcPr>
                <w:p w14:paraId="519FC70C">
                  <w:pPr>
                    <w:jc w:val="center"/>
                    <w:rPr>
                      <w:rFonts w:hint="eastAsia"/>
                      <w:color w:val="auto"/>
                      <w:szCs w:val="21"/>
                      <w:lang w:val="en-US" w:eastAsia="zh-CN"/>
                    </w:rPr>
                  </w:pPr>
                </w:p>
              </w:tc>
              <w:tc>
                <w:tcPr>
                  <w:tcW w:w="394" w:type="pct"/>
                  <w:vMerge w:val="continue"/>
                  <w:vAlign w:val="center"/>
                </w:tcPr>
                <w:p w14:paraId="40156BD0">
                  <w:pPr>
                    <w:jc w:val="center"/>
                    <w:rPr>
                      <w:rFonts w:hint="eastAsia"/>
                      <w:color w:val="auto"/>
                      <w:szCs w:val="21"/>
                      <w:lang w:val="en-US" w:eastAsia="zh-CN"/>
                    </w:rPr>
                  </w:pPr>
                </w:p>
              </w:tc>
              <w:tc>
                <w:tcPr>
                  <w:tcW w:w="418" w:type="pct"/>
                  <w:vAlign w:val="center"/>
                </w:tcPr>
                <w:p w14:paraId="486C1191">
                  <w:pPr>
                    <w:jc w:val="center"/>
                    <w:rPr>
                      <w:rFonts w:hint="default"/>
                      <w:color w:val="auto"/>
                      <w:szCs w:val="21"/>
                      <w:lang w:val="en-US" w:eastAsia="zh-CN"/>
                    </w:rPr>
                  </w:pPr>
                  <w:r>
                    <w:rPr>
                      <w:rFonts w:hint="eastAsia"/>
                      <w:color w:val="auto"/>
                      <w:szCs w:val="21"/>
                      <w:lang w:val="en-US" w:eastAsia="zh-CN"/>
                    </w:rPr>
                    <w:t>27.3</w:t>
                  </w:r>
                </w:p>
              </w:tc>
              <w:tc>
                <w:tcPr>
                  <w:tcW w:w="419" w:type="pct"/>
                  <w:vMerge w:val="continue"/>
                  <w:vAlign w:val="center"/>
                </w:tcPr>
                <w:p w14:paraId="089CFC1C">
                  <w:pPr>
                    <w:jc w:val="center"/>
                    <w:rPr>
                      <w:rFonts w:hint="eastAsia"/>
                      <w:color w:val="auto"/>
                      <w:szCs w:val="21"/>
                      <w:lang w:val="en-US" w:eastAsia="zh-CN"/>
                    </w:rPr>
                  </w:pPr>
                </w:p>
              </w:tc>
            </w:tr>
            <w:tr w14:paraId="1A8E5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restart"/>
                  <w:vAlign w:val="center"/>
                </w:tcPr>
                <w:p w14:paraId="37F04F27">
                  <w:pPr>
                    <w:jc w:val="center"/>
                    <w:rPr>
                      <w:rFonts w:hint="default"/>
                      <w:color w:val="auto"/>
                      <w:szCs w:val="21"/>
                      <w:lang w:val="en-US" w:eastAsia="zh-CN"/>
                    </w:rPr>
                  </w:pPr>
                  <w:r>
                    <w:rPr>
                      <w:rFonts w:hint="eastAsia"/>
                      <w:color w:val="auto"/>
                      <w:szCs w:val="21"/>
                      <w:lang w:val="en-US" w:eastAsia="zh-CN"/>
                    </w:rPr>
                    <w:t>9</w:t>
                  </w:r>
                </w:p>
              </w:tc>
              <w:tc>
                <w:tcPr>
                  <w:tcW w:w="266" w:type="pct"/>
                  <w:vMerge w:val="continue"/>
                  <w:vAlign w:val="center"/>
                </w:tcPr>
                <w:p w14:paraId="57DDEBCF">
                  <w:pPr>
                    <w:jc w:val="center"/>
                    <w:rPr>
                      <w:rFonts w:hint="eastAsia"/>
                      <w:color w:val="auto"/>
                      <w:szCs w:val="21"/>
                      <w:lang w:val="en-US" w:eastAsia="zh-CN"/>
                    </w:rPr>
                  </w:pPr>
                </w:p>
              </w:tc>
              <w:tc>
                <w:tcPr>
                  <w:tcW w:w="324" w:type="pct"/>
                  <w:vMerge w:val="restart"/>
                  <w:shd w:val="clear" w:color="auto" w:fill="auto"/>
                  <w:vAlign w:val="center"/>
                </w:tcPr>
                <w:p w14:paraId="29FFFE47">
                  <w:pPr>
                    <w:jc w:val="center"/>
                    <w:rPr>
                      <w:rFonts w:hint="default"/>
                      <w:color w:val="auto"/>
                      <w:szCs w:val="21"/>
                      <w:lang w:val="en-US" w:eastAsia="zh-CN"/>
                    </w:rPr>
                  </w:pPr>
                  <w:r>
                    <w:rPr>
                      <w:rFonts w:hint="eastAsia"/>
                      <w:color w:val="auto"/>
                      <w:szCs w:val="21"/>
                      <w:lang w:val="en-US" w:eastAsia="zh-CN"/>
                    </w:rPr>
                    <w:t>真空控制系统组</w:t>
                  </w:r>
                </w:p>
              </w:tc>
              <w:tc>
                <w:tcPr>
                  <w:tcW w:w="349" w:type="pct"/>
                  <w:vMerge w:val="restart"/>
                  <w:shd w:val="clear" w:color="auto" w:fill="auto"/>
                  <w:vAlign w:val="center"/>
                </w:tcPr>
                <w:p w14:paraId="1BA5E761">
                  <w:pPr>
                    <w:jc w:val="center"/>
                    <w:rPr>
                      <w:rFonts w:hint="default"/>
                      <w:color w:val="auto"/>
                      <w:szCs w:val="21"/>
                      <w:lang w:val="en-US" w:eastAsia="zh-CN"/>
                    </w:rPr>
                  </w:pPr>
                  <w:r>
                    <w:rPr>
                      <w:rFonts w:hint="eastAsia"/>
                      <w:color w:val="auto"/>
                      <w:szCs w:val="21"/>
                      <w:lang w:val="en-US" w:eastAsia="zh-CN"/>
                    </w:rPr>
                    <w:t>1</w:t>
                  </w:r>
                </w:p>
              </w:tc>
              <w:tc>
                <w:tcPr>
                  <w:tcW w:w="333" w:type="pct"/>
                  <w:vMerge w:val="restart"/>
                  <w:shd w:val="clear" w:color="auto" w:fill="auto"/>
                  <w:vAlign w:val="center"/>
                </w:tcPr>
                <w:p w14:paraId="56A5570E">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55-60</w:t>
                  </w:r>
                </w:p>
                <w:p w14:paraId="30F5529B">
                  <w:pPr>
                    <w:jc w:val="center"/>
                    <w:rPr>
                      <w:rFonts w:hint="eastAsia"/>
                      <w:color w:val="auto"/>
                      <w:szCs w:val="21"/>
                      <w:lang w:val="en-US" w:eastAsia="zh-CN"/>
                    </w:rPr>
                  </w:pPr>
                </w:p>
              </w:tc>
              <w:tc>
                <w:tcPr>
                  <w:tcW w:w="333" w:type="pct"/>
                  <w:vMerge w:val="continue"/>
                  <w:shd w:val="clear" w:color="auto" w:fill="auto"/>
                  <w:vAlign w:val="center"/>
                </w:tcPr>
                <w:p w14:paraId="0BF33AC2">
                  <w:pPr>
                    <w:jc w:val="center"/>
                    <w:rPr>
                      <w:rFonts w:hint="eastAsia"/>
                      <w:color w:val="auto"/>
                      <w:szCs w:val="21"/>
                      <w:lang w:val="en-US" w:eastAsia="zh-CN"/>
                    </w:rPr>
                  </w:pPr>
                </w:p>
              </w:tc>
              <w:tc>
                <w:tcPr>
                  <w:tcW w:w="262" w:type="pct"/>
                  <w:vMerge w:val="restart"/>
                  <w:shd w:val="clear" w:color="auto" w:fill="auto"/>
                  <w:vAlign w:val="center"/>
                </w:tcPr>
                <w:p w14:paraId="3516F672">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1-12</w:t>
                  </w:r>
                </w:p>
                <w:p w14:paraId="361B7A8C">
                  <w:pPr>
                    <w:jc w:val="center"/>
                    <w:rPr>
                      <w:rFonts w:hint="eastAsia"/>
                      <w:color w:val="auto"/>
                      <w:szCs w:val="21"/>
                      <w:lang w:val="en-US" w:eastAsia="zh-CN"/>
                    </w:rPr>
                  </w:pPr>
                </w:p>
              </w:tc>
              <w:tc>
                <w:tcPr>
                  <w:tcW w:w="285" w:type="pct"/>
                  <w:vMerge w:val="restart"/>
                  <w:shd w:val="clear" w:color="auto" w:fill="auto"/>
                  <w:vAlign w:val="center"/>
                </w:tcPr>
                <w:p w14:paraId="2AD3EB87">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20-20</w:t>
                  </w:r>
                </w:p>
                <w:p w14:paraId="6A4BA302">
                  <w:pPr>
                    <w:jc w:val="center"/>
                    <w:rPr>
                      <w:rFonts w:hint="eastAsia"/>
                      <w:color w:val="auto"/>
                      <w:szCs w:val="21"/>
                      <w:lang w:val="en-US" w:eastAsia="zh-CN"/>
                    </w:rPr>
                  </w:pPr>
                </w:p>
              </w:tc>
              <w:tc>
                <w:tcPr>
                  <w:tcW w:w="270" w:type="pct"/>
                  <w:vMerge w:val="restart"/>
                  <w:shd w:val="clear" w:color="auto" w:fill="auto"/>
                  <w:vAlign w:val="center"/>
                </w:tcPr>
                <w:p w14:paraId="2C0F45EE">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0.5</w:t>
                  </w:r>
                </w:p>
                <w:p w14:paraId="4AF31829">
                  <w:pPr>
                    <w:jc w:val="center"/>
                    <w:rPr>
                      <w:rFonts w:hint="eastAsia"/>
                      <w:color w:val="auto"/>
                      <w:szCs w:val="21"/>
                      <w:lang w:val="en-US" w:eastAsia="zh-CN"/>
                    </w:rPr>
                  </w:pPr>
                </w:p>
              </w:tc>
              <w:tc>
                <w:tcPr>
                  <w:tcW w:w="277" w:type="pct"/>
                  <w:shd w:val="clear" w:color="auto" w:fill="auto"/>
                  <w:vAlign w:val="center"/>
                </w:tcPr>
                <w:p w14:paraId="767BBF6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6AD83E8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349" w:type="pct"/>
                  <w:shd w:val="clear" w:color="auto" w:fill="auto"/>
                  <w:vAlign w:val="center"/>
                </w:tcPr>
                <w:p w14:paraId="036573B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59.4</w:t>
                  </w:r>
                </w:p>
              </w:tc>
              <w:tc>
                <w:tcPr>
                  <w:tcW w:w="317" w:type="pct"/>
                  <w:vMerge w:val="restart"/>
                  <w:shd w:val="clear" w:color="auto" w:fill="auto"/>
                  <w:vAlign w:val="center"/>
                </w:tcPr>
                <w:p w14:paraId="32DF481B">
                  <w:pPr>
                    <w:jc w:val="center"/>
                    <w:rPr>
                      <w:rFonts w:hint="eastAsia" w:ascii="Times New Roman" w:hAnsi="Times New Roman" w:eastAsia="宋体" w:cs="Times New Roman"/>
                      <w:color w:val="auto"/>
                      <w:kern w:val="2"/>
                      <w:sz w:val="21"/>
                      <w:szCs w:val="21"/>
                      <w:lang w:val="en-US" w:eastAsia="zh-CN" w:bidi="ar-SA"/>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shd w:val="clear" w:color="auto" w:fill="auto"/>
                  <w:vAlign w:val="center"/>
                </w:tcPr>
                <w:p w14:paraId="58D081C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-15</w:t>
                  </w:r>
                </w:p>
              </w:tc>
              <w:tc>
                <w:tcPr>
                  <w:tcW w:w="418" w:type="pct"/>
                  <w:shd w:val="clear" w:color="auto" w:fill="auto"/>
                  <w:vAlign w:val="center"/>
                </w:tcPr>
                <w:p w14:paraId="63C8097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44.4</w:t>
                  </w:r>
                </w:p>
              </w:tc>
              <w:tc>
                <w:tcPr>
                  <w:tcW w:w="419" w:type="pct"/>
                  <w:vMerge w:val="continue"/>
                  <w:vAlign w:val="center"/>
                </w:tcPr>
                <w:p w14:paraId="0292C8D2">
                  <w:pPr>
                    <w:jc w:val="center"/>
                    <w:rPr>
                      <w:rFonts w:hint="eastAsia"/>
                      <w:color w:val="auto"/>
                      <w:szCs w:val="21"/>
                      <w:lang w:val="en-US" w:eastAsia="zh-CN"/>
                    </w:rPr>
                  </w:pPr>
                </w:p>
              </w:tc>
            </w:tr>
            <w:tr w14:paraId="2E35B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57B6A631">
                  <w:pPr>
                    <w:jc w:val="center"/>
                    <w:rPr>
                      <w:rFonts w:hint="eastAsia"/>
                      <w:color w:val="auto"/>
                      <w:szCs w:val="21"/>
                      <w:lang w:val="en-US" w:eastAsia="zh-CN"/>
                    </w:rPr>
                  </w:pPr>
                </w:p>
              </w:tc>
              <w:tc>
                <w:tcPr>
                  <w:tcW w:w="266" w:type="pct"/>
                  <w:vMerge w:val="continue"/>
                  <w:vAlign w:val="center"/>
                </w:tcPr>
                <w:p w14:paraId="0C094FB4">
                  <w:pPr>
                    <w:jc w:val="center"/>
                    <w:rPr>
                      <w:rFonts w:hint="eastAsia"/>
                      <w:color w:val="auto"/>
                      <w:szCs w:val="21"/>
                      <w:lang w:val="en-US" w:eastAsia="zh-CN"/>
                    </w:rPr>
                  </w:pPr>
                </w:p>
              </w:tc>
              <w:tc>
                <w:tcPr>
                  <w:tcW w:w="324" w:type="pct"/>
                  <w:vMerge w:val="continue"/>
                  <w:shd w:val="clear" w:color="auto" w:fill="auto"/>
                  <w:vAlign w:val="center"/>
                </w:tcPr>
                <w:p w14:paraId="655A33F5">
                  <w:pPr>
                    <w:jc w:val="center"/>
                    <w:rPr>
                      <w:rFonts w:hint="eastAsia"/>
                      <w:color w:val="auto"/>
                      <w:szCs w:val="21"/>
                      <w:lang w:val="en-US" w:eastAsia="zh-CN"/>
                    </w:rPr>
                  </w:pPr>
                </w:p>
              </w:tc>
              <w:tc>
                <w:tcPr>
                  <w:tcW w:w="349" w:type="pct"/>
                  <w:vMerge w:val="continue"/>
                  <w:shd w:val="clear" w:color="auto" w:fill="auto"/>
                  <w:vAlign w:val="center"/>
                </w:tcPr>
                <w:p w14:paraId="49DEE260">
                  <w:pPr>
                    <w:jc w:val="center"/>
                    <w:rPr>
                      <w:rFonts w:hint="eastAsia"/>
                      <w:color w:val="auto"/>
                      <w:szCs w:val="21"/>
                      <w:lang w:val="en-US" w:eastAsia="zh-CN"/>
                    </w:rPr>
                  </w:pPr>
                </w:p>
              </w:tc>
              <w:tc>
                <w:tcPr>
                  <w:tcW w:w="333" w:type="pct"/>
                  <w:vMerge w:val="continue"/>
                  <w:vAlign w:val="center"/>
                </w:tcPr>
                <w:p w14:paraId="4F4956BE">
                  <w:pPr>
                    <w:jc w:val="center"/>
                    <w:rPr>
                      <w:rFonts w:hint="eastAsia"/>
                      <w:color w:val="auto"/>
                      <w:szCs w:val="21"/>
                      <w:lang w:val="en-US" w:eastAsia="zh-CN"/>
                    </w:rPr>
                  </w:pPr>
                </w:p>
              </w:tc>
              <w:tc>
                <w:tcPr>
                  <w:tcW w:w="333" w:type="pct"/>
                  <w:vMerge w:val="continue"/>
                  <w:vAlign w:val="center"/>
                </w:tcPr>
                <w:p w14:paraId="6EC5C47E">
                  <w:pPr>
                    <w:jc w:val="center"/>
                    <w:rPr>
                      <w:rFonts w:hint="eastAsia"/>
                      <w:color w:val="auto"/>
                      <w:szCs w:val="21"/>
                      <w:lang w:val="en-US" w:eastAsia="zh-CN"/>
                    </w:rPr>
                  </w:pPr>
                </w:p>
              </w:tc>
              <w:tc>
                <w:tcPr>
                  <w:tcW w:w="262" w:type="pct"/>
                  <w:vMerge w:val="continue"/>
                  <w:vAlign w:val="center"/>
                </w:tcPr>
                <w:p w14:paraId="5E9E2546">
                  <w:pPr>
                    <w:jc w:val="center"/>
                    <w:rPr>
                      <w:rFonts w:hint="eastAsia"/>
                      <w:color w:val="auto"/>
                      <w:szCs w:val="21"/>
                      <w:lang w:val="en-US" w:eastAsia="zh-CN"/>
                    </w:rPr>
                  </w:pPr>
                </w:p>
              </w:tc>
              <w:tc>
                <w:tcPr>
                  <w:tcW w:w="285" w:type="pct"/>
                  <w:vMerge w:val="continue"/>
                  <w:vAlign w:val="center"/>
                </w:tcPr>
                <w:p w14:paraId="61412866">
                  <w:pPr>
                    <w:jc w:val="center"/>
                    <w:rPr>
                      <w:rFonts w:hint="eastAsia"/>
                      <w:color w:val="auto"/>
                      <w:szCs w:val="21"/>
                      <w:lang w:val="en-US" w:eastAsia="zh-CN"/>
                    </w:rPr>
                  </w:pPr>
                </w:p>
              </w:tc>
              <w:tc>
                <w:tcPr>
                  <w:tcW w:w="270" w:type="pct"/>
                  <w:vMerge w:val="continue"/>
                  <w:vAlign w:val="center"/>
                </w:tcPr>
                <w:p w14:paraId="77023B25">
                  <w:pPr>
                    <w:jc w:val="center"/>
                    <w:rPr>
                      <w:rFonts w:hint="eastAsia"/>
                      <w:color w:val="auto"/>
                      <w:szCs w:val="21"/>
                      <w:lang w:val="en-US" w:eastAsia="zh-CN"/>
                    </w:rPr>
                  </w:pPr>
                </w:p>
              </w:tc>
              <w:tc>
                <w:tcPr>
                  <w:tcW w:w="277" w:type="pct"/>
                  <w:shd w:val="clear" w:color="auto" w:fill="auto"/>
                  <w:vAlign w:val="center"/>
                </w:tcPr>
                <w:p w14:paraId="5D973C6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4F3187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349" w:type="pct"/>
                  <w:shd w:val="clear" w:color="auto" w:fill="auto"/>
                  <w:vAlign w:val="center"/>
                </w:tcPr>
                <w:p w14:paraId="09B5F9C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48.9</w:t>
                  </w:r>
                </w:p>
              </w:tc>
              <w:tc>
                <w:tcPr>
                  <w:tcW w:w="317" w:type="pct"/>
                  <w:vMerge w:val="continue"/>
                  <w:vAlign w:val="center"/>
                </w:tcPr>
                <w:p w14:paraId="1D45D665">
                  <w:pPr>
                    <w:jc w:val="center"/>
                    <w:rPr>
                      <w:rFonts w:hint="eastAsia"/>
                      <w:color w:val="auto"/>
                      <w:szCs w:val="21"/>
                      <w:lang w:val="en-US" w:eastAsia="zh-CN"/>
                    </w:rPr>
                  </w:pPr>
                </w:p>
              </w:tc>
              <w:tc>
                <w:tcPr>
                  <w:tcW w:w="394" w:type="pct"/>
                  <w:vMerge w:val="continue"/>
                  <w:vAlign w:val="center"/>
                </w:tcPr>
                <w:p w14:paraId="4BE64AEC">
                  <w:pPr>
                    <w:jc w:val="center"/>
                    <w:rPr>
                      <w:rFonts w:hint="eastAsia"/>
                      <w:color w:val="auto"/>
                      <w:szCs w:val="21"/>
                      <w:lang w:val="en-US" w:eastAsia="zh-CN"/>
                    </w:rPr>
                  </w:pPr>
                </w:p>
              </w:tc>
              <w:tc>
                <w:tcPr>
                  <w:tcW w:w="418" w:type="pct"/>
                  <w:shd w:val="clear" w:color="auto" w:fill="auto"/>
                  <w:vAlign w:val="center"/>
                </w:tcPr>
                <w:p w14:paraId="5ABEF5E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33.9</w:t>
                  </w:r>
                </w:p>
              </w:tc>
              <w:tc>
                <w:tcPr>
                  <w:tcW w:w="419" w:type="pct"/>
                  <w:vMerge w:val="continue"/>
                  <w:vAlign w:val="center"/>
                </w:tcPr>
                <w:p w14:paraId="68AE0403">
                  <w:pPr>
                    <w:jc w:val="center"/>
                    <w:rPr>
                      <w:rFonts w:hint="eastAsia"/>
                      <w:color w:val="auto"/>
                      <w:szCs w:val="21"/>
                      <w:lang w:val="en-US" w:eastAsia="zh-CN"/>
                    </w:rPr>
                  </w:pPr>
                </w:p>
              </w:tc>
            </w:tr>
            <w:tr w14:paraId="3DB9A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15157CEE">
                  <w:pPr>
                    <w:jc w:val="center"/>
                    <w:rPr>
                      <w:rFonts w:hint="eastAsia"/>
                      <w:color w:val="auto"/>
                      <w:szCs w:val="21"/>
                      <w:lang w:val="en-US" w:eastAsia="zh-CN"/>
                    </w:rPr>
                  </w:pPr>
                </w:p>
              </w:tc>
              <w:tc>
                <w:tcPr>
                  <w:tcW w:w="266" w:type="pct"/>
                  <w:vMerge w:val="continue"/>
                  <w:vAlign w:val="center"/>
                </w:tcPr>
                <w:p w14:paraId="02542249">
                  <w:pPr>
                    <w:jc w:val="center"/>
                    <w:rPr>
                      <w:rFonts w:hint="eastAsia"/>
                      <w:color w:val="auto"/>
                      <w:szCs w:val="21"/>
                      <w:lang w:val="en-US" w:eastAsia="zh-CN"/>
                    </w:rPr>
                  </w:pPr>
                </w:p>
              </w:tc>
              <w:tc>
                <w:tcPr>
                  <w:tcW w:w="324" w:type="pct"/>
                  <w:vMerge w:val="continue"/>
                  <w:shd w:val="clear" w:color="auto" w:fill="auto"/>
                  <w:vAlign w:val="center"/>
                </w:tcPr>
                <w:p w14:paraId="0F215BB2">
                  <w:pPr>
                    <w:jc w:val="center"/>
                    <w:rPr>
                      <w:rFonts w:hint="eastAsia"/>
                      <w:color w:val="auto"/>
                      <w:szCs w:val="21"/>
                      <w:lang w:val="en-US" w:eastAsia="zh-CN"/>
                    </w:rPr>
                  </w:pPr>
                </w:p>
              </w:tc>
              <w:tc>
                <w:tcPr>
                  <w:tcW w:w="349" w:type="pct"/>
                  <w:vMerge w:val="continue"/>
                  <w:shd w:val="clear" w:color="auto" w:fill="auto"/>
                  <w:vAlign w:val="center"/>
                </w:tcPr>
                <w:p w14:paraId="3E74E1B5">
                  <w:pPr>
                    <w:jc w:val="center"/>
                    <w:rPr>
                      <w:rFonts w:hint="eastAsia"/>
                      <w:color w:val="auto"/>
                      <w:szCs w:val="21"/>
                      <w:lang w:val="en-US" w:eastAsia="zh-CN"/>
                    </w:rPr>
                  </w:pPr>
                </w:p>
              </w:tc>
              <w:tc>
                <w:tcPr>
                  <w:tcW w:w="333" w:type="pct"/>
                  <w:vMerge w:val="continue"/>
                  <w:vAlign w:val="center"/>
                </w:tcPr>
                <w:p w14:paraId="2A1AFFCA">
                  <w:pPr>
                    <w:jc w:val="center"/>
                    <w:rPr>
                      <w:rFonts w:hint="eastAsia"/>
                      <w:color w:val="auto"/>
                      <w:szCs w:val="21"/>
                      <w:lang w:val="en-US" w:eastAsia="zh-CN"/>
                    </w:rPr>
                  </w:pPr>
                </w:p>
              </w:tc>
              <w:tc>
                <w:tcPr>
                  <w:tcW w:w="333" w:type="pct"/>
                  <w:vMerge w:val="continue"/>
                  <w:vAlign w:val="center"/>
                </w:tcPr>
                <w:p w14:paraId="652761EC">
                  <w:pPr>
                    <w:jc w:val="center"/>
                    <w:rPr>
                      <w:rFonts w:hint="eastAsia"/>
                      <w:color w:val="auto"/>
                      <w:szCs w:val="21"/>
                      <w:lang w:val="en-US" w:eastAsia="zh-CN"/>
                    </w:rPr>
                  </w:pPr>
                </w:p>
              </w:tc>
              <w:tc>
                <w:tcPr>
                  <w:tcW w:w="262" w:type="pct"/>
                  <w:vMerge w:val="continue"/>
                  <w:vAlign w:val="center"/>
                </w:tcPr>
                <w:p w14:paraId="458AED17">
                  <w:pPr>
                    <w:jc w:val="center"/>
                    <w:rPr>
                      <w:rFonts w:hint="eastAsia"/>
                      <w:color w:val="auto"/>
                      <w:szCs w:val="21"/>
                      <w:lang w:val="en-US" w:eastAsia="zh-CN"/>
                    </w:rPr>
                  </w:pPr>
                </w:p>
              </w:tc>
              <w:tc>
                <w:tcPr>
                  <w:tcW w:w="285" w:type="pct"/>
                  <w:vMerge w:val="continue"/>
                  <w:vAlign w:val="center"/>
                </w:tcPr>
                <w:p w14:paraId="5D8ADB29">
                  <w:pPr>
                    <w:jc w:val="center"/>
                    <w:rPr>
                      <w:rFonts w:hint="eastAsia"/>
                      <w:color w:val="auto"/>
                      <w:szCs w:val="21"/>
                      <w:lang w:val="en-US" w:eastAsia="zh-CN"/>
                    </w:rPr>
                  </w:pPr>
                </w:p>
              </w:tc>
              <w:tc>
                <w:tcPr>
                  <w:tcW w:w="270" w:type="pct"/>
                  <w:vMerge w:val="continue"/>
                  <w:vAlign w:val="center"/>
                </w:tcPr>
                <w:p w14:paraId="6B7BCB3D">
                  <w:pPr>
                    <w:jc w:val="center"/>
                    <w:rPr>
                      <w:rFonts w:hint="eastAsia"/>
                      <w:color w:val="auto"/>
                      <w:szCs w:val="21"/>
                      <w:lang w:val="en-US" w:eastAsia="zh-CN"/>
                    </w:rPr>
                  </w:pPr>
                </w:p>
              </w:tc>
              <w:tc>
                <w:tcPr>
                  <w:tcW w:w="277" w:type="pct"/>
                  <w:shd w:val="clear" w:color="auto" w:fill="auto"/>
                  <w:vAlign w:val="center"/>
                </w:tcPr>
                <w:p w14:paraId="1F25C56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0CFC3B1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349" w:type="pct"/>
                  <w:shd w:val="clear" w:color="auto" w:fill="auto"/>
                  <w:vAlign w:val="center"/>
                </w:tcPr>
                <w:p w14:paraId="3B24B5D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56.4</w:t>
                  </w:r>
                </w:p>
              </w:tc>
              <w:tc>
                <w:tcPr>
                  <w:tcW w:w="317" w:type="pct"/>
                  <w:vMerge w:val="continue"/>
                  <w:vAlign w:val="center"/>
                </w:tcPr>
                <w:p w14:paraId="0EEB450E">
                  <w:pPr>
                    <w:jc w:val="center"/>
                    <w:rPr>
                      <w:rFonts w:hint="eastAsia"/>
                      <w:color w:val="auto"/>
                      <w:szCs w:val="21"/>
                      <w:lang w:val="en-US" w:eastAsia="zh-CN"/>
                    </w:rPr>
                  </w:pPr>
                </w:p>
              </w:tc>
              <w:tc>
                <w:tcPr>
                  <w:tcW w:w="394" w:type="pct"/>
                  <w:vMerge w:val="continue"/>
                  <w:vAlign w:val="center"/>
                </w:tcPr>
                <w:p w14:paraId="63CB7B66">
                  <w:pPr>
                    <w:jc w:val="center"/>
                    <w:rPr>
                      <w:rFonts w:hint="eastAsia"/>
                      <w:color w:val="auto"/>
                      <w:szCs w:val="21"/>
                      <w:lang w:val="en-US" w:eastAsia="zh-CN"/>
                    </w:rPr>
                  </w:pPr>
                </w:p>
              </w:tc>
              <w:tc>
                <w:tcPr>
                  <w:tcW w:w="418" w:type="pct"/>
                  <w:shd w:val="clear" w:color="auto" w:fill="auto"/>
                  <w:vAlign w:val="center"/>
                </w:tcPr>
                <w:p w14:paraId="0458747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41.4</w:t>
                  </w:r>
                </w:p>
              </w:tc>
              <w:tc>
                <w:tcPr>
                  <w:tcW w:w="419" w:type="pct"/>
                  <w:vMerge w:val="continue"/>
                  <w:vAlign w:val="center"/>
                </w:tcPr>
                <w:p w14:paraId="2CCA65B7">
                  <w:pPr>
                    <w:jc w:val="center"/>
                    <w:rPr>
                      <w:rFonts w:hint="eastAsia"/>
                      <w:color w:val="auto"/>
                      <w:szCs w:val="21"/>
                      <w:lang w:val="en-US" w:eastAsia="zh-CN"/>
                    </w:rPr>
                  </w:pPr>
                </w:p>
              </w:tc>
            </w:tr>
            <w:tr w14:paraId="1F704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6FE1B52F">
                  <w:pPr>
                    <w:jc w:val="center"/>
                    <w:rPr>
                      <w:rFonts w:hint="eastAsia"/>
                      <w:color w:val="auto"/>
                      <w:szCs w:val="21"/>
                      <w:lang w:val="en-US" w:eastAsia="zh-CN"/>
                    </w:rPr>
                  </w:pPr>
                </w:p>
              </w:tc>
              <w:tc>
                <w:tcPr>
                  <w:tcW w:w="266" w:type="pct"/>
                  <w:vMerge w:val="continue"/>
                  <w:vAlign w:val="center"/>
                </w:tcPr>
                <w:p w14:paraId="782A7033">
                  <w:pPr>
                    <w:jc w:val="center"/>
                    <w:rPr>
                      <w:rFonts w:hint="eastAsia"/>
                      <w:color w:val="auto"/>
                      <w:szCs w:val="21"/>
                      <w:lang w:val="en-US" w:eastAsia="zh-CN"/>
                    </w:rPr>
                  </w:pPr>
                </w:p>
              </w:tc>
              <w:tc>
                <w:tcPr>
                  <w:tcW w:w="324" w:type="pct"/>
                  <w:vMerge w:val="continue"/>
                  <w:shd w:val="clear" w:color="auto" w:fill="auto"/>
                  <w:vAlign w:val="center"/>
                </w:tcPr>
                <w:p w14:paraId="51650448">
                  <w:pPr>
                    <w:jc w:val="center"/>
                    <w:rPr>
                      <w:rFonts w:hint="eastAsia"/>
                      <w:color w:val="auto"/>
                      <w:szCs w:val="21"/>
                      <w:lang w:val="en-US" w:eastAsia="zh-CN"/>
                    </w:rPr>
                  </w:pPr>
                </w:p>
              </w:tc>
              <w:tc>
                <w:tcPr>
                  <w:tcW w:w="349" w:type="pct"/>
                  <w:vMerge w:val="continue"/>
                  <w:shd w:val="clear" w:color="auto" w:fill="auto"/>
                  <w:vAlign w:val="center"/>
                </w:tcPr>
                <w:p w14:paraId="1D303B4C">
                  <w:pPr>
                    <w:jc w:val="center"/>
                    <w:rPr>
                      <w:rFonts w:hint="eastAsia"/>
                      <w:color w:val="auto"/>
                      <w:szCs w:val="21"/>
                      <w:lang w:val="en-US" w:eastAsia="zh-CN"/>
                    </w:rPr>
                  </w:pPr>
                </w:p>
              </w:tc>
              <w:tc>
                <w:tcPr>
                  <w:tcW w:w="333" w:type="pct"/>
                  <w:vMerge w:val="continue"/>
                  <w:vAlign w:val="center"/>
                </w:tcPr>
                <w:p w14:paraId="20D7DCF3">
                  <w:pPr>
                    <w:jc w:val="center"/>
                    <w:rPr>
                      <w:rFonts w:hint="eastAsia"/>
                      <w:color w:val="auto"/>
                      <w:szCs w:val="21"/>
                      <w:lang w:val="en-US" w:eastAsia="zh-CN"/>
                    </w:rPr>
                  </w:pPr>
                </w:p>
              </w:tc>
              <w:tc>
                <w:tcPr>
                  <w:tcW w:w="333" w:type="pct"/>
                  <w:vMerge w:val="continue"/>
                  <w:vAlign w:val="center"/>
                </w:tcPr>
                <w:p w14:paraId="786E89CF">
                  <w:pPr>
                    <w:jc w:val="center"/>
                    <w:rPr>
                      <w:rFonts w:hint="eastAsia"/>
                      <w:color w:val="auto"/>
                      <w:szCs w:val="21"/>
                      <w:lang w:val="en-US" w:eastAsia="zh-CN"/>
                    </w:rPr>
                  </w:pPr>
                </w:p>
              </w:tc>
              <w:tc>
                <w:tcPr>
                  <w:tcW w:w="262" w:type="pct"/>
                  <w:vMerge w:val="continue"/>
                  <w:vAlign w:val="center"/>
                </w:tcPr>
                <w:p w14:paraId="1B13168B">
                  <w:pPr>
                    <w:jc w:val="center"/>
                    <w:rPr>
                      <w:rFonts w:hint="eastAsia"/>
                      <w:color w:val="auto"/>
                      <w:szCs w:val="21"/>
                      <w:lang w:val="en-US" w:eastAsia="zh-CN"/>
                    </w:rPr>
                  </w:pPr>
                </w:p>
              </w:tc>
              <w:tc>
                <w:tcPr>
                  <w:tcW w:w="285" w:type="pct"/>
                  <w:vMerge w:val="continue"/>
                  <w:vAlign w:val="center"/>
                </w:tcPr>
                <w:p w14:paraId="6FA429E2">
                  <w:pPr>
                    <w:jc w:val="center"/>
                    <w:rPr>
                      <w:rFonts w:hint="eastAsia"/>
                      <w:color w:val="auto"/>
                      <w:szCs w:val="21"/>
                      <w:lang w:val="en-US" w:eastAsia="zh-CN"/>
                    </w:rPr>
                  </w:pPr>
                </w:p>
              </w:tc>
              <w:tc>
                <w:tcPr>
                  <w:tcW w:w="270" w:type="pct"/>
                  <w:vMerge w:val="continue"/>
                  <w:vAlign w:val="center"/>
                </w:tcPr>
                <w:p w14:paraId="1FD78177">
                  <w:pPr>
                    <w:jc w:val="center"/>
                    <w:rPr>
                      <w:rFonts w:hint="eastAsia"/>
                      <w:color w:val="auto"/>
                      <w:szCs w:val="21"/>
                      <w:lang w:val="en-US" w:eastAsia="zh-CN"/>
                    </w:rPr>
                  </w:pPr>
                </w:p>
              </w:tc>
              <w:tc>
                <w:tcPr>
                  <w:tcW w:w="277" w:type="pct"/>
                  <w:shd w:val="clear" w:color="auto" w:fill="auto"/>
                  <w:vAlign w:val="center"/>
                </w:tcPr>
                <w:p w14:paraId="217FBD6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072E3F0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29</w:t>
                  </w:r>
                </w:p>
              </w:tc>
              <w:tc>
                <w:tcPr>
                  <w:tcW w:w="349" w:type="pct"/>
                  <w:shd w:val="clear" w:color="auto" w:fill="auto"/>
                  <w:vAlign w:val="center"/>
                </w:tcPr>
                <w:p w14:paraId="7EDAC4F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43.3</w:t>
                  </w:r>
                </w:p>
              </w:tc>
              <w:tc>
                <w:tcPr>
                  <w:tcW w:w="317" w:type="pct"/>
                  <w:vMerge w:val="continue"/>
                  <w:vAlign w:val="center"/>
                </w:tcPr>
                <w:p w14:paraId="514D20CA">
                  <w:pPr>
                    <w:jc w:val="center"/>
                    <w:rPr>
                      <w:rFonts w:hint="eastAsia"/>
                      <w:color w:val="auto"/>
                      <w:szCs w:val="21"/>
                      <w:lang w:val="en-US" w:eastAsia="zh-CN"/>
                    </w:rPr>
                  </w:pPr>
                </w:p>
              </w:tc>
              <w:tc>
                <w:tcPr>
                  <w:tcW w:w="394" w:type="pct"/>
                  <w:vMerge w:val="continue"/>
                  <w:vAlign w:val="center"/>
                </w:tcPr>
                <w:p w14:paraId="0495AAA4">
                  <w:pPr>
                    <w:jc w:val="center"/>
                    <w:rPr>
                      <w:rFonts w:hint="eastAsia"/>
                      <w:color w:val="auto"/>
                      <w:szCs w:val="21"/>
                      <w:lang w:val="en-US" w:eastAsia="zh-CN"/>
                    </w:rPr>
                  </w:pPr>
                </w:p>
              </w:tc>
              <w:tc>
                <w:tcPr>
                  <w:tcW w:w="418" w:type="pct"/>
                  <w:shd w:val="clear" w:color="auto" w:fill="auto"/>
                  <w:vAlign w:val="center"/>
                </w:tcPr>
                <w:p w14:paraId="6A769A5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27.3</w:t>
                  </w:r>
                </w:p>
              </w:tc>
              <w:tc>
                <w:tcPr>
                  <w:tcW w:w="419" w:type="pct"/>
                  <w:vMerge w:val="continue"/>
                  <w:vAlign w:val="center"/>
                </w:tcPr>
                <w:p w14:paraId="21CE537E">
                  <w:pPr>
                    <w:jc w:val="center"/>
                    <w:rPr>
                      <w:rFonts w:hint="eastAsia"/>
                      <w:color w:val="auto"/>
                      <w:szCs w:val="21"/>
                      <w:lang w:val="en-US" w:eastAsia="zh-CN"/>
                    </w:rPr>
                  </w:pPr>
                </w:p>
              </w:tc>
            </w:tr>
            <w:tr w14:paraId="07015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0" w:type="pct"/>
                  <w:vMerge w:val="restart"/>
                  <w:vAlign w:val="center"/>
                </w:tcPr>
                <w:p w14:paraId="295AE290">
                  <w:pPr>
                    <w:jc w:val="center"/>
                    <w:rPr>
                      <w:rFonts w:hint="default" w:eastAsia="宋体"/>
                      <w:color w:val="auto"/>
                      <w:szCs w:val="21"/>
                      <w:lang w:val="en-US" w:eastAsia="zh-CN"/>
                    </w:rPr>
                  </w:pPr>
                  <w:r>
                    <w:rPr>
                      <w:rFonts w:hint="eastAsia"/>
                      <w:color w:val="auto"/>
                      <w:szCs w:val="21"/>
                      <w:lang w:val="en-US" w:eastAsia="zh-CN"/>
                    </w:rPr>
                    <w:t>10</w:t>
                  </w:r>
                </w:p>
              </w:tc>
              <w:tc>
                <w:tcPr>
                  <w:tcW w:w="266" w:type="pct"/>
                  <w:vMerge w:val="restart"/>
                  <w:vAlign w:val="center"/>
                </w:tcPr>
                <w:p w14:paraId="7A3EB786">
                  <w:pPr>
                    <w:jc w:val="center"/>
                    <w:rPr>
                      <w:rFonts w:hint="default" w:eastAsia="宋体"/>
                      <w:color w:val="auto"/>
                      <w:szCs w:val="21"/>
                      <w:lang w:val="en-US" w:eastAsia="zh-CN"/>
                    </w:rPr>
                  </w:pPr>
                  <w:r>
                    <w:rPr>
                      <w:rFonts w:hint="eastAsia"/>
                      <w:color w:val="auto"/>
                      <w:szCs w:val="21"/>
                      <w:lang w:val="en-US" w:eastAsia="zh-CN"/>
                    </w:rPr>
                    <w:t>1#生产车间</w:t>
                  </w:r>
                </w:p>
              </w:tc>
              <w:tc>
                <w:tcPr>
                  <w:tcW w:w="324" w:type="pct"/>
                  <w:vMerge w:val="restart"/>
                  <w:vAlign w:val="center"/>
                </w:tcPr>
                <w:p w14:paraId="00FC735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冷却塔</w:t>
                  </w:r>
                </w:p>
              </w:tc>
              <w:tc>
                <w:tcPr>
                  <w:tcW w:w="349" w:type="pct"/>
                  <w:vMerge w:val="restart"/>
                  <w:shd w:val="clear" w:color="auto" w:fill="auto"/>
                  <w:vAlign w:val="center"/>
                </w:tcPr>
                <w:p w14:paraId="543004BB">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333" w:type="pct"/>
                  <w:vMerge w:val="restart"/>
                  <w:vAlign w:val="center"/>
                </w:tcPr>
                <w:p w14:paraId="15EAD53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75</w:t>
                  </w:r>
                </w:p>
              </w:tc>
              <w:tc>
                <w:tcPr>
                  <w:tcW w:w="333" w:type="pct"/>
                  <w:vMerge w:val="restart"/>
                  <w:vAlign w:val="center"/>
                </w:tcPr>
                <w:p w14:paraId="4A3105E3">
                  <w:pPr>
                    <w:jc w:val="center"/>
                    <w:rPr>
                      <w:rFonts w:hint="default" w:eastAsia="宋体"/>
                      <w:color w:val="auto"/>
                      <w:szCs w:val="21"/>
                      <w:lang w:val="en-US" w:eastAsia="zh-CN"/>
                    </w:rPr>
                  </w:pPr>
                  <w:r>
                    <w:rPr>
                      <w:rFonts w:hint="eastAsia"/>
                      <w:color w:val="auto"/>
                      <w:szCs w:val="21"/>
                      <w:lang w:val="en-US" w:eastAsia="zh-CN"/>
                    </w:rPr>
                    <w:t>减振垫</w:t>
                  </w:r>
                </w:p>
              </w:tc>
              <w:tc>
                <w:tcPr>
                  <w:tcW w:w="262" w:type="pct"/>
                  <w:vMerge w:val="restart"/>
                  <w:vAlign w:val="center"/>
                </w:tcPr>
                <w:p w14:paraId="798B316A">
                  <w:pPr>
                    <w:jc w:val="center"/>
                    <w:rPr>
                      <w:rFonts w:hint="default" w:eastAsia="宋体"/>
                      <w:color w:val="auto"/>
                      <w:szCs w:val="21"/>
                      <w:lang w:val="en-US" w:eastAsia="zh-CN"/>
                    </w:rPr>
                  </w:pPr>
                  <w:r>
                    <w:rPr>
                      <w:rFonts w:hint="eastAsia"/>
                      <w:color w:val="auto"/>
                      <w:szCs w:val="21"/>
                      <w:lang w:val="en-US" w:eastAsia="zh-CN"/>
                    </w:rPr>
                    <w:t>4</w:t>
                  </w:r>
                </w:p>
              </w:tc>
              <w:tc>
                <w:tcPr>
                  <w:tcW w:w="285" w:type="pct"/>
                  <w:vMerge w:val="restart"/>
                  <w:vAlign w:val="center"/>
                </w:tcPr>
                <w:p w14:paraId="5C04B6E0">
                  <w:pPr>
                    <w:jc w:val="center"/>
                    <w:rPr>
                      <w:rFonts w:hint="default" w:eastAsia="宋体"/>
                      <w:color w:val="auto"/>
                      <w:szCs w:val="21"/>
                      <w:lang w:val="en-US" w:eastAsia="zh-CN"/>
                    </w:rPr>
                  </w:pPr>
                  <w:r>
                    <w:rPr>
                      <w:rFonts w:hint="eastAsia"/>
                      <w:color w:val="auto"/>
                      <w:szCs w:val="21"/>
                      <w:lang w:val="en-US" w:eastAsia="zh-CN"/>
                    </w:rPr>
                    <w:t>-2</w:t>
                  </w:r>
                </w:p>
              </w:tc>
              <w:tc>
                <w:tcPr>
                  <w:tcW w:w="270" w:type="pct"/>
                  <w:vMerge w:val="restart"/>
                  <w:vAlign w:val="center"/>
                </w:tcPr>
                <w:p w14:paraId="4A717B99">
                  <w:pPr>
                    <w:jc w:val="center"/>
                    <w:rPr>
                      <w:rFonts w:hint="default" w:eastAsia="宋体"/>
                      <w:color w:val="auto"/>
                      <w:szCs w:val="21"/>
                      <w:lang w:val="en-US" w:eastAsia="zh-CN"/>
                    </w:rPr>
                  </w:pPr>
                  <w:r>
                    <w:rPr>
                      <w:rFonts w:hint="eastAsia"/>
                      <w:color w:val="auto"/>
                      <w:szCs w:val="21"/>
                      <w:lang w:val="en-US" w:eastAsia="zh-CN"/>
                    </w:rPr>
                    <w:t>2</w:t>
                  </w:r>
                </w:p>
              </w:tc>
              <w:tc>
                <w:tcPr>
                  <w:tcW w:w="277" w:type="pct"/>
                  <w:shd w:val="clear" w:color="auto" w:fill="auto"/>
                  <w:vAlign w:val="center"/>
                </w:tcPr>
                <w:p w14:paraId="1FF477C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59F00CD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13</w:t>
                  </w:r>
                </w:p>
              </w:tc>
              <w:tc>
                <w:tcPr>
                  <w:tcW w:w="349" w:type="pct"/>
                  <w:vAlign w:val="center"/>
                </w:tcPr>
                <w:p w14:paraId="7CF06F72">
                  <w:pPr>
                    <w:jc w:val="center"/>
                    <w:rPr>
                      <w:rFonts w:hint="default"/>
                      <w:color w:val="auto"/>
                      <w:szCs w:val="21"/>
                      <w:lang w:val="en-US" w:eastAsia="zh-CN"/>
                    </w:rPr>
                  </w:pPr>
                  <w:r>
                    <w:rPr>
                      <w:rFonts w:hint="eastAsia"/>
                      <w:color w:val="auto"/>
                      <w:szCs w:val="21"/>
                      <w:lang w:val="en-US" w:eastAsia="zh-CN"/>
                    </w:rPr>
                    <w:t>/</w:t>
                  </w:r>
                </w:p>
              </w:tc>
              <w:tc>
                <w:tcPr>
                  <w:tcW w:w="317" w:type="pct"/>
                  <w:vMerge w:val="restart"/>
                  <w:vAlign w:val="center"/>
                </w:tcPr>
                <w:p w14:paraId="29C4A3F5">
                  <w:pPr>
                    <w:jc w:val="center"/>
                    <w:rPr>
                      <w:rFonts w:hint="default" w:eastAsia="宋体"/>
                      <w:color w:val="auto"/>
                      <w:szCs w:val="21"/>
                      <w:lang w:val="en-US" w:eastAsia="zh-CN"/>
                    </w:rPr>
                  </w:pPr>
                  <w:r>
                    <w:rPr>
                      <w:rFonts w:hint="eastAsia"/>
                      <w:color w:val="auto"/>
                      <w:szCs w:val="21"/>
                      <w:lang w:val="en-US" w:eastAsia="zh-CN"/>
                    </w:rPr>
                    <w:t>24h/d</w:t>
                  </w:r>
                </w:p>
              </w:tc>
              <w:tc>
                <w:tcPr>
                  <w:tcW w:w="394" w:type="pct"/>
                  <w:vMerge w:val="restart"/>
                  <w:vAlign w:val="center"/>
                </w:tcPr>
                <w:p w14:paraId="3D116CCD">
                  <w:pPr>
                    <w:jc w:val="center"/>
                    <w:rPr>
                      <w:rFonts w:hint="eastAsia" w:eastAsia="宋体"/>
                      <w:color w:val="auto"/>
                      <w:szCs w:val="21"/>
                      <w:lang w:val="en-US" w:eastAsia="zh-CN"/>
                    </w:rPr>
                  </w:pPr>
                  <w:r>
                    <w:rPr>
                      <w:rFonts w:hint="eastAsia"/>
                      <w:color w:val="auto"/>
                      <w:szCs w:val="21"/>
                      <w:lang w:val="en-US" w:eastAsia="zh-CN"/>
                    </w:rPr>
                    <w:t>/</w:t>
                  </w:r>
                </w:p>
              </w:tc>
              <w:tc>
                <w:tcPr>
                  <w:tcW w:w="418" w:type="pct"/>
                  <w:vAlign w:val="center"/>
                </w:tcPr>
                <w:p w14:paraId="6A5D169D">
                  <w:pPr>
                    <w:jc w:val="center"/>
                    <w:rPr>
                      <w:rFonts w:hint="default"/>
                      <w:color w:val="auto"/>
                      <w:szCs w:val="21"/>
                      <w:lang w:val="en-US" w:eastAsia="zh-CN"/>
                    </w:rPr>
                  </w:pPr>
                  <w:r>
                    <w:rPr>
                      <w:rFonts w:hint="eastAsia"/>
                      <w:color w:val="auto"/>
                      <w:szCs w:val="21"/>
                      <w:lang w:val="en-US" w:eastAsia="zh-CN"/>
                    </w:rPr>
                    <w:t>54.5</w:t>
                  </w:r>
                </w:p>
              </w:tc>
              <w:tc>
                <w:tcPr>
                  <w:tcW w:w="419" w:type="pct"/>
                  <w:vMerge w:val="continue"/>
                  <w:vAlign w:val="center"/>
                </w:tcPr>
                <w:p w14:paraId="251180D1">
                  <w:pPr>
                    <w:jc w:val="center"/>
                    <w:rPr>
                      <w:rFonts w:hint="eastAsia"/>
                      <w:color w:val="auto"/>
                      <w:szCs w:val="21"/>
                    </w:rPr>
                  </w:pPr>
                </w:p>
              </w:tc>
            </w:tr>
            <w:tr w14:paraId="56633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0" w:type="pct"/>
                  <w:vMerge w:val="continue"/>
                  <w:vAlign w:val="center"/>
                </w:tcPr>
                <w:p w14:paraId="42958CD5">
                  <w:pPr>
                    <w:jc w:val="center"/>
                    <w:rPr>
                      <w:color w:val="auto"/>
                    </w:rPr>
                  </w:pPr>
                </w:p>
              </w:tc>
              <w:tc>
                <w:tcPr>
                  <w:tcW w:w="266" w:type="pct"/>
                  <w:vMerge w:val="continue"/>
                  <w:vAlign w:val="center"/>
                </w:tcPr>
                <w:p w14:paraId="275B4D7C">
                  <w:pPr>
                    <w:jc w:val="center"/>
                    <w:rPr>
                      <w:color w:val="auto"/>
                    </w:rPr>
                  </w:pPr>
                </w:p>
              </w:tc>
              <w:tc>
                <w:tcPr>
                  <w:tcW w:w="324" w:type="pct"/>
                  <w:vMerge w:val="continue"/>
                  <w:vAlign w:val="center"/>
                </w:tcPr>
                <w:p w14:paraId="65B05271">
                  <w:pPr>
                    <w:jc w:val="center"/>
                    <w:rPr>
                      <w:color w:val="auto"/>
                    </w:rPr>
                  </w:pPr>
                </w:p>
              </w:tc>
              <w:tc>
                <w:tcPr>
                  <w:tcW w:w="349" w:type="pct"/>
                  <w:vMerge w:val="continue"/>
                  <w:shd w:val="clear" w:color="auto" w:fill="auto"/>
                  <w:vAlign w:val="center"/>
                </w:tcPr>
                <w:p w14:paraId="3970EB57">
                  <w:pPr>
                    <w:jc w:val="center"/>
                    <w:rPr>
                      <w:color w:val="auto"/>
                    </w:rPr>
                  </w:pPr>
                </w:p>
              </w:tc>
              <w:tc>
                <w:tcPr>
                  <w:tcW w:w="333" w:type="pct"/>
                  <w:vMerge w:val="continue"/>
                  <w:vAlign w:val="center"/>
                </w:tcPr>
                <w:p w14:paraId="04D091D8">
                  <w:pPr>
                    <w:jc w:val="center"/>
                    <w:rPr>
                      <w:color w:val="auto"/>
                    </w:rPr>
                  </w:pPr>
                </w:p>
              </w:tc>
              <w:tc>
                <w:tcPr>
                  <w:tcW w:w="333" w:type="pct"/>
                  <w:vMerge w:val="continue"/>
                  <w:vAlign w:val="center"/>
                </w:tcPr>
                <w:p w14:paraId="1D1AE173">
                  <w:pPr>
                    <w:jc w:val="center"/>
                    <w:rPr>
                      <w:color w:val="auto"/>
                    </w:rPr>
                  </w:pPr>
                </w:p>
              </w:tc>
              <w:tc>
                <w:tcPr>
                  <w:tcW w:w="262" w:type="pct"/>
                  <w:vMerge w:val="continue"/>
                  <w:vAlign w:val="center"/>
                </w:tcPr>
                <w:p w14:paraId="5269E961">
                  <w:pPr>
                    <w:jc w:val="center"/>
                    <w:rPr>
                      <w:color w:val="auto"/>
                    </w:rPr>
                  </w:pPr>
                </w:p>
              </w:tc>
              <w:tc>
                <w:tcPr>
                  <w:tcW w:w="285" w:type="pct"/>
                  <w:vMerge w:val="continue"/>
                  <w:vAlign w:val="center"/>
                </w:tcPr>
                <w:p w14:paraId="32D2378E">
                  <w:pPr>
                    <w:jc w:val="center"/>
                    <w:rPr>
                      <w:color w:val="auto"/>
                    </w:rPr>
                  </w:pPr>
                </w:p>
              </w:tc>
              <w:tc>
                <w:tcPr>
                  <w:tcW w:w="270" w:type="pct"/>
                  <w:vMerge w:val="continue"/>
                  <w:vAlign w:val="center"/>
                </w:tcPr>
                <w:p w14:paraId="2920ACF3">
                  <w:pPr>
                    <w:jc w:val="center"/>
                    <w:rPr>
                      <w:color w:val="auto"/>
                    </w:rPr>
                  </w:pPr>
                </w:p>
              </w:tc>
              <w:tc>
                <w:tcPr>
                  <w:tcW w:w="277" w:type="pct"/>
                  <w:shd w:val="clear" w:color="auto" w:fill="auto"/>
                  <w:vAlign w:val="center"/>
                </w:tcPr>
                <w:p w14:paraId="54B740D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60F3AF64">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349" w:type="pct"/>
                  <w:vAlign w:val="center"/>
                </w:tcPr>
                <w:p w14:paraId="18130458">
                  <w:pPr>
                    <w:jc w:val="center"/>
                    <w:rPr>
                      <w:rFonts w:hint="default"/>
                      <w:color w:val="auto"/>
                      <w:szCs w:val="21"/>
                      <w:lang w:val="en-US" w:eastAsia="zh-CN"/>
                    </w:rPr>
                  </w:pPr>
                  <w:r>
                    <w:rPr>
                      <w:rFonts w:hint="eastAsia"/>
                      <w:color w:val="auto"/>
                      <w:szCs w:val="21"/>
                      <w:lang w:val="en-US" w:eastAsia="zh-CN"/>
                    </w:rPr>
                    <w:t>/</w:t>
                  </w:r>
                </w:p>
              </w:tc>
              <w:tc>
                <w:tcPr>
                  <w:tcW w:w="317" w:type="pct"/>
                  <w:vMerge w:val="continue"/>
                  <w:vAlign w:val="center"/>
                </w:tcPr>
                <w:p w14:paraId="602971D4">
                  <w:pPr>
                    <w:jc w:val="center"/>
                    <w:rPr>
                      <w:rFonts w:hint="eastAsia"/>
                      <w:color w:val="auto"/>
                      <w:szCs w:val="21"/>
                      <w:lang w:val="en-US" w:eastAsia="zh-CN"/>
                    </w:rPr>
                  </w:pPr>
                </w:p>
              </w:tc>
              <w:tc>
                <w:tcPr>
                  <w:tcW w:w="394" w:type="pct"/>
                  <w:vMerge w:val="continue"/>
                  <w:vAlign w:val="center"/>
                </w:tcPr>
                <w:p w14:paraId="5C6130D9">
                  <w:pPr>
                    <w:jc w:val="center"/>
                    <w:rPr>
                      <w:rFonts w:hint="eastAsia"/>
                      <w:color w:val="auto"/>
                      <w:szCs w:val="21"/>
                      <w:lang w:val="en-US" w:eastAsia="zh-CN"/>
                    </w:rPr>
                  </w:pPr>
                </w:p>
              </w:tc>
              <w:tc>
                <w:tcPr>
                  <w:tcW w:w="418" w:type="pct"/>
                  <w:vAlign w:val="center"/>
                </w:tcPr>
                <w:p w14:paraId="4036EB57">
                  <w:pPr>
                    <w:jc w:val="center"/>
                    <w:rPr>
                      <w:rFonts w:hint="default"/>
                      <w:color w:val="auto"/>
                      <w:szCs w:val="21"/>
                      <w:lang w:val="en-US" w:eastAsia="zh-CN"/>
                    </w:rPr>
                  </w:pPr>
                  <w:r>
                    <w:rPr>
                      <w:rFonts w:hint="eastAsia"/>
                      <w:color w:val="auto"/>
                      <w:szCs w:val="21"/>
                      <w:lang w:val="en-US" w:eastAsia="zh-CN"/>
                    </w:rPr>
                    <w:t>53.5</w:t>
                  </w:r>
                </w:p>
              </w:tc>
              <w:tc>
                <w:tcPr>
                  <w:tcW w:w="419" w:type="pct"/>
                  <w:vMerge w:val="continue"/>
                  <w:vAlign w:val="center"/>
                </w:tcPr>
                <w:p w14:paraId="5EEDA2CB">
                  <w:pPr>
                    <w:jc w:val="center"/>
                    <w:rPr>
                      <w:rFonts w:hint="eastAsia"/>
                      <w:color w:val="auto"/>
                      <w:szCs w:val="21"/>
                      <w:lang w:val="en-US" w:eastAsia="zh-CN"/>
                    </w:rPr>
                  </w:pPr>
                </w:p>
              </w:tc>
            </w:tr>
            <w:tr w14:paraId="6A346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0" w:type="pct"/>
                  <w:vMerge w:val="continue"/>
                  <w:vAlign w:val="center"/>
                </w:tcPr>
                <w:p w14:paraId="3E557AF5">
                  <w:pPr>
                    <w:jc w:val="center"/>
                    <w:rPr>
                      <w:rFonts w:hint="eastAsia"/>
                      <w:color w:val="auto"/>
                      <w:szCs w:val="21"/>
                      <w:lang w:val="en-US" w:eastAsia="zh-CN"/>
                    </w:rPr>
                  </w:pPr>
                </w:p>
              </w:tc>
              <w:tc>
                <w:tcPr>
                  <w:tcW w:w="266" w:type="pct"/>
                  <w:vMerge w:val="continue"/>
                  <w:vAlign w:val="center"/>
                </w:tcPr>
                <w:p w14:paraId="39B81BB3">
                  <w:pPr>
                    <w:jc w:val="center"/>
                    <w:rPr>
                      <w:rFonts w:hint="eastAsia"/>
                      <w:color w:val="auto"/>
                      <w:szCs w:val="21"/>
                      <w:lang w:val="en-US" w:eastAsia="zh-CN"/>
                    </w:rPr>
                  </w:pPr>
                </w:p>
              </w:tc>
              <w:tc>
                <w:tcPr>
                  <w:tcW w:w="324" w:type="pct"/>
                  <w:vMerge w:val="continue"/>
                  <w:vAlign w:val="center"/>
                </w:tcPr>
                <w:p w14:paraId="3F2DCB5D">
                  <w:pPr>
                    <w:jc w:val="center"/>
                    <w:rPr>
                      <w:rFonts w:hint="eastAsia"/>
                      <w:color w:val="auto"/>
                      <w:szCs w:val="21"/>
                      <w:lang w:val="en-US" w:eastAsia="zh-CN"/>
                    </w:rPr>
                  </w:pPr>
                </w:p>
              </w:tc>
              <w:tc>
                <w:tcPr>
                  <w:tcW w:w="349" w:type="pct"/>
                  <w:vMerge w:val="continue"/>
                  <w:shd w:val="clear" w:color="auto" w:fill="auto"/>
                  <w:vAlign w:val="center"/>
                </w:tcPr>
                <w:p w14:paraId="61DF4D10">
                  <w:pPr>
                    <w:jc w:val="center"/>
                    <w:rPr>
                      <w:rFonts w:hint="eastAsia"/>
                      <w:color w:val="auto"/>
                      <w:szCs w:val="21"/>
                      <w:lang w:val="en-US" w:eastAsia="zh-CN"/>
                    </w:rPr>
                  </w:pPr>
                </w:p>
              </w:tc>
              <w:tc>
                <w:tcPr>
                  <w:tcW w:w="333" w:type="pct"/>
                  <w:vMerge w:val="continue"/>
                  <w:vAlign w:val="center"/>
                </w:tcPr>
                <w:p w14:paraId="0642A964">
                  <w:pPr>
                    <w:jc w:val="center"/>
                    <w:rPr>
                      <w:rFonts w:hint="eastAsia"/>
                      <w:color w:val="auto"/>
                      <w:szCs w:val="21"/>
                      <w:lang w:val="en-US" w:eastAsia="zh-CN"/>
                    </w:rPr>
                  </w:pPr>
                </w:p>
              </w:tc>
              <w:tc>
                <w:tcPr>
                  <w:tcW w:w="333" w:type="pct"/>
                  <w:vMerge w:val="continue"/>
                  <w:vAlign w:val="center"/>
                </w:tcPr>
                <w:p w14:paraId="077B6BE8">
                  <w:pPr>
                    <w:jc w:val="center"/>
                    <w:rPr>
                      <w:rFonts w:hint="eastAsia"/>
                      <w:color w:val="auto"/>
                      <w:szCs w:val="21"/>
                      <w:lang w:val="en-US" w:eastAsia="zh-CN"/>
                    </w:rPr>
                  </w:pPr>
                </w:p>
              </w:tc>
              <w:tc>
                <w:tcPr>
                  <w:tcW w:w="262" w:type="pct"/>
                  <w:vMerge w:val="continue"/>
                  <w:vAlign w:val="center"/>
                </w:tcPr>
                <w:p w14:paraId="37745E3C">
                  <w:pPr>
                    <w:jc w:val="center"/>
                    <w:rPr>
                      <w:rFonts w:hint="eastAsia"/>
                      <w:color w:val="auto"/>
                      <w:szCs w:val="21"/>
                      <w:lang w:val="en-US" w:eastAsia="zh-CN"/>
                    </w:rPr>
                  </w:pPr>
                </w:p>
              </w:tc>
              <w:tc>
                <w:tcPr>
                  <w:tcW w:w="285" w:type="pct"/>
                  <w:vMerge w:val="continue"/>
                  <w:vAlign w:val="center"/>
                </w:tcPr>
                <w:p w14:paraId="53B0324C">
                  <w:pPr>
                    <w:jc w:val="center"/>
                    <w:rPr>
                      <w:rFonts w:hint="eastAsia"/>
                      <w:color w:val="auto"/>
                      <w:szCs w:val="21"/>
                      <w:lang w:val="en-US" w:eastAsia="zh-CN"/>
                    </w:rPr>
                  </w:pPr>
                </w:p>
              </w:tc>
              <w:tc>
                <w:tcPr>
                  <w:tcW w:w="270" w:type="pct"/>
                  <w:vMerge w:val="continue"/>
                  <w:vAlign w:val="center"/>
                </w:tcPr>
                <w:p w14:paraId="4DD8D670">
                  <w:pPr>
                    <w:jc w:val="center"/>
                    <w:rPr>
                      <w:rFonts w:hint="eastAsia"/>
                      <w:color w:val="auto"/>
                      <w:szCs w:val="21"/>
                      <w:lang w:val="en-US" w:eastAsia="zh-CN"/>
                    </w:rPr>
                  </w:pPr>
                </w:p>
              </w:tc>
              <w:tc>
                <w:tcPr>
                  <w:tcW w:w="277" w:type="pct"/>
                  <w:shd w:val="clear" w:color="auto" w:fill="auto"/>
                  <w:vAlign w:val="center"/>
                </w:tcPr>
                <w:p w14:paraId="6500009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0738A50A">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349" w:type="pct"/>
                  <w:vAlign w:val="center"/>
                </w:tcPr>
                <w:p w14:paraId="5C70B424">
                  <w:pPr>
                    <w:jc w:val="center"/>
                    <w:rPr>
                      <w:rFonts w:hint="default"/>
                      <w:color w:val="auto"/>
                      <w:szCs w:val="21"/>
                      <w:lang w:val="en-US" w:eastAsia="zh-CN"/>
                    </w:rPr>
                  </w:pPr>
                  <w:r>
                    <w:rPr>
                      <w:rFonts w:hint="eastAsia"/>
                      <w:color w:val="auto"/>
                      <w:szCs w:val="21"/>
                      <w:lang w:val="en-US" w:eastAsia="zh-CN"/>
                    </w:rPr>
                    <w:t>/</w:t>
                  </w:r>
                </w:p>
              </w:tc>
              <w:tc>
                <w:tcPr>
                  <w:tcW w:w="317" w:type="pct"/>
                  <w:vMerge w:val="continue"/>
                  <w:vAlign w:val="center"/>
                </w:tcPr>
                <w:p w14:paraId="4471E2FF">
                  <w:pPr>
                    <w:jc w:val="center"/>
                    <w:rPr>
                      <w:rFonts w:hint="eastAsia"/>
                      <w:color w:val="auto"/>
                      <w:szCs w:val="21"/>
                      <w:lang w:val="en-US" w:eastAsia="zh-CN"/>
                    </w:rPr>
                  </w:pPr>
                </w:p>
              </w:tc>
              <w:tc>
                <w:tcPr>
                  <w:tcW w:w="394" w:type="pct"/>
                  <w:vMerge w:val="continue"/>
                  <w:vAlign w:val="center"/>
                </w:tcPr>
                <w:p w14:paraId="1A862696">
                  <w:pPr>
                    <w:jc w:val="center"/>
                    <w:rPr>
                      <w:rFonts w:hint="eastAsia"/>
                      <w:color w:val="auto"/>
                      <w:szCs w:val="21"/>
                      <w:lang w:val="en-US" w:eastAsia="zh-CN"/>
                    </w:rPr>
                  </w:pPr>
                </w:p>
              </w:tc>
              <w:tc>
                <w:tcPr>
                  <w:tcW w:w="418" w:type="pct"/>
                  <w:vAlign w:val="center"/>
                </w:tcPr>
                <w:p w14:paraId="07BD97A8">
                  <w:pPr>
                    <w:jc w:val="center"/>
                    <w:rPr>
                      <w:rFonts w:hint="default"/>
                      <w:color w:val="auto"/>
                      <w:szCs w:val="21"/>
                      <w:lang w:val="en-US" w:eastAsia="zh-CN"/>
                    </w:rPr>
                  </w:pPr>
                  <w:r>
                    <w:rPr>
                      <w:rFonts w:hint="eastAsia"/>
                      <w:color w:val="auto"/>
                      <w:szCs w:val="21"/>
                      <w:lang w:val="en-US" w:eastAsia="zh-CN"/>
                    </w:rPr>
                    <w:t>54.1</w:t>
                  </w:r>
                </w:p>
              </w:tc>
              <w:tc>
                <w:tcPr>
                  <w:tcW w:w="419" w:type="pct"/>
                  <w:vMerge w:val="continue"/>
                  <w:vAlign w:val="center"/>
                </w:tcPr>
                <w:p w14:paraId="5E55B2EF">
                  <w:pPr>
                    <w:jc w:val="center"/>
                    <w:rPr>
                      <w:rFonts w:hint="eastAsia"/>
                      <w:color w:val="auto"/>
                      <w:szCs w:val="21"/>
                      <w:lang w:val="en-US" w:eastAsia="zh-CN"/>
                    </w:rPr>
                  </w:pPr>
                </w:p>
              </w:tc>
            </w:tr>
            <w:tr w14:paraId="23C50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0" w:type="pct"/>
                  <w:vMerge w:val="continue"/>
                  <w:vAlign w:val="center"/>
                </w:tcPr>
                <w:p w14:paraId="68AE5B0B">
                  <w:pPr>
                    <w:jc w:val="center"/>
                    <w:rPr>
                      <w:rFonts w:hint="eastAsia"/>
                      <w:color w:val="auto"/>
                      <w:szCs w:val="21"/>
                      <w:lang w:val="en-US" w:eastAsia="zh-CN"/>
                    </w:rPr>
                  </w:pPr>
                </w:p>
              </w:tc>
              <w:tc>
                <w:tcPr>
                  <w:tcW w:w="266" w:type="pct"/>
                  <w:vMerge w:val="continue"/>
                  <w:vAlign w:val="center"/>
                </w:tcPr>
                <w:p w14:paraId="4583F70F">
                  <w:pPr>
                    <w:jc w:val="center"/>
                    <w:rPr>
                      <w:rFonts w:hint="eastAsia"/>
                      <w:color w:val="auto"/>
                      <w:szCs w:val="21"/>
                      <w:lang w:val="en-US" w:eastAsia="zh-CN"/>
                    </w:rPr>
                  </w:pPr>
                </w:p>
              </w:tc>
              <w:tc>
                <w:tcPr>
                  <w:tcW w:w="324" w:type="pct"/>
                  <w:vMerge w:val="continue"/>
                  <w:vAlign w:val="center"/>
                </w:tcPr>
                <w:p w14:paraId="56372C3A">
                  <w:pPr>
                    <w:jc w:val="center"/>
                    <w:rPr>
                      <w:rFonts w:hint="eastAsia"/>
                      <w:color w:val="auto"/>
                      <w:szCs w:val="21"/>
                      <w:lang w:val="en-US" w:eastAsia="zh-CN"/>
                    </w:rPr>
                  </w:pPr>
                </w:p>
              </w:tc>
              <w:tc>
                <w:tcPr>
                  <w:tcW w:w="349" w:type="pct"/>
                  <w:vMerge w:val="continue"/>
                  <w:shd w:val="clear" w:color="auto" w:fill="auto"/>
                  <w:vAlign w:val="center"/>
                </w:tcPr>
                <w:p w14:paraId="198E7188">
                  <w:pPr>
                    <w:jc w:val="center"/>
                    <w:rPr>
                      <w:rFonts w:hint="eastAsia"/>
                      <w:color w:val="auto"/>
                      <w:szCs w:val="21"/>
                      <w:lang w:val="en-US" w:eastAsia="zh-CN"/>
                    </w:rPr>
                  </w:pPr>
                </w:p>
              </w:tc>
              <w:tc>
                <w:tcPr>
                  <w:tcW w:w="333" w:type="pct"/>
                  <w:vMerge w:val="continue"/>
                  <w:vAlign w:val="center"/>
                </w:tcPr>
                <w:p w14:paraId="63A21675">
                  <w:pPr>
                    <w:jc w:val="center"/>
                    <w:rPr>
                      <w:rFonts w:hint="eastAsia"/>
                      <w:color w:val="auto"/>
                      <w:szCs w:val="21"/>
                      <w:lang w:val="en-US" w:eastAsia="zh-CN"/>
                    </w:rPr>
                  </w:pPr>
                </w:p>
              </w:tc>
              <w:tc>
                <w:tcPr>
                  <w:tcW w:w="333" w:type="pct"/>
                  <w:vMerge w:val="continue"/>
                  <w:vAlign w:val="center"/>
                </w:tcPr>
                <w:p w14:paraId="56FB0A4A">
                  <w:pPr>
                    <w:jc w:val="center"/>
                    <w:rPr>
                      <w:rFonts w:hint="eastAsia"/>
                      <w:color w:val="auto"/>
                      <w:szCs w:val="21"/>
                      <w:lang w:val="en-US" w:eastAsia="zh-CN"/>
                    </w:rPr>
                  </w:pPr>
                </w:p>
              </w:tc>
              <w:tc>
                <w:tcPr>
                  <w:tcW w:w="262" w:type="pct"/>
                  <w:vMerge w:val="continue"/>
                  <w:vAlign w:val="center"/>
                </w:tcPr>
                <w:p w14:paraId="2CBCE560">
                  <w:pPr>
                    <w:jc w:val="center"/>
                    <w:rPr>
                      <w:rFonts w:hint="eastAsia"/>
                      <w:color w:val="auto"/>
                      <w:szCs w:val="21"/>
                      <w:lang w:val="en-US" w:eastAsia="zh-CN"/>
                    </w:rPr>
                  </w:pPr>
                </w:p>
              </w:tc>
              <w:tc>
                <w:tcPr>
                  <w:tcW w:w="285" w:type="pct"/>
                  <w:vMerge w:val="continue"/>
                  <w:vAlign w:val="center"/>
                </w:tcPr>
                <w:p w14:paraId="5A50DBCE">
                  <w:pPr>
                    <w:jc w:val="center"/>
                    <w:rPr>
                      <w:rFonts w:hint="eastAsia"/>
                      <w:color w:val="auto"/>
                      <w:szCs w:val="21"/>
                      <w:lang w:val="en-US" w:eastAsia="zh-CN"/>
                    </w:rPr>
                  </w:pPr>
                </w:p>
              </w:tc>
              <w:tc>
                <w:tcPr>
                  <w:tcW w:w="270" w:type="pct"/>
                  <w:vMerge w:val="continue"/>
                  <w:vAlign w:val="center"/>
                </w:tcPr>
                <w:p w14:paraId="1B1FDCE5">
                  <w:pPr>
                    <w:jc w:val="center"/>
                    <w:rPr>
                      <w:rFonts w:hint="eastAsia"/>
                      <w:color w:val="auto"/>
                      <w:szCs w:val="21"/>
                      <w:lang w:val="en-US" w:eastAsia="zh-CN"/>
                    </w:rPr>
                  </w:pPr>
                </w:p>
              </w:tc>
              <w:tc>
                <w:tcPr>
                  <w:tcW w:w="277" w:type="pct"/>
                  <w:shd w:val="clear" w:color="auto" w:fill="auto"/>
                  <w:vAlign w:val="center"/>
                </w:tcPr>
                <w:p w14:paraId="25312CA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2D4B59A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349" w:type="pct"/>
                  <w:vAlign w:val="center"/>
                </w:tcPr>
                <w:p w14:paraId="7E4AD793">
                  <w:pPr>
                    <w:jc w:val="center"/>
                    <w:rPr>
                      <w:rFonts w:hint="default"/>
                      <w:color w:val="auto"/>
                      <w:szCs w:val="21"/>
                      <w:lang w:val="en-US" w:eastAsia="zh-CN"/>
                    </w:rPr>
                  </w:pPr>
                  <w:r>
                    <w:rPr>
                      <w:rFonts w:hint="eastAsia"/>
                      <w:color w:val="auto"/>
                      <w:szCs w:val="21"/>
                      <w:lang w:val="en-US" w:eastAsia="zh-CN"/>
                    </w:rPr>
                    <w:t>/</w:t>
                  </w:r>
                </w:p>
              </w:tc>
              <w:tc>
                <w:tcPr>
                  <w:tcW w:w="317" w:type="pct"/>
                  <w:vMerge w:val="continue"/>
                  <w:vAlign w:val="center"/>
                </w:tcPr>
                <w:p w14:paraId="01F711B9">
                  <w:pPr>
                    <w:jc w:val="center"/>
                    <w:rPr>
                      <w:rFonts w:hint="eastAsia"/>
                      <w:color w:val="auto"/>
                      <w:szCs w:val="21"/>
                      <w:lang w:val="en-US" w:eastAsia="zh-CN"/>
                    </w:rPr>
                  </w:pPr>
                </w:p>
              </w:tc>
              <w:tc>
                <w:tcPr>
                  <w:tcW w:w="394" w:type="pct"/>
                  <w:vMerge w:val="continue"/>
                  <w:vAlign w:val="center"/>
                </w:tcPr>
                <w:p w14:paraId="3D1FBB23">
                  <w:pPr>
                    <w:jc w:val="center"/>
                    <w:rPr>
                      <w:rFonts w:hint="eastAsia"/>
                      <w:color w:val="auto"/>
                      <w:szCs w:val="21"/>
                      <w:lang w:val="en-US" w:eastAsia="zh-CN"/>
                    </w:rPr>
                  </w:pPr>
                </w:p>
              </w:tc>
              <w:tc>
                <w:tcPr>
                  <w:tcW w:w="418" w:type="pct"/>
                  <w:vAlign w:val="center"/>
                </w:tcPr>
                <w:p w14:paraId="5AE03D73">
                  <w:pPr>
                    <w:jc w:val="center"/>
                    <w:rPr>
                      <w:rFonts w:hint="default"/>
                      <w:color w:val="auto"/>
                      <w:szCs w:val="21"/>
                      <w:lang w:val="en-US" w:eastAsia="zh-CN"/>
                    </w:rPr>
                  </w:pPr>
                  <w:r>
                    <w:rPr>
                      <w:rFonts w:hint="eastAsia"/>
                      <w:color w:val="auto"/>
                      <w:szCs w:val="21"/>
                      <w:lang w:val="en-US" w:eastAsia="zh-CN"/>
                    </w:rPr>
                    <w:t>50.2</w:t>
                  </w:r>
                </w:p>
              </w:tc>
              <w:tc>
                <w:tcPr>
                  <w:tcW w:w="419" w:type="pct"/>
                  <w:vMerge w:val="continue"/>
                  <w:vAlign w:val="center"/>
                </w:tcPr>
                <w:p w14:paraId="5D259290">
                  <w:pPr>
                    <w:jc w:val="center"/>
                    <w:rPr>
                      <w:rFonts w:hint="eastAsia"/>
                      <w:color w:val="auto"/>
                      <w:szCs w:val="21"/>
                      <w:lang w:val="en-US" w:eastAsia="zh-CN"/>
                    </w:rPr>
                  </w:pPr>
                </w:p>
              </w:tc>
            </w:tr>
            <w:tr w14:paraId="254EB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5000" w:type="pct"/>
                  <w:gridSpan w:val="16"/>
                  <w:vAlign w:val="center"/>
                </w:tcPr>
                <w:p w14:paraId="4696A846">
                  <w:pPr>
                    <w:jc w:val="left"/>
                    <w:rPr>
                      <w:rFonts w:hint="default"/>
                      <w:color w:val="auto"/>
                      <w:szCs w:val="21"/>
                      <w:lang w:val="en-US" w:eastAsia="zh-CN"/>
                    </w:rPr>
                  </w:pPr>
                  <w:r>
                    <w:rPr>
                      <w:rFonts w:hint="eastAsia"/>
                      <w:color w:val="auto"/>
                      <w:szCs w:val="21"/>
                      <w:lang w:val="en-US" w:eastAsia="zh-CN"/>
                    </w:rPr>
                    <w:t>备注：以厂房西北角为原点（0，0，0）</w:t>
                  </w:r>
                </w:p>
              </w:tc>
            </w:tr>
          </w:tbl>
          <w:p w14:paraId="201804C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en-GB" w:eastAsia="zh-CN"/>
              </w:rPr>
            </w:pPr>
            <w:bookmarkStart w:id="186" w:name="_Toc10899"/>
            <w:bookmarkStart w:id="187" w:name="_Toc28815"/>
            <w:r>
              <w:rPr>
                <w:rFonts w:hint="default"/>
                <w:b/>
                <w:color w:val="auto"/>
                <w:kern w:val="0"/>
                <w:sz w:val="24"/>
                <w:lang w:val="en-US" w:eastAsia="zh-CN"/>
              </w:rPr>
              <w:t>4.3.2声环境影响分析</w:t>
            </w:r>
            <w:bookmarkEnd w:id="186"/>
            <w:bookmarkEnd w:id="187"/>
          </w:p>
          <w:p w14:paraId="39B0BA89">
            <w:pPr>
              <w:pStyle w:val="36"/>
              <w:spacing w:line="360" w:lineRule="auto"/>
              <w:ind w:firstLine="480"/>
              <w:rPr>
                <w:rFonts w:cs="Times New Roman"/>
                <w:color w:val="auto"/>
                <w:kern w:val="2"/>
                <w:sz w:val="24"/>
                <w:szCs w:val="24"/>
                <w:highlight w:val="none"/>
              </w:rPr>
            </w:pPr>
            <w:r>
              <w:rPr>
                <w:rFonts w:cs="Times New Roman"/>
                <w:color w:val="auto"/>
                <w:sz w:val="24"/>
                <w:szCs w:val="24"/>
                <w:highlight w:val="none"/>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7EBB43C9">
            <w:pPr>
              <w:pStyle w:val="36"/>
              <w:spacing w:line="360" w:lineRule="auto"/>
              <w:ind w:firstLine="480"/>
              <w:rPr>
                <w:rFonts w:cs="Times New Roman"/>
                <w:color w:val="auto"/>
                <w:sz w:val="24"/>
                <w:szCs w:val="24"/>
                <w:highlight w:val="none"/>
              </w:rPr>
            </w:pPr>
            <w:r>
              <w:rPr>
                <w:rFonts w:cs="Times New Roman"/>
                <w:color w:val="auto"/>
                <w:sz w:val="24"/>
                <w:szCs w:val="24"/>
                <w:highlight w:val="none"/>
              </w:rPr>
              <w:t>（1）单个室外的点声源在预测点产生的声级计算基本公式</w:t>
            </w:r>
          </w:p>
          <w:p w14:paraId="38E736BD">
            <w:pPr>
              <w:pStyle w:val="36"/>
              <w:spacing w:line="360" w:lineRule="auto"/>
              <w:ind w:firstLine="480"/>
              <w:rPr>
                <w:rFonts w:cs="Times New Roman"/>
                <w:color w:val="auto"/>
                <w:sz w:val="24"/>
                <w:szCs w:val="24"/>
                <w:highlight w:val="none"/>
              </w:rPr>
            </w:pPr>
            <w:r>
              <w:rPr>
                <w:rFonts w:cs="Times New Roman"/>
                <w:color w:val="auto"/>
                <w:sz w:val="24"/>
                <w:szCs w:val="24"/>
                <w:highlight w:val="none"/>
              </w:rPr>
              <w:t>某个声源在预测点的倍频带声压级的计算公式如下：</w:t>
            </w:r>
          </w:p>
          <w:p w14:paraId="0FF111E9">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522220" cy="716280"/>
                  <wp:effectExtent l="0" t="0" r="1143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2" r:link="rId23"/>
                          <a:stretch>
                            <a:fillRect/>
                          </a:stretch>
                        </pic:blipFill>
                        <pic:spPr>
                          <a:xfrm>
                            <a:off x="0" y="0"/>
                            <a:ext cx="2522220" cy="716280"/>
                          </a:xfrm>
                          <a:prstGeom prst="rect">
                            <a:avLst/>
                          </a:prstGeom>
                          <a:noFill/>
                          <a:ln>
                            <a:noFill/>
                          </a:ln>
                        </pic:spPr>
                      </pic:pic>
                    </a:graphicData>
                  </a:graphic>
                </wp:inline>
              </w:drawing>
            </w:r>
            <w:r>
              <w:rPr>
                <w:rFonts w:cs="Times New Roman"/>
                <w:color w:val="auto"/>
                <w:sz w:val="24"/>
                <w:szCs w:val="24"/>
                <w:highlight w:val="none"/>
              </w:rPr>
              <w:fldChar w:fldCharType="end"/>
            </w:r>
          </w:p>
          <w:p w14:paraId="008EE169">
            <w:pPr>
              <w:pStyle w:val="36"/>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27B314B7">
            <w:pPr>
              <w:pStyle w:val="36"/>
              <w:spacing w:line="360" w:lineRule="auto"/>
              <w:ind w:firstLine="452"/>
              <w:rPr>
                <w:rFonts w:cs="Times New Roman"/>
                <w:color w:val="auto"/>
                <w:sz w:val="24"/>
                <w:szCs w:val="24"/>
                <w:highlight w:val="none"/>
              </w:rPr>
            </w:pPr>
            <w:r>
              <w:rPr>
                <w:rFonts w:cs="Times New Roman"/>
                <w:color w:val="auto"/>
                <w:spacing w:val="-7"/>
                <w:sz w:val="24"/>
                <w:szCs w:val="24"/>
                <w:highlight w:val="none"/>
              </w:rPr>
              <w:t>Lw</w:t>
            </w:r>
            <w:r>
              <w:rPr>
                <w:rFonts w:cs="Times New Roman"/>
                <w:color w:val="auto"/>
                <w:spacing w:val="-14"/>
                <w:sz w:val="24"/>
                <w:szCs w:val="24"/>
                <w:highlight w:val="none"/>
              </w:rPr>
              <w:t>—</w:t>
            </w:r>
            <w:r>
              <w:rPr>
                <w:rFonts w:cs="Times New Roman"/>
                <w:color w:val="auto"/>
                <w:spacing w:val="-13"/>
                <w:sz w:val="24"/>
                <w:szCs w:val="24"/>
                <w:highlight w:val="none"/>
              </w:rPr>
              <w:t>—</w:t>
            </w:r>
            <w:r>
              <w:rPr>
                <w:rFonts w:cs="Times New Roman"/>
                <w:color w:val="auto"/>
                <w:sz w:val="24"/>
                <w:szCs w:val="24"/>
                <w:highlight w:val="none"/>
              </w:rPr>
              <w:t>倍频带声功率级</w:t>
            </w:r>
            <w:r>
              <w:rPr>
                <w:rFonts w:cs="Times New Roman"/>
                <w:color w:val="auto"/>
                <w:spacing w:val="-7"/>
                <w:sz w:val="24"/>
                <w:szCs w:val="24"/>
                <w:highlight w:val="none"/>
              </w:rPr>
              <w:t>，dB；</w:t>
            </w:r>
          </w:p>
          <w:p w14:paraId="18488F2D">
            <w:pPr>
              <w:pStyle w:val="36"/>
              <w:spacing w:line="360" w:lineRule="auto"/>
              <w:ind w:firstLine="460"/>
              <w:rPr>
                <w:rFonts w:cs="Times New Roman"/>
                <w:color w:val="auto"/>
                <w:spacing w:val="-5"/>
                <w:sz w:val="24"/>
                <w:szCs w:val="24"/>
                <w:highlight w:val="none"/>
              </w:rPr>
            </w:pPr>
            <w:r>
              <w:rPr>
                <w:rFonts w:cs="Times New Roman"/>
                <w:color w:val="auto"/>
                <w:spacing w:val="-5"/>
                <w:sz w:val="24"/>
                <w:szCs w:val="24"/>
                <w:highlight w:val="none"/>
              </w:rPr>
              <w:t>Dc</w:t>
            </w:r>
            <w:r>
              <w:rPr>
                <w:rFonts w:cs="Times New Roman"/>
                <w:color w:val="auto"/>
                <w:spacing w:val="-10"/>
                <w:sz w:val="24"/>
                <w:szCs w:val="24"/>
                <w:highlight w:val="none"/>
              </w:rPr>
              <w:t>——</w:t>
            </w:r>
            <w:r>
              <w:rPr>
                <w:rFonts w:cs="Times New Roman"/>
                <w:color w:val="auto"/>
                <w:sz w:val="24"/>
                <w:szCs w:val="24"/>
                <w:highlight w:val="none"/>
              </w:rPr>
              <w:t>指向性校正。对辐射到自由空间的全向点声源</w:t>
            </w:r>
            <w:r>
              <w:rPr>
                <w:rFonts w:cs="Times New Roman"/>
                <w:color w:val="auto"/>
                <w:spacing w:val="-5"/>
                <w:sz w:val="24"/>
                <w:szCs w:val="24"/>
                <w:highlight w:val="none"/>
              </w:rPr>
              <w:t>，Dc=0dB；</w:t>
            </w:r>
          </w:p>
          <w:p w14:paraId="77391989">
            <w:pPr>
              <w:pStyle w:val="36"/>
              <w:spacing w:line="360" w:lineRule="auto"/>
              <w:ind w:firstLine="440"/>
              <w:rPr>
                <w:rFonts w:cs="Times New Roman"/>
                <w:color w:val="auto"/>
                <w:sz w:val="24"/>
                <w:szCs w:val="24"/>
                <w:highlight w:val="none"/>
              </w:rPr>
            </w:pPr>
            <w:r>
              <w:rPr>
                <w:rFonts w:cs="Times New Roman"/>
                <w:color w:val="auto"/>
                <w:spacing w:val="-10"/>
                <w:sz w:val="24"/>
                <w:szCs w:val="24"/>
                <w:highlight w:val="none"/>
              </w:rPr>
              <w:t>A—</w:t>
            </w:r>
            <w:r>
              <w:rPr>
                <w:rFonts w:cs="Times New Roman"/>
                <w:color w:val="auto"/>
                <w:sz w:val="24"/>
                <w:szCs w:val="24"/>
                <w:highlight w:val="none"/>
              </w:rPr>
              <w:t>倍频带衰减，dB；</w:t>
            </w:r>
          </w:p>
          <w:p w14:paraId="7D3F17E4">
            <w:pPr>
              <w:pStyle w:val="36"/>
              <w:spacing w:line="360" w:lineRule="auto"/>
              <w:ind w:firstLine="460"/>
              <w:rPr>
                <w:rFonts w:cs="Times New Roman"/>
                <w:color w:val="auto"/>
                <w:sz w:val="24"/>
                <w:szCs w:val="24"/>
                <w:highlight w:val="none"/>
              </w:rPr>
            </w:pPr>
            <w:r>
              <w:rPr>
                <w:rFonts w:cs="Times New Roman"/>
                <w:color w:val="auto"/>
                <w:spacing w:val="-5"/>
                <w:position w:val="14"/>
                <w:sz w:val="24"/>
                <w:szCs w:val="24"/>
                <w:highlight w:val="none"/>
                <w:shd w:val="clear" w:color="auto" w:fill="FFFFFF"/>
              </w:rPr>
              <w:t>A</w:t>
            </w:r>
            <w:r>
              <w:rPr>
                <w:rFonts w:cs="Times New Roman"/>
                <w:color w:val="auto"/>
                <w:spacing w:val="-5"/>
                <w:position w:val="12"/>
                <w:sz w:val="24"/>
                <w:szCs w:val="24"/>
                <w:highlight w:val="none"/>
                <w:shd w:val="clear" w:color="auto" w:fill="FFFFFF"/>
              </w:rPr>
              <w:t>div</w:t>
            </w:r>
            <w:r>
              <w:rPr>
                <w:rFonts w:cs="Times New Roman"/>
                <w:color w:val="auto"/>
                <w:spacing w:val="-5"/>
                <w:position w:val="14"/>
                <w:sz w:val="24"/>
                <w:szCs w:val="24"/>
                <w:highlight w:val="none"/>
              </w:rPr>
              <w:t>—</w:t>
            </w:r>
            <w:r>
              <w:rPr>
                <w:rFonts w:cs="Times New Roman"/>
                <w:color w:val="auto"/>
                <w:sz w:val="24"/>
                <w:szCs w:val="24"/>
                <w:highlight w:val="none"/>
              </w:rPr>
              <w:t>几何发散引起的倍频带衰减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124491C5">
            <w:pPr>
              <w:pStyle w:val="36"/>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atm</w:t>
            </w:r>
            <w:r>
              <w:rPr>
                <w:rFonts w:cs="Times New Roman"/>
                <w:color w:val="auto"/>
                <w:spacing w:val="-5"/>
                <w:position w:val="1"/>
                <w:sz w:val="24"/>
                <w:szCs w:val="24"/>
                <w:highlight w:val="none"/>
              </w:rPr>
              <w:t>—</w:t>
            </w:r>
            <w:r>
              <w:rPr>
                <w:rFonts w:cs="Times New Roman"/>
                <w:color w:val="auto"/>
                <w:sz w:val="24"/>
                <w:szCs w:val="24"/>
                <w:highlight w:val="none"/>
              </w:rPr>
              <w:t>大气吸收引起的倍频带衰减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642AD8FB">
            <w:pPr>
              <w:pStyle w:val="36"/>
              <w:spacing w:line="360" w:lineRule="auto"/>
              <w:ind w:firstLine="460"/>
              <w:rPr>
                <w:rFonts w:cs="Times New Roman"/>
                <w:color w:val="auto"/>
                <w:sz w:val="24"/>
                <w:szCs w:val="24"/>
                <w:highlight w:val="none"/>
              </w:rPr>
            </w:pPr>
            <w:r>
              <w:rPr>
                <w:rFonts w:cs="Times New Roman"/>
                <w:color w:val="auto"/>
                <w:spacing w:val="-5"/>
                <w:sz w:val="24"/>
                <w:szCs w:val="24"/>
                <w:highlight w:val="none"/>
              </w:rPr>
              <w:t>A</w:t>
            </w:r>
            <w:r>
              <w:rPr>
                <w:rFonts w:cs="Times New Roman"/>
                <w:color w:val="auto"/>
                <w:spacing w:val="-5"/>
                <w:position w:val="-2"/>
                <w:sz w:val="24"/>
                <w:szCs w:val="24"/>
                <w:highlight w:val="none"/>
              </w:rPr>
              <w:t>gr</w:t>
            </w:r>
            <w:r>
              <w:rPr>
                <w:rFonts w:cs="Times New Roman"/>
                <w:color w:val="auto"/>
                <w:spacing w:val="-10"/>
                <w:sz w:val="24"/>
                <w:szCs w:val="24"/>
                <w:highlight w:val="none"/>
              </w:rPr>
              <w:t>—</w:t>
            </w:r>
            <w:r>
              <w:rPr>
                <w:rFonts w:cs="Times New Roman"/>
                <w:color w:val="auto"/>
                <w:sz w:val="24"/>
                <w:szCs w:val="24"/>
                <w:highlight w:val="none"/>
              </w:rPr>
              <w:t>地面效应引起的倍频带衰减</w:t>
            </w:r>
            <w:r>
              <w:rPr>
                <w:rFonts w:cs="Times New Roman"/>
                <w:color w:val="auto"/>
                <w:spacing w:val="-5"/>
                <w:sz w:val="24"/>
                <w:szCs w:val="24"/>
                <w:highlight w:val="none"/>
              </w:rPr>
              <w:t>，dB；</w:t>
            </w:r>
          </w:p>
          <w:p w14:paraId="36431A95">
            <w:pPr>
              <w:pStyle w:val="36"/>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bar</w:t>
            </w:r>
            <w:r>
              <w:rPr>
                <w:rFonts w:cs="Times New Roman"/>
                <w:color w:val="auto"/>
                <w:spacing w:val="-9"/>
                <w:position w:val="1"/>
                <w:sz w:val="24"/>
                <w:szCs w:val="24"/>
                <w:highlight w:val="none"/>
              </w:rPr>
              <w:t>—</w:t>
            </w:r>
            <w:r>
              <w:rPr>
                <w:rFonts w:cs="Times New Roman"/>
                <w:color w:val="auto"/>
                <w:sz w:val="24"/>
                <w:szCs w:val="24"/>
                <w:highlight w:val="none"/>
              </w:rPr>
              <w:t>声屏障引起的倍频带衰减</w:t>
            </w:r>
            <w:r>
              <w:rPr>
                <w:rFonts w:cs="Times New Roman"/>
                <w:color w:val="auto"/>
                <w:spacing w:val="-5"/>
                <w:position w:val="1"/>
                <w:sz w:val="24"/>
                <w:szCs w:val="24"/>
                <w:highlight w:val="none"/>
              </w:rPr>
              <w:t>，dB；</w:t>
            </w:r>
          </w:p>
          <w:p w14:paraId="436F6D4A">
            <w:pPr>
              <w:pStyle w:val="36"/>
              <w:spacing w:line="360" w:lineRule="auto"/>
              <w:ind w:firstLine="464"/>
              <w:rPr>
                <w:rFonts w:cs="Times New Roman"/>
                <w:color w:val="auto"/>
                <w:sz w:val="24"/>
                <w:szCs w:val="24"/>
                <w:highlight w:val="none"/>
              </w:rPr>
            </w:pPr>
            <w:r>
              <w:rPr>
                <w:rFonts w:cs="Times New Roman"/>
                <w:color w:val="auto"/>
                <w:spacing w:val="-4"/>
                <w:position w:val="14"/>
                <w:sz w:val="24"/>
                <w:szCs w:val="24"/>
                <w:highlight w:val="none"/>
                <w:shd w:val="clear" w:color="auto" w:fill="FFFFFF"/>
              </w:rPr>
              <w:t>A</w:t>
            </w:r>
            <w:r>
              <w:rPr>
                <w:rFonts w:cs="Times New Roman"/>
                <w:color w:val="auto"/>
                <w:spacing w:val="-4"/>
                <w:position w:val="12"/>
                <w:sz w:val="24"/>
                <w:szCs w:val="24"/>
                <w:highlight w:val="none"/>
                <w:shd w:val="clear" w:color="auto" w:fill="FFFFFF"/>
              </w:rPr>
              <w:t>misc</w:t>
            </w:r>
            <w:r>
              <w:rPr>
                <w:rFonts w:cs="Times New Roman"/>
                <w:color w:val="auto"/>
                <w:spacing w:val="-4"/>
                <w:position w:val="14"/>
                <w:sz w:val="24"/>
                <w:szCs w:val="24"/>
                <w:highlight w:val="none"/>
              </w:rPr>
              <w:t>—</w:t>
            </w:r>
            <w:r>
              <w:rPr>
                <w:rFonts w:cs="Times New Roman"/>
                <w:color w:val="auto"/>
                <w:sz w:val="24"/>
                <w:szCs w:val="24"/>
                <w:highlight w:val="none"/>
              </w:rPr>
              <w:t>其他多方面效应引起的倍频带衰减</w:t>
            </w:r>
            <w:r>
              <w:rPr>
                <w:rFonts w:cs="Times New Roman"/>
                <w:color w:val="auto"/>
                <w:spacing w:val="-4"/>
                <w:position w:val="14"/>
                <w:sz w:val="24"/>
                <w:szCs w:val="24"/>
                <w:highlight w:val="none"/>
              </w:rPr>
              <w:t>，dB。</w:t>
            </w:r>
          </w:p>
          <w:p w14:paraId="0664D8C5">
            <w:pPr>
              <w:pStyle w:val="36"/>
              <w:spacing w:line="360" w:lineRule="auto"/>
              <w:ind w:firstLine="480"/>
              <w:rPr>
                <w:rFonts w:cs="Times New Roman"/>
                <w:color w:val="auto"/>
                <w:sz w:val="24"/>
                <w:szCs w:val="24"/>
                <w:highlight w:val="none"/>
              </w:rPr>
            </w:pPr>
            <w:r>
              <w:rPr>
                <w:rFonts w:cs="Times New Roman"/>
                <w:color w:val="auto"/>
                <w:sz w:val="24"/>
                <w:szCs w:val="24"/>
                <w:highlight w:val="none"/>
              </w:rPr>
              <w:t>如已知靠近声源处某点的倍频带声压级Lp（r0）时，相同方向预测点位置的倍频带声压级Lp（r）的计算公式为：</w:t>
            </w:r>
          </w:p>
          <w:p w14:paraId="70E1CA29">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638300" cy="335280"/>
                  <wp:effectExtent l="0" t="0" r="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4" r:link="rId25"/>
                          <a:stretch>
                            <a:fillRect/>
                          </a:stretch>
                        </pic:blipFill>
                        <pic:spPr>
                          <a:xfrm>
                            <a:off x="0" y="0"/>
                            <a:ext cx="1638300" cy="335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135022">
            <w:pPr>
              <w:pStyle w:val="36"/>
              <w:spacing w:line="360" w:lineRule="auto"/>
              <w:ind w:firstLine="480"/>
              <w:rPr>
                <w:rFonts w:cs="Times New Roman"/>
                <w:color w:val="auto"/>
                <w:sz w:val="24"/>
                <w:szCs w:val="24"/>
                <w:highlight w:val="none"/>
              </w:rPr>
            </w:pPr>
            <w:r>
              <w:rPr>
                <w:rFonts w:cs="Times New Roman"/>
                <w:color w:val="auto"/>
                <w:sz w:val="24"/>
                <w:szCs w:val="24"/>
                <w:highlight w:val="none"/>
              </w:rPr>
              <w:t>预测点的A声级LA</w:t>
            </w:r>
            <w:r>
              <w:rPr>
                <w:rFonts w:hint="eastAsia" w:cs="Times New Roman"/>
                <w:color w:val="auto"/>
                <w:sz w:val="24"/>
                <w:szCs w:val="24"/>
                <w:highlight w:val="none"/>
                <w:lang w:eastAsia="zh-CN"/>
              </w:rPr>
              <w:t>（</w:t>
            </w:r>
            <w:r>
              <w:rPr>
                <w:rFonts w:cs="Times New Roman"/>
                <w:color w:val="auto"/>
                <w:sz w:val="24"/>
                <w:szCs w:val="24"/>
                <w:highlight w:val="none"/>
              </w:rPr>
              <w:t>r</w:t>
            </w:r>
            <w:r>
              <w:rPr>
                <w:rFonts w:hint="eastAsia" w:cs="Times New Roman"/>
                <w:color w:val="auto"/>
                <w:sz w:val="24"/>
                <w:szCs w:val="24"/>
                <w:highlight w:val="none"/>
                <w:lang w:eastAsia="zh-CN"/>
              </w:rPr>
              <w:t>）</w:t>
            </w:r>
            <w:r>
              <w:rPr>
                <w:rFonts w:cs="Times New Roman"/>
                <w:color w:val="auto"/>
                <w:sz w:val="24"/>
                <w:szCs w:val="24"/>
                <w:highlight w:val="none"/>
              </w:rPr>
              <w:t>，可利用8个倍频带的声压级按下式计算：</w:t>
            </w:r>
          </w:p>
          <w:p w14:paraId="407A7DB7">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712720" cy="571500"/>
                  <wp:effectExtent l="0" t="0" r="1143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r:link="rId27"/>
                          <a:stretch>
                            <a:fillRect/>
                          </a:stretch>
                        </pic:blipFill>
                        <pic:spPr>
                          <a:xfrm>
                            <a:off x="0" y="0"/>
                            <a:ext cx="271272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5CBECC23">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7795E301">
            <w:pPr>
              <w:pStyle w:val="36"/>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pi</w:t>
            </w:r>
            <w:r>
              <w:rPr>
                <w:rFonts w:cs="Times New Roman"/>
                <w:color w:val="auto"/>
                <w:sz w:val="24"/>
                <w:szCs w:val="24"/>
                <w:highlight w:val="none"/>
                <w:vertAlign w:val="subscript"/>
              </w:rPr>
              <w:t>(r)</w:t>
            </w:r>
            <w:r>
              <w:rPr>
                <w:rFonts w:cs="Times New Roman"/>
                <w:color w:val="auto"/>
                <w:sz w:val="24"/>
                <w:szCs w:val="24"/>
                <w:highlight w:val="none"/>
              </w:rPr>
              <w:t>----预测点（r）处，第i倍频带声压级，dB；</w:t>
            </w:r>
          </w:p>
          <w:p w14:paraId="17FADF33">
            <w:pPr>
              <w:pStyle w:val="36"/>
              <w:spacing w:line="360" w:lineRule="auto"/>
              <w:ind w:firstLine="480"/>
              <w:rPr>
                <w:rFonts w:cs="Times New Roman"/>
                <w:color w:val="auto"/>
                <w:sz w:val="24"/>
                <w:szCs w:val="24"/>
                <w:highlight w:val="none"/>
              </w:rPr>
            </w:pPr>
            <w:r>
              <w:rPr>
                <w:rFonts w:ascii="Cambria Math" w:hAnsi="Cambria Math" w:cs="Cambria Math"/>
                <w:color w:val="auto"/>
                <w:sz w:val="24"/>
                <w:szCs w:val="24"/>
                <w:highlight w:val="none"/>
              </w:rPr>
              <w:t>△</w:t>
            </w:r>
            <w:r>
              <w:rPr>
                <w:rFonts w:cs="Times New Roman"/>
                <w:color w:val="auto"/>
                <w:sz w:val="24"/>
                <w:szCs w:val="24"/>
                <w:highlight w:val="none"/>
              </w:rPr>
              <w:t>L</w:t>
            </w:r>
            <w:r>
              <w:rPr>
                <w:rFonts w:cs="Times New Roman"/>
                <w:color w:val="auto"/>
                <w:sz w:val="24"/>
                <w:szCs w:val="24"/>
                <w:highlight w:val="none"/>
                <w:vertAlign w:val="subscript"/>
              </w:rPr>
              <w:t>i—i</w:t>
            </w:r>
            <w:r>
              <w:rPr>
                <w:rFonts w:cs="Times New Roman"/>
                <w:color w:val="auto"/>
                <w:sz w:val="24"/>
                <w:szCs w:val="24"/>
                <w:highlight w:val="none"/>
              </w:rPr>
              <w:t>倍频带A计算网络修正值，dB（见导则附录B）。</w:t>
            </w:r>
          </w:p>
          <w:p w14:paraId="187AB624">
            <w:pPr>
              <w:pStyle w:val="36"/>
              <w:spacing w:line="360" w:lineRule="auto"/>
              <w:ind w:firstLine="480"/>
              <w:rPr>
                <w:rFonts w:cs="Times New Roman"/>
                <w:color w:val="auto"/>
                <w:sz w:val="24"/>
                <w:szCs w:val="24"/>
                <w:highlight w:val="none"/>
              </w:rPr>
            </w:pPr>
            <w:r>
              <w:rPr>
                <w:rFonts w:cs="Times New Roman"/>
                <w:color w:val="auto"/>
                <w:sz w:val="24"/>
                <w:szCs w:val="24"/>
                <w:highlight w:val="none"/>
              </w:rPr>
              <w:t>（2）室内声源等效室外声源声功率级计算方法</w:t>
            </w:r>
          </w:p>
          <w:p w14:paraId="54ACFDDA">
            <w:pPr>
              <w:pStyle w:val="36"/>
              <w:spacing w:line="360" w:lineRule="auto"/>
              <w:ind w:firstLine="480"/>
              <w:rPr>
                <w:rFonts w:cs="Times New Roman"/>
                <w:color w:val="auto"/>
                <w:sz w:val="24"/>
                <w:szCs w:val="24"/>
                <w:highlight w:val="none"/>
              </w:rPr>
            </w:pPr>
            <w:r>
              <w:rPr>
                <w:rFonts w:cs="Times New Roman"/>
                <w:color w:val="auto"/>
                <w:sz w:val="24"/>
                <w:szCs w:val="24"/>
                <w:highlight w:val="none"/>
              </w:rPr>
              <w:t>如下图所示，声源位于室内，室内声源可采用等效室外声源声功率级法进行计算。设靠近开口处（或窗户）室内、室外某倍频带的声压级分别为L</w:t>
            </w:r>
            <w:r>
              <w:rPr>
                <w:rFonts w:cs="Times New Roman"/>
                <w:color w:val="auto"/>
                <w:sz w:val="24"/>
                <w:szCs w:val="24"/>
                <w:highlight w:val="none"/>
                <w:vertAlign w:val="subscript"/>
              </w:rPr>
              <w:t>p1</w:t>
            </w:r>
            <w:r>
              <w:rPr>
                <w:rFonts w:cs="Times New Roman"/>
                <w:color w:val="auto"/>
                <w:sz w:val="24"/>
                <w:szCs w:val="24"/>
                <w:highlight w:val="none"/>
              </w:rPr>
              <w:t>和L</w:t>
            </w:r>
            <w:r>
              <w:rPr>
                <w:rFonts w:cs="Times New Roman"/>
                <w:color w:val="auto"/>
                <w:sz w:val="24"/>
                <w:szCs w:val="24"/>
                <w:highlight w:val="none"/>
                <w:vertAlign w:val="subscript"/>
              </w:rPr>
              <w:t>p2</w:t>
            </w:r>
            <w:r>
              <w:rPr>
                <w:rFonts w:cs="Times New Roman"/>
                <w:color w:val="auto"/>
                <w:sz w:val="24"/>
                <w:szCs w:val="24"/>
                <w:highlight w:val="none"/>
              </w:rPr>
              <w:t>。若声源所在室内声场为近似扩散声场，则室内的倍频带声压级可按下式近似求出：</w:t>
            </w:r>
          </w:p>
          <w:p w14:paraId="1EF793B0">
            <w:pPr>
              <w:pStyle w:val="61"/>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52600" cy="3810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8" r:link="rId29"/>
                          <a:stretch>
                            <a:fillRect/>
                          </a:stretch>
                        </pic:blipFill>
                        <pic:spPr>
                          <a:xfrm>
                            <a:off x="0" y="0"/>
                            <a:ext cx="1752600" cy="3810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A8B630C">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式中：TL-隔墙（或窗户）倍频带的隔声量，dB。</w:t>
            </w:r>
          </w:p>
          <w:p w14:paraId="25072185">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025140" cy="1661160"/>
                  <wp:effectExtent l="0" t="0" r="3810" b="152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0" r:link="rId31"/>
                          <a:stretch>
                            <a:fillRect/>
                          </a:stretch>
                        </pic:blipFill>
                        <pic:spPr>
                          <a:xfrm>
                            <a:off x="0" y="0"/>
                            <a:ext cx="3025140" cy="16611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5C92F88">
            <w:pPr>
              <w:pStyle w:val="36"/>
              <w:spacing w:line="360" w:lineRule="auto"/>
              <w:ind w:firstLine="480"/>
              <w:rPr>
                <w:rFonts w:cs="Times New Roman"/>
                <w:color w:val="auto"/>
                <w:sz w:val="24"/>
                <w:szCs w:val="24"/>
                <w:highlight w:val="none"/>
              </w:rPr>
            </w:pPr>
            <w:r>
              <w:rPr>
                <w:rFonts w:cs="Times New Roman"/>
                <w:color w:val="auto"/>
                <w:sz w:val="24"/>
                <w:szCs w:val="24"/>
                <w:highlight w:val="none"/>
              </w:rPr>
              <w:t>按下式计算某一室内声源靠近围护结构处产生的倍频带声压级：</w:t>
            </w:r>
          </w:p>
          <w:p w14:paraId="20879975">
            <w:pPr>
              <w:pStyle w:val="61"/>
              <w:spacing w:line="360" w:lineRule="auto"/>
              <w:ind w:firstLine="480"/>
              <w:rPr>
                <w:rFonts w:cs="Times New Roman"/>
                <w:b/>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08860" cy="571500"/>
                  <wp:effectExtent l="0" t="0" r="1524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2" r:link="rId33"/>
                          <a:stretch>
                            <a:fillRect/>
                          </a:stretch>
                        </pic:blipFill>
                        <pic:spPr>
                          <a:xfrm>
                            <a:off x="0" y="0"/>
                            <a:ext cx="230886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A63F8E">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38209FB">
            <w:pPr>
              <w:pStyle w:val="36"/>
              <w:spacing w:line="360" w:lineRule="auto"/>
              <w:ind w:firstLine="480"/>
              <w:rPr>
                <w:rFonts w:cs="Times New Roman"/>
                <w:color w:val="auto"/>
                <w:sz w:val="24"/>
                <w:szCs w:val="24"/>
                <w:highlight w:val="none"/>
              </w:rPr>
            </w:pPr>
            <w:r>
              <w:rPr>
                <w:rFonts w:cs="Times New Roman"/>
                <w:color w:val="auto"/>
                <w:sz w:val="24"/>
                <w:szCs w:val="24"/>
                <w:highlight w:val="none"/>
              </w:rPr>
              <w:t>Q----指向性因素；通常对无指向性声源，当声源放在房间中心时，Q=1；当放在一面墙的中心时，Q=2；当放在两面墙夹角处时；Q=4；当放在三面墙夹角处时，Q=8。</w:t>
            </w:r>
          </w:p>
          <w:p w14:paraId="0B9EA13D">
            <w:pPr>
              <w:pStyle w:val="36"/>
              <w:spacing w:line="360" w:lineRule="auto"/>
              <w:ind w:firstLine="480"/>
              <w:rPr>
                <w:rFonts w:cs="Times New Roman"/>
                <w:color w:val="auto"/>
                <w:sz w:val="24"/>
                <w:szCs w:val="24"/>
                <w:highlight w:val="none"/>
              </w:rPr>
            </w:pPr>
            <w:r>
              <w:rPr>
                <w:rFonts w:cs="Times New Roman"/>
                <w:color w:val="auto"/>
                <w:sz w:val="24"/>
                <w:szCs w:val="24"/>
                <w:highlight w:val="none"/>
              </w:rPr>
              <w:t>R----房间系数；R=Sα/(1-α</w:t>
            </w:r>
            <w:r>
              <w:rPr>
                <w:rFonts w:hint="eastAsia" w:cs="Times New Roman"/>
                <w:color w:val="auto"/>
                <w:sz w:val="24"/>
                <w:szCs w:val="24"/>
                <w:highlight w:val="none"/>
                <w:lang w:eastAsia="zh-CN"/>
              </w:rPr>
              <w:t>）</w:t>
            </w:r>
            <w:r>
              <w:rPr>
                <w:rFonts w:cs="Times New Roman"/>
                <w:color w:val="auto"/>
                <w:sz w:val="24"/>
                <w:szCs w:val="24"/>
                <w:highlight w:val="none"/>
              </w:rPr>
              <w:t>，S为房间内表面面积，m</w:t>
            </w:r>
            <w:r>
              <w:rPr>
                <w:rFonts w:cs="Times New Roman"/>
                <w:color w:val="auto"/>
                <w:sz w:val="24"/>
                <w:szCs w:val="24"/>
                <w:highlight w:val="none"/>
                <w:vertAlign w:val="superscript"/>
              </w:rPr>
              <w:t>2</w:t>
            </w:r>
            <w:r>
              <w:rPr>
                <w:rFonts w:cs="Times New Roman"/>
                <w:color w:val="auto"/>
                <w:sz w:val="24"/>
                <w:szCs w:val="24"/>
                <w:highlight w:val="none"/>
              </w:rPr>
              <w:t>；α为平均吸声系数。</w:t>
            </w:r>
          </w:p>
          <w:p w14:paraId="112A78C5">
            <w:pPr>
              <w:pStyle w:val="36"/>
              <w:spacing w:line="360" w:lineRule="auto"/>
              <w:ind w:firstLine="480"/>
              <w:rPr>
                <w:rFonts w:cs="Times New Roman"/>
                <w:color w:val="auto"/>
                <w:sz w:val="24"/>
                <w:szCs w:val="24"/>
                <w:highlight w:val="none"/>
              </w:rPr>
            </w:pPr>
            <w:r>
              <w:rPr>
                <w:rFonts w:cs="Times New Roman"/>
                <w:color w:val="auto"/>
                <w:sz w:val="24"/>
                <w:szCs w:val="24"/>
                <w:highlight w:val="none"/>
              </w:rPr>
              <w:t>r-----声源到靠近围护结构某点处的距离，m。</w:t>
            </w:r>
          </w:p>
          <w:p w14:paraId="4AEDD3EA">
            <w:pPr>
              <w:pStyle w:val="36"/>
              <w:spacing w:line="360" w:lineRule="auto"/>
              <w:ind w:firstLine="480"/>
              <w:rPr>
                <w:rFonts w:cs="Times New Roman"/>
                <w:color w:val="auto"/>
                <w:sz w:val="24"/>
                <w:szCs w:val="24"/>
                <w:highlight w:val="none"/>
              </w:rPr>
            </w:pPr>
            <w:r>
              <w:rPr>
                <w:rFonts w:hint="eastAsia"/>
                <w:color w:val="auto"/>
                <w:sz w:val="24"/>
                <w:szCs w:val="24"/>
                <w:highlight w:val="none"/>
              </w:rPr>
              <w:t>②</w:t>
            </w:r>
            <w:r>
              <w:rPr>
                <w:rFonts w:cs="Times New Roman"/>
                <w:color w:val="auto"/>
                <w:sz w:val="24"/>
                <w:szCs w:val="24"/>
                <w:highlight w:val="none"/>
              </w:rPr>
              <w:t>计算出所有室内声源在靠近围护结构处产生的i倍频带叠加声压级：</w:t>
            </w:r>
          </w:p>
          <w:p w14:paraId="158BF057">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103120" cy="670560"/>
                  <wp:effectExtent l="0" t="0" r="1143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4" r:link="rId35"/>
                          <a:stretch>
                            <a:fillRect/>
                          </a:stretch>
                        </pic:blipFill>
                        <pic:spPr>
                          <a:xfrm>
                            <a:off x="0" y="0"/>
                            <a:ext cx="2103120" cy="6705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D59C02C">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4FDAA67">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p1i(T)-</w:t>
            </w:r>
            <w:r>
              <w:rPr>
                <w:rFonts w:cs="Times New Roman"/>
                <w:color w:val="auto"/>
                <w:sz w:val="24"/>
                <w:szCs w:val="24"/>
                <w:highlight w:val="none"/>
              </w:rPr>
              <w:t>--靠近围护结构处室内N个声源i倍频带的叠加声压级，dB；</w:t>
            </w:r>
          </w:p>
          <w:p w14:paraId="0D64FD58">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p1ij</w:t>
            </w:r>
            <w:r>
              <w:rPr>
                <w:rFonts w:cs="Times New Roman"/>
                <w:color w:val="auto"/>
                <w:sz w:val="24"/>
                <w:szCs w:val="24"/>
                <w:highlight w:val="none"/>
              </w:rPr>
              <w:t>--</w:t>
            </w:r>
            <w:r>
              <w:rPr>
                <w:rFonts w:hint="eastAsia" w:cs="Times New Roman"/>
                <w:color w:val="auto"/>
                <w:sz w:val="24"/>
                <w:szCs w:val="24"/>
                <w:highlight w:val="none"/>
                <w:lang w:eastAsia="zh-CN"/>
              </w:rPr>
              <w:t>－</w:t>
            </w:r>
            <w:r>
              <w:rPr>
                <w:rFonts w:cs="Times New Roman"/>
                <w:color w:val="auto"/>
                <w:sz w:val="24"/>
                <w:szCs w:val="24"/>
                <w:highlight w:val="none"/>
              </w:rPr>
              <w:t>室内j声源i倍频带的声压级，dB；</w:t>
            </w:r>
          </w:p>
          <w:p w14:paraId="0ACB57DA">
            <w:pPr>
              <w:pStyle w:val="36"/>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hint="eastAsia" w:cs="Times New Roman"/>
                <w:color w:val="auto"/>
                <w:sz w:val="24"/>
                <w:szCs w:val="24"/>
                <w:highlight w:val="none"/>
                <w:lang w:eastAsia="zh-CN"/>
              </w:rPr>
              <w:t>－</w:t>
            </w:r>
            <w:r>
              <w:rPr>
                <w:rFonts w:cs="Times New Roman"/>
                <w:color w:val="auto"/>
                <w:sz w:val="24"/>
                <w:szCs w:val="24"/>
                <w:highlight w:val="none"/>
              </w:rPr>
              <w:t>室内声源总数。</w:t>
            </w:r>
          </w:p>
          <w:p w14:paraId="168A8A5C">
            <w:pPr>
              <w:pStyle w:val="36"/>
              <w:spacing w:line="360" w:lineRule="auto"/>
              <w:ind w:firstLine="480"/>
              <w:rPr>
                <w:rFonts w:cs="Times New Roman"/>
                <w:color w:val="auto"/>
                <w:sz w:val="24"/>
                <w:szCs w:val="24"/>
                <w:highlight w:val="none"/>
              </w:rPr>
            </w:pPr>
            <w:r>
              <w:rPr>
                <w:rFonts w:hint="eastAsia"/>
                <w:color w:val="auto"/>
                <w:sz w:val="24"/>
                <w:szCs w:val="24"/>
                <w:highlight w:val="none"/>
              </w:rPr>
              <w:t>③</w:t>
            </w:r>
            <w:r>
              <w:rPr>
                <w:rFonts w:cs="Times New Roman"/>
                <w:color w:val="auto"/>
                <w:sz w:val="24"/>
                <w:szCs w:val="24"/>
                <w:highlight w:val="none"/>
              </w:rPr>
              <w:t>计算出室外靠近围护结构处的声压级：</w:t>
            </w:r>
          </w:p>
          <w:p w14:paraId="40AD0852">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423160" cy="3657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r:link="rId37"/>
                          <a:stretch>
                            <a:fillRect/>
                          </a:stretch>
                        </pic:blipFill>
                        <pic:spPr>
                          <a:xfrm>
                            <a:off x="0" y="0"/>
                            <a:ext cx="2423160" cy="3657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A79B277">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3194474C">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p2i(T)</w:t>
            </w:r>
            <w:r>
              <w:rPr>
                <w:rFonts w:cs="Times New Roman"/>
                <w:color w:val="auto"/>
                <w:sz w:val="24"/>
                <w:szCs w:val="24"/>
                <w:highlight w:val="none"/>
              </w:rPr>
              <w:t>---靠近围护结构处室内N个声源i倍频带的叠加声压级，dB；</w:t>
            </w:r>
          </w:p>
          <w:p w14:paraId="5B8A1EC0">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Li</w:t>
            </w:r>
            <w:r>
              <w:rPr>
                <w:rFonts w:cs="Times New Roman"/>
                <w:color w:val="auto"/>
                <w:sz w:val="24"/>
                <w:szCs w:val="24"/>
                <w:highlight w:val="none"/>
              </w:rPr>
              <w:t>---围护结构i倍频带的隔声量，dB。</w:t>
            </w:r>
          </w:p>
          <w:p w14:paraId="0D8EB288">
            <w:pPr>
              <w:pStyle w:val="36"/>
              <w:spacing w:line="360" w:lineRule="auto"/>
              <w:ind w:firstLine="480"/>
              <w:rPr>
                <w:rFonts w:cs="Times New Roman"/>
                <w:color w:val="auto"/>
                <w:sz w:val="24"/>
                <w:szCs w:val="24"/>
                <w:highlight w:val="none"/>
              </w:rPr>
            </w:pPr>
            <w:r>
              <w:rPr>
                <w:rFonts w:hint="eastAsia"/>
                <w:color w:val="auto"/>
                <w:sz w:val="24"/>
                <w:szCs w:val="24"/>
                <w:highlight w:val="none"/>
              </w:rPr>
              <w:t>④</w:t>
            </w:r>
            <w:r>
              <w:rPr>
                <w:rFonts w:cs="Times New Roman"/>
                <w:color w:val="auto"/>
                <w:sz w:val="24"/>
                <w:szCs w:val="24"/>
                <w:highlight w:val="none"/>
              </w:rPr>
              <w:t>将室外声源的声压级和透声面积换算成等效的室外声源，计算出中心位置位于透声面积（S）处的等效声源的倍频带的声功率级：</w:t>
            </w:r>
          </w:p>
          <w:p w14:paraId="6247D729">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98320" cy="616585"/>
                  <wp:effectExtent l="0" t="0" r="11430" b="1206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8" r:link="rId39"/>
                          <a:stretch>
                            <a:fillRect/>
                          </a:stretch>
                        </pic:blipFill>
                        <pic:spPr>
                          <a:xfrm>
                            <a:off x="0" y="0"/>
                            <a:ext cx="1798320" cy="616585"/>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9ECE58D">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式中：S为透声面积，㎡。</w:t>
            </w:r>
          </w:p>
          <w:p w14:paraId="3E819AFC">
            <w:pPr>
              <w:pStyle w:val="36"/>
              <w:spacing w:line="360" w:lineRule="auto"/>
              <w:ind w:firstLine="480"/>
              <w:rPr>
                <w:rFonts w:cs="Times New Roman"/>
                <w:color w:val="auto"/>
                <w:sz w:val="24"/>
                <w:szCs w:val="24"/>
                <w:highlight w:val="none"/>
              </w:rPr>
            </w:pPr>
            <w:r>
              <w:rPr>
                <w:rFonts w:hint="eastAsia"/>
                <w:color w:val="auto"/>
                <w:sz w:val="24"/>
                <w:szCs w:val="24"/>
                <w:highlight w:val="none"/>
              </w:rPr>
              <w:t>⑤</w:t>
            </w:r>
            <w:r>
              <w:rPr>
                <w:rFonts w:cs="Times New Roman"/>
                <w:color w:val="auto"/>
                <w:sz w:val="24"/>
                <w:szCs w:val="24"/>
                <w:highlight w:val="none"/>
              </w:rPr>
              <w:t>等效室外声源的位置为围护结构的位置，其倍频带声功率级为Lw，由此按室外声源</w:t>
            </w:r>
            <w:r>
              <w:rPr>
                <w:rFonts w:cs="Times New Roman"/>
                <w:color w:val="auto"/>
                <w:sz w:val="24"/>
                <w:szCs w:val="24"/>
                <w:highlight w:val="none"/>
                <w:shd w:val="clear" w:color="auto" w:fill="FFFFFF"/>
              </w:rPr>
              <w:t>方法</w:t>
            </w:r>
            <w:r>
              <w:rPr>
                <w:rFonts w:cs="Times New Roman"/>
                <w:color w:val="auto"/>
                <w:sz w:val="24"/>
                <w:szCs w:val="24"/>
                <w:highlight w:val="none"/>
              </w:rPr>
              <w:t>计算等效室外声源在预测点产生的声级。</w:t>
            </w:r>
          </w:p>
          <w:p w14:paraId="27B1963A">
            <w:pPr>
              <w:pStyle w:val="36"/>
              <w:spacing w:line="360" w:lineRule="auto"/>
              <w:ind w:firstLine="480"/>
              <w:rPr>
                <w:rFonts w:cs="Times New Roman"/>
                <w:color w:val="auto"/>
                <w:sz w:val="24"/>
                <w:szCs w:val="24"/>
                <w:highlight w:val="none"/>
              </w:rPr>
            </w:pPr>
            <w:r>
              <w:rPr>
                <w:rFonts w:cs="Times New Roman"/>
                <w:color w:val="auto"/>
                <w:sz w:val="24"/>
                <w:szCs w:val="24"/>
                <w:highlight w:val="none"/>
              </w:rPr>
              <w:t>（3）噪声贡献值计算</w:t>
            </w:r>
          </w:p>
          <w:p w14:paraId="6C2B5925">
            <w:pPr>
              <w:pStyle w:val="36"/>
              <w:spacing w:line="360" w:lineRule="auto"/>
              <w:ind w:firstLine="480"/>
              <w:rPr>
                <w:rFonts w:cs="Times New Roman"/>
                <w:color w:val="auto"/>
                <w:sz w:val="24"/>
                <w:szCs w:val="24"/>
                <w:highlight w:val="none"/>
              </w:rPr>
            </w:pPr>
            <w:r>
              <w:rPr>
                <w:rFonts w:cs="Times New Roman"/>
                <w:color w:val="auto"/>
                <w:sz w:val="24"/>
                <w:szCs w:val="24"/>
                <w:highlight w:val="none"/>
              </w:rPr>
              <w:t>设第i个室外声源在预测点产生的A声级为L</w:t>
            </w:r>
            <w:r>
              <w:rPr>
                <w:rFonts w:cs="Times New Roman"/>
                <w:color w:val="auto"/>
                <w:sz w:val="24"/>
                <w:szCs w:val="24"/>
                <w:highlight w:val="none"/>
                <w:vertAlign w:val="subscript"/>
              </w:rPr>
              <w:t>Ai</w:t>
            </w:r>
            <w:r>
              <w:rPr>
                <w:rFonts w:cs="Times New Roman"/>
                <w:color w:val="auto"/>
                <w:sz w:val="24"/>
                <w:szCs w:val="24"/>
                <w:highlight w:val="none"/>
              </w:rPr>
              <w:t>，在T时间内该声源工作时间为t</w:t>
            </w:r>
            <w:r>
              <w:rPr>
                <w:rFonts w:cs="Times New Roman"/>
                <w:color w:val="auto"/>
                <w:sz w:val="24"/>
                <w:szCs w:val="24"/>
                <w:highlight w:val="none"/>
                <w:vertAlign w:val="subscript"/>
              </w:rPr>
              <w:t>i</w:t>
            </w:r>
            <w:r>
              <w:rPr>
                <w:rFonts w:cs="Times New Roman"/>
                <w:color w:val="auto"/>
                <w:sz w:val="24"/>
                <w:szCs w:val="24"/>
                <w:highlight w:val="none"/>
              </w:rPr>
              <w:t>；第j个等效室外声源在预测点产生的A声级为</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Aj</w:t>
            </w:r>
            <w:r>
              <w:rPr>
                <w:rFonts w:cs="Times New Roman"/>
                <w:color w:val="auto"/>
                <w:sz w:val="24"/>
                <w:szCs w:val="24"/>
                <w:highlight w:val="none"/>
              </w:rPr>
              <w:t>，在拟建工程声源对预测点产生的贡献值（</w:t>
            </w:r>
            <w:r>
              <w:rPr>
                <w:rFonts w:cs="Times New Roman"/>
                <w:color w:val="auto"/>
                <w:sz w:val="24"/>
                <w:szCs w:val="24"/>
                <w:highlight w:val="none"/>
                <w:shd w:val="clear" w:color="auto" w:fill="FFFFFF"/>
              </w:rPr>
              <w:t>Le</w:t>
            </w:r>
            <w:r>
              <w:rPr>
                <w:rFonts w:cs="Times New Roman"/>
                <w:color w:val="auto"/>
                <w:sz w:val="24"/>
                <w:szCs w:val="24"/>
                <w:highlight w:val="none"/>
                <w:shd w:val="clear" w:color="auto" w:fill="FFFFFF"/>
                <w:vertAlign w:val="subscript"/>
              </w:rPr>
              <w:t>qg</w:t>
            </w:r>
            <w:r>
              <w:rPr>
                <w:rFonts w:cs="Times New Roman"/>
                <w:color w:val="auto"/>
                <w:sz w:val="24"/>
                <w:szCs w:val="24"/>
                <w:highlight w:val="none"/>
                <w:vertAlign w:val="subscript"/>
              </w:rPr>
              <w:t>）</w:t>
            </w:r>
            <w:r>
              <w:rPr>
                <w:rFonts w:cs="Times New Roman"/>
                <w:color w:val="auto"/>
                <w:sz w:val="24"/>
                <w:szCs w:val="24"/>
                <w:highlight w:val="none"/>
              </w:rPr>
              <w:t>为：</w:t>
            </w:r>
          </w:p>
          <w:p w14:paraId="360E193E">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268980" cy="822325"/>
                  <wp:effectExtent l="0" t="0" r="7620" b="1587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40" r:link="rId41"/>
                          <a:stretch>
                            <a:fillRect/>
                          </a:stretch>
                        </pic:blipFill>
                        <pic:spPr>
                          <a:xfrm>
                            <a:off x="0" y="0"/>
                            <a:ext cx="3268980" cy="822325"/>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3649794">
            <w:pPr>
              <w:pStyle w:val="36"/>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0A121152">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j</w:t>
            </w:r>
            <w:r>
              <w:rPr>
                <w:rFonts w:cs="Times New Roman"/>
                <w:color w:val="auto"/>
                <w:sz w:val="24"/>
                <w:szCs w:val="24"/>
                <w:highlight w:val="none"/>
              </w:rPr>
              <w:t>---在T时间内j声源工作时间，s；</w:t>
            </w:r>
          </w:p>
          <w:p w14:paraId="44C4CE2F">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i</w:t>
            </w:r>
            <w:r>
              <w:rPr>
                <w:rFonts w:cs="Times New Roman"/>
                <w:color w:val="auto"/>
                <w:sz w:val="24"/>
                <w:szCs w:val="24"/>
                <w:highlight w:val="none"/>
              </w:rPr>
              <w:t>---在T时间内i声源工作时间，s；</w:t>
            </w:r>
          </w:p>
          <w:p w14:paraId="269357FC">
            <w:pPr>
              <w:pStyle w:val="36"/>
              <w:spacing w:line="360" w:lineRule="auto"/>
              <w:ind w:firstLine="480"/>
              <w:rPr>
                <w:rFonts w:cs="Times New Roman"/>
                <w:color w:val="auto"/>
                <w:sz w:val="24"/>
                <w:szCs w:val="24"/>
                <w:highlight w:val="none"/>
              </w:rPr>
            </w:pPr>
            <w:r>
              <w:rPr>
                <w:rFonts w:cs="Times New Roman"/>
                <w:color w:val="auto"/>
                <w:sz w:val="24"/>
                <w:szCs w:val="24"/>
                <w:highlight w:val="none"/>
              </w:rPr>
              <w:t>T---用于计算等效声级的时间，s；</w:t>
            </w:r>
          </w:p>
          <w:p w14:paraId="2240FC8D">
            <w:pPr>
              <w:pStyle w:val="36"/>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hint="eastAsia" w:cs="Times New Roman"/>
                <w:color w:val="auto"/>
                <w:sz w:val="24"/>
                <w:szCs w:val="24"/>
                <w:highlight w:val="none"/>
                <w:lang w:eastAsia="zh-CN"/>
              </w:rPr>
              <w:t>－</w:t>
            </w:r>
            <w:r>
              <w:rPr>
                <w:rFonts w:cs="Times New Roman"/>
                <w:color w:val="auto"/>
                <w:sz w:val="24"/>
                <w:szCs w:val="24"/>
                <w:highlight w:val="none"/>
              </w:rPr>
              <w:t>室外声源个数；</w:t>
            </w:r>
          </w:p>
          <w:p w14:paraId="5EDE2D62">
            <w:pPr>
              <w:pStyle w:val="36"/>
              <w:spacing w:line="360" w:lineRule="auto"/>
              <w:ind w:firstLine="480"/>
              <w:rPr>
                <w:rFonts w:cs="Times New Roman"/>
                <w:color w:val="auto"/>
                <w:sz w:val="24"/>
                <w:szCs w:val="24"/>
                <w:highlight w:val="none"/>
              </w:rPr>
            </w:pPr>
            <w:r>
              <w:rPr>
                <w:rFonts w:cs="Times New Roman"/>
                <w:color w:val="auto"/>
                <w:sz w:val="24"/>
                <w:szCs w:val="24"/>
                <w:highlight w:val="none"/>
              </w:rPr>
              <w:t>M--</w:t>
            </w:r>
            <w:r>
              <w:rPr>
                <w:rFonts w:hint="eastAsia" w:cs="Times New Roman"/>
                <w:color w:val="auto"/>
                <w:sz w:val="24"/>
                <w:szCs w:val="24"/>
                <w:highlight w:val="none"/>
                <w:lang w:eastAsia="zh-CN"/>
              </w:rPr>
              <w:t>－</w:t>
            </w:r>
            <w:r>
              <w:rPr>
                <w:rFonts w:cs="Times New Roman"/>
                <w:color w:val="auto"/>
                <w:sz w:val="24"/>
                <w:szCs w:val="24"/>
                <w:highlight w:val="none"/>
              </w:rPr>
              <w:t>室内声源个数。</w:t>
            </w:r>
          </w:p>
          <w:p w14:paraId="44410B1F">
            <w:pPr>
              <w:pStyle w:val="36"/>
              <w:spacing w:line="360" w:lineRule="auto"/>
              <w:ind w:firstLine="480"/>
              <w:rPr>
                <w:rFonts w:cs="Times New Roman"/>
                <w:color w:val="auto"/>
                <w:sz w:val="24"/>
                <w:szCs w:val="24"/>
                <w:highlight w:val="none"/>
              </w:rPr>
            </w:pPr>
            <w:r>
              <w:rPr>
                <w:rFonts w:cs="Times New Roman"/>
                <w:color w:val="auto"/>
                <w:sz w:val="24"/>
                <w:szCs w:val="24"/>
                <w:highlight w:val="none"/>
              </w:rPr>
              <w:t>（4）预测值计算</w:t>
            </w:r>
          </w:p>
          <w:p w14:paraId="662FDF8E">
            <w:pPr>
              <w:pStyle w:val="36"/>
              <w:spacing w:line="360" w:lineRule="auto"/>
              <w:ind w:firstLine="480"/>
              <w:rPr>
                <w:rFonts w:cs="Times New Roman"/>
                <w:color w:val="auto"/>
                <w:sz w:val="24"/>
                <w:szCs w:val="24"/>
                <w:highlight w:val="none"/>
              </w:rPr>
            </w:pPr>
            <w:r>
              <w:rPr>
                <w:rFonts w:cs="Times New Roman"/>
                <w:color w:val="auto"/>
                <w:sz w:val="24"/>
                <w:szCs w:val="24"/>
                <w:highlight w:val="none"/>
              </w:rPr>
              <w:t>预测点的预测等效声级（</w:t>
            </w:r>
            <w:r>
              <w:rPr>
                <w:rFonts w:cs="Times New Roman"/>
                <w:color w:val="auto"/>
                <w:sz w:val="24"/>
                <w:szCs w:val="24"/>
                <w:highlight w:val="none"/>
                <w:shd w:val="clear" w:color="auto" w:fill="FFFFFF"/>
              </w:rPr>
              <w:t>Leq</w:t>
            </w:r>
            <w:r>
              <w:rPr>
                <w:rFonts w:cs="Times New Roman"/>
                <w:color w:val="auto"/>
                <w:sz w:val="24"/>
                <w:szCs w:val="24"/>
                <w:highlight w:val="none"/>
              </w:rPr>
              <w:t>）计算公式为：</w:t>
            </w:r>
          </w:p>
          <w:p w14:paraId="1F8F2F38">
            <w:pPr>
              <w:pStyle w:val="61"/>
              <w:spacing w:line="360" w:lineRule="auto"/>
              <w:ind w:firstLine="480"/>
              <w:rPr>
                <w:rFonts w:cs="Times New Roman"/>
                <w:color w:val="auto"/>
                <w:spacing w:val="-10"/>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54580" cy="766445"/>
                  <wp:effectExtent l="0" t="0" r="7620" b="1460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42" r:link="rId43"/>
                          <a:stretch>
                            <a:fillRect/>
                          </a:stretch>
                        </pic:blipFill>
                        <pic:spPr>
                          <a:xfrm>
                            <a:off x="0" y="0"/>
                            <a:ext cx="2354580" cy="766445"/>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21B1368E">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eqg</w:t>
            </w:r>
            <w:r>
              <w:rPr>
                <w:rFonts w:cs="Times New Roman"/>
                <w:color w:val="auto"/>
                <w:sz w:val="24"/>
                <w:szCs w:val="24"/>
                <w:highlight w:val="none"/>
              </w:rPr>
              <w:t>---建设项目声源在预测点的等效声级贡献值，dB；</w:t>
            </w:r>
          </w:p>
          <w:p w14:paraId="106AC5BC">
            <w:pPr>
              <w:pStyle w:val="36"/>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eqb</w:t>
            </w:r>
            <w:r>
              <w:rPr>
                <w:rFonts w:cs="Times New Roman"/>
                <w:color w:val="auto"/>
                <w:sz w:val="24"/>
                <w:szCs w:val="24"/>
                <w:highlight w:val="none"/>
              </w:rPr>
              <w:t>---预测点的背景值，dB。</w:t>
            </w:r>
          </w:p>
          <w:p w14:paraId="5FA53CA4">
            <w:pPr>
              <w:pStyle w:val="36"/>
              <w:spacing w:line="360" w:lineRule="auto"/>
              <w:ind w:firstLine="480"/>
              <w:rPr>
                <w:rFonts w:cs="Times New Roman"/>
                <w:color w:val="auto"/>
                <w:sz w:val="24"/>
                <w:szCs w:val="24"/>
                <w:highlight w:val="none"/>
              </w:rPr>
            </w:pPr>
            <w:r>
              <w:rPr>
                <w:rFonts w:cs="Times New Roman"/>
                <w:color w:val="auto"/>
                <w:sz w:val="24"/>
                <w:szCs w:val="24"/>
                <w:highlight w:val="none"/>
              </w:rPr>
              <w:t>（5）隔声量的确定</w:t>
            </w:r>
          </w:p>
          <w:p w14:paraId="4275560D">
            <w:pPr>
              <w:pStyle w:val="36"/>
              <w:spacing w:line="360" w:lineRule="auto"/>
              <w:ind w:firstLine="480"/>
              <w:rPr>
                <w:rFonts w:cs="Times New Roman"/>
                <w:color w:val="auto"/>
                <w:sz w:val="24"/>
                <w:szCs w:val="24"/>
                <w:highlight w:val="none"/>
              </w:rPr>
            </w:pPr>
            <w:r>
              <w:rPr>
                <w:rFonts w:cs="Times New Roman"/>
                <w:color w:val="auto"/>
                <w:sz w:val="24"/>
                <w:szCs w:val="24"/>
                <w:highlight w:val="none"/>
              </w:rPr>
              <w:t>项目主要噪声设备大多设置于各建构筑物内，设备噪声经</w:t>
            </w:r>
            <w:r>
              <w:rPr>
                <w:rFonts w:hint="eastAsia" w:cs="Times New Roman"/>
                <w:color w:val="auto"/>
                <w:sz w:val="24"/>
                <w:szCs w:val="24"/>
                <w:highlight w:val="none"/>
                <w:lang w:eastAsia="zh-CN"/>
              </w:rPr>
              <w:t>减振</w:t>
            </w:r>
            <w:r>
              <w:rPr>
                <w:rFonts w:cs="Times New Roman"/>
                <w:color w:val="auto"/>
                <w:sz w:val="24"/>
                <w:szCs w:val="24"/>
                <w:highlight w:val="none"/>
              </w:rPr>
              <w:t>、隔声后，可削减</w:t>
            </w:r>
            <w:r>
              <w:rPr>
                <w:rFonts w:hint="eastAsia" w:cs="Times New Roman"/>
                <w:color w:val="auto"/>
                <w:sz w:val="24"/>
                <w:szCs w:val="24"/>
                <w:highlight w:val="none"/>
                <w:lang w:val="en-US" w:eastAsia="zh-CN"/>
              </w:rPr>
              <w:t>15</w:t>
            </w:r>
            <w:r>
              <w:rPr>
                <w:rFonts w:cs="Times New Roman"/>
                <w:color w:val="auto"/>
                <w:sz w:val="24"/>
                <w:szCs w:val="24"/>
                <w:highlight w:val="none"/>
              </w:rPr>
              <w:t>dB（A）以上。</w:t>
            </w:r>
          </w:p>
          <w:p w14:paraId="2F6FC8BA">
            <w:pPr>
              <w:pStyle w:val="36"/>
              <w:spacing w:line="360" w:lineRule="auto"/>
              <w:ind w:firstLine="480"/>
              <w:rPr>
                <w:rFonts w:cs="Times New Roman"/>
                <w:color w:val="auto"/>
                <w:sz w:val="24"/>
                <w:szCs w:val="24"/>
                <w:highlight w:val="none"/>
              </w:rPr>
            </w:pPr>
            <w:r>
              <w:rPr>
                <w:rFonts w:cs="Times New Roman"/>
                <w:color w:val="auto"/>
                <w:sz w:val="24"/>
                <w:szCs w:val="24"/>
                <w:highlight w:val="none"/>
              </w:rPr>
              <w:t>（6）预测结果</w:t>
            </w:r>
          </w:p>
          <w:p w14:paraId="33A1DEBD">
            <w:pPr>
              <w:spacing w:line="360" w:lineRule="auto"/>
              <w:ind w:firstLine="480" w:firstLineChars="200"/>
              <w:jc w:val="left"/>
              <w:rPr>
                <w:rFonts w:hint="default" w:ascii="Times New Roman" w:hAnsi="Times New Roman" w:eastAsia="宋体" w:cs="Times New Roman"/>
                <w:b/>
                <w:bCs/>
                <w:color w:val="auto"/>
                <w:sz w:val="24"/>
                <w:szCs w:val="24"/>
              </w:rPr>
            </w:pPr>
            <w:r>
              <w:rPr>
                <w:rFonts w:hint="eastAsia"/>
                <w:color w:val="auto"/>
                <w:sz w:val="24"/>
                <w:lang w:val="en-US" w:eastAsia="zh-CN"/>
              </w:rPr>
              <w:t>项目运营期实行两班制，每班12h，因此本评价预测昼间、夜间噪声值，</w:t>
            </w:r>
            <w:r>
              <w:rPr>
                <w:color w:val="auto"/>
                <w:sz w:val="24"/>
                <w:lang w:val="zh-CN"/>
              </w:rPr>
              <w:t>利用上述模式计算本项目噪声源同时工作时，预测到厂界的噪声最大值及位置，具体预测结果见表</w:t>
            </w:r>
            <w:r>
              <w:rPr>
                <w:rFonts w:hint="eastAsia"/>
                <w:color w:val="auto"/>
                <w:sz w:val="24"/>
              </w:rPr>
              <w:t>4.3-2</w:t>
            </w:r>
            <w:r>
              <w:rPr>
                <w:color w:val="auto"/>
                <w:sz w:val="24"/>
                <w:lang w:val="zh-CN"/>
              </w:rPr>
              <w:t>所示。</w:t>
            </w:r>
          </w:p>
          <w:p w14:paraId="3214A645">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表4.3-2厂界噪声预测结果单位：dB(A)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3"/>
              <w:gridCol w:w="1746"/>
              <w:gridCol w:w="1386"/>
              <w:gridCol w:w="1120"/>
              <w:gridCol w:w="1123"/>
              <w:gridCol w:w="969"/>
              <w:gridCol w:w="970"/>
              <w:gridCol w:w="950"/>
            </w:tblGrid>
            <w:tr w14:paraId="38445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340" w:type="pct"/>
                  <w:vMerge w:val="restart"/>
                  <w:noWrap w:val="0"/>
                  <w:vAlign w:val="center"/>
                </w:tcPr>
                <w:p w14:paraId="2BF80DD3">
                  <w:pPr>
                    <w:pStyle w:val="62"/>
                    <w:spacing w:before="24" w:after="24" w:line="340" w:lineRule="exact"/>
                    <w:rPr>
                      <w:rFonts w:ascii="Times New Roman"/>
                      <w:color w:val="auto"/>
                      <w:kern w:val="2"/>
                      <w:szCs w:val="21"/>
                    </w:rPr>
                  </w:pPr>
                  <w:r>
                    <w:rPr>
                      <w:rFonts w:ascii="Times New Roman"/>
                      <w:color w:val="auto"/>
                      <w:kern w:val="2"/>
                      <w:szCs w:val="21"/>
                    </w:rPr>
                    <w:t>编号</w:t>
                  </w:r>
                </w:p>
              </w:tc>
              <w:tc>
                <w:tcPr>
                  <w:tcW w:w="984" w:type="pct"/>
                  <w:vMerge w:val="restart"/>
                  <w:noWrap w:val="0"/>
                  <w:vAlign w:val="center"/>
                </w:tcPr>
                <w:p w14:paraId="52EA5E3D">
                  <w:pPr>
                    <w:pStyle w:val="62"/>
                    <w:spacing w:before="24" w:after="24" w:line="340" w:lineRule="exact"/>
                    <w:rPr>
                      <w:rFonts w:ascii="Times New Roman"/>
                      <w:color w:val="auto"/>
                      <w:kern w:val="2"/>
                      <w:szCs w:val="21"/>
                    </w:rPr>
                  </w:pPr>
                  <w:r>
                    <w:rPr>
                      <w:rFonts w:ascii="Times New Roman"/>
                      <w:color w:val="auto"/>
                      <w:kern w:val="2"/>
                      <w:szCs w:val="21"/>
                    </w:rPr>
                    <w:t>测点位置</w:t>
                  </w:r>
                </w:p>
              </w:tc>
              <w:tc>
                <w:tcPr>
                  <w:tcW w:w="781" w:type="pct"/>
                  <w:vMerge w:val="restart"/>
                  <w:noWrap w:val="0"/>
                  <w:vAlign w:val="center"/>
                </w:tcPr>
                <w:p w14:paraId="2532DAE5">
                  <w:pPr>
                    <w:pStyle w:val="62"/>
                    <w:spacing w:before="24" w:after="24" w:line="340" w:lineRule="exact"/>
                    <w:rPr>
                      <w:rFonts w:ascii="Times New Roman"/>
                      <w:color w:val="auto"/>
                      <w:kern w:val="2"/>
                      <w:szCs w:val="21"/>
                    </w:rPr>
                  </w:pPr>
                  <w:r>
                    <w:rPr>
                      <w:rFonts w:hint="eastAsia" w:ascii="Times New Roman"/>
                      <w:color w:val="auto"/>
                      <w:kern w:val="2"/>
                      <w:szCs w:val="21"/>
                    </w:rPr>
                    <w:t>降噪措施</w:t>
                  </w:r>
                </w:p>
              </w:tc>
              <w:tc>
                <w:tcPr>
                  <w:tcW w:w="1264" w:type="pct"/>
                  <w:gridSpan w:val="2"/>
                  <w:noWrap w:val="0"/>
                  <w:vAlign w:val="center"/>
                </w:tcPr>
                <w:p w14:paraId="459BAEBC">
                  <w:pPr>
                    <w:pStyle w:val="62"/>
                    <w:spacing w:before="24" w:after="24" w:line="340" w:lineRule="exact"/>
                    <w:rPr>
                      <w:rFonts w:ascii="Times New Roman"/>
                      <w:color w:val="auto"/>
                      <w:kern w:val="2"/>
                      <w:szCs w:val="21"/>
                    </w:rPr>
                  </w:pPr>
                  <w:r>
                    <w:rPr>
                      <w:rFonts w:ascii="Times New Roman"/>
                      <w:color w:val="auto"/>
                      <w:kern w:val="2"/>
                      <w:szCs w:val="21"/>
                    </w:rPr>
                    <w:t>影响贡献值</w:t>
                  </w:r>
                </w:p>
              </w:tc>
              <w:tc>
                <w:tcPr>
                  <w:tcW w:w="1093" w:type="pct"/>
                  <w:gridSpan w:val="2"/>
                  <w:noWrap w:val="0"/>
                  <w:vAlign w:val="center"/>
                </w:tcPr>
                <w:p w14:paraId="15D6B174">
                  <w:pPr>
                    <w:pStyle w:val="62"/>
                    <w:spacing w:before="24" w:after="24" w:line="340" w:lineRule="exact"/>
                    <w:rPr>
                      <w:rFonts w:ascii="Times New Roman"/>
                      <w:color w:val="auto"/>
                      <w:kern w:val="2"/>
                      <w:szCs w:val="21"/>
                    </w:rPr>
                  </w:pPr>
                  <w:r>
                    <w:rPr>
                      <w:rFonts w:ascii="Times New Roman"/>
                      <w:color w:val="auto"/>
                      <w:kern w:val="2"/>
                      <w:szCs w:val="21"/>
                    </w:rPr>
                    <w:t>标准值</w:t>
                  </w:r>
                </w:p>
              </w:tc>
              <w:tc>
                <w:tcPr>
                  <w:tcW w:w="535" w:type="pct"/>
                  <w:vMerge w:val="restart"/>
                  <w:noWrap w:val="0"/>
                  <w:vAlign w:val="center"/>
                </w:tcPr>
                <w:p w14:paraId="59238018">
                  <w:pPr>
                    <w:pStyle w:val="62"/>
                    <w:spacing w:before="24" w:after="24" w:line="340" w:lineRule="exact"/>
                    <w:rPr>
                      <w:rFonts w:ascii="Times New Roman"/>
                      <w:color w:val="auto"/>
                      <w:kern w:val="2"/>
                      <w:szCs w:val="21"/>
                    </w:rPr>
                  </w:pPr>
                  <w:r>
                    <w:rPr>
                      <w:rFonts w:ascii="Times New Roman"/>
                      <w:color w:val="auto"/>
                      <w:kern w:val="2"/>
                      <w:szCs w:val="21"/>
                    </w:rPr>
                    <w:t>达标情况</w:t>
                  </w:r>
                </w:p>
              </w:tc>
            </w:tr>
            <w:tr w14:paraId="5A267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0" w:type="pct"/>
                  <w:vMerge w:val="continue"/>
                  <w:noWrap w:val="0"/>
                  <w:vAlign w:val="center"/>
                </w:tcPr>
                <w:p w14:paraId="6EECAC55">
                  <w:pPr>
                    <w:pStyle w:val="62"/>
                    <w:spacing w:before="24" w:after="24" w:line="340" w:lineRule="exact"/>
                    <w:rPr>
                      <w:rFonts w:ascii="Times New Roman"/>
                      <w:color w:val="auto"/>
                      <w:kern w:val="2"/>
                      <w:szCs w:val="21"/>
                    </w:rPr>
                  </w:pPr>
                </w:p>
              </w:tc>
              <w:tc>
                <w:tcPr>
                  <w:tcW w:w="984" w:type="pct"/>
                  <w:vMerge w:val="continue"/>
                  <w:noWrap w:val="0"/>
                  <w:vAlign w:val="center"/>
                </w:tcPr>
                <w:p w14:paraId="40F48562">
                  <w:pPr>
                    <w:pStyle w:val="62"/>
                    <w:spacing w:before="24" w:after="24" w:line="340" w:lineRule="exact"/>
                    <w:rPr>
                      <w:rFonts w:ascii="Times New Roman"/>
                      <w:color w:val="auto"/>
                      <w:kern w:val="2"/>
                      <w:szCs w:val="21"/>
                    </w:rPr>
                  </w:pPr>
                </w:p>
              </w:tc>
              <w:tc>
                <w:tcPr>
                  <w:tcW w:w="781" w:type="pct"/>
                  <w:vMerge w:val="continue"/>
                  <w:noWrap w:val="0"/>
                  <w:vAlign w:val="center"/>
                </w:tcPr>
                <w:p w14:paraId="5011BF58">
                  <w:pPr>
                    <w:pStyle w:val="62"/>
                    <w:spacing w:before="24" w:after="24" w:line="340" w:lineRule="exact"/>
                    <w:rPr>
                      <w:rFonts w:hint="eastAsia" w:ascii="Times New Roman"/>
                      <w:color w:val="auto"/>
                      <w:kern w:val="2"/>
                      <w:szCs w:val="21"/>
                    </w:rPr>
                  </w:pPr>
                </w:p>
              </w:tc>
              <w:tc>
                <w:tcPr>
                  <w:tcW w:w="631" w:type="pct"/>
                  <w:noWrap w:val="0"/>
                  <w:vAlign w:val="center"/>
                </w:tcPr>
                <w:p w14:paraId="38815712">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rPr>
                    <w:t>昼间</w:t>
                  </w:r>
                </w:p>
              </w:tc>
              <w:tc>
                <w:tcPr>
                  <w:tcW w:w="632" w:type="pct"/>
                  <w:noWrap w:val="0"/>
                  <w:vAlign w:val="center"/>
                </w:tcPr>
                <w:p w14:paraId="65825524">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546" w:type="pct"/>
                  <w:noWrap w:val="0"/>
                  <w:vAlign w:val="center"/>
                </w:tcPr>
                <w:p w14:paraId="202D47B2">
                  <w:pPr>
                    <w:pStyle w:val="62"/>
                    <w:spacing w:before="24" w:after="24" w:line="340" w:lineRule="exact"/>
                    <w:rPr>
                      <w:rFonts w:hint="default" w:eastAsia="宋体"/>
                      <w:color w:val="auto"/>
                      <w:szCs w:val="21"/>
                      <w:lang w:val="en-US" w:eastAsia="zh-CN"/>
                    </w:rPr>
                  </w:pPr>
                  <w:r>
                    <w:rPr>
                      <w:rFonts w:ascii="Times New Roman"/>
                      <w:color w:val="auto"/>
                      <w:kern w:val="2"/>
                      <w:szCs w:val="21"/>
                    </w:rPr>
                    <w:t>昼间</w:t>
                  </w:r>
                </w:p>
              </w:tc>
              <w:tc>
                <w:tcPr>
                  <w:tcW w:w="546" w:type="pct"/>
                  <w:noWrap w:val="0"/>
                  <w:vAlign w:val="center"/>
                </w:tcPr>
                <w:p w14:paraId="40F76B6C">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535" w:type="pct"/>
                  <w:vMerge w:val="continue"/>
                  <w:noWrap w:val="0"/>
                  <w:vAlign w:val="center"/>
                </w:tcPr>
                <w:p w14:paraId="12C24DD3">
                  <w:pPr>
                    <w:pStyle w:val="62"/>
                    <w:spacing w:before="24" w:after="24" w:line="340" w:lineRule="exact"/>
                    <w:rPr>
                      <w:rFonts w:ascii="Times New Roman"/>
                      <w:color w:val="auto"/>
                      <w:kern w:val="2"/>
                      <w:szCs w:val="21"/>
                    </w:rPr>
                  </w:pPr>
                </w:p>
              </w:tc>
            </w:tr>
            <w:tr w14:paraId="6CD59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noWrap w:val="0"/>
                  <w:vAlign w:val="center"/>
                </w:tcPr>
                <w:p w14:paraId="03E9C3A4">
                  <w:pPr>
                    <w:pStyle w:val="62"/>
                    <w:spacing w:before="24" w:after="24" w:line="340" w:lineRule="exact"/>
                    <w:rPr>
                      <w:rFonts w:ascii="Times New Roman"/>
                      <w:color w:val="auto"/>
                      <w:kern w:val="2"/>
                      <w:szCs w:val="21"/>
                    </w:rPr>
                  </w:pPr>
                  <w:r>
                    <w:rPr>
                      <w:rFonts w:ascii="Times New Roman"/>
                      <w:color w:val="auto"/>
                      <w:kern w:val="2"/>
                      <w:szCs w:val="21"/>
                    </w:rPr>
                    <w:t>1</w:t>
                  </w:r>
                </w:p>
              </w:tc>
              <w:tc>
                <w:tcPr>
                  <w:tcW w:w="984" w:type="pct"/>
                  <w:noWrap w:val="0"/>
                  <w:vAlign w:val="center"/>
                </w:tcPr>
                <w:p w14:paraId="58435EDA">
                  <w:pPr>
                    <w:jc w:val="center"/>
                    <w:rPr>
                      <w:rFonts w:hint="default" w:eastAsia="宋体"/>
                      <w:color w:val="auto"/>
                      <w:kern w:val="2"/>
                      <w:sz w:val="21"/>
                      <w:szCs w:val="21"/>
                      <w:lang w:val="en-US" w:eastAsia="zh-CN" w:bidi="ar-SA"/>
                    </w:rPr>
                  </w:pPr>
                  <w:r>
                    <w:rPr>
                      <w:rFonts w:hint="eastAsia"/>
                      <w:color w:val="auto"/>
                      <w:szCs w:val="21"/>
                      <w:lang w:val="en-US" w:eastAsia="zh-CN"/>
                    </w:rPr>
                    <w:t>厂界西北侧</w:t>
                  </w:r>
                </w:p>
              </w:tc>
              <w:tc>
                <w:tcPr>
                  <w:tcW w:w="781" w:type="pct"/>
                  <w:vMerge w:val="restart"/>
                  <w:noWrap w:val="0"/>
                  <w:vAlign w:val="center"/>
                </w:tcPr>
                <w:p w14:paraId="3CAA19B9">
                  <w:pPr>
                    <w:adjustRightInd w:val="0"/>
                    <w:spacing w:line="340" w:lineRule="exact"/>
                    <w:jc w:val="center"/>
                    <w:rPr>
                      <w:rFonts w:hint="eastAsia"/>
                      <w:color w:val="auto"/>
                      <w:szCs w:val="21"/>
                    </w:rPr>
                  </w:pPr>
                  <w:r>
                    <w:rPr>
                      <w:rFonts w:hint="eastAsia"/>
                      <w:snapToGrid w:val="0"/>
                      <w:color w:val="auto"/>
                      <w:szCs w:val="21"/>
                    </w:rPr>
                    <w:t>设备基础减振、</w:t>
                  </w:r>
                  <w:r>
                    <w:rPr>
                      <w:color w:val="auto"/>
                    </w:rPr>
                    <w:t>车间隔声</w:t>
                  </w:r>
                </w:p>
              </w:tc>
              <w:tc>
                <w:tcPr>
                  <w:tcW w:w="631" w:type="pct"/>
                  <w:shd w:val="clear" w:color="auto" w:fill="auto"/>
                  <w:noWrap w:val="0"/>
                  <w:vAlign w:val="center"/>
                </w:tcPr>
                <w:p w14:paraId="1C55ABA6">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56</w:t>
                  </w:r>
                </w:p>
              </w:tc>
              <w:tc>
                <w:tcPr>
                  <w:tcW w:w="632" w:type="pct"/>
                  <w:shd w:val="clear" w:color="auto" w:fill="auto"/>
                  <w:noWrap w:val="0"/>
                  <w:vAlign w:val="center"/>
                </w:tcPr>
                <w:p w14:paraId="6FC9AFE2">
                  <w:pPr>
                    <w:jc w:val="center"/>
                    <w:rPr>
                      <w:rFonts w:hint="default"/>
                      <w:color w:val="auto"/>
                      <w:szCs w:val="21"/>
                      <w:lang w:val="en-US" w:eastAsia="zh-CN"/>
                    </w:rPr>
                  </w:pPr>
                  <w:r>
                    <w:rPr>
                      <w:rFonts w:hint="eastAsia"/>
                      <w:color w:val="auto"/>
                      <w:szCs w:val="21"/>
                      <w:lang w:val="en-US" w:eastAsia="zh-CN"/>
                    </w:rPr>
                    <w:t>53</w:t>
                  </w:r>
                </w:p>
              </w:tc>
              <w:tc>
                <w:tcPr>
                  <w:tcW w:w="546" w:type="pct"/>
                  <w:vMerge w:val="restart"/>
                  <w:noWrap w:val="0"/>
                  <w:vAlign w:val="center"/>
                </w:tcPr>
                <w:p w14:paraId="499ACA60">
                  <w:pPr>
                    <w:widowControl/>
                    <w:spacing w:line="340" w:lineRule="exact"/>
                    <w:jc w:val="center"/>
                    <w:rPr>
                      <w:rFonts w:hint="default" w:eastAsia="宋体"/>
                      <w:color w:val="auto"/>
                      <w:szCs w:val="21"/>
                      <w:lang w:val="en-US" w:eastAsia="zh-CN"/>
                    </w:rPr>
                  </w:pPr>
                  <w:r>
                    <w:rPr>
                      <w:rFonts w:hint="eastAsia"/>
                      <w:color w:val="auto"/>
                      <w:szCs w:val="21"/>
                      <w:lang w:val="en-US" w:eastAsia="zh-CN"/>
                    </w:rPr>
                    <w:t>65</w:t>
                  </w:r>
                </w:p>
              </w:tc>
              <w:tc>
                <w:tcPr>
                  <w:tcW w:w="546" w:type="pct"/>
                  <w:vMerge w:val="restart"/>
                  <w:noWrap w:val="0"/>
                  <w:vAlign w:val="center"/>
                </w:tcPr>
                <w:p w14:paraId="19A2457B">
                  <w:pPr>
                    <w:widowControl/>
                    <w:spacing w:line="340" w:lineRule="exact"/>
                    <w:jc w:val="center"/>
                    <w:rPr>
                      <w:rFonts w:hint="default"/>
                      <w:color w:val="auto"/>
                      <w:szCs w:val="21"/>
                      <w:lang w:val="en-US" w:eastAsia="zh-CN"/>
                    </w:rPr>
                  </w:pPr>
                  <w:r>
                    <w:rPr>
                      <w:rFonts w:hint="eastAsia"/>
                      <w:color w:val="auto"/>
                      <w:szCs w:val="21"/>
                      <w:lang w:val="en-US" w:eastAsia="zh-CN"/>
                    </w:rPr>
                    <w:t>55</w:t>
                  </w:r>
                </w:p>
              </w:tc>
              <w:tc>
                <w:tcPr>
                  <w:tcW w:w="535" w:type="pct"/>
                  <w:vMerge w:val="restart"/>
                  <w:noWrap w:val="0"/>
                  <w:vAlign w:val="center"/>
                </w:tcPr>
                <w:p w14:paraId="3DC04E42">
                  <w:pPr>
                    <w:widowControl/>
                    <w:spacing w:line="340" w:lineRule="exact"/>
                    <w:jc w:val="center"/>
                    <w:rPr>
                      <w:color w:val="auto"/>
                      <w:szCs w:val="21"/>
                    </w:rPr>
                  </w:pPr>
                  <w:r>
                    <w:rPr>
                      <w:color w:val="auto"/>
                      <w:szCs w:val="21"/>
                    </w:rPr>
                    <w:t>达标</w:t>
                  </w:r>
                </w:p>
              </w:tc>
            </w:tr>
            <w:tr w14:paraId="0911E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noWrap w:val="0"/>
                  <w:vAlign w:val="center"/>
                </w:tcPr>
                <w:p w14:paraId="55E33555">
                  <w:pPr>
                    <w:pStyle w:val="62"/>
                    <w:spacing w:before="24" w:after="24" w:line="340" w:lineRule="exact"/>
                    <w:rPr>
                      <w:rFonts w:ascii="Times New Roman"/>
                      <w:color w:val="auto"/>
                      <w:kern w:val="2"/>
                      <w:szCs w:val="21"/>
                    </w:rPr>
                  </w:pPr>
                  <w:r>
                    <w:rPr>
                      <w:rFonts w:hint="eastAsia" w:ascii="Times New Roman"/>
                      <w:color w:val="auto"/>
                      <w:kern w:val="2"/>
                      <w:szCs w:val="21"/>
                    </w:rPr>
                    <w:t>2</w:t>
                  </w:r>
                </w:p>
              </w:tc>
              <w:tc>
                <w:tcPr>
                  <w:tcW w:w="984" w:type="pct"/>
                  <w:noWrap w:val="0"/>
                  <w:vAlign w:val="center"/>
                </w:tcPr>
                <w:p w14:paraId="0FFF3EAD">
                  <w:pPr>
                    <w:jc w:val="center"/>
                    <w:rPr>
                      <w:rFonts w:hint="eastAsia" w:eastAsia="宋体"/>
                      <w:color w:val="auto"/>
                      <w:kern w:val="2"/>
                      <w:sz w:val="21"/>
                      <w:szCs w:val="21"/>
                      <w:lang w:val="en-US" w:eastAsia="zh-CN" w:bidi="ar-SA"/>
                    </w:rPr>
                  </w:pPr>
                  <w:r>
                    <w:rPr>
                      <w:rFonts w:hint="eastAsia"/>
                      <w:color w:val="auto"/>
                      <w:szCs w:val="21"/>
                      <w:lang w:val="en-US" w:eastAsia="zh-CN"/>
                    </w:rPr>
                    <w:t>厂界西南侧</w:t>
                  </w:r>
                </w:p>
              </w:tc>
              <w:tc>
                <w:tcPr>
                  <w:tcW w:w="781" w:type="pct"/>
                  <w:vMerge w:val="continue"/>
                  <w:noWrap w:val="0"/>
                  <w:vAlign w:val="center"/>
                </w:tcPr>
                <w:p w14:paraId="7B29D21F">
                  <w:pPr>
                    <w:adjustRightInd w:val="0"/>
                    <w:spacing w:line="340" w:lineRule="exact"/>
                    <w:jc w:val="center"/>
                    <w:rPr>
                      <w:rFonts w:hint="eastAsia"/>
                      <w:snapToGrid w:val="0"/>
                      <w:color w:val="auto"/>
                      <w:szCs w:val="21"/>
                    </w:rPr>
                  </w:pPr>
                </w:p>
              </w:tc>
              <w:tc>
                <w:tcPr>
                  <w:tcW w:w="631" w:type="pct"/>
                  <w:shd w:val="clear" w:color="auto" w:fill="auto"/>
                  <w:noWrap w:val="0"/>
                  <w:vAlign w:val="center"/>
                </w:tcPr>
                <w:p w14:paraId="57F4A9A7">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55</w:t>
                  </w:r>
                </w:p>
              </w:tc>
              <w:tc>
                <w:tcPr>
                  <w:tcW w:w="632" w:type="pct"/>
                  <w:shd w:val="clear" w:color="auto" w:fill="auto"/>
                  <w:noWrap w:val="0"/>
                  <w:vAlign w:val="center"/>
                </w:tcPr>
                <w:p w14:paraId="270CE64B">
                  <w:pPr>
                    <w:jc w:val="center"/>
                    <w:rPr>
                      <w:rFonts w:hint="default"/>
                      <w:color w:val="auto"/>
                      <w:szCs w:val="21"/>
                      <w:lang w:val="en-US" w:eastAsia="zh-CN"/>
                    </w:rPr>
                  </w:pPr>
                  <w:r>
                    <w:rPr>
                      <w:rFonts w:hint="eastAsia"/>
                      <w:color w:val="auto"/>
                      <w:szCs w:val="21"/>
                      <w:lang w:val="en-US" w:eastAsia="zh-CN"/>
                    </w:rPr>
                    <w:t>50</w:t>
                  </w:r>
                </w:p>
              </w:tc>
              <w:tc>
                <w:tcPr>
                  <w:tcW w:w="546" w:type="pct"/>
                  <w:vMerge w:val="continue"/>
                  <w:noWrap w:val="0"/>
                  <w:vAlign w:val="center"/>
                </w:tcPr>
                <w:p w14:paraId="0317493F">
                  <w:pPr>
                    <w:widowControl/>
                    <w:spacing w:line="340" w:lineRule="exact"/>
                    <w:jc w:val="center"/>
                    <w:rPr>
                      <w:rFonts w:hint="eastAsia"/>
                      <w:color w:val="auto"/>
                      <w:szCs w:val="21"/>
                    </w:rPr>
                  </w:pPr>
                </w:p>
              </w:tc>
              <w:tc>
                <w:tcPr>
                  <w:tcW w:w="546" w:type="pct"/>
                  <w:vMerge w:val="continue"/>
                  <w:noWrap w:val="0"/>
                  <w:vAlign w:val="center"/>
                </w:tcPr>
                <w:p w14:paraId="698B0688">
                  <w:pPr>
                    <w:widowControl/>
                    <w:spacing w:line="340" w:lineRule="exact"/>
                    <w:jc w:val="center"/>
                    <w:rPr>
                      <w:rFonts w:hint="eastAsia"/>
                      <w:color w:val="auto"/>
                      <w:szCs w:val="21"/>
                    </w:rPr>
                  </w:pPr>
                </w:p>
              </w:tc>
              <w:tc>
                <w:tcPr>
                  <w:tcW w:w="535" w:type="pct"/>
                  <w:vMerge w:val="continue"/>
                  <w:noWrap w:val="0"/>
                  <w:vAlign w:val="center"/>
                </w:tcPr>
                <w:p w14:paraId="4B3D5196">
                  <w:pPr>
                    <w:widowControl/>
                    <w:spacing w:line="340" w:lineRule="exact"/>
                    <w:jc w:val="center"/>
                    <w:rPr>
                      <w:color w:val="auto"/>
                      <w:szCs w:val="21"/>
                    </w:rPr>
                  </w:pPr>
                </w:p>
              </w:tc>
            </w:tr>
            <w:tr w14:paraId="4FF0A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noWrap w:val="0"/>
                  <w:vAlign w:val="center"/>
                </w:tcPr>
                <w:p w14:paraId="3B16C0A6">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3</w:t>
                  </w:r>
                </w:p>
              </w:tc>
              <w:tc>
                <w:tcPr>
                  <w:tcW w:w="984" w:type="pct"/>
                  <w:noWrap w:val="0"/>
                  <w:vAlign w:val="center"/>
                </w:tcPr>
                <w:p w14:paraId="3F4F2CC1">
                  <w:pPr>
                    <w:jc w:val="center"/>
                    <w:rPr>
                      <w:rFonts w:hint="eastAsia" w:eastAsia="宋体"/>
                      <w:color w:val="auto"/>
                      <w:kern w:val="2"/>
                      <w:sz w:val="21"/>
                      <w:szCs w:val="21"/>
                      <w:lang w:val="en-US" w:eastAsia="zh-CN" w:bidi="ar-SA"/>
                    </w:rPr>
                  </w:pPr>
                  <w:r>
                    <w:rPr>
                      <w:rFonts w:hint="eastAsia"/>
                      <w:color w:val="auto"/>
                      <w:szCs w:val="21"/>
                      <w:lang w:val="en-US" w:eastAsia="zh-CN"/>
                    </w:rPr>
                    <w:t>厂界东北侧</w:t>
                  </w:r>
                </w:p>
              </w:tc>
              <w:tc>
                <w:tcPr>
                  <w:tcW w:w="781" w:type="pct"/>
                  <w:vMerge w:val="continue"/>
                  <w:noWrap w:val="0"/>
                  <w:vAlign w:val="center"/>
                </w:tcPr>
                <w:p w14:paraId="695F1688">
                  <w:pPr>
                    <w:adjustRightInd w:val="0"/>
                    <w:spacing w:line="340" w:lineRule="exact"/>
                    <w:jc w:val="center"/>
                    <w:rPr>
                      <w:rFonts w:hint="eastAsia"/>
                      <w:snapToGrid w:val="0"/>
                      <w:color w:val="auto"/>
                      <w:szCs w:val="21"/>
                    </w:rPr>
                  </w:pPr>
                </w:p>
              </w:tc>
              <w:tc>
                <w:tcPr>
                  <w:tcW w:w="631" w:type="pct"/>
                  <w:shd w:val="clear" w:color="auto" w:fill="auto"/>
                  <w:noWrap w:val="0"/>
                  <w:vAlign w:val="center"/>
                </w:tcPr>
                <w:p w14:paraId="2C5AAA9B">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56</w:t>
                  </w:r>
                </w:p>
              </w:tc>
              <w:tc>
                <w:tcPr>
                  <w:tcW w:w="632" w:type="pct"/>
                  <w:shd w:val="clear" w:color="auto" w:fill="auto"/>
                  <w:noWrap w:val="0"/>
                  <w:vAlign w:val="center"/>
                </w:tcPr>
                <w:p w14:paraId="1B193E78">
                  <w:pPr>
                    <w:jc w:val="center"/>
                    <w:rPr>
                      <w:rFonts w:hint="default"/>
                      <w:color w:val="auto"/>
                      <w:szCs w:val="21"/>
                      <w:lang w:val="en-US" w:eastAsia="zh-CN"/>
                    </w:rPr>
                  </w:pPr>
                  <w:r>
                    <w:rPr>
                      <w:rFonts w:hint="eastAsia"/>
                      <w:color w:val="auto"/>
                      <w:szCs w:val="21"/>
                      <w:lang w:val="en-US" w:eastAsia="zh-CN"/>
                    </w:rPr>
                    <w:t>53</w:t>
                  </w:r>
                </w:p>
              </w:tc>
              <w:tc>
                <w:tcPr>
                  <w:tcW w:w="546" w:type="pct"/>
                  <w:vMerge w:val="continue"/>
                  <w:noWrap w:val="0"/>
                  <w:vAlign w:val="center"/>
                </w:tcPr>
                <w:p w14:paraId="57D8B6E1">
                  <w:pPr>
                    <w:widowControl/>
                    <w:spacing w:line="340" w:lineRule="exact"/>
                    <w:jc w:val="center"/>
                    <w:rPr>
                      <w:rFonts w:hint="eastAsia"/>
                      <w:color w:val="auto"/>
                      <w:szCs w:val="21"/>
                    </w:rPr>
                  </w:pPr>
                </w:p>
              </w:tc>
              <w:tc>
                <w:tcPr>
                  <w:tcW w:w="546" w:type="pct"/>
                  <w:vMerge w:val="continue"/>
                  <w:noWrap w:val="0"/>
                  <w:vAlign w:val="center"/>
                </w:tcPr>
                <w:p w14:paraId="4511A7AB">
                  <w:pPr>
                    <w:widowControl/>
                    <w:spacing w:line="340" w:lineRule="exact"/>
                    <w:jc w:val="center"/>
                    <w:rPr>
                      <w:rFonts w:hint="eastAsia"/>
                      <w:color w:val="auto"/>
                      <w:szCs w:val="21"/>
                    </w:rPr>
                  </w:pPr>
                </w:p>
              </w:tc>
              <w:tc>
                <w:tcPr>
                  <w:tcW w:w="535" w:type="pct"/>
                  <w:vMerge w:val="continue"/>
                  <w:noWrap w:val="0"/>
                  <w:vAlign w:val="center"/>
                </w:tcPr>
                <w:p w14:paraId="066BC562">
                  <w:pPr>
                    <w:widowControl/>
                    <w:spacing w:line="340" w:lineRule="exact"/>
                    <w:jc w:val="center"/>
                    <w:rPr>
                      <w:color w:val="auto"/>
                      <w:szCs w:val="21"/>
                    </w:rPr>
                  </w:pPr>
                </w:p>
              </w:tc>
            </w:tr>
            <w:tr w14:paraId="2581B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noWrap w:val="0"/>
                  <w:vAlign w:val="center"/>
                </w:tcPr>
                <w:p w14:paraId="55629297">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4</w:t>
                  </w:r>
                </w:p>
              </w:tc>
              <w:tc>
                <w:tcPr>
                  <w:tcW w:w="984" w:type="pct"/>
                  <w:noWrap w:val="0"/>
                  <w:vAlign w:val="center"/>
                </w:tcPr>
                <w:p w14:paraId="2977CD8A">
                  <w:pPr>
                    <w:jc w:val="center"/>
                    <w:rPr>
                      <w:rFonts w:hint="eastAsia" w:eastAsia="宋体"/>
                      <w:color w:val="auto"/>
                      <w:kern w:val="2"/>
                      <w:sz w:val="21"/>
                      <w:szCs w:val="21"/>
                      <w:lang w:val="en-US" w:eastAsia="zh-CN" w:bidi="ar-SA"/>
                    </w:rPr>
                  </w:pPr>
                  <w:r>
                    <w:rPr>
                      <w:rFonts w:hint="eastAsia"/>
                      <w:color w:val="auto"/>
                      <w:szCs w:val="21"/>
                      <w:lang w:val="en-US" w:eastAsia="zh-CN"/>
                    </w:rPr>
                    <w:t>厂界东南侧</w:t>
                  </w:r>
                </w:p>
              </w:tc>
              <w:tc>
                <w:tcPr>
                  <w:tcW w:w="781" w:type="pct"/>
                  <w:vMerge w:val="continue"/>
                  <w:noWrap w:val="0"/>
                  <w:vAlign w:val="center"/>
                </w:tcPr>
                <w:p w14:paraId="0BD1125A">
                  <w:pPr>
                    <w:spacing w:line="340" w:lineRule="exact"/>
                    <w:jc w:val="center"/>
                    <w:rPr>
                      <w:rFonts w:hint="eastAsia"/>
                      <w:color w:val="auto"/>
                      <w:szCs w:val="21"/>
                    </w:rPr>
                  </w:pPr>
                </w:p>
              </w:tc>
              <w:tc>
                <w:tcPr>
                  <w:tcW w:w="631" w:type="pct"/>
                  <w:shd w:val="clear" w:color="auto" w:fill="auto"/>
                  <w:noWrap w:val="0"/>
                  <w:vAlign w:val="center"/>
                </w:tcPr>
                <w:p w14:paraId="6C16F02D">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55</w:t>
                  </w:r>
                </w:p>
              </w:tc>
              <w:tc>
                <w:tcPr>
                  <w:tcW w:w="632" w:type="pct"/>
                  <w:shd w:val="clear" w:color="auto" w:fill="auto"/>
                  <w:noWrap w:val="0"/>
                  <w:vAlign w:val="center"/>
                </w:tcPr>
                <w:p w14:paraId="0A047749">
                  <w:pPr>
                    <w:jc w:val="center"/>
                    <w:rPr>
                      <w:rFonts w:hint="default"/>
                      <w:color w:val="auto"/>
                      <w:szCs w:val="21"/>
                      <w:lang w:val="en-US" w:eastAsia="zh-CN"/>
                    </w:rPr>
                  </w:pPr>
                  <w:r>
                    <w:rPr>
                      <w:rFonts w:hint="eastAsia"/>
                      <w:color w:val="auto"/>
                      <w:szCs w:val="21"/>
                      <w:lang w:val="en-US" w:eastAsia="zh-CN"/>
                    </w:rPr>
                    <w:t>52</w:t>
                  </w:r>
                </w:p>
              </w:tc>
              <w:tc>
                <w:tcPr>
                  <w:tcW w:w="546" w:type="pct"/>
                  <w:vMerge w:val="continue"/>
                  <w:noWrap w:val="0"/>
                  <w:vAlign w:val="center"/>
                </w:tcPr>
                <w:p w14:paraId="0F40CBCC">
                  <w:pPr>
                    <w:widowControl/>
                    <w:spacing w:line="340" w:lineRule="exact"/>
                    <w:jc w:val="center"/>
                    <w:rPr>
                      <w:color w:val="auto"/>
                      <w:szCs w:val="21"/>
                    </w:rPr>
                  </w:pPr>
                </w:p>
              </w:tc>
              <w:tc>
                <w:tcPr>
                  <w:tcW w:w="546" w:type="pct"/>
                  <w:vMerge w:val="continue"/>
                  <w:noWrap w:val="0"/>
                  <w:vAlign w:val="center"/>
                </w:tcPr>
                <w:p w14:paraId="5587C79F">
                  <w:pPr>
                    <w:widowControl/>
                    <w:spacing w:line="340" w:lineRule="exact"/>
                    <w:jc w:val="center"/>
                    <w:rPr>
                      <w:color w:val="auto"/>
                      <w:szCs w:val="21"/>
                    </w:rPr>
                  </w:pPr>
                </w:p>
              </w:tc>
              <w:tc>
                <w:tcPr>
                  <w:tcW w:w="535" w:type="pct"/>
                  <w:vMerge w:val="continue"/>
                  <w:noWrap w:val="0"/>
                  <w:vAlign w:val="center"/>
                </w:tcPr>
                <w:p w14:paraId="1A91FB3A">
                  <w:pPr>
                    <w:widowControl/>
                    <w:spacing w:line="340" w:lineRule="exact"/>
                    <w:jc w:val="center"/>
                    <w:rPr>
                      <w:color w:val="auto"/>
                      <w:szCs w:val="21"/>
                    </w:rPr>
                  </w:pPr>
                </w:p>
              </w:tc>
            </w:tr>
          </w:tbl>
          <w:p w14:paraId="00C69F16">
            <w:pPr>
              <w:pStyle w:val="59"/>
              <w:spacing w:line="360" w:lineRule="auto"/>
              <w:ind w:firstLine="480"/>
              <w:rPr>
                <w:rFonts w:ascii="Times New Roman" w:hAnsi="Times New Roman"/>
                <w:bCs w:val="0"/>
                <w:color w:val="auto"/>
                <w:szCs w:val="24"/>
              </w:rPr>
            </w:pPr>
            <w:r>
              <w:rPr>
                <w:rFonts w:ascii="Times New Roman" w:hAnsi="Times New Roman"/>
                <w:bCs w:val="0"/>
                <w:color w:val="auto"/>
                <w:szCs w:val="24"/>
                <w:lang w:val="zh-CN"/>
              </w:rPr>
              <w:t>根据表</w:t>
            </w:r>
            <w:r>
              <w:rPr>
                <w:rFonts w:ascii="Times New Roman" w:hAnsi="Times New Roman"/>
                <w:bCs w:val="0"/>
                <w:color w:val="auto"/>
                <w:szCs w:val="24"/>
              </w:rPr>
              <w:t>4.3-2</w:t>
            </w:r>
            <w:r>
              <w:rPr>
                <w:rFonts w:ascii="Times New Roman" w:hAnsi="Times New Roman"/>
                <w:bCs w:val="0"/>
                <w:color w:val="auto"/>
                <w:szCs w:val="24"/>
                <w:lang w:val="zh-CN"/>
              </w:rPr>
              <w:t>预测结果表明，项目主要噪声源在采取有效的降噪措施前提下，项目</w:t>
            </w:r>
            <w:r>
              <w:rPr>
                <w:rFonts w:hint="eastAsia"/>
                <w:bCs w:val="0"/>
                <w:color w:val="auto"/>
                <w:szCs w:val="24"/>
                <w:lang w:val="en-US" w:eastAsia="zh-CN"/>
              </w:rPr>
              <w:t>厂界</w:t>
            </w:r>
            <w:r>
              <w:rPr>
                <w:rFonts w:ascii="Times New Roman" w:hAnsi="Times New Roman"/>
                <w:bCs w:val="0"/>
                <w:color w:val="auto"/>
                <w:szCs w:val="24"/>
                <w:lang w:val="zh-CN"/>
              </w:rPr>
              <w:t>噪声均可满足《工业企业厂界环境噪声排放标准》</w:t>
            </w:r>
            <w:r>
              <w:rPr>
                <w:rFonts w:hint="eastAsia"/>
                <w:bCs w:val="0"/>
                <w:color w:val="auto"/>
                <w:szCs w:val="24"/>
                <w:lang w:val="zh-CN"/>
              </w:rPr>
              <w:t>（</w:t>
            </w:r>
            <w:r>
              <w:rPr>
                <w:rFonts w:ascii="Times New Roman" w:hAnsi="Times New Roman"/>
                <w:bCs w:val="0"/>
                <w:color w:val="auto"/>
                <w:szCs w:val="24"/>
                <w:lang w:val="zh-CN"/>
              </w:rPr>
              <w:t>GB12348-2008</w:t>
            </w:r>
            <w:r>
              <w:rPr>
                <w:rFonts w:hint="eastAsia"/>
                <w:bCs w:val="0"/>
                <w:color w:val="auto"/>
                <w:szCs w:val="24"/>
                <w:lang w:val="zh-CN"/>
              </w:rPr>
              <w:t>）</w:t>
            </w:r>
            <w:r>
              <w:rPr>
                <w:rFonts w:ascii="Times New Roman" w:hAnsi="Times New Roman"/>
                <w:bCs w:val="0"/>
                <w:color w:val="auto"/>
                <w:szCs w:val="24"/>
                <w:lang w:val="zh-CN"/>
              </w:rPr>
              <w:t>中3类标准。</w:t>
            </w:r>
          </w:p>
          <w:p w14:paraId="4EF09AFB">
            <w:pPr>
              <w:pStyle w:val="50"/>
              <w:ind w:firstLine="480"/>
              <w:rPr>
                <w:rFonts w:ascii="Times New Roman" w:hAnsi="Times New Roman"/>
                <w:color w:val="auto"/>
                <w:sz w:val="24"/>
                <w:szCs w:val="24"/>
                <w:lang w:val="zh-CN"/>
              </w:rPr>
            </w:pPr>
            <w:r>
              <w:rPr>
                <w:rFonts w:hint="eastAsia" w:ascii="Times New Roman" w:hAnsi="Times New Roman"/>
                <w:color w:val="auto"/>
                <w:sz w:val="24"/>
                <w:szCs w:val="24"/>
                <w:lang w:val="zh-CN"/>
              </w:rPr>
              <w:t>（</w:t>
            </w:r>
            <w:r>
              <w:rPr>
                <w:rFonts w:hint="eastAsia" w:ascii="Times New Roman" w:hAnsi="Times New Roman"/>
                <w:color w:val="auto"/>
                <w:sz w:val="24"/>
                <w:szCs w:val="24"/>
                <w:lang w:val="en-US" w:eastAsia="zh-CN"/>
              </w:rPr>
              <w:t>7</w:t>
            </w:r>
            <w:r>
              <w:rPr>
                <w:rFonts w:hint="eastAsia" w:ascii="Times New Roman" w:hAnsi="Times New Roman"/>
                <w:color w:val="auto"/>
                <w:sz w:val="24"/>
                <w:szCs w:val="24"/>
                <w:lang w:val="zh-CN"/>
              </w:rPr>
              <w:t>）</w:t>
            </w:r>
            <w:r>
              <w:rPr>
                <w:rFonts w:ascii="Times New Roman" w:hAnsi="Times New Roman"/>
                <w:color w:val="auto"/>
                <w:sz w:val="24"/>
                <w:szCs w:val="24"/>
                <w:lang w:val="zh-CN"/>
              </w:rPr>
              <w:t>敏感点噪声预测结果分析</w:t>
            </w:r>
          </w:p>
          <w:p w14:paraId="1F372741">
            <w:pPr>
              <w:spacing w:line="360" w:lineRule="auto"/>
              <w:ind w:firstLine="480"/>
              <w:rPr>
                <w:color w:val="auto"/>
                <w:sz w:val="24"/>
                <w:lang w:val="zh-CN"/>
              </w:rPr>
            </w:pPr>
            <w:r>
              <w:rPr>
                <w:rFonts w:hint="eastAsia"/>
                <w:color w:val="auto"/>
                <w:sz w:val="24"/>
                <w:lang w:val="zh-CN"/>
              </w:rPr>
              <w:t>根据现场勘查，项目</w:t>
            </w:r>
            <w:r>
              <w:rPr>
                <w:color w:val="auto"/>
                <w:sz w:val="24"/>
                <w:lang w:val="zh-CN"/>
              </w:rPr>
              <w:t>周边</w:t>
            </w:r>
            <w:r>
              <w:rPr>
                <w:rFonts w:hint="eastAsia"/>
                <w:color w:val="auto"/>
                <w:sz w:val="24"/>
              </w:rPr>
              <w:t>5</w:t>
            </w:r>
            <w:r>
              <w:rPr>
                <w:color w:val="auto"/>
                <w:sz w:val="24"/>
              </w:rPr>
              <w:t>0m范围内</w:t>
            </w:r>
            <w:r>
              <w:rPr>
                <w:rFonts w:hint="eastAsia"/>
                <w:color w:val="auto"/>
                <w:sz w:val="24"/>
              </w:rPr>
              <w:t>无</w:t>
            </w:r>
            <w:r>
              <w:rPr>
                <w:color w:val="auto"/>
                <w:sz w:val="24"/>
              </w:rPr>
              <w:t>声环境</w:t>
            </w:r>
            <w:r>
              <w:rPr>
                <w:rFonts w:hint="eastAsia"/>
                <w:color w:val="auto"/>
                <w:sz w:val="24"/>
              </w:rPr>
              <w:t>保护目标</w:t>
            </w:r>
            <w:r>
              <w:rPr>
                <w:color w:val="auto"/>
                <w:sz w:val="24"/>
                <w:lang w:val="zh-CN"/>
              </w:rPr>
              <w:t>。</w:t>
            </w:r>
          </w:p>
          <w:p w14:paraId="75A434C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zh-CN" w:eastAsia="zh-CN"/>
              </w:rPr>
            </w:pPr>
            <w:bookmarkStart w:id="188" w:name="_Toc31999"/>
            <w:bookmarkStart w:id="189" w:name="_Toc8846"/>
            <w:bookmarkStart w:id="190" w:name="_Toc5082"/>
            <w:r>
              <w:rPr>
                <w:rFonts w:hint="default"/>
                <w:b/>
                <w:color w:val="auto"/>
                <w:kern w:val="0"/>
                <w:sz w:val="24"/>
                <w:lang w:val="en-US" w:eastAsia="zh-CN"/>
              </w:rPr>
              <w:t>4.3.3</w:t>
            </w:r>
            <w:r>
              <w:rPr>
                <w:rFonts w:hint="default"/>
                <w:b/>
                <w:color w:val="auto"/>
                <w:kern w:val="0"/>
                <w:sz w:val="24"/>
                <w:lang w:val="zh-CN" w:eastAsia="zh-CN"/>
              </w:rPr>
              <w:t>噪声污染控制措施</w:t>
            </w:r>
            <w:bookmarkEnd w:id="188"/>
            <w:bookmarkEnd w:id="189"/>
            <w:bookmarkEnd w:id="190"/>
          </w:p>
          <w:p w14:paraId="4C948660">
            <w:pPr>
              <w:spacing w:line="360" w:lineRule="auto"/>
              <w:ind w:firstLine="480"/>
              <w:rPr>
                <w:rFonts w:hint="eastAsia" w:ascii="Times New Roman" w:hAnsi="Times New Roman" w:eastAsia="宋体" w:cs="Times New Roman"/>
                <w:bCs/>
                <w:color w:val="auto"/>
                <w:sz w:val="24"/>
                <w:lang w:val="en-US" w:eastAsia="zh-CN"/>
              </w:rPr>
            </w:pPr>
            <w:r>
              <w:rPr>
                <w:color w:val="auto"/>
                <w:sz w:val="24"/>
                <w:lang w:val="zh-CN"/>
              </w:rPr>
              <w:t>为了确保厂界噪声达到《工业企业厂界环境噪声排放标准》</w:t>
            </w:r>
            <w:r>
              <w:rPr>
                <w:rFonts w:hint="eastAsia"/>
                <w:color w:val="auto"/>
                <w:sz w:val="24"/>
                <w:lang w:val="zh-CN"/>
              </w:rPr>
              <w:t>（</w:t>
            </w:r>
            <w:r>
              <w:rPr>
                <w:color w:val="auto"/>
                <w:sz w:val="24"/>
                <w:lang w:val="zh-CN"/>
              </w:rPr>
              <w:t>GB12348-2008</w:t>
            </w:r>
            <w:r>
              <w:rPr>
                <w:rFonts w:hint="eastAsia"/>
                <w:color w:val="auto"/>
                <w:sz w:val="24"/>
                <w:lang w:val="zh-CN"/>
              </w:rPr>
              <w:t>）</w:t>
            </w:r>
            <w:r>
              <w:rPr>
                <w:color w:val="auto"/>
                <w:sz w:val="24"/>
                <w:lang w:val="zh-CN"/>
              </w:rPr>
              <w:t>中3类标准，本报告建议采用以下降噪措施：</w:t>
            </w:r>
          </w:p>
          <w:p w14:paraId="1A0CD3B0">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zh-CN"/>
              </w:rPr>
              <w:t>噪声源控制措施</w:t>
            </w:r>
          </w:p>
          <w:p w14:paraId="50E20EC8">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ascii="Times New Roman" w:hAnsi="Times New Roman" w:eastAsia="宋体" w:cs="Times New Roman"/>
                <w:bCs/>
                <w:color w:val="auto"/>
                <w:sz w:val="24"/>
              </w:rPr>
              <w:t>项目选用低噪声生产设备，</w:t>
            </w:r>
            <w:r>
              <w:rPr>
                <w:rFonts w:hint="eastAsia"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eastAsia"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5A80EA48">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采取声学控制措施，</w:t>
            </w:r>
            <w:r>
              <w:rPr>
                <w:rFonts w:ascii="Times New Roman" w:hAnsi="Times New Roman" w:eastAsia="宋体" w:cs="Times New Roman"/>
                <w:bCs/>
                <w:color w:val="auto"/>
                <w:sz w:val="24"/>
              </w:rPr>
              <w:t>对</w:t>
            </w:r>
            <w:r>
              <w:rPr>
                <w:rFonts w:hint="eastAsia" w:ascii="Times New Roman" w:hAnsi="Times New Roman" w:eastAsia="宋体" w:cs="Times New Roman"/>
                <w:bCs/>
                <w:color w:val="auto"/>
                <w:sz w:val="24"/>
                <w:lang w:val="en-US" w:eastAsia="zh-CN"/>
              </w:rPr>
              <w:t>项目</w:t>
            </w:r>
            <w:r>
              <w:rPr>
                <w:rFonts w:ascii="Times New Roman" w:hAnsi="Times New Roman" w:eastAsia="宋体" w:cs="Times New Roman"/>
                <w:bCs/>
                <w:color w:val="auto"/>
                <w:sz w:val="24"/>
              </w:rPr>
              <w:t>高噪声设备</w:t>
            </w:r>
            <w:r>
              <w:rPr>
                <w:rFonts w:hint="eastAsia" w:ascii="Times New Roman" w:hAnsi="Times New Roman" w:eastAsia="宋体" w:cs="Times New Roman"/>
                <w:bCs/>
                <w:color w:val="auto"/>
                <w:sz w:val="24"/>
                <w:lang w:val="en-US" w:eastAsia="zh-CN"/>
              </w:rPr>
              <w:t>基础设置减振垫；</w:t>
            </w:r>
          </w:p>
          <w:p w14:paraId="4F3F574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ascii="Times New Roman" w:hAnsi="Times New Roman" w:eastAsia="宋体" w:cs="Times New Roman"/>
                <w:bCs/>
                <w:color w:val="auto"/>
                <w:sz w:val="24"/>
              </w:rPr>
              <w:t>加强对设备的管理和维护，</w:t>
            </w:r>
            <w:r>
              <w:rPr>
                <w:rFonts w:hint="eastAsia" w:ascii="Times New Roman" w:hAnsi="Times New Roman" w:eastAsia="宋体" w:cs="Times New Roman"/>
                <w:bCs/>
                <w:color w:val="auto"/>
                <w:sz w:val="24"/>
                <w:lang w:val="en-US" w:eastAsia="zh-CN"/>
              </w:rPr>
              <w:t>避免设备在异常情况下运行；</w:t>
            </w:r>
          </w:p>
          <w:p w14:paraId="6CC2B4F6">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优先选用低噪声车辆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车辆运输物料</w:t>
            </w:r>
            <w:r>
              <w:rPr>
                <w:rFonts w:hint="eastAsia" w:ascii="Times New Roman" w:hAnsi="Times New Roman" w:eastAsia="宋体" w:cs="Times New Roman"/>
                <w:bCs/>
                <w:color w:val="auto"/>
                <w:sz w:val="24"/>
              </w:rPr>
              <w:t>时</w:t>
            </w:r>
            <w:r>
              <w:rPr>
                <w:rFonts w:ascii="Times New Roman" w:hAnsi="Times New Roman" w:eastAsia="宋体" w:cs="Times New Roman"/>
                <w:bCs/>
                <w:color w:val="auto"/>
                <w:sz w:val="24"/>
              </w:rPr>
              <w:t>，在靠近居民点等对声环境质量要求较高的地方，应减小车速，禁止或少鸣喇叭。</w:t>
            </w:r>
          </w:p>
          <w:p w14:paraId="597C0BF7">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（2）噪声传播途径控制措施</w:t>
            </w:r>
          </w:p>
          <w:p w14:paraId="7FEDEB4B">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①合理规划平面布置，将高噪声设备设置于厂区中间，设备运转期间，关闭车间门窗，通过车间墙体等进行阻隔，降低噪声源强。</w:t>
            </w:r>
          </w:p>
          <w:p w14:paraId="626BD7B2">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val="en-US" w:eastAsia="zh-CN"/>
              </w:rPr>
              <w:t>设置声屏障等措施，</w:t>
            </w:r>
            <w:r>
              <w:rPr>
                <w:rFonts w:hint="eastAsia" w:ascii="Times New Roman" w:hAnsi="Times New Roman" w:eastAsia="宋体" w:cs="Times New Roman"/>
                <w:bCs/>
                <w:color w:val="auto"/>
                <w:sz w:val="24"/>
                <w:lang w:val="en-US" w:eastAsia="zh-CN"/>
              </w:rPr>
              <w:t>将高噪声设备设置专门设备隔间，</w:t>
            </w:r>
            <w:r>
              <w:rPr>
                <w:rFonts w:hint="default" w:ascii="Times New Roman" w:hAnsi="Times New Roman" w:eastAsia="宋体" w:cs="Times New Roman"/>
                <w:bCs/>
                <w:color w:val="auto"/>
                <w:sz w:val="24"/>
                <w:lang w:val="en-US" w:eastAsia="zh-CN"/>
              </w:rPr>
              <w:t>设备基础减振</w:t>
            </w:r>
            <w:r>
              <w:rPr>
                <w:rFonts w:hint="eastAsia" w:ascii="Times New Roman" w:hAnsi="Times New Roman" w:eastAsia="宋体" w:cs="Times New Roman"/>
                <w:bCs/>
                <w:color w:val="auto"/>
                <w:sz w:val="24"/>
                <w:lang w:val="en-US" w:eastAsia="zh-CN"/>
              </w:rPr>
              <w:t>、安装消声器等综合降噪措施。</w:t>
            </w:r>
          </w:p>
          <w:p w14:paraId="6E49CEE5">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通过以上降噪措施，有效降低设备噪声对厂界的影响程度，确保</w:t>
            </w:r>
            <w:r>
              <w:rPr>
                <w:rFonts w:hint="eastAsia" w:ascii="Times New Roman" w:hAnsi="Times New Roman" w:eastAsia="宋体" w:cs="Times New Roman"/>
                <w:bCs/>
                <w:color w:val="auto"/>
                <w:sz w:val="24"/>
              </w:rPr>
              <w:t>厂</w:t>
            </w:r>
            <w:r>
              <w:rPr>
                <w:rFonts w:ascii="Times New Roman" w:hAnsi="Times New Roman" w:eastAsia="宋体" w:cs="Times New Roman"/>
                <w:bCs/>
                <w:color w:val="auto"/>
                <w:sz w:val="24"/>
              </w:rPr>
              <w:t>界噪声符合《工业企业厂界环境噪声排放标准》</w:t>
            </w:r>
            <w:r>
              <w:rPr>
                <w:rFonts w:hint="eastAsia" w:cs="Times New Roman"/>
                <w:bCs/>
                <w:color w:val="auto"/>
                <w:sz w:val="24"/>
                <w:lang w:eastAsia="zh-CN"/>
              </w:rPr>
              <w:t>（</w:t>
            </w:r>
            <w:r>
              <w:rPr>
                <w:rFonts w:ascii="Times New Roman" w:hAnsi="Times New Roman" w:eastAsia="宋体" w:cs="Times New Roman"/>
                <w:bCs/>
                <w:color w:val="auto"/>
                <w:sz w:val="24"/>
              </w:rPr>
              <w:t>GB12348-2008</w:t>
            </w:r>
            <w:r>
              <w:rPr>
                <w:rFonts w:hint="eastAsia" w:cs="Times New Roman"/>
                <w:bCs/>
                <w:color w:val="auto"/>
                <w:sz w:val="24"/>
                <w:lang w:eastAsia="zh-CN"/>
              </w:rPr>
              <w:t>）</w:t>
            </w:r>
            <w:r>
              <w:rPr>
                <w:rFonts w:ascii="Times New Roman" w:hAnsi="Times New Roman" w:eastAsia="宋体" w:cs="Times New Roman"/>
                <w:bCs/>
                <w:color w:val="auto"/>
                <w:sz w:val="24"/>
              </w:rPr>
              <w:t>中的</w:t>
            </w:r>
            <w:r>
              <w:rPr>
                <w:rFonts w:hint="eastAsia" w:ascii="Times New Roman" w:hAnsi="Times New Roman" w:eastAsia="宋体" w:cs="Times New Roman"/>
                <w:bCs/>
                <w:color w:val="auto"/>
                <w:sz w:val="24"/>
                <w:lang w:val="en-US" w:eastAsia="zh-CN"/>
              </w:rPr>
              <w:t>3类</w:t>
            </w:r>
            <w:r>
              <w:rPr>
                <w:rFonts w:ascii="Times New Roman" w:hAnsi="Times New Roman" w:eastAsia="宋体" w:cs="Times New Roman"/>
                <w:bCs/>
                <w:color w:val="auto"/>
                <w:sz w:val="24"/>
              </w:rPr>
              <w:t>标准要求，措施可行。</w:t>
            </w:r>
          </w:p>
          <w:p w14:paraId="2E67B531">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highlight w:val="none"/>
                <w:u w:val="none"/>
                <w:lang w:val="en-US" w:eastAsia="zh-CN"/>
              </w:rPr>
            </w:pPr>
            <w:bookmarkStart w:id="191" w:name="_Toc2359"/>
            <w:bookmarkStart w:id="192" w:name="_Toc8658"/>
            <w:r>
              <w:rPr>
                <w:rFonts w:hint="eastAsia" w:ascii="Times New Roman" w:hAnsi="Times New Roman" w:eastAsia="宋体" w:cs="Times New Roman"/>
                <w:color w:val="auto"/>
                <w:sz w:val="28"/>
                <w:szCs w:val="28"/>
                <w:highlight w:val="none"/>
                <w:u w:val="none"/>
                <w:lang w:val="en-US" w:eastAsia="zh-CN"/>
              </w:rPr>
              <w:t>4.4固体废物环境影响分析和污染防治措施</w:t>
            </w:r>
            <w:bookmarkEnd w:id="191"/>
            <w:bookmarkEnd w:id="192"/>
          </w:p>
          <w:p w14:paraId="5A780EC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zh-CN" w:eastAsia="zh-CN"/>
              </w:rPr>
            </w:pPr>
            <w:bookmarkStart w:id="193" w:name="_Toc21337"/>
            <w:bookmarkStart w:id="194" w:name="_Toc23633"/>
            <w:r>
              <w:rPr>
                <w:rFonts w:hint="default"/>
                <w:b/>
                <w:color w:val="auto"/>
                <w:kern w:val="0"/>
                <w:sz w:val="24"/>
                <w:lang w:val="zh-CN" w:eastAsia="zh-CN"/>
              </w:rPr>
              <w:t>4.4.1固体废物</w:t>
            </w:r>
            <w:r>
              <w:rPr>
                <w:rFonts w:hint="eastAsia"/>
                <w:b/>
                <w:color w:val="auto"/>
                <w:kern w:val="0"/>
                <w:sz w:val="24"/>
                <w:lang w:val="en-US" w:eastAsia="zh-CN"/>
              </w:rPr>
              <w:t>污染源</w:t>
            </w:r>
            <w:r>
              <w:rPr>
                <w:rFonts w:hint="default"/>
                <w:b/>
                <w:color w:val="auto"/>
                <w:kern w:val="0"/>
                <w:sz w:val="24"/>
                <w:lang w:val="zh-CN" w:eastAsia="zh-CN"/>
              </w:rPr>
              <w:t>分析</w:t>
            </w:r>
            <w:bookmarkEnd w:id="193"/>
            <w:bookmarkEnd w:id="194"/>
          </w:p>
          <w:p w14:paraId="36164E68">
            <w:pPr>
              <w:widowControl/>
              <w:spacing w:line="360" w:lineRule="auto"/>
              <w:ind w:firstLine="480" w:firstLineChars="200"/>
              <w:jc w:val="left"/>
              <w:rPr>
                <w:rFonts w:ascii="Times New Roman" w:hAnsi="Times New Roman" w:cs="Times New Roman"/>
                <w:color w:val="auto"/>
                <w:kern w:val="0"/>
                <w:sz w:val="24"/>
                <w:highlight w:val="none"/>
                <w:lang w:bidi="ar"/>
              </w:rPr>
            </w:pPr>
            <w:r>
              <w:rPr>
                <w:rFonts w:hint="eastAsia"/>
                <w:color w:val="auto"/>
                <w:sz w:val="24"/>
                <w:lang w:val="en-US" w:eastAsia="zh-CN"/>
              </w:rPr>
              <w:t>本项目运营期内产品检测过程会产生不合格产品属于一般工业固体废物，收集后暂存于一般固废间。废气处理设施产生的废活性炭、设备维护保养时产生的废液压油、冷却水循环沉淀池产生的污泥为危险废物</w:t>
            </w:r>
            <w:r>
              <w:rPr>
                <w:rFonts w:hint="eastAsia" w:cs="Times New Roman"/>
                <w:strike w:val="0"/>
                <w:dstrike w:val="0"/>
                <w:color w:val="auto"/>
                <w:sz w:val="24"/>
                <w:lang w:val="en-US" w:eastAsia="zh-CN"/>
              </w:rPr>
              <w:t>收集后暂存于危险废物贮存库，委托有危废资质单位回收处置。</w:t>
            </w:r>
          </w:p>
          <w:p w14:paraId="1CD97209">
            <w:pPr>
              <w:spacing w:line="360" w:lineRule="auto"/>
              <w:ind w:firstLine="480" w:firstLineChars="200"/>
              <w:rPr>
                <w:color w:val="auto"/>
                <w:sz w:val="24"/>
              </w:rPr>
            </w:pPr>
            <w:r>
              <w:rPr>
                <w:color w:val="auto"/>
                <w:sz w:val="24"/>
              </w:rPr>
              <w:t>（</w:t>
            </w:r>
            <w:r>
              <w:rPr>
                <w:rFonts w:hint="eastAsia"/>
                <w:color w:val="auto"/>
                <w:sz w:val="24"/>
                <w:lang w:val="en-US" w:eastAsia="zh-CN"/>
              </w:rPr>
              <w:t>1</w:t>
            </w:r>
            <w:r>
              <w:rPr>
                <w:color w:val="auto"/>
                <w:sz w:val="24"/>
              </w:rPr>
              <w:t>）生活固废</w:t>
            </w:r>
          </w:p>
          <w:p w14:paraId="09BEC9F4">
            <w:pPr>
              <w:spacing w:line="360" w:lineRule="auto"/>
              <w:ind w:firstLine="480"/>
              <w:rPr>
                <w:color w:val="auto"/>
                <w:sz w:val="24"/>
                <w:lang w:val="zh-CN"/>
              </w:rPr>
            </w:pPr>
            <w:r>
              <w:rPr>
                <w:rFonts w:hint="eastAsia"/>
                <w:color w:val="auto"/>
                <w:sz w:val="24"/>
              </w:rPr>
              <w:t>根据我国生活垃圾排放系数，不住厂职工生活垃圾排放系数取</w:t>
            </w:r>
            <w:r>
              <w:rPr>
                <w:color w:val="auto"/>
                <w:sz w:val="24"/>
              </w:rPr>
              <w:t>K=0.5kg/</w:t>
            </w:r>
            <w:r>
              <w:rPr>
                <w:rFonts w:hint="eastAsia"/>
                <w:color w:val="auto"/>
                <w:sz w:val="24"/>
              </w:rPr>
              <w:t>人</w:t>
            </w:r>
            <w:r>
              <w:rPr>
                <w:color w:val="auto"/>
                <w:sz w:val="24"/>
              </w:rPr>
              <w:t>•</w:t>
            </w:r>
            <w:r>
              <w:rPr>
                <w:rFonts w:hint="eastAsia"/>
                <w:color w:val="auto"/>
                <w:sz w:val="24"/>
              </w:rPr>
              <w:t>天，项目职工</w:t>
            </w:r>
            <w:r>
              <w:rPr>
                <w:rFonts w:hint="eastAsia"/>
                <w:color w:val="auto"/>
                <w:sz w:val="24"/>
                <w:lang w:val="en-US" w:eastAsia="zh-CN"/>
              </w:rPr>
              <w:t>80</w:t>
            </w:r>
            <w:r>
              <w:rPr>
                <w:rFonts w:hint="eastAsia"/>
                <w:color w:val="auto"/>
                <w:sz w:val="24"/>
              </w:rPr>
              <w:t>人，按</w:t>
            </w:r>
            <w:r>
              <w:rPr>
                <w:color w:val="auto"/>
                <w:sz w:val="24"/>
              </w:rPr>
              <w:t>3</w:t>
            </w:r>
            <w:r>
              <w:rPr>
                <w:rFonts w:hint="eastAsia"/>
                <w:color w:val="auto"/>
                <w:sz w:val="24"/>
                <w:lang w:val="en-US" w:eastAsia="zh-CN"/>
              </w:rPr>
              <w:t>3</w:t>
            </w:r>
            <w:r>
              <w:rPr>
                <w:color w:val="auto"/>
                <w:sz w:val="24"/>
              </w:rPr>
              <w:t>0</w:t>
            </w:r>
            <w:r>
              <w:rPr>
                <w:rFonts w:hint="eastAsia"/>
                <w:color w:val="auto"/>
                <w:sz w:val="24"/>
              </w:rPr>
              <w:t>天</w:t>
            </w:r>
            <w:r>
              <w:rPr>
                <w:color w:val="auto"/>
                <w:sz w:val="24"/>
              </w:rPr>
              <w:t>/</w:t>
            </w:r>
            <w:r>
              <w:rPr>
                <w:rFonts w:hint="eastAsia"/>
                <w:color w:val="auto"/>
                <w:sz w:val="24"/>
              </w:rPr>
              <w:t>年计，则项目生活垃圾产生量为</w:t>
            </w:r>
            <w:r>
              <w:rPr>
                <w:rFonts w:hint="eastAsia"/>
                <w:color w:val="auto"/>
                <w:sz w:val="24"/>
                <w:lang w:val="en-US" w:eastAsia="zh-CN"/>
              </w:rPr>
              <w:t>13.2</w:t>
            </w:r>
            <w:r>
              <w:rPr>
                <w:color w:val="auto"/>
                <w:sz w:val="24"/>
              </w:rPr>
              <w:t>t/a</w:t>
            </w:r>
            <w:r>
              <w:rPr>
                <w:rFonts w:hint="eastAsia"/>
                <w:color w:val="auto"/>
                <w:sz w:val="24"/>
              </w:rPr>
              <w:t>。</w:t>
            </w:r>
            <w:r>
              <w:rPr>
                <w:color w:val="auto"/>
                <w:sz w:val="24"/>
              </w:rPr>
              <w:t>集中收集后委托环卫部门清运处理。</w:t>
            </w:r>
            <w:r>
              <w:rPr>
                <w:rFonts w:hint="eastAsia"/>
                <w:color w:val="auto"/>
                <w:sz w:val="24"/>
              </w:rPr>
              <w:t>对照《固体废物分类与代码目录》（公告2024年第4号），属于SW64，900-099-S64。</w:t>
            </w:r>
          </w:p>
          <w:p w14:paraId="3734E33D">
            <w:pPr>
              <w:adjustRightInd w:val="0"/>
              <w:snapToGrid w:val="0"/>
              <w:spacing w:line="360" w:lineRule="auto"/>
              <w:ind w:firstLine="480" w:firstLineChars="200"/>
              <w:rPr>
                <w:color w:val="auto"/>
                <w:sz w:val="24"/>
                <w:lang w:val="zh-CN"/>
              </w:rPr>
            </w:pPr>
            <w:r>
              <w:rPr>
                <w:color w:val="auto"/>
                <w:sz w:val="24"/>
                <w:lang w:val="zh-CN"/>
              </w:rPr>
              <w:t>（</w:t>
            </w:r>
            <w:r>
              <w:rPr>
                <w:rFonts w:hint="eastAsia"/>
                <w:color w:val="auto"/>
                <w:sz w:val="24"/>
                <w:lang w:val="en-US" w:eastAsia="zh-CN"/>
              </w:rPr>
              <w:t>2</w:t>
            </w:r>
            <w:r>
              <w:rPr>
                <w:color w:val="auto"/>
                <w:sz w:val="24"/>
              </w:rPr>
              <w:t>）</w:t>
            </w:r>
            <w:r>
              <w:rPr>
                <w:color w:val="auto"/>
                <w:sz w:val="24"/>
                <w:lang w:val="zh-CN"/>
              </w:rPr>
              <w:t>一般工业固废</w:t>
            </w:r>
          </w:p>
          <w:p w14:paraId="00650DCB">
            <w:pPr>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①不合格产品</w:t>
            </w:r>
          </w:p>
          <w:p w14:paraId="0B72DD53">
            <w:pPr>
              <w:spacing w:line="360" w:lineRule="auto"/>
              <w:ind w:firstLine="480"/>
              <w:rPr>
                <w:rFonts w:hint="default" w:ascii="Times New Roman" w:hAnsi="Times New Roman" w:eastAsia="宋体" w:cs="Times New Roman"/>
                <w:color w:val="auto"/>
                <w:sz w:val="24"/>
                <w:lang w:val="en-US" w:eastAsia="zh-CN"/>
              </w:rPr>
            </w:pPr>
            <w:r>
              <w:rPr>
                <w:rFonts w:hint="eastAsia"/>
                <w:color w:val="auto"/>
                <w:sz w:val="24"/>
                <w:lang w:val="en-US" w:eastAsia="zh-CN"/>
              </w:rPr>
              <w:t>根据业主提供资料项目产品检测时产品合格率为96%，则本次扩建不合格产品的产生量约为（6800+900+1200）t/a×（1-96%）=356t/a，属于一般固体废物且具有一定的回收价值，经收集后外售综合利用。</w:t>
            </w:r>
          </w:p>
          <w:p w14:paraId="4FF40B03">
            <w:pPr>
              <w:adjustRightInd w:val="0"/>
              <w:snapToGrid w:val="0"/>
              <w:spacing w:line="360" w:lineRule="auto"/>
              <w:ind w:firstLine="480" w:firstLineChars="200"/>
              <w:rPr>
                <w:rFonts w:hint="eastAsia" w:ascii="Times New Roman" w:hAnsi="Times New Roman" w:eastAsia="宋体" w:cs="Times New Roman"/>
                <w:strike w:val="0"/>
                <w:dstrike w:val="0"/>
                <w:color w:val="auto"/>
                <w:sz w:val="24"/>
              </w:rPr>
            </w:pPr>
            <w:r>
              <w:rPr>
                <w:rFonts w:hint="eastAsia" w:ascii="Times New Roman" w:hAnsi="Times New Roman" w:eastAsia="宋体" w:cs="Times New Roman"/>
                <w:color w:val="auto"/>
                <w:sz w:val="24"/>
                <w:lang w:val="en-US" w:eastAsia="zh-CN"/>
              </w:rPr>
              <w:t>（3）危险废物</w:t>
            </w:r>
            <w:bookmarkEnd w:id="177"/>
            <w:bookmarkEnd w:id="178"/>
            <w:bookmarkEnd w:id="179"/>
          </w:p>
          <w:p w14:paraId="1A0BE328">
            <w:pPr>
              <w:widowControl/>
              <w:spacing w:line="360" w:lineRule="auto"/>
              <w:ind w:firstLine="480" w:firstLineChars="200"/>
              <w:jc w:val="left"/>
              <w:rPr>
                <w:rFonts w:hint="default" w:ascii="Times New Roman" w:hAnsi="Times New Roman" w:eastAsia="宋体" w:cs="Times New Roman"/>
                <w:strike w:val="0"/>
                <w:dstrike w:val="0"/>
                <w:color w:val="auto"/>
                <w:sz w:val="24"/>
              </w:rPr>
            </w:pPr>
            <w:r>
              <w:rPr>
                <w:rFonts w:hint="eastAsia" w:cs="Times New Roman"/>
                <w:strike w:val="0"/>
                <w:dstrike w:val="0"/>
                <w:color w:val="auto"/>
                <w:sz w:val="24"/>
                <w:lang w:val="en-US" w:eastAsia="zh-CN"/>
              </w:rPr>
              <w:t>①</w:t>
            </w:r>
            <w:r>
              <w:rPr>
                <w:rFonts w:hint="default" w:ascii="Times New Roman" w:hAnsi="Times New Roman" w:eastAsia="宋体" w:cs="Times New Roman"/>
                <w:strike w:val="0"/>
                <w:dstrike w:val="0"/>
                <w:color w:val="auto"/>
                <w:sz w:val="24"/>
              </w:rPr>
              <w:t>废活性炭</w:t>
            </w:r>
          </w:p>
          <w:p w14:paraId="32A249D2">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strike w:val="0"/>
                <w:dstrike w:val="0"/>
                <w:color w:val="auto"/>
                <w:sz w:val="24"/>
                <w:lang w:val="en-US" w:eastAsia="zh-CN"/>
              </w:rPr>
              <w:t>根据中国建筑出版社</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1997</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出版的《简明通风设计手册》第十章中关于活性吸附处理治理废气的方法中提供的数据：每1.0kg活性炭吸附</w:t>
            </w:r>
            <w:r>
              <w:rPr>
                <w:rFonts w:hint="eastAsia" w:cs="Times New Roman"/>
                <w:strike w:val="0"/>
                <w:dstrike w:val="0"/>
                <w:color w:val="auto"/>
                <w:sz w:val="24"/>
                <w:lang w:val="en-US" w:eastAsia="zh-CN"/>
              </w:rPr>
              <w:t>生产</w:t>
            </w:r>
            <w:r>
              <w:rPr>
                <w:rFonts w:hint="default" w:ascii="Times New Roman" w:hAnsi="Times New Roman" w:eastAsia="宋体" w:cs="Times New Roman"/>
                <w:strike w:val="0"/>
                <w:dstrike w:val="0"/>
                <w:color w:val="auto"/>
                <w:sz w:val="24"/>
                <w:lang w:val="en-US" w:eastAsia="zh-CN"/>
              </w:rPr>
              <w:t>废气的平衡量为0.43～0.61kg，本项目按1t活性炭吸附</w:t>
            </w:r>
            <w:r>
              <w:rPr>
                <w:rFonts w:hint="eastAsia" w:ascii="Times New Roman" w:hAnsi="Times New Roman" w:eastAsia="宋体" w:cs="Times New Roman"/>
                <w:strike w:val="0"/>
                <w:dstrike w:val="0"/>
                <w:color w:val="auto"/>
                <w:sz w:val="24"/>
                <w:lang w:val="en-US" w:eastAsia="zh-CN"/>
              </w:rPr>
              <w:t>0.3</w:t>
            </w:r>
            <w:r>
              <w:rPr>
                <w:rFonts w:hint="default" w:ascii="Times New Roman" w:hAnsi="Times New Roman" w:eastAsia="宋体" w:cs="Times New Roman"/>
                <w:strike w:val="0"/>
                <w:dstrike w:val="0"/>
                <w:color w:val="auto"/>
                <w:sz w:val="24"/>
                <w:lang w:val="en-US" w:eastAsia="zh-CN"/>
              </w:rPr>
              <w:t>t有机废气计算，</w:t>
            </w:r>
            <w:r>
              <w:rPr>
                <w:rFonts w:hint="default" w:ascii="Times New Roman" w:hAnsi="Times New Roman" w:eastAsia="宋体" w:cs="Times New Roman"/>
                <w:strike w:val="0"/>
                <w:dstrike w:val="0"/>
                <w:color w:val="auto"/>
                <w:sz w:val="24"/>
                <w:lang w:val="zh-CN" w:eastAsia="zh-CN"/>
              </w:rPr>
              <w:t>根据前文产排污分</w:t>
            </w:r>
            <w:r>
              <w:rPr>
                <w:rFonts w:hint="default" w:ascii="Times New Roman" w:hAnsi="Times New Roman" w:eastAsia="宋体" w:cs="Times New Roman"/>
                <w:bCs/>
                <w:color w:val="auto"/>
                <w:sz w:val="24"/>
                <w:highlight w:val="none"/>
                <w:lang w:val="zh-CN" w:eastAsia="zh-CN"/>
              </w:rPr>
              <w:t>析可知，项目有组织</w:t>
            </w:r>
            <w:r>
              <w:rPr>
                <w:rFonts w:hint="eastAsia"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lang w:val="zh-CN" w:eastAsia="zh-CN"/>
              </w:rPr>
              <w:t>废气</w:t>
            </w:r>
            <w:r>
              <w:rPr>
                <w:rFonts w:hint="default" w:ascii="Times New Roman" w:hAnsi="Times New Roman" w:eastAsia="宋体" w:cs="Times New Roman"/>
                <w:bCs/>
                <w:color w:val="auto"/>
                <w:sz w:val="24"/>
                <w:highlight w:val="none"/>
                <w:lang w:val="en-US" w:eastAsia="zh-CN"/>
              </w:rPr>
              <w:t>净化了</w:t>
            </w:r>
            <w:r>
              <w:rPr>
                <w:rFonts w:hint="eastAsia" w:cs="Times New Roman"/>
                <w:bCs/>
                <w:color w:val="auto"/>
                <w:sz w:val="24"/>
                <w:highlight w:val="none"/>
                <w:lang w:val="en-US" w:eastAsia="zh-CN"/>
              </w:rPr>
              <w:t>3.5818</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zh-CN" w:eastAsia="zh-CN"/>
              </w:rPr>
              <w:t>，本项目</w:t>
            </w:r>
            <w:r>
              <w:rPr>
                <w:rFonts w:hint="eastAsia"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lang w:val="zh-CN" w:eastAsia="zh-CN"/>
              </w:rPr>
              <w:t>废气采用</w:t>
            </w:r>
            <w:r>
              <w:rPr>
                <w:rFonts w:hint="eastAsia" w:ascii="Times New Roman" w:hAnsi="Times New Roman" w:eastAsia="宋体" w:cs="Times New Roman"/>
                <w:bCs/>
                <w:color w:val="auto"/>
                <w:sz w:val="24"/>
                <w:highlight w:val="none"/>
                <w:lang w:val="en-US" w:eastAsia="zh-CN"/>
              </w:rPr>
              <w:t>活性炭吸附装置</w:t>
            </w:r>
            <w:r>
              <w:rPr>
                <w:rFonts w:hint="default" w:ascii="Times New Roman" w:hAnsi="Times New Roman" w:eastAsia="宋体" w:cs="Times New Roman"/>
                <w:bCs/>
                <w:color w:val="auto"/>
                <w:sz w:val="24"/>
                <w:highlight w:val="none"/>
                <w:lang w:val="en-US" w:eastAsia="zh-CN"/>
              </w:rPr>
              <w:t>净化处理，则预计项目年</w:t>
            </w:r>
            <w:r>
              <w:rPr>
                <w:rFonts w:hint="eastAsia" w:ascii="Times New Roman" w:hAnsi="Times New Roman" w:eastAsia="宋体" w:cs="Times New Roman"/>
                <w:bCs/>
                <w:color w:val="auto"/>
                <w:sz w:val="24"/>
                <w:highlight w:val="none"/>
                <w:lang w:val="en-US" w:eastAsia="zh-CN"/>
              </w:rPr>
              <w:t>废</w:t>
            </w:r>
            <w:r>
              <w:rPr>
                <w:rFonts w:hint="default" w:ascii="Times New Roman" w:hAnsi="Times New Roman" w:eastAsia="宋体" w:cs="Times New Roman"/>
                <w:bCs/>
                <w:color w:val="auto"/>
                <w:sz w:val="24"/>
                <w:highlight w:val="none"/>
                <w:lang w:val="en-US" w:eastAsia="zh-CN"/>
              </w:rPr>
              <w:t>活性炭</w:t>
            </w:r>
            <w:r>
              <w:rPr>
                <w:rFonts w:hint="eastAsia" w:ascii="Times New Roman" w:hAnsi="Times New Roman" w:eastAsia="宋体" w:cs="Times New Roman"/>
                <w:bCs/>
                <w:color w:val="auto"/>
                <w:sz w:val="24"/>
                <w:highlight w:val="none"/>
                <w:lang w:val="en-US" w:eastAsia="zh-CN"/>
              </w:rPr>
              <w:t>产生</w:t>
            </w:r>
            <w:r>
              <w:rPr>
                <w:rFonts w:hint="default" w:ascii="Times New Roman" w:hAnsi="Times New Roman" w:eastAsia="宋体" w:cs="Times New Roman"/>
                <w:bCs/>
                <w:color w:val="auto"/>
                <w:sz w:val="24"/>
                <w:highlight w:val="none"/>
                <w:lang w:val="en-US" w:eastAsia="zh-CN"/>
              </w:rPr>
              <w:t>量为</w:t>
            </w:r>
            <w:r>
              <w:rPr>
                <w:rFonts w:hint="eastAsia" w:cs="Times New Roman"/>
                <w:bCs/>
                <w:color w:val="auto"/>
                <w:sz w:val="24"/>
                <w:highlight w:val="none"/>
                <w:lang w:val="en-US" w:eastAsia="zh-CN"/>
              </w:rPr>
              <w:t>3.5818</w:t>
            </w:r>
            <w:r>
              <w:rPr>
                <w:rFonts w:hint="eastAsia" w:ascii="Times New Roman" w:hAnsi="Times New Roman" w:eastAsia="宋体" w:cs="Times New Roman"/>
                <w:bCs/>
                <w:color w:val="auto"/>
                <w:sz w:val="24"/>
                <w:highlight w:val="none"/>
                <w:lang w:val="en-US" w:eastAsia="zh-CN"/>
              </w:rPr>
              <w:t>t/a÷0.3</w:t>
            </w:r>
            <w:r>
              <w:rPr>
                <w:rFonts w:hint="eastAsia" w:ascii="Times New Roman" w:hAnsi="Times New Roman" w:cs="Times New Roman"/>
                <w:bCs/>
                <w:color w:val="auto"/>
                <w:sz w:val="24"/>
                <w:highlight w:val="none"/>
                <w:lang w:val="en-US" w:eastAsia="zh-CN"/>
              </w:rPr>
              <w:t>t</w:t>
            </w:r>
            <w:r>
              <w:rPr>
                <w:rFonts w:hint="eastAsia"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3.8518</w:t>
            </w:r>
            <w:r>
              <w:rPr>
                <w:rFonts w:hint="eastAsia" w:ascii="Times New Roman" w:hAnsi="Times New Roman" w:eastAsia="宋体" w:cs="Times New Roman"/>
                <w:bCs/>
                <w:color w:val="auto"/>
                <w:sz w:val="24"/>
                <w:highlight w:val="none"/>
                <w:lang w:val="en-US" w:eastAsia="zh-CN"/>
              </w:rPr>
              <w:t>t/a=</w:t>
            </w:r>
            <w:r>
              <w:rPr>
                <w:rFonts w:hint="eastAsia" w:cs="Times New Roman"/>
                <w:bCs/>
                <w:color w:val="auto"/>
                <w:sz w:val="24"/>
                <w:highlight w:val="none"/>
                <w:lang w:val="en-US" w:eastAsia="zh-CN"/>
              </w:rPr>
              <w:t>15.52</w:t>
            </w:r>
            <w:r>
              <w:rPr>
                <w:rFonts w:hint="default" w:ascii="Times New Roman" w:hAnsi="Times New Roman" w:eastAsia="宋体" w:cs="Times New Roman"/>
                <w:bCs/>
                <w:color w:val="auto"/>
                <w:sz w:val="24"/>
                <w:highlight w:val="none"/>
                <w:lang w:val="en-US" w:eastAsia="zh-CN"/>
              </w:rPr>
              <w:t>t</w:t>
            </w:r>
            <w:r>
              <w:rPr>
                <w:rFonts w:hint="eastAsia"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活性炭的填充量为</w:t>
            </w:r>
            <w:r>
              <w:rPr>
                <w:rFonts w:hint="eastAsia" w:cs="Times New Roman"/>
                <w:bCs/>
                <w:color w:val="auto"/>
                <w:sz w:val="24"/>
                <w:highlight w:val="none"/>
                <w:lang w:val="en-US" w:eastAsia="zh-CN"/>
              </w:rPr>
              <w:t>3</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，项目计划</w:t>
            </w:r>
            <w:r>
              <w:rPr>
                <w:rFonts w:hint="eastAsia" w:ascii="Times New Roman" w:hAnsi="Times New Roman" w:eastAsia="宋体" w:cs="Times New Roman"/>
                <w:bCs/>
                <w:color w:val="auto"/>
                <w:sz w:val="24"/>
                <w:highlight w:val="none"/>
                <w:lang w:val="en-US" w:eastAsia="zh-CN"/>
              </w:rPr>
              <w:t>每</w:t>
            </w: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zh-CN" w:eastAsia="zh-CN"/>
              </w:rPr>
              <w:t>个月更换一次活性炭吸附填料，确保项目</w:t>
            </w:r>
            <w:r>
              <w:rPr>
                <w:rFonts w:hint="eastAsia"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lang w:val="zh-CN" w:eastAsia="zh-CN"/>
              </w:rPr>
              <w:t>废气达标排放</w:t>
            </w:r>
            <w:r>
              <w:rPr>
                <w:rFonts w:hint="eastAsia"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en-US" w:eastAsia="zh-CN"/>
              </w:rPr>
              <w:t>根据《国家危险废物名录》</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202</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年版</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，废活性炭属于危险废物，废物类别为HW49其他废物，废物代码900-039-49</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highlight w:val="none"/>
              </w:rPr>
              <w:t>暂存于危险废物</w:t>
            </w:r>
            <w:r>
              <w:rPr>
                <w:rFonts w:hint="eastAsia" w:ascii="Times New Roman" w:hAnsi="Times New Roman" w:eastAsia="宋体" w:cs="Times New Roman"/>
                <w:bCs/>
                <w:color w:val="auto"/>
                <w:sz w:val="24"/>
                <w:highlight w:val="none"/>
                <w:lang w:val="en-US" w:eastAsia="zh-CN"/>
              </w:rPr>
              <w:t>贮存库，定期委托有资质单位处置。</w:t>
            </w:r>
          </w:p>
          <w:p w14:paraId="4FDBCCC3">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cs="Times New Roman"/>
                <w:strike w:val="0"/>
                <w:dstrike w:val="0"/>
                <w:color w:val="auto"/>
                <w:sz w:val="24"/>
                <w:lang w:val="en-US" w:eastAsia="zh-CN"/>
              </w:rPr>
              <w:t>②废液压油</w:t>
            </w:r>
          </w:p>
          <w:p w14:paraId="7013C0E9">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本项目在设备检修维护过</w:t>
            </w:r>
            <w:r>
              <w:rPr>
                <w:rFonts w:hint="eastAsia" w:cs="Times New Roman"/>
                <w:bCs/>
                <w:color w:val="auto"/>
                <w:sz w:val="24"/>
                <w:highlight w:val="none"/>
                <w:lang w:val="en-US" w:eastAsia="zh-CN"/>
              </w:rPr>
              <w:t>程中</w:t>
            </w:r>
            <w:r>
              <w:rPr>
                <w:rFonts w:hint="eastAsia" w:ascii="Times New Roman" w:hAnsi="Times New Roman" w:eastAsia="宋体" w:cs="Times New Roman"/>
                <w:bCs/>
                <w:color w:val="auto"/>
                <w:sz w:val="24"/>
                <w:highlight w:val="none"/>
                <w:lang w:val="en-US" w:eastAsia="zh-CN"/>
              </w:rPr>
              <w:t>会产生少量废</w:t>
            </w:r>
            <w:r>
              <w:rPr>
                <w:rFonts w:hint="eastAsia" w:ascii="Times New Roman" w:hAnsi="Times New Roman" w:cs="Times New Roman"/>
                <w:color w:val="auto"/>
                <w:kern w:val="0"/>
                <w:sz w:val="24"/>
                <w:highlight w:val="none"/>
                <w:lang w:bidi="ar"/>
              </w:rPr>
              <w:t>液压油</w:t>
            </w:r>
            <w:r>
              <w:rPr>
                <w:rFonts w:hint="eastAsia" w:cs="Times New Roman"/>
                <w:bCs/>
                <w:color w:val="auto"/>
                <w:sz w:val="24"/>
                <w:highlight w:val="none"/>
                <w:lang w:val="en-US" w:eastAsia="zh-CN"/>
              </w:rPr>
              <w:t>使用量约0.4t/a</w:t>
            </w:r>
            <w:r>
              <w:rPr>
                <w:rFonts w:hint="eastAsia" w:ascii="Times New Roman" w:hAnsi="Times New Roman" w:cs="Times New Roman"/>
                <w:color w:val="auto"/>
                <w:kern w:val="0"/>
                <w:sz w:val="24"/>
                <w:highlight w:val="none"/>
                <w:lang w:bidi="ar"/>
              </w:rPr>
              <w:t>，折合每年0.</w:t>
            </w:r>
            <w:r>
              <w:rPr>
                <w:rFonts w:hint="eastAsia" w:cs="Times New Roman"/>
                <w:color w:val="auto"/>
                <w:kern w:val="0"/>
                <w:sz w:val="24"/>
                <w:highlight w:val="none"/>
                <w:lang w:val="en-US" w:eastAsia="zh-CN" w:bidi="ar"/>
              </w:rPr>
              <w:t>4</w:t>
            </w:r>
            <w:r>
              <w:rPr>
                <w:rFonts w:hint="eastAsia" w:ascii="Times New Roman" w:hAnsi="Times New Roman" w:cs="Times New Roman"/>
                <w:color w:val="auto"/>
                <w:kern w:val="0"/>
                <w:sz w:val="24"/>
                <w:highlight w:val="none"/>
                <w:lang w:bidi="ar"/>
              </w:rPr>
              <w:t>t/a，扣除液压油消耗部分（约为使用量的20%），则项目平均年产废液压油0.</w:t>
            </w:r>
            <w:r>
              <w:rPr>
                <w:rFonts w:hint="eastAsia" w:cs="Times New Roman"/>
                <w:color w:val="auto"/>
                <w:kern w:val="0"/>
                <w:sz w:val="24"/>
                <w:highlight w:val="none"/>
                <w:lang w:val="en-US" w:eastAsia="zh-CN" w:bidi="ar"/>
              </w:rPr>
              <w:t>08</w:t>
            </w:r>
            <w:r>
              <w:rPr>
                <w:rFonts w:hint="eastAsia" w:ascii="Times New Roman" w:hAnsi="Times New Roman" w:cs="Times New Roman"/>
                <w:color w:val="auto"/>
                <w:kern w:val="0"/>
                <w:sz w:val="24"/>
                <w:highlight w:val="none"/>
                <w:lang w:bidi="ar"/>
              </w:rPr>
              <w:t>t/a</w:t>
            </w:r>
            <w:r>
              <w:rPr>
                <w:rFonts w:hint="eastAsia" w:cs="Times New Roman"/>
                <w:color w:val="auto"/>
                <w:kern w:val="0"/>
                <w:sz w:val="24"/>
                <w:highlight w:val="none"/>
                <w:lang w:eastAsia="zh-CN" w:bidi="ar"/>
              </w:rPr>
              <w:t>。</w:t>
            </w:r>
            <w:r>
              <w:rPr>
                <w:rFonts w:hint="eastAsia" w:cs="Times New Roman"/>
                <w:bCs/>
                <w:color w:val="auto"/>
                <w:sz w:val="24"/>
                <w:highlight w:val="none"/>
                <w:lang w:val="en-US" w:eastAsia="zh-CN"/>
              </w:rPr>
              <w:t>废液压油</w:t>
            </w:r>
            <w:r>
              <w:rPr>
                <w:rFonts w:hint="eastAsia" w:ascii="Times New Roman" w:hAnsi="Times New Roman" w:eastAsia="宋体" w:cs="Times New Roman"/>
                <w:bCs/>
                <w:color w:val="auto"/>
                <w:sz w:val="24"/>
                <w:highlight w:val="none"/>
                <w:lang w:val="en-US" w:eastAsia="zh-CN"/>
              </w:rPr>
              <w:t>属于《国家危险废物名录》（</w:t>
            </w:r>
            <w:r>
              <w:rPr>
                <w:rFonts w:hint="default" w:ascii="Times New Roman" w:hAnsi="Times New Roman" w:eastAsia="宋体" w:cs="Times New Roman"/>
                <w:bCs/>
                <w:color w:val="auto"/>
                <w:sz w:val="24"/>
                <w:highlight w:val="none"/>
                <w:lang w:val="en-US" w:eastAsia="zh-CN"/>
              </w:rPr>
              <w:t>2025</w:t>
            </w:r>
            <w:r>
              <w:rPr>
                <w:rFonts w:hint="eastAsia" w:ascii="Times New Roman" w:hAnsi="Times New Roman" w:eastAsia="宋体" w:cs="Times New Roman"/>
                <w:bCs/>
                <w:color w:val="auto"/>
                <w:sz w:val="24"/>
                <w:highlight w:val="none"/>
                <w:lang w:val="en-US" w:eastAsia="zh-CN"/>
              </w:rPr>
              <w:t>年版）中的</w:t>
            </w:r>
            <w:r>
              <w:rPr>
                <w:rFonts w:hint="default" w:ascii="Times New Roman" w:hAnsi="Times New Roman" w:eastAsia="宋体" w:cs="Times New Roman"/>
                <w:bCs/>
                <w:color w:val="auto"/>
                <w:sz w:val="24"/>
                <w:highlight w:val="none"/>
                <w:lang w:val="en-US" w:eastAsia="zh-CN"/>
              </w:rPr>
              <w:t>HW08</w:t>
            </w:r>
            <w:r>
              <w:rPr>
                <w:rFonts w:hint="eastAsia" w:ascii="Times New Roman" w:hAnsi="Times New Roman" w:eastAsia="宋体" w:cs="Times New Roman"/>
                <w:bCs/>
                <w:color w:val="auto"/>
                <w:sz w:val="24"/>
                <w:highlight w:val="none"/>
                <w:lang w:val="en-US" w:eastAsia="zh-CN"/>
              </w:rPr>
              <w:t>类危废（</w:t>
            </w:r>
            <w:r>
              <w:rPr>
                <w:rFonts w:hint="default" w:ascii="Times New Roman" w:hAnsi="Times New Roman" w:eastAsia="宋体" w:cs="Times New Roman"/>
                <w:bCs/>
                <w:color w:val="auto"/>
                <w:sz w:val="24"/>
                <w:highlight w:val="none"/>
                <w:lang w:val="en-US" w:eastAsia="zh-CN"/>
              </w:rPr>
              <w:t>900-217-08</w:t>
            </w:r>
            <w:r>
              <w:rPr>
                <w:rFonts w:hint="eastAsia" w:ascii="Times New Roman" w:hAnsi="Times New Roman" w:eastAsia="宋体" w:cs="Times New Roman"/>
                <w:bCs/>
                <w:color w:val="auto"/>
                <w:sz w:val="24"/>
                <w:highlight w:val="none"/>
                <w:lang w:val="en-US" w:eastAsia="zh-CN"/>
              </w:rPr>
              <w:t>）。废</w:t>
            </w:r>
            <w:r>
              <w:rPr>
                <w:rFonts w:hint="eastAsia" w:cs="Times New Roman"/>
                <w:bCs/>
                <w:color w:val="auto"/>
                <w:sz w:val="24"/>
                <w:highlight w:val="none"/>
                <w:lang w:val="en-US" w:eastAsia="zh-CN"/>
              </w:rPr>
              <w:t>液压油</w:t>
            </w:r>
            <w:r>
              <w:rPr>
                <w:rFonts w:hint="eastAsia" w:ascii="Times New Roman" w:hAnsi="Times New Roman" w:eastAsia="宋体" w:cs="Times New Roman"/>
                <w:bCs/>
                <w:color w:val="auto"/>
                <w:sz w:val="24"/>
                <w:highlight w:val="none"/>
                <w:lang w:val="en-US" w:eastAsia="zh-CN"/>
              </w:rPr>
              <w:t>统一收集后暂存于危险废物贮存库，后交由有资质单位进行处置。</w:t>
            </w:r>
          </w:p>
          <w:p w14:paraId="65A772FA">
            <w:pPr>
              <w:spacing w:line="360" w:lineRule="auto"/>
              <w:ind w:firstLine="480"/>
              <w:rPr>
                <w:rFonts w:hint="eastAsia"/>
                <w:color w:val="auto"/>
                <w:sz w:val="24"/>
                <w:lang w:val="en-US" w:eastAsia="zh-CN"/>
              </w:rPr>
            </w:pPr>
            <w:r>
              <w:rPr>
                <w:rFonts w:hint="eastAsia"/>
                <w:color w:val="auto"/>
                <w:sz w:val="24"/>
                <w:lang w:val="en-US" w:eastAsia="zh-CN"/>
              </w:rPr>
              <w:t>⑥冷却水循环沉淀池产生的污泥</w:t>
            </w:r>
          </w:p>
          <w:p w14:paraId="017AC9F5">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根据4.2.1运营期废水源强分析</w:t>
            </w:r>
            <w:r>
              <w:rPr>
                <w:rFonts w:hint="eastAsia" w:cs="Times New Roman"/>
                <w:b w:val="0"/>
                <w:bCs w:val="0"/>
                <w:color w:val="auto"/>
                <w:sz w:val="24"/>
                <w:szCs w:val="24"/>
                <w:highlight w:val="none"/>
                <w:lang w:val="en-US" w:eastAsia="zh-CN"/>
              </w:rPr>
              <w:t>，</w:t>
            </w:r>
            <w:r>
              <w:rPr>
                <w:rFonts w:hint="eastAsia"/>
                <w:color w:val="auto"/>
                <w:sz w:val="24"/>
                <w:highlight w:val="none"/>
              </w:rPr>
              <w:t>项目生产废水主要是模具冷却水及蒸汽冷凝水，生产废水经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olor w:val="auto"/>
                <w:sz w:val="24"/>
                <w:highlight w:val="none"/>
              </w:rPr>
              <w:t>处理后回用于模具冷却，</w:t>
            </w:r>
            <w:r>
              <w:rPr>
                <w:rFonts w:hint="eastAsia"/>
                <w:color w:val="auto"/>
                <w:sz w:val="24"/>
                <w:highlight w:val="none"/>
                <w:lang w:val="en-US" w:eastAsia="zh-CN"/>
              </w:rPr>
              <w:t>本项目建成后全厂年生产EPS包装泡沫7800吨、EPP包装泡沫900吨、EPP包装泡沫1200吨，</w:t>
            </w:r>
            <w:r>
              <w:rPr>
                <w:rFonts w:hint="eastAsia" w:cs="Times New Roman"/>
                <w:b w:val="0"/>
                <w:bCs w:val="0"/>
                <w:color w:val="auto"/>
                <w:sz w:val="24"/>
                <w:szCs w:val="24"/>
                <w:highlight w:val="none"/>
                <w:lang w:val="en-US" w:eastAsia="zh-CN"/>
              </w:rPr>
              <w:t>则冷却水循环沉淀池处理量为</w:t>
            </w:r>
            <w:r>
              <w:rPr>
                <w:rFonts w:hint="eastAsia"/>
                <w:color w:val="auto"/>
                <w:sz w:val="24"/>
                <w:highlight w:val="none"/>
                <w:lang w:val="en-US" w:eastAsia="zh-CN"/>
              </w:rPr>
              <w:t>1t/d÷1800t×9900t=5.5t/d（1815t/a），</w:t>
            </w:r>
            <w:r>
              <w:rPr>
                <w:rFonts w:hint="eastAsia" w:cs="Times New Roman"/>
                <w:b w:val="0"/>
                <w:bCs w:val="0"/>
                <w:color w:val="auto"/>
                <w:sz w:val="24"/>
                <w:szCs w:val="24"/>
                <w:highlight w:val="none"/>
                <w:lang w:val="en-US" w:eastAsia="zh-CN"/>
              </w:rPr>
              <w:t>污泥产生量按照废水处理量的0.2%进行计算，则本项目冷却水循环沉淀池污泥产生量为1815×0.2%=3.63t/a。属于《国家危险废物名录》（</w:t>
            </w:r>
            <w:r>
              <w:rPr>
                <w:rFonts w:hint="default" w:cs="Times New Roman"/>
                <w:b w:val="0"/>
                <w:bCs w:val="0"/>
                <w:color w:val="auto"/>
                <w:sz w:val="24"/>
                <w:szCs w:val="24"/>
                <w:highlight w:val="none"/>
                <w:lang w:val="en-US" w:eastAsia="zh-CN"/>
              </w:rPr>
              <w:t>2025</w:t>
            </w:r>
            <w:r>
              <w:rPr>
                <w:rFonts w:hint="eastAsia" w:cs="Times New Roman"/>
                <w:b w:val="0"/>
                <w:bCs w:val="0"/>
                <w:color w:val="auto"/>
                <w:sz w:val="24"/>
                <w:szCs w:val="24"/>
                <w:highlight w:val="none"/>
                <w:lang w:val="en-US" w:eastAsia="zh-CN"/>
              </w:rPr>
              <w:t>年版）中的HW13类有机树脂类废物（265-103-13）。收集</w:t>
            </w:r>
            <w:r>
              <w:rPr>
                <w:rFonts w:hint="eastAsia" w:ascii="Times New Roman" w:hAnsi="Times New Roman" w:eastAsia="宋体" w:cs="Times New Roman"/>
                <w:bCs/>
                <w:color w:val="auto"/>
                <w:sz w:val="24"/>
                <w:highlight w:val="none"/>
                <w:lang w:val="en-US" w:eastAsia="zh-CN"/>
              </w:rPr>
              <w:t>后暂存于危险废物贮存库，后交由有资质单位进行处置。</w:t>
            </w:r>
          </w:p>
          <w:p w14:paraId="5C46BAB4">
            <w:pPr>
              <w:keepNext w:val="0"/>
              <w:pageBreakBefore w:val="0"/>
              <w:kinsoku/>
              <w:wordWrap/>
              <w:overflowPunct/>
              <w:topLinePunct w:val="0"/>
              <w:bidi w:val="0"/>
              <w:adjustRightInd w:val="0"/>
              <w:snapToGrid w:val="0"/>
              <w:spacing w:line="360" w:lineRule="auto"/>
              <w:ind w:firstLine="480" w:firstLineChars="200"/>
              <w:rPr>
                <w:rFonts w:hint="default"/>
                <w:color w:val="auto"/>
                <w:lang w:val="en-US" w:eastAsia="zh-CN"/>
              </w:rPr>
            </w:pPr>
            <w:r>
              <w:rPr>
                <w:rFonts w:ascii="Times New Roman" w:hAnsi="Times New Roman" w:eastAsia="宋体" w:cs="Times New Roman"/>
                <w:bCs/>
                <w:color w:val="auto"/>
                <w:sz w:val="24"/>
                <w:highlight w:val="none"/>
              </w:rPr>
              <w:t>综上分析，项目运营期各类固体废物产生及处置情况详见表</w:t>
            </w:r>
            <w:r>
              <w:rPr>
                <w:rFonts w:hint="eastAsia" w:ascii="Times New Roman" w:hAnsi="Times New Roman" w:eastAsia="宋体" w:cs="Times New Roman"/>
                <w:bCs/>
                <w:color w:val="auto"/>
                <w:sz w:val="24"/>
                <w:highlight w:val="none"/>
                <w:lang w:val="en-US" w:eastAsia="zh-CN"/>
              </w:rPr>
              <w:t>4.</w:t>
            </w:r>
            <w:r>
              <w:rPr>
                <w:rFonts w:hint="eastAsia"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lang w:val="en-US" w:eastAsia="zh-CN"/>
              </w:rPr>
              <w:t>-1</w:t>
            </w:r>
            <w:r>
              <w:rPr>
                <w:rFonts w:ascii="Times New Roman" w:hAnsi="Times New Roman" w:eastAsia="宋体" w:cs="Times New Roman"/>
                <w:bCs/>
                <w:color w:val="auto"/>
                <w:sz w:val="24"/>
                <w:highlight w:val="none"/>
              </w:rPr>
              <w:t>。</w:t>
            </w:r>
          </w:p>
        </w:tc>
      </w:tr>
    </w:tbl>
    <w:p w14:paraId="5E389EBA">
      <w:pPr>
        <w:rPr>
          <w:color w:val="auto"/>
        </w:rPr>
      </w:pPr>
      <w:bookmarkStart w:id="195" w:name="_Toc31345"/>
      <w:bookmarkStart w:id="196" w:name="_Toc28805"/>
      <w:bookmarkStart w:id="197" w:name="_Toc1654"/>
      <w:bookmarkStart w:id="198" w:name="_Toc25037"/>
      <w:bookmarkStart w:id="199" w:name="_Toc12951"/>
      <w:bookmarkStart w:id="200" w:name="_Toc9430"/>
      <w:bookmarkStart w:id="201" w:name="_Toc27194"/>
      <w:bookmarkStart w:id="202" w:name="_Toc28426"/>
      <w:r>
        <w:rPr>
          <w:color w:val="auto"/>
        </w:rPr>
        <w:br w:type="page"/>
      </w:r>
    </w:p>
    <w:p w14:paraId="15F5C827">
      <w:pPr>
        <w:jc w:val="center"/>
        <w:rPr>
          <w:rFonts w:hint="default" w:ascii="Times New Roman" w:hAnsi="Times New Roman" w:eastAsia="宋体" w:cs="Times New Roman"/>
          <w:color w:val="auto"/>
          <w:kern w:val="0"/>
          <w:sz w:val="24"/>
          <w:szCs w:val="24"/>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3761"/>
      </w:tblGrid>
      <w:tr w14:paraId="30E5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rPr>
        <w:tc>
          <w:tcPr>
            <w:tcW w:w="252" w:type="pct"/>
            <w:vAlign w:val="center"/>
          </w:tcPr>
          <w:p w14:paraId="4DC40F88">
            <w:pPr>
              <w:rPr>
                <w:rFonts w:hint="default"/>
                <w:color w:val="auto"/>
                <w:lang w:val="en-US" w:eastAsia="zh-CN"/>
              </w:rPr>
            </w:pPr>
          </w:p>
        </w:tc>
        <w:tc>
          <w:tcPr>
            <w:tcW w:w="4747" w:type="pct"/>
          </w:tcPr>
          <w:p w14:paraId="275AD41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Times New Roman" w:cs="Times New Roman"/>
                <w:b/>
                <w:bCs/>
                <w:color w:val="auto"/>
                <w:sz w:val="24"/>
                <w:highlight w:val="none"/>
                <w:lang w:val="zh-CN"/>
              </w:rPr>
              <w:t>表</w:t>
            </w:r>
            <w:r>
              <w:rPr>
                <w:rFonts w:hint="eastAsia" w:ascii="Times New Roman" w:hAnsi="Times New Roman" w:cs="Times New Roman"/>
                <w:b/>
                <w:bCs/>
                <w:color w:val="auto"/>
                <w:sz w:val="24"/>
                <w:highlight w:val="none"/>
                <w:lang w:val="en-US" w:eastAsia="zh-CN"/>
              </w:rPr>
              <w:t>4.</w:t>
            </w:r>
            <w:r>
              <w:rPr>
                <w:rFonts w:hint="eastAsia" w:cs="Times New Roman"/>
                <w:b/>
                <w:bCs/>
                <w:color w:val="auto"/>
                <w:sz w:val="24"/>
                <w:highlight w:val="none"/>
                <w:lang w:val="en-US" w:eastAsia="zh-CN"/>
              </w:rPr>
              <w:t>4</w:t>
            </w:r>
            <w:r>
              <w:rPr>
                <w:rFonts w:hint="eastAsia" w:ascii="Times New Roman" w:hAnsi="Times New Roman"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项目</w:t>
            </w:r>
            <w:r>
              <w:rPr>
                <w:rFonts w:hint="default" w:ascii="Times New Roman" w:hAnsi="Times New Roman" w:cs="Times New Roman"/>
                <w:b/>
                <w:bCs/>
                <w:color w:val="auto"/>
                <w:sz w:val="24"/>
                <w:highlight w:val="none"/>
                <w:lang w:val="en-US" w:eastAsia="zh-CN"/>
              </w:rPr>
              <w:t>固废产生及处置</w:t>
            </w:r>
            <w:r>
              <w:rPr>
                <w:rFonts w:hint="default" w:ascii="Times New Roman" w:hAnsi="Times New Roman" w:eastAsia="宋体" w:cs="Times New Roman"/>
                <w:b/>
                <w:bCs/>
                <w:color w:val="auto"/>
                <w:sz w:val="24"/>
                <w:highlight w:val="none"/>
                <w:lang w:val="en-US" w:eastAsia="zh-CN"/>
              </w:rPr>
              <w:t>情况汇总表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670"/>
              <w:gridCol w:w="1001"/>
              <w:gridCol w:w="1386"/>
              <w:gridCol w:w="1516"/>
              <w:gridCol w:w="1196"/>
              <w:gridCol w:w="627"/>
              <w:gridCol w:w="1069"/>
              <w:gridCol w:w="765"/>
              <w:gridCol w:w="1069"/>
              <w:gridCol w:w="990"/>
              <w:gridCol w:w="933"/>
              <w:gridCol w:w="1658"/>
            </w:tblGrid>
            <w:tr w14:paraId="5A383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5" w:type="pct"/>
                  <w:tcBorders>
                    <w:tl2br w:val="nil"/>
                    <w:tr2bl w:val="nil"/>
                  </w:tcBorders>
                  <w:shd w:val="clear" w:color="auto" w:fill="auto"/>
                  <w:noWrap w:val="0"/>
                  <w:vAlign w:val="center"/>
                </w:tcPr>
                <w:p w14:paraId="7C72600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序号</w:t>
                  </w:r>
                </w:p>
              </w:tc>
              <w:tc>
                <w:tcPr>
                  <w:tcW w:w="247" w:type="pct"/>
                  <w:tcBorders>
                    <w:tl2br w:val="nil"/>
                    <w:tr2bl w:val="nil"/>
                  </w:tcBorders>
                  <w:shd w:val="clear" w:color="auto" w:fill="auto"/>
                  <w:noWrap w:val="0"/>
                  <w:vAlign w:val="center"/>
                </w:tcPr>
                <w:p w14:paraId="1ADF842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分类</w:t>
                  </w:r>
                </w:p>
              </w:tc>
              <w:tc>
                <w:tcPr>
                  <w:tcW w:w="369" w:type="pct"/>
                  <w:tcBorders>
                    <w:tl2br w:val="nil"/>
                    <w:tr2bl w:val="nil"/>
                  </w:tcBorders>
                  <w:shd w:val="clear" w:color="auto" w:fill="auto"/>
                  <w:noWrap w:val="0"/>
                  <w:vAlign w:val="center"/>
                </w:tcPr>
                <w:p w14:paraId="55C27FA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固废名称</w:t>
                  </w:r>
                </w:p>
              </w:tc>
              <w:tc>
                <w:tcPr>
                  <w:tcW w:w="511" w:type="pct"/>
                  <w:tcBorders>
                    <w:tl2br w:val="nil"/>
                    <w:tr2bl w:val="nil"/>
                  </w:tcBorders>
                  <w:shd w:val="clear" w:color="auto" w:fill="auto"/>
                  <w:noWrap w:val="0"/>
                  <w:vAlign w:val="center"/>
                </w:tcPr>
                <w:p w14:paraId="10650A0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类别</w:t>
                  </w:r>
                </w:p>
              </w:tc>
              <w:tc>
                <w:tcPr>
                  <w:tcW w:w="559" w:type="pct"/>
                  <w:tcBorders>
                    <w:tl2br w:val="nil"/>
                    <w:tr2bl w:val="nil"/>
                  </w:tcBorders>
                  <w:shd w:val="clear" w:color="auto" w:fill="auto"/>
                  <w:noWrap w:val="0"/>
                  <w:vAlign w:val="center"/>
                </w:tcPr>
                <w:p w14:paraId="7074BBF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废物代码</w:t>
                  </w:r>
                </w:p>
              </w:tc>
              <w:tc>
                <w:tcPr>
                  <w:tcW w:w="441" w:type="pct"/>
                  <w:tcBorders>
                    <w:tl2br w:val="nil"/>
                    <w:tr2bl w:val="nil"/>
                  </w:tcBorders>
                  <w:shd w:val="clear" w:color="auto" w:fill="auto"/>
                  <w:noWrap w:val="0"/>
                  <w:vAlign w:val="center"/>
                </w:tcPr>
                <w:p w14:paraId="4DFC4AE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产生环节</w:t>
                  </w:r>
                </w:p>
              </w:tc>
              <w:tc>
                <w:tcPr>
                  <w:tcW w:w="231" w:type="pct"/>
                  <w:tcBorders>
                    <w:tl2br w:val="nil"/>
                    <w:tr2bl w:val="nil"/>
                  </w:tcBorders>
                  <w:shd w:val="clear" w:color="auto" w:fill="auto"/>
                  <w:noWrap w:val="0"/>
                  <w:vAlign w:val="center"/>
                </w:tcPr>
                <w:p w14:paraId="2788621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形态</w:t>
                  </w:r>
                </w:p>
              </w:tc>
              <w:tc>
                <w:tcPr>
                  <w:tcW w:w="394" w:type="pct"/>
                  <w:tcBorders>
                    <w:tl2br w:val="nil"/>
                    <w:tr2bl w:val="nil"/>
                  </w:tcBorders>
                  <w:shd w:val="clear" w:color="auto" w:fill="auto"/>
                  <w:noWrap w:val="0"/>
                  <w:vAlign w:val="center"/>
                </w:tcPr>
                <w:p w14:paraId="4AFB417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主要成分</w:t>
                  </w:r>
                </w:p>
              </w:tc>
              <w:tc>
                <w:tcPr>
                  <w:tcW w:w="282" w:type="pct"/>
                  <w:tcBorders>
                    <w:tl2br w:val="nil"/>
                    <w:tr2bl w:val="nil"/>
                  </w:tcBorders>
                  <w:shd w:val="clear" w:color="auto" w:fill="auto"/>
                  <w:noWrap w:val="0"/>
                  <w:vAlign w:val="center"/>
                </w:tcPr>
                <w:p w14:paraId="6412B6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有害成分</w:t>
                  </w:r>
                </w:p>
              </w:tc>
              <w:tc>
                <w:tcPr>
                  <w:tcW w:w="394" w:type="pct"/>
                  <w:tcBorders>
                    <w:tl2br w:val="nil"/>
                    <w:tr2bl w:val="nil"/>
                  </w:tcBorders>
                  <w:shd w:val="clear" w:color="auto" w:fill="auto"/>
                  <w:noWrap w:val="0"/>
                  <w:vAlign w:val="center"/>
                </w:tcPr>
                <w:p w14:paraId="29D3B9C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现有项目产生量t/a</w:t>
                  </w:r>
                </w:p>
              </w:tc>
              <w:tc>
                <w:tcPr>
                  <w:tcW w:w="365" w:type="pct"/>
                  <w:tcBorders>
                    <w:tl2br w:val="nil"/>
                    <w:tr2bl w:val="nil"/>
                  </w:tcBorders>
                  <w:shd w:val="clear" w:color="auto" w:fill="auto"/>
                  <w:noWrap w:val="0"/>
                  <w:vAlign w:val="center"/>
                </w:tcPr>
                <w:p w14:paraId="7992E53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本次扩建后产生量</w:t>
                  </w:r>
                </w:p>
              </w:tc>
              <w:tc>
                <w:tcPr>
                  <w:tcW w:w="344" w:type="pct"/>
                  <w:tcBorders>
                    <w:tl2br w:val="nil"/>
                    <w:tr2bl w:val="nil"/>
                  </w:tcBorders>
                  <w:shd w:val="clear" w:color="auto" w:fill="auto"/>
                  <w:noWrap w:val="0"/>
                  <w:vAlign w:val="center"/>
                </w:tcPr>
                <w:p w14:paraId="6A1747D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变化量</w:t>
                  </w:r>
                </w:p>
              </w:tc>
              <w:tc>
                <w:tcPr>
                  <w:tcW w:w="611" w:type="pct"/>
                  <w:tcBorders>
                    <w:tl2br w:val="nil"/>
                    <w:tr2bl w:val="nil"/>
                  </w:tcBorders>
                  <w:shd w:val="clear" w:color="auto" w:fill="auto"/>
                  <w:noWrap w:val="0"/>
                  <w:vAlign w:val="center"/>
                </w:tcPr>
                <w:p w14:paraId="1F88C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处置方式</w:t>
                  </w:r>
                </w:p>
              </w:tc>
            </w:tr>
            <w:tr w14:paraId="26CC9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71" w:hRule="atLeast"/>
                <w:jc w:val="center"/>
              </w:trPr>
              <w:tc>
                <w:tcPr>
                  <w:tcW w:w="245" w:type="pct"/>
                  <w:tcBorders>
                    <w:tl2br w:val="nil"/>
                    <w:tr2bl w:val="nil"/>
                  </w:tcBorders>
                  <w:shd w:val="clear" w:color="auto" w:fill="auto"/>
                  <w:noWrap w:val="0"/>
                  <w:vAlign w:val="center"/>
                </w:tcPr>
                <w:p w14:paraId="746B45D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247" w:type="pct"/>
                  <w:tcBorders>
                    <w:tl2br w:val="nil"/>
                    <w:tr2bl w:val="nil"/>
                  </w:tcBorders>
                  <w:shd w:val="clear" w:color="auto" w:fill="auto"/>
                  <w:noWrap w:val="0"/>
                  <w:vAlign w:val="center"/>
                </w:tcPr>
                <w:p w14:paraId="01A665E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369" w:type="pct"/>
                  <w:tcBorders>
                    <w:tl2br w:val="nil"/>
                    <w:tr2bl w:val="nil"/>
                  </w:tcBorders>
                  <w:shd w:val="clear" w:color="auto" w:fill="auto"/>
                  <w:noWrap w:val="0"/>
                  <w:vAlign w:val="center"/>
                </w:tcPr>
                <w:p w14:paraId="434FC4A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办公、生活等</w:t>
                  </w:r>
                </w:p>
              </w:tc>
              <w:tc>
                <w:tcPr>
                  <w:tcW w:w="511" w:type="pct"/>
                  <w:tcBorders>
                    <w:tl2br w:val="nil"/>
                    <w:tr2bl w:val="nil"/>
                  </w:tcBorders>
                  <w:shd w:val="clear" w:color="auto" w:fill="auto"/>
                  <w:noWrap w:val="0"/>
                  <w:vAlign w:val="center"/>
                </w:tcPr>
                <w:p w14:paraId="4919D71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SW64其他垃圾</w:t>
                  </w:r>
                </w:p>
              </w:tc>
              <w:tc>
                <w:tcPr>
                  <w:tcW w:w="559" w:type="pct"/>
                  <w:tcBorders>
                    <w:tl2br w:val="nil"/>
                    <w:tr2bl w:val="nil"/>
                  </w:tcBorders>
                  <w:shd w:val="clear" w:color="auto" w:fill="auto"/>
                  <w:noWrap w:val="0"/>
                  <w:vAlign w:val="center"/>
                </w:tcPr>
                <w:p w14:paraId="2EF5B2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900-099-S64</w:t>
                  </w:r>
                </w:p>
              </w:tc>
              <w:tc>
                <w:tcPr>
                  <w:tcW w:w="441" w:type="pct"/>
                  <w:tcBorders>
                    <w:tl2br w:val="nil"/>
                    <w:tr2bl w:val="nil"/>
                  </w:tcBorders>
                  <w:shd w:val="clear" w:color="auto" w:fill="auto"/>
                  <w:noWrap w:val="0"/>
                  <w:vAlign w:val="center"/>
                </w:tcPr>
                <w:p w14:paraId="414542A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职工日常生活</w:t>
                  </w:r>
                </w:p>
              </w:tc>
              <w:tc>
                <w:tcPr>
                  <w:tcW w:w="231" w:type="pct"/>
                  <w:tcBorders>
                    <w:tl2br w:val="nil"/>
                    <w:tr2bl w:val="nil"/>
                  </w:tcBorders>
                  <w:shd w:val="clear" w:color="auto" w:fill="auto"/>
                  <w:noWrap w:val="0"/>
                  <w:vAlign w:val="center"/>
                </w:tcPr>
                <w:p w14:paraId="5E08299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94" w:type="pct"/>
                  <w:tcBorders>
                    <w:tl2br w:val="nil"/>
                    <w:tr2bl w:val="nil"/>
                  </w:tcBorders>
                  <w:shd w:val="clear" w:color="auto" w:fill="auto"/>
                  <w:noWrap w:val="0"/>
                  <w:vAlign w:val="center"/>
                </w:tcPr>
                <w:p w14:paraId="1B10E1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282" w:type="pct"/>
                  <w:tcBorders>
                    <w:tl2br w:val="nil"/>
                    <w:tr2bl w:val="nil"/>
                  </w:tcBorders>
                  <w:shd w:val="clear" w:color="auto" w:fill="auto"/>
                  <w:noWrap w:val="0"/>
                  <w:vAlign w:val="center"/>
                </w:tcPr>
                <w:p w14:paraId="220425D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94" w:type="pct"/>
                  <w:tcBorders>
                    <w:tl2br w:val="nil"/>
                    <w:tr2bl w:val="nil"/>
                  </w:tcBorders>
                  <w:shd w:val="clear" w:color="auto" w:fill="auto"/>
                  <w:noWrap w:val="0"/>
                  <w:vAlign w:val="center"/>
                </w:tcPr>
                <w:p w14:paraId="45D8AB5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11.55</w:t>
                  </w:r>
                </w:p>
              </w:tc>
              <w:tc>
                <w:tcPr>
                  <w:tcW w:w="365" w:type="pct"/>
                  <w:tcBorders>
                    <w:tl2br w:val="nil"/>
                    <w:tr2bl w:val="nil"/>
                  </w:tcBorders>
                  <w:shd w:val="clear" w:color="auto" w:fill="auto"/>
                  <w:noWrap w:val="0"/>
                  <w:vAlign w:val="center"/>
                </w:tcPr>
                <w:p w14:paraId="6FC89DE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13.2</w:t>
                  </w:r>
                </w:p>
              </w:tc>
              <w:tc>
                <w:tcPr>
                  <w:tcW w:w="344" w:type="pct"/>
                  <w:tcBorders>
                    <w:tl2br w:val="nil"/>
                    <w:tr2bl w:val="nil"/>
                  </w:tcBorders>
                  <w:shd w:val="clear" w:color="auto" w:fill="auto"/>
                  <w:noWrap w:val="0"/>
                  <w:vAlign w:val="center"/>
                </w:tcPr>
                <w:p w14:paraId="6C5FA8F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+1.65</w:t>
                  </w:r>
                </w:p>
              </w:tc>
              <w:tc>
                <w:tcPr>
                  <w:tcW w:w="611" w:type="pct"/>
                  <w:tcBorders>
                    <w:tl2br w:val="nil"/>
                    <w:tr2bl w:val="nil"/>
                  </w:tcBorders>
                  <w:shd w:val="clear" w:color="auto" w:fill="auto"/>
                  <w:noWrap w:val="0"/>
                  <w:vAlign w:val="center"/>
                </w:tcPr>
                <w:p w14:paraId="45EAA3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分类</w:t>
                  </w:r>
                  <w:r>
                    <w:rPr>
                      <w:rFonts w:hint="default" w:ascii="Times New Roman" w:hAnsi="Times New Roman" w:eastAsia="宋体" w:cs="Times New Roman"/>
                      <w:color w:val="auto"/>
                      <w:sz w:val="21"/>
                      <w:szCs w:val="21"/>
                      <w:highlight w:val="none"/>
                    </w:rPr>
                    <w:t>收集后交由环卫部门统一清运处置</w:t>
                  </w:r>
                </w:p>
              </w:tc>
            </w:tr>
            <w:tr w14:paraId="308DB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57" w:hRule="atLeast"/>
                <w:jc w:val="center"/>
              </w:trPr>
              <w:tc>
                <w:tcPr>
                  <w:tcW w:w="245" w:type="pct"/>
                  <w:tcBorders>
                    <w:tl2br w:val="nil"/>
                    <w:tr2bl w:val="nil"/>
                  </w:tcBorders>
                  <w:noWrap w:val="0"/>
                  <w:vAlign w:val="center"/>
                </w:tcPr>
                <w:p w14:paraId="6BA1E3F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47" w:type="pct"/>
                  <w:tcBorders>
                    <w:tl2br w:val="nil"/>
                    <w:tr2bl w:val="nil"/>
                  </w:tcBorders>
                  <w:noWrap w:val="0"/>
                  <w:vAlign w:val="center"/>
                </w:tcPr>
                <w:p w14:paraId="7BFAC1D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369" w:type="pct"/>
                  <w:tcBorders>
                    <w:tl2br w:val="nil"/>
                    <w:tr2bl w:val="nil"/>
                  </w:tcBorders>
                  <w:shd w:val="clear" w:color="auto" w:fill="auto"/>
                  <w:noWrap w:val="0"/>
                  <w:vAlign w:val="center"/>
                </w:tcPr>
                <w:p w14:paraId="2E6A448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不合格产品</w:t>
                  </w:r>
                </w:p>
              </w:tc>
              <w:tc>
                <w:tcPr>
                  <w:tcW w:w="511" w:type="pct"/>
                  <w:tcBorders>
                    <w:tl2br w:val="nil"/>
                    <w:tr2bl w:val="nil"/>
                  </w:tcBorders>
                  <w:shd w:val="clear" w:color="auto" w:fill="auto"/>
                  <w:noWrap w:val="0"/>
                  <w:vAlign w:val="center"/>
                </w:tcPr>
                <w:p w14:paraId="16C1907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SW17可再生类废物</w:t>
                  </w:r>
                </w:p>
              </w:tc>
              <w:tc>
                <w:tcPr>
                  <w:tcW w:w="559" w:type="pct"/>
                  <w:tcBorders>
                    <w:tl2br w:val="nil"/>
                    <w:tr2bl w:val="nil"/>
                  </w:tcBorders>
                  <w:shd w:val="clear" w:color="auto" w:fill="auto"/>
                  <w:noWrap w:val="0"/>
                  <w:vAlign w:val="center"/>
                </w:tcPr>
                <w:p w14:paraId="68DB8D8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900-002-S17</w:t>
                  </w:r>
                </w:p>
              </w:tc>
              <w:tc>
                <w:tcPr>
                  <w:tcW w:w="441" w:type="pct"/>
                  <w:tcBorders>
                    <w:tl2br w:val="nil"/>
                    <w:tr2bl w:val="nil"/>
                  </w:tcBorders>
                  <w:shd w:val="clear" w:color="auto" w:fill="auto"/>
                  <w:noWrap w:val="0"/>
                  <w:vAlign w:val="center"/>
                </w:tcPr>
                <w:p w14:paraId="7C77B4B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产品检测</w:t>
                  </w:r>
                </w:p>
              </w:tc>
              <w:tc>
                <w:tcPr>
                  <w:tcW w:w="231" w:type="pct"/>
                  <w:tcBorders>
                    <w:tl2br w:val="nil"/>
                    <w:tr2bl w:val="nil"/>
                  </w:tcBorders>
                  <w:shd w:val="clear" w:color="auto" w:fill="auto"/>
                  <w:noWrap w:val="0"/>
                  <w:vAlign w:val="center"/>
                </w:tcPr>
                <w:p w14:paraId="443B1D7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固态</w:t>
                  </w:r>
                </w:p>
              </w:tc>
              <w:tc>
                <w:tcPr>
                  <w:tcW w:w="394" w:type="pct"/>
                  <w:tcBorders>
                    <w:tl2br w:val="nil"/>
                    <w:tr2bl w:val="nil"/>
                  </w:tcBorders>
                  <w:shd w:val="clear" w:color="auto" w:fill="auto"/>
                  <w:noWrap w:val="0"/>
                  <w:vAlign w:val="center"/>
                </w:tcPr>
                <w:p w14:paraId="187949C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泡沫塑料</w:t>
                  </w:r>
                </w:p>
              </w:tc>
              <w:tc>
                <w:tcPr>
                  <w:tcW w:w="282" w:type="pct"/>
                  <w:tcBorders>
                    <w:tl2br w:val="nil"/>
                    <w:tr2bl w:val="nil"/>
                  </w:tcBorders>
                  <w:shd w:val="clear" w:color="auto" w:fill="auto"/>
                  <w:noWrap w:val="0"/>
                  <w:vAlign w:val="center"/>
                </w:tcPr>
                <w:p w14:paraId="310CACA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94" w:type="pct"/>
                  <w:tcBorders>
                    <w:tl2br w:val="nil"/>
                    <w:tr2bl w:val="nil"/>
                  </w:tcBorders>
                  <w:noWrap w:val="0"/>
                  <w:vAlign w:val="center"/>
                </w:tcPr>
                <w:p w14:paraId="4713E38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365" w:type="pct"/>
                  <w:tcBorders>
                    <w:tl2br w:val="nil"/>
                    <w:tr2bl w:val="nil"/>
                  </w:tcBorders>
                  <w:noWrap w:val="0"/>
                  <w:vAlign w:val="center"/>
                </w:tcPr>
                <w:p w14:paraId="497A12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396</w:t>
                  </w:r>
                </w:p>
              </w:tc>
              <w:tc>
                <w:tcPr>
                  <w:tcW w:w="344" w:type="pct"/>
                  <w:tcBorders>
                    <w:tl2br w:val="nil"/>
                    <w:tr2bl w:val="nil"/>
                  </w:tcBorders>
                  <w:noWrap w:val="0"/>
                  <w:vAlign w:val="center"/>
                </w:tcPr>
                <w:p w14:paraId="315EA67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+321</w:t>
                  </w:r>
                </w:p>
              </w:tc>
              <w:tc>
                <w:tcPr>
                  <w:tcW w:w="611" w:type="pct"/>
                  <w:tcBorders>
                    <w:tl2br w:val="nil"/>
                    <w:tr2bl w:val="nil"/>
                  </w:tcBorders>
                  <w:noWrap w:val="0"/>
                  <w:vAlign w:val="center"/>
                </w:tcPr>
                <w:p w14:paraId="61C52D7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具有一定的利用价值，统一收集后外售综合利用</w:t>
                  </w:r>
                </w:p>
              </w:tc>
            </w:tr>
            <w:tr w14:paraId="3D0AF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245" w:type="pct"/>
                  <w:vMerge w:val="restart"/>
                  <w:tcBorders>
                    <w:tl2br w:val="nil"/>
                    <w:tr2bl w:val="nil"/>
                  </w:tcBorders>
                  <w:noWrap w:val="0"/>
                  <w:vAlign w:val="center"/>
                </w:tcPr>
                <w:p w14:paraId="55BA146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47" w:type="pct"/>
                  <w:vMerge w:val="restart"/>
                  <w:tcBorders>
                    <w:tl2br w:val="nil"/>
                    <w:tr2bl w:val="nil"/>
                  </w:tcBorders>
                  <w:noWrap w:val="0"/>
                  <w:vAlign w:val="center"/>
                </w:tcPr>
                <w:p w14:paraId="749F445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69" w:type="pct"/>
                  <w:tcBorders>
                    <w:tl2br w:val="nil"/>
                    <w:tr2bl w:val="nil"/>
                  </w:tcBorders>
                  <w:shd w:val="clear" w:color="auto" w:fill="auto"/>
                  <w:noWrap w:val="0"/>
                  <w:vAlign w:val="center"/>
                </w:tcPr>
                <w:p w14:paraId="62267C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511" w:type="pct"/>
                  <w:tcBorders>
                    <w:tl2br w:val="nil"/>
                    <w:tr2bl w:val="nil"/>
                  </w:tcBorders>
                  <w:shd w:val="clear" w:color="auto" w:fill="auto"/>
                  <w:noWrap w:val="0"/>
                  <w:vAlign w:val="center"/>
                </w:tcPr>
                <w:p w14:paraId="1CB2C0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559" w:type="pct"/>
                  <w:tcBorders>
                    <w:tl2br w:val="nil"/>
                    <w:tr2bl w:val="nil"/>
                  </w:tcBorders>
                  <w:shd w:val="clear" w:color="auto" w:fill="auto"/>
                  <w:noWrap w:val="0"/>
                  <w:vAlign w:val="center"/>
                </w:tcPr>
                <w:p w14:paraId="3D35824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441" w:type="pct"/>
                  <w:tcBorders>
                    <w:tl2br w:val="nil"/>
                    <w:tr2bl w:val="nil"/>
                  </w:tcBorders>
                  <w:shd w:val="clear" w:color="auto" w:fill="auto"/>
                  <w:noWrap w:val="0"/>
                  <w:vAlign w:val="center"/>
                </w:tcPr>
                <w:p w14:paraId="4BA65ED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231" w:type="pct"/>
                  <w:tcBorders>
                    <w:tl2br w:val="nil"/>
                    <w:tr2bl w:val="nil"/>
                  </w:tcBorders>
                  <w:shd w:val="clear" w:color="auto" w:fill="auto"/>
                  <w:noWrap w:val="0"/>
                  <w:vAlign w:val="center"/>
                </w:tcPr>
                <w:p w14:paraId="1FFCCB9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394" w:type="pct"/>
                  <w:tcBorders>
                    <w:tl2br w:val="nil"/>
                    <w:tr2bl w:val="nil"/>
                  </w:tcBorders>
                  <w:shd w:val="clear" w:color="auto" w:fill="auto"/>
                  <w:noWrap w:val="0"/>
                  <w:vAlign w:val="center"/>
                </w:tcPr>
                <w:p w14:paraId="37BD31F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活性炭、有机物</w:t>
                  </w:r>
                </w:p>
              </w:tc>
              <w:tc>
                <w:tcPr>
                  <w:tcW w:w="282" w:type="pct"/>
                  <w:tcBorders>
                    <w:tl2br w:val="nil"/>
                    <w:tr2bl w:val="nil"/>
                  </w:tcBorders>
                  <w:shd w:val="clear" w:color="auto" w:fill="auto"/>
                  <w:noWrap w:val="0"/>
                  <w:vAlign w:val="center"/>
                </w:tcPr>
                <w:p w14:paraId="39B4130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394" w:type="pct"/>
                  <w:tcBorders>
                    <w:tl2br w:val="nil"/>
                    <w:tr2bl w:val="nil"/>
                  </w:tcBorders>
                  <w:noWrap w:val="0"/>
                  <w:vAlign w:val="center"/>
                </w:tcPr>
                <w:p w14:paraId="0BC757A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65" w:type="pct"/>
                  <w:tcBorders>
                    <w:tl2br w:val="nil"/>
                    <w:tr2bl w:val="nil"/>
                  </w:tcBorders>
                  <w:noWrap w:val="0"/>
                  <w:vAlign w:val="center"/>
                </w:tcPr>
                <w:p w14:paraId="1F4E5A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15.52</w:t>
                  </w:r>
                </w:p>
              </w:tc>
              <w:tc>
                <w:tcPr>
                  <w:tcW w:w="344" w:type="pct"/>
                  <w:tcBorders>
                    <w:tl2br w:val="nil"/>
                    <w:tr2bl w:val="nil"/>
                  </w:tcBorders>
                  <w:noWrap w:val="0"/>
                  <w:vAlign w:val="center"/>
                </w:tcPr>
                <w:p w14:paraId="398105B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+15.52</w:t>
                  </w:r>
                </w:p>
              </w:tc>
              <w:tc>
                <w:tcPr>
                  <w:tcW w:w="611" w:type="pct"/>
                  <w:vMerge w:val="restart"/>
                  <w:tcBorders>
                    <w:tl2br w:val="nil"/>
                    <w:tr2bl w:val="nil"/>
                  </w:tcBorders>
                  <w:noWrap w:val="0"/>
                  <w:vAlign w:val="center"/>
                </w:tcPr>
                <w:p w14:paraId="7B34B43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暂存于危废贮存库，定期委托有资质的单位处置</w:t>
                  </w:r>
                </w:p>
              </w:tc>
            </w:tr>
            <w:tr w14:paraId="30A56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245" w:type="pct"/>
                  <w:vMerge w:val="continue"/>
                  <w:tcBorders>
                    <w:tl2br w:val="nil"/>
                    <w:tr2bl w:val="nil"/>
                  </w:tcBorders>
                  <w:noWrap w:val="0"/>
                  <w:vAlign w:val="center"/>
                </w:tcPr>
                <w:p w14:paraId="674BEE1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247" w:type="pct"/>
                  <w:vMerge w:val="continue"/>
                  <w:tcBorders>
                    <w:tl2br w:val="nil"/>
                    <w:tr2bl w:val="nil"/>
                  </w:tcBorders>
                  <w:noWrap w:val="0"/>
                  <w:vAlign w:val="center"/>
                </w:tcPr>
                <w:p w14:paraId="627035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69" w:type="pct"/>
                  <w:tcBorders>
                    <w:tl2br w:val="nil"/>
                    <w:tr2bl w:val="nil"/>
                  </w:tcBorders>
                  <w:noWrap w:val="0"/>
                  <w:vAlign w:val="center"/>
                </w:tcPr>
                <w:p w14:paraId="38E63F6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废液压油</w:t>
                  </w:r>
                </w:p>
              </w:tc>
              <w:tc>
                <w:tcPr>
                  <w:tcW w:w="511" w:type="pct"/>
                  <w:tcBorders>
                    <w:tl2br w:val="nil"/>
                    <w:tr2bl w:val="nil"/>
                  </w:tcBorders>
                  <w:noWrap w:val="0"/>
                  <w:vAlign w:val="center"/>
                </w:tcPr>
                <w:p w14:paraId="779789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HW08</w:t>
                  </w:r>
                  <w:r>
                    <w:rPr>
                      <w:rFonts w:hint="default" w:ascii="Times New Roman" w:hAnsi="Times New Roman" w:eastAsia="宋体" w:cs="Times New Roman"/>
                      <w:color w:val="auto"/>
                      <w:kern w:val="0"/>
                      <w:sz w:val="21"/>
                      <w:szCs w:val="21"/>
                      <w:lang w:val="en-US" w:eastAsia="zh-CN" w:bidi="ar"/>
                    </w:rPr>
                    <w:t>废矿物油与含矿物油废物</w:t>
                  </w:r>
                </w:p>
              </w:tc>
              <w:tc>
                <w:tcPr>
                  <w:tcW w:w="559" w:type="pct"/>
                  <w:tcBorders>
                    <w:tl2br w:val="nil"/>
                    <w:tr2bl w:val="nil"/>
                  </w:tcBorders>
                  <w:shd w:val="clear" w:color="auto" w:fill="auto"/>
                  <w:noWrap w:val="0"/>
                  <w:vAlign w:val="center"/>
                </w:tcPr>
                <w:p w14:paraId="0057121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900-217-08</w:t>
                  </w:r>
                </w:p>
                <w:p w14:paraId="10CC430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41" w:type="pct"/>
                  <w:tcBorders>
                    <w:tl2br w:val="nil"/>
                    <w:tr2bl w:val="nil"/>
                  </w:tcBorders>
                  <w:shd w:val="clear" w:color="auto" w:fill="auto"/>
                  <w:noWrap w:val="0"/>
                  <w:vAlign w:val="center"/>
                </w:tcPr>
                <w:p w14:paraId="7A04487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231" w:type="pct"/>
                  <w:tcBorders>
                    <w:tl2br w:val="nil"/>
                    <w:tr2bl w:val="nil"/>
                  </w:tcBorders>
                  <w:shd w:val="clear" w:color="auto" w:fill="auto"/>
                  <w:noWrap w:val="0"/>
                  <w:vAlign w:val="center"/>
                </w:tcPr>
                <w:p w14:paraId="1473047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394" w:type="pct"/>
                  <w:tcBorders>
                    <w:tl2br w:val="nil"/>
                    <w:tr2bl w:val="nil"/>
                  </w:tcBorders>
                  <w:shd w:val="clear" w:color="auto" w:fill="auto"/>
                  <w:noWrap w:val="0"/>
                  <w:vAlign w:val="center"/>
                </w:tcPr>
                <w:p w14:paraId="7BFD87E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282" w:type="pct"/>
                  <w:tcBorders>
                    <w:tl2br w:val="nil"/>
                    <w:tr2bl w:val="nil"/>
                  </w:tcBorders>
                  <w:shd w:val="clear" w:color="auto" w:fill="auto"/>
                  <w:noWrap w:val="0"/>
                  <w:vAlign w:val="center"/>
                </w:tcPr>
                <w:p w14:paraId="23803A0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394" w:type="pct"/>
                  <w:tcBorders>
                    <w:tl2br w:val="nil"/>
                    <w:tr2bl w:val="nil"/>
                  </w:tcBorders>
                  <w:shd w:val="clear" w:color="auto" w:fill="auto"/>
                  <w:noWrap w:val="0"/>
                  <w:vAlign w:val="center"/>
                </w:tcPr>
                <w:p w14:paraId="22FDDF9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65" w:type="pct"/>
                  <w:tcBorders>
                    <w:tl2br w:val="nil"/>
                    <w:tr2bl w:val="nil"/>
                  </w:tcBorders>
                  <w:shd w:val="clear" w:color="auto" w:fill="auto"/>
                  <w:noWrap w:val="0"/>
                  <w:vAlign w:val="center"/>
                </w:tcPr>
                <w:p w14:paraId="4348F87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w:t>
                  </w:r>
                </w:p>
              </w:tc>
              <w:tc>
                <w:tcPr>
                  <w:tcW w:w="344" w:type="pct"/>
                  <w:tcBorders>
                    <w:tl2br w:val="nil"/>
                    <w:tr2bl w:val="nil"/>
                  </w:tcBorders>
                  <w:noWrap w:val="0"/>
                  <w:vAlign w:val="center"/>
                </w:tcPr>
                <w:p w14:paraId="741DA97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w:t>
                  </w:r>
                </w:p>
              </w:tc>
              <w:tc>
                <w:tcPr>
                  <w:tcW w:w="611" w:type="pct"/>
                  <w:vMerge w:val="continue"/>
                  <w:tcBorders>
                    <w:tl2br w:val="nil"/>
                    <w:tr2bl w:val="nil"/>
                  </w:tcBorders>
                  <w:noWrap w:val="0"/>
                  <w:vAlign w:val="center"/>
                </w:tcPr>
                <w:p w14:paraId="27B41C9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3D0C4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12" w:hRule="atLeast"/>
                <w:jc w:val="center"/>
              </w:trPr>
              <w:tc>
                <w:tcPr>
                  <w:tcW w:w="245" w:type="pct"/>
                  <w:vMerge w:val="continue"/>
                  <w:tcBorders>
                    <w:tl2br w:val="nil"/>
                    <w:tr2bl w:val="nil"/>
                  </w:tcBorders>
                  <w:noWrap w:val="0"/>
                  <w:vAlign w:val="center"/>
                </w:tcPr>
                <w:p w14:paraId="0AF60C8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247" w:type="pct"/>
                  <w:vMerge w:val="continue"/>
                  <w:tcBorders>
                    <w:tl2br w:val="nil"/>
                    <w:tr2bl w:val="nil"/>
                  </w:tcBorders>
                  <w:noWrap w:val="0"/>
                  <w:vAlign w:val="center"/>
                </w:tcPr>
                <w:p w14:paraId="2040423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69" w:type="pct"/>
                  <w:tcBorders>
                    <w:tl2br w:val="nil"/>
                    <w:tr2bl w:val="nil"/>
                  </w:tcBorders>
                  <w:noWrap w:val="0"/>
                  <w:vAlign w:val="center"/>
                </w:tcPr>
                <w:p w14:paraId="04F4A0B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污泥</w:t>
                  </w:r>
                </w:p>
              </w:tc>
              <w:tc>
                <w:tcPr>
                  <w:tcW w:w="511" w:type="pct"/>
                  <w:tcBorders>
                    <w:tl2br w:val="nil"/>
                    <w:tr2bl w:val="nil"/>
                  </w:tcBorders>
                  <w:noWrap w:val="0"/>
                  <w:vAlign w:val="center"/>
                </w:tcPr>
                <w:p w14:paraId="6A431A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HW13有机树脂类废物</w:t>
                  </w:r>
                </w:p>
              </w:tc>
              <w:tc>
                <w:tcPr>
                  <w:tcW w:w="559" w:type="pct"/>
                  <w:tcBorders>
                    <w:tl2br w:val="nil"/>
                    <w:tr2bl w:val="nil"/>
                  </w:tcBorders>
                  <w:noWrap w:val="0"/>
                  <w:vAlign w:val="center"/>
                </w:tcPr>
                <w:p w14:paraId="07BCA8F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265-103-13</w:t>
                  </w:r>
                </w:p>
              </w:tc>
              <w:tc>
                <w:tcPr>
                  <w:tcW w:w="441" w:type="pct"/>
                  <w:tcBorders>
                    <w:tl2br w:val="nil"/>
                    <w:tr2bl w:val="nil"/>
                  </w:tcBorders>
                  <w:shd w:val="clear" w:color="auto" w:fill="auto"/>
                  <w:noWrap w:val="0"/>
                  <w:vAlign w:val="center"/>
                </w:tcPr>
                <w:p w14:paraId="70F3EEE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冷却水循环沉淀池</w:t>
                  </w:r>
                </w:p>
              </w:tc>
              <w:tc>
                <w:tcPr>
                  <w:tcW w:w="231" w:type="pct"/>
                  <w:tcBorders>
                    <w:tl2br w:val="nil"/>
                    <w:tr2bl w:val="nil"/>
                  </w:tcBorders>
                  <w:shd w:val="clear" w:color="auto" w:fill="auto"/>
                  <w:noWrap w:val="0"/>
                  <w:vAlign w:val="center"/>
                </w:tcPr>
                <w:p w14:paraId="61B3B53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固态</w:t>
                  </w:r>
                </w:p>
              </w:tc>
              <w:tc>
                <w:tcPr>
                  <w:tcW w:w="394" w:type="pct"/>
                  <w:tcBorders>
                    <w:tl2br w:val="nil"/>
                    <w:tr2bl w:val="nil"/>
                  </w:tcBorders>
                  <w:shd w:val="clear" w:color="auto" w:fill="auto"/>
                  <w:noWrap w:val="0"/>
                  <w:vAlign w:val="center"/>
                </w:tcPr>
                <w:p w14:paraId="5E91B86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污泥、有机物</w:t>
                  </w:r>
                </w:p>
              </w:tc>
              <w:tc>
                <w:tcPr>
                  <w:tcW w:w="282" w:type="pct"/>
                  <w:tcBorders>
                    <w:tl2br w:val="nil"/>
                    <w:tr2bl w:val="nil"/>
                  </w:tcBorders>
                  <w:shd w:val="clear" w:color="auto" w:fill="auto"/>
                  <w:noWrap w:val="0"/>
                  <w:vAlign w:val="center"/>
                </w:tcPr>
                <w:p w14:paraId="7D6E572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有机物</w:t>
                  </w:r>
                </w:p>
              </w:tc>
              <w:tc>
                <w:tcPr>
                  <w:tcW w:w="394" w:type="pct"/>
                  <w:tcBorders>
                    <w:tl2br w:val="nil"/>
                    <w:tr2bl w:val="nil"/>
                  </w:tcBorders>
                  <w:noWrap w:val="0"/>
                  <w:vAlign w:val="center"/>
                </w:tcPr>
                <w:p w14:paraId="7263F23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65" w:type="pct"/>
                  <w:tcBorders>
                    <w:tl2br w:val="nil"/>
                    <w:tr2bl w:val="nil"/>
                  </w:tcBorders>
                  <w:noWrap w:val="0"/>
                  <w:vAlign w:val="center"/>
                </w:tcPr>
                <w:p w14:paraId="69C42DD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3.63</w:t>
                  </w:r>
                </w:p>
              </w:tc>
              <w:tc>
                <w:tcPr>
                  <w:tcW w:w="344" w:type="pct"/>
                  <w:tcBorders>
                    <w:tl2br w:val="nil"/>
                    <w:tr2bl w:val="nil"/>
                  </w:tcBorders>
                  <w:noWrap w:val="0"/>
                  <w:vAlign w:val="center"/>
                </w:tcPr>
                <w:p w14:paraId="4DFD183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+3.63</w:t>
                  </w:r>
                </w:p>
              </w:tc>
              <w:tc>
                <w:tcPr>
                  <w:tcW w:w="611" w:type="pct"/>
                  <w:vMerge w:val="continue"/>
                  <w:tcBorders>
                    <w:tl2br w:val="nil"/>
                    <w:tr2bl w:val="nil"/>
                  </w:tcBorders>
                  <w:noWrap w:val="0"/>
                  <w:vAlign w:val="center"/>
                </w:tcPr>
                <w:p w14:paraId="3311871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75B9D862">
            <w:pPr>
              <w:pStyle w:val="3"/>
              <w:rPr>
                <w:rFonts w:hint="default"/>
                <w:color w:val="auto"/>
                <w:lang w:val="en-US" w:eastAsia="zh-CN"/>
              </w:rPr>
            </w:pPr>
          </w:p>
        </w:tc>
      </w:tr>
    </w:tbl>
    <w:p w14:paraId="1D2CC301">
      <w:pPr>
        <w:rPr>
          <w:color w:val="auto"/>
        </w:rPr>
      </w:pPr>
    </w:p>
    <w:p w14:paraId="750B7D30">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417" w:bottom="1134" w:left="1134" w:header="851" w:footer="992" w:gutter="0"/>
          <w:pgBorders>
            <w:top w:val="none" w:sz="0" w:space="0"/>
            <w:left w:val="none" w:sz="0" w:space="0"/>
            <w:bottom w:val="none" w:sz="0" w:space="0"/>
            <w:right w:val="none" w:sz="0" w:space="0"/>
          </w:pgBorders>
          <w:pgNumType w:fmt="decimal"/>
          <w:cols w:space="0" w:num="1"/>
          <w:rtlGutter w:val="0"/>
          <w:docGrid w:type="lines" w:linePitch="334" w:charSpace="0"/>
        </w:sectPr>
      </w:pP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081"/>
      </w:tblGrid>
      <w:tr w14:paraId="08D3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3" w:hRule="atLeast"/>
        </w:trPr>
        <w:tc>
          <w:tcPr>
            <w:tcW w:w="252" w:type="pct"/>
            <w:vAlign w:val="center"/>
          </w:tcPr>
          <w:p w14:paraId="60443C4C">
            <w:pPr>
              <w:jc w:val="center"/>
              <w:rPr>
                <w:rFonts w:hint="default" w:ascii="Times New Roman" w:hAnsi="Times New Roman" w:eastAsia="宋体" w:cs="Times New Roman"/>
                <w:color w:val="auto"/>
                <w:kern w:val="0"/>
                <w:sz w:val="24"/>
                <w:szCs w:val="24"/>
                <w:lang w:val="en-US" w:eastAsia="zh-CN"/>
              </w:rPr>
            </w:pPr>
          </w:p>
        </w:tc>
        <w:tc>
          <w:tcPr>
            <w:tcW w:w="4747" w:type="pct"/>
          </w:tcPr>
          <w:p w14:paraId="4B2978C7">
            <w:pPr>
              <w:keepNext w:val="0"/>
              <w:keepLines w:val="0"/>
              <w:pageBreakBefore w:val="0"/>
              <w:widowControl w:val="0"/>
              <w:kinsoku/>
              <w:wordWrap/>
              <w:overflowPunct/>
              <w:topLinePunct w:val="0"/>
              <w:autoSpaceDE/>
              <w:autoSpaceDN/>
              <w:bidi w:val="0"/>
              <w:adjustRightInd/>
              <w:snapToGrid/>
              <w:spacing w:before="163" w:beforeLines="50"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表4.4-2</w:t>
            </w:r>
            <w:r>
              <w:rPr>
                <w:rFonts w:hint="default" w:ascii="Times New Roman" w:hAnsi="Times New Roman" w:eastAsia="宋体" w:cs="Times New Roman"/>
                <w:b/>
                <w:bCs/>
                <w:color w:val="auto"/>
                <w:sz w:val="24"/>
                <w:highlight w:val="none"/>
                <w:lang w:val="en-US" w:eastAsia="zh-CN"/>
              </w:rPr>
              <w:t>危险废物暂存间基本情况</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130"/>
              <w:gridCol w:w="930"/>
              <w:gridCol w:w="1311"/>
              <w:gridCol w:w="1757"/>
              <w:gridCol w:w="786"/>
              <w:gridCol w:w="697"/>
              <w:gridCol w:w="1093"/>
              <w:gridCol w:w="670"/>
            </w:tblGrid>
            <w:tr w14:paraId="5C274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74" w:type="pct"/>
                  <w:noWrap w:val="0"/>
                  <w:vAlign w:val="center"/>
                </w:tcPr>
                <w:p w14:paraId="2E42F268">
                  <w:pPr>
                    <w:pStyle w:val="34"/>
                    <w:rPr>
                      <w:color w:val="auto"/>
                      <w:kern w:val="0"/>
                      <w:szCs w:val="21"/>
                    </w:rPr>
                  </w:pPr>
                  <w:r>
                    <w:rPr>
                      <w:rFonts w:hint="eastAsia"/>
                      <w:color w:val="auto"/>
                      <w:kern w:val="0"/>
                      <w:szCs w:val="21"/>
                    </w:rPr>
                    <w:t>序</w:t>
                  </w:r>
                  <w:r>
                    <w:rPr>
                      <w:color w:val="auto"/>
                      <w:kern w:val="0"/>
                      <w:szCs w:val="21"/>
                    </w:rPr>
                    <w:t>号</w:t>
                  </w:r>
                </w:p>
              </w:tc>
              <w:tc>
                <w:tcPr>
                  <w:tcW w:w="637" w:type="pct"/>
                  <w:noWrap w:val="0"/>
                  <w:vAlign w:val="center"/>
                </w:tcPr>
                <w:p w14:paraId="0BA292DE">
                  <w:pPr>
                    <w:pStyle w:val="34"/>
                    <w:rPr>
                      <w:color w:val="auto"/>
                      <w:kern w:val="0"/>
                      <w:szCs w:val="21"/>
                    </w:rPr>
                  </w:pPr>
                  <w:r>
                    <w:rPr>
                      <w:color w:val="auto"/>
                      <w:kern w:val="0"/>
                      <w:szCs w:val="21"/>
                    </w:rPr>
                    <w:t>危险废</w:t>
                  </w:r>
                </w:p>
                <w:p w14:paraId="2F4F46B8">
                  <w:pPr>
                    <w:pStyle w:val="34"/>
                    <w:rPr>
                      <w:color w:val="auto"/>
                      <w:kern w:val="0"/>
                      <w:szCs w:val="21"/>
                    </w:rPr>
                  </w:pPr>
                  <w:r>
                    <w:rPr>
                      <w:color w:val="auto"/>
                      <w:kern w:val="0"/>
                      <w:szCs w:val="21"/>
                    </w:rPr>
                    <w:t>物名称</w:t>
                  </w:r>
                </w:p>
              </w:tc>
              <w:tc>
                <w:tcPr>
                  <w:tcW w:w="524" w:type="pct"/>
                  <w:noWrap w:val="0"/>
                  <w:vAlign w:val="center"/>
                </w:tcPr>
                <w:p w14:paraId="17B127C4">
                  <w:pPr>
                    <w:pStyle w:val="34"/>
                    <w:rPr>
                      <w:color w:val="auto"/>
                      <w:kern w:val="0"/>
                      <w:szCs w:val="21"/>
                    </w:rPr>
                  </w:pPr>
                  <w:r>
                    <w:rPr>
                      <w:color w:val="auto"/>
                      <w:kern w:val="0"/>
                      <w:szCs w:val="21"/>
                    </w:rPr>
                    <w:t>危险废物类别</w:t>
                  </w:r>
                </w:p>
              </w:tc>
              <w:tc>
                <w:tcPr>
                  <w:tcW w:w="739" w:type="pct"/>
                  <w:noWrap w:val="0"/>
                  <w:vAlign w:val="center"/>
                </w:tcPr>
                <w:p w14:paraId="1D62AB3D">
                  <w:pPr>
                    <w:pStyle w:val="34"/>
                    <w:rPr>
                      <w:color w:val="auto"/>
                      <w:kern w:val="0"/>
                      <w:szCs w:val="21"/>
                    </w:rPr>
                  </w:pPr>
                  <w:r>
                    <w:rPr>
                      <w:color w:val="auto"/>
                      <w:kern w:val="0"/>
                      <w:szCs w:val="21"/>
                    </w:rPr>
                    <w:t>危险废物代码</w:t>
                  </w:r>
                </w:p>
              </w:tc>
              <w:tc>
                <w:tcPr>
                  <w:tcW w:w="991" w:type="pct"/>
                  <w:noWrap w:val="0"/>
                  <w:vAlign w:val="center"/>
                </w:tcPr>
                <w:p w14:paraId="23145F85">
                  <w:pPr>
                    <w:pStyle w:val="34"/>
                    <w:rPr>
                      <w:color w:val="auto"/>
                      <w:kern w:val="0"/>
                      <w:szCs w:val="21"/>
                    </w:rPr>
                  </w:pPr>
                  <w:r>
                    <w:rPr>
                      <w:color w:val="auto"/>
                      <w:kern w:val="0"/>
                      <w:szCs w:val="21"/>
                    </w:rPr>
                    <w:t>位置</w:t>
                  </w:r>
                </w:p>
              </w:tc>
              <w:tc>
                <w:tcPr>
                  <w:tcW w:w="443" w:type="pct"/>
                  <w:noWrap w:val="0"/>
                  <w:vAlign w:val="center"/>
                </w:tcPr>
                <w:p w14:paraId="4CDB386F">
                  <w:pPr>
                    <w:pStyle w:val="34"/>
                    <w:rPr>
                      <w:color w:val="auto"/>
                      <w:kern w:val="0"/>
                      <w:szCs w:val="21"/>
                    </w:rPr>
                  </w:pPr>
                  <w:r>
                    <w:rPr>
                      <w:color w:val="auto"/>
                      <w:kern w:val="0"/>
                      <w:szCs w:val="21"/>
                    </w:rPr>
                    <w:t>占地面积</w:t>
                  </w:r>
                </w:p>
              </w:tc>
              <w:tc>
                <w:tcPr>
                  <w:tcW w:w="393" w:type="pct"/>
                  <w:noWrap w:val="0"/>
                  <w:vAlign w:val="center"/>
                </w:tcPr>
                <w:p w14:paraId="0075F49E">
                  <w:pPr>
                    <w:pStyle w:val="34"/>
                    <w:rPr>
                      <w:color w:val="auto"/>
                      <w:kern w:val="0"/>
                      <w:szCs w:val="21"/>
                    </w:rPr>
                  </w:pPr>
                  <w:r>
                    <w:rPr>
                      <w:color w:val="auto"/>
                      <w:kern w:val="0"/>
                      <w:szCs w:val="21"/>
                    </w:rPr>
                    <w:t>贮存方式</w:t>
                  </w:r>
                </w:p>
              </w:tc>
              <w:tc>
                <w:tcPr>
                  <w:tcW w:w="616" w:type="pct"/>
                  <w:noWrap w:val="0"/>
                  <w:vAlign w:val="center"/>
                </w:tcPr>
                <w:p w14:paraId="0FB5F086">
                  <w:pPr>
                    <w:pStyle w:val="34"/>
                    <w:rPr>
                      <w:color w:val="auto"/>
                      <w:kern w:val="0"/>
                      <w:szCs w:val="21"/>
                    </w:rPr>
                  </w:pPr>
                  <w:r>
                    <w:rPr>
                      <w:color w:val="auto"/>
                      <w:kern w:val="0"/>
                      <w:szCs w:val="21"/>
                    </w:rPr>
                    <w:t>贮存能力</w:t>
                  </w:r>
                </w:p>
                <w:p w14:paraId="001212E9">
                  <w:pPr>
                    <w:pStyle w:val="34"/>
                    <w:rPr>
                      <w:color w:val="auto"/>
                      <w:kern w:val="0"/>
                      <w:szCs w:val="21"/>
                    </w:rPr>
                  </w:pPr>
                  <w:r>
                    <w:rPr>
                      <w:rFonts w:hint="eastAsia"/>
                      <w:color w:val="auto"/>
                      <w:kern w:val="0"/>
                      <w:szCs w:val="21"/>
                      <w:lang w:eastAsia="zh-CN"/>
                    </w:rPr>
                    <w:t>（</w:t>
                  </w:r>
                  <w:r>
                    <w:rPr>
                      <w:rFonts w:hint="eastAsia"/>
                      <w:color w:val="auto"/>
                      <w:kern w:val="0"/>
                      <w:szCs w:val="21"/>
                      <w:lang w:val="en-US" w:eastAsia="zh-CN"/>
                    </w:rPr>
                    <w:t>t</w:t>
                  </w:r>
                  <w:r>
                    <w:rPr>
                      <w:rFonts w:hint="eastAsia"/>
                      <w:color w:val="auto"/>
                      <w:kern w:val="0"/>
                      <w:szCs w:val="21"/>
                      <w:lang w:eastAsia="zh-CN"/>
                    </w:rPr>
                    <w:t>）</w:t>
                  </w:r>
                </w:p>
              </w:tc>
              <w:tc>
                <w:tcPr>
                  <w:tcW w:w="378" w:type="pct"/>
                  <w:noWrap w:val="0"/>
                  <w:vAlign w:val="center"/>
                </w:tcPr>
                <w:p w14:paraId="2119FC0C">
                  <w:pPr>
                    <w:pStyle w:val="34"/>
                    <w:rPr>
                      <w:color w:val="auto"/>
                      <w:kern w:val="0"/>
                      <w:szCs w:val="21"/>
                    </w:rPr>
                  </w:pPr>
                  <w:r>
                    <w:rPr>
                      <w:color w:val="auto"/>
                      <w:kern w:val="0"/>
                      <w:szCs w:val="21"/>
                    </w:rPr>
                    <w:t>贮存</w:t>
                  </w:r>
                </w:p>
                <w:p w14:paraId="2B2DEF42">
                  <w:pPr>
                    <w:pStyle w:val="34"/>
                    <w:rPr>
                      <w:color w:val="auto"/>
                      <w:kern w:val="0"/>
                      <w:szCs w:val="21"/>
                    </w:rPr>
                  </w:pPr>
                  <w:r>
                    <w:rPr>
                      <w:color w:val="auto"/>
                      <w:kern w:val="0"/>
                      <w:szCs w:val="21"/>
                    </w:rPr>
                    <w:t>周期</w:t>
                  </w:r>
                </w:p>
              </w:tc>
            </w:tr>
            <w:tr w14:paraId="6C289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4" w:type="pct"/>
                  <w:noWrap w:val="0"/>
                  <w:vAlign w:val="center"/>
                </w:tcPr>
                <w:p w14:paraId="78FFBEE7">
                  <w:pPr>
                    <w:pStyle w:val="64"/>
                    <w:ind w:left="420" w:hanging="420"/>
                    <w:rPr>
                      <w:rFonts w:hint="eastAsia"/>
                      <w:color w:val="auto"/>
                      <w:sz w:val="21"/>
                      <w:szCs w:val="21"/>
                    </w:rPr>
                  </w:pPr>
                  <w:r>
                    <w:rPr>
                      <w:rFonts w:hint="eastAsia"/>
                      <w:color w:val="auto"/>
                      <w:sz w:val="21"/>
                      <w:szCs w:val="21"/>
                    </w:rPr>
                    <w:t>1</w:t>
                  </w:r>
                </w:p>
              </w:tc>
              <w:tc>
                <w:tcPr>
                  <w:tcW w:w="637" w:type="pct"/>
                  <w:shd w:val="clear" w:color="auto" w:fill="auto"/>
                  <w:noWrap w:val="0"/>
                  <w:vAlign w:val="center"/>
                </w:tcPr>
                <w:p w14:paraId="667C671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524" w:type="pct"/>
                  <w:noWrap w:val="0"/>
                  <w:vAlign w:val="center"/>
                </w:tcPr>
                <w:p w14:paraId="74B38ECE">
                  <w:pPr>
                    <w:kinsoku w:val="0"/>
                    <w:overflowPunct w:val="0"/>
                    <w:autoSpaceDE w:val="0"/>
                    <w:autoSpaceDN w:val="0"/>
                    <w:adjustRightInd w:val="0"/>
                    <w:jc w:val="center"/>
                    <w:rPr>
                      <w:rFonts w:hint="default" w:eastAsia="宋体"/>
                      <w:color w:val="auto"/>
                      <w:kern w:val="0"/>
                      <w:szCs w:val="21"/>
                      <w:lang w:val="en-US" w:eastAsia="zh-CN"/>
                    </w:rPr>
                  </w:pPr>
                  <w:r>
                    <w:rPr>
                      <w:rFonts w:hint="eastAsia"/>
                      <w:color w:val="auto"/>
                      <w:kern w:val="0"/>
                      <w:szCs w:val="21"/>
                      <w:lang w:val="en-US" w:eastAsia="zh-CN"/>
                    </w:rPr>
                    <w:t>HW49</w:t>
                  </w:r>
                </w:p>
              </w:tc>
              <w:tc>
                <w:tcPr>
                  <w:tcW w:w="739" w:type="pct"/>
                  <w:shd w:val="clear" w:color="auto" w:fill="auto"/>
                  <w:noWrap w:val="0"/>
                  <w:vAlign w:val="center"/>
                </w:tcPr>
                <w:p w14:paraId="539F7A6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900-039-49</w:t>
                  </w:r>
                </w:p>
              </w:tc>
              <w:tc>
                <w:tcPr>
                  <w:tcW w:w="991" w:type="pct"/>
                  <w:vMerge w:val="restart"/>
                  <w:shd w:val="clear" w:color="auto" w:fill="auto"/>
                  <w:noWrap w:val="0"/>
                  <w:vAlign w:val="center"/>
                </w:tcPr>
                <w:p w14:paraId="4FEAA5DC">
                  <w:pPr>
                    <w:pStyle w:val="34"/>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Cs w:val="21"/>
                      <w:lang w:val="en-US" w:eastAsia="zh-CN"/>
                    </w:rPr>
                    <w:t>1#车间西侧外建设一间独立的危险废物贮存间</w:t>
                  </w:r>
                </w:p>
              </w:tc>
              <w:tc>
                <w:tcPr>
                  <w:tcW w:w="443" w:type="pct"/>
                  <w:vMerge w:val="restart"/>
                  <w:shd w:val="clear" w:color="auto" w:fill="auto"/>
                  <w:noWrap w:val="0"/>
                  <w:vAlign w:val="center"/>
                </w:tcPr>
                <w:p w14:paraId="6683A7F6">
                  <w:pPr>
                    <w:pStyle w:val="64"/>
                    <w:ind w:left="420" w:leftChars="0" w:hanging="420" w:hangingChars="200"/>
                    <w:rPr>
                      <w:rFonts w:hint="eastAsia" w:ascii="Times New Roman" w:hAnsi="Times New Roman" w:eastAsia="宋体" w:cs="Times New Roman"/>
                      <w:b w:val="0"/>
                      <w:bCs w:val="0"/>
                      <w:color w:val="auto"/>
                      <w:kern w:val="0"/>
                      <w:sz w:val="21"/>
                      <w:szCs w:val="21"/>
                      <w:lang w:val="en-US" w:eastAsia="zh-CN" w:bidi="he-IL"/>
                    </w:rPr>
                  </w:pPr>
                  <w:r>
                    <w:rPr>
                      <w:rFonts w:hint="eastAsia"/>
                      <w:b w:val="0"/>
                      <w:bCs w:val="0"/>
                      <w:color w:val="auto"/>
                      <w:sz w:val="21"/>
                      <w:szCs w:val="21"/>
                      <w:lang w:val="en-US" w:eastAsia="zh-CN"/>
                    </w:rPr>
                    <w:t>2-3</w:t>
                  </w:r>
                  <w:r>
                    <w:rPr>
                      <w:b w:val="0"/>
                      <w:bCs w:val="0"/>
                      <w:color w:val="auto"/>
                      <w:sz w:val="21"/>
                      <w:szCs w:val="21"/>
                    </w:rPr>
                    <w:t>m</w:t>
                  </w:r>
                  <w:r>
                    <w:rPr>
                      <w:b w:val="0"/>
                      <w:bCs w:val="0"/>
                      <w:color w:val="auto"/>
                      <w:sz w:val="21"/>
                      <w:szCs w:val="21"/>
                      <w:vertAlign w:val="superscript"/>
                    </w:rPr>
                    <w:t>2</w:t>
                  </w:r>
                </w:p>
              </w:tc>
              <w:tc>
                <w:tcPr>
                  <w:tcW w:w="393" w:type="pct"/>
                  <w:noWrap w:val="0"/>
                  <w:vAlign w:val="center"/>
                </w:tcPr>
                <w:p w14:paraId="316482A6">
                  <w:pPr>
                    <w:pStyle w:val="64"/>
                    <w:ind w:left="420" w:hanging="420"/>
                    <w:rPr>
                      <w:b w:val="0"/>
                      <w:bCs w:val="0"/>
                      <w:color w:val="auto"/>
                      <w:sz w:val="21"/>
                      <w:szCs w:val="21"/>
                    </w:rPr>
                  </w:pPr>
                  <w:r>
                    <w:rPr>
                      <w:rFonts w:hint="eastAsia"/>
                      <w:b w:val="0"/>
                      <w:bCs w:val="0"/>
                      <w:color w:val="auto"/>
                      <w:sz w:val="21"/>
                      <w:szCs w:val="21"/>
                    </w:rPr>
                    <w:t>袋</w:t>
                  </w:r>
                  <w:r>
                    <w:rPr>
                      <w:b w:val="0"/>
                      <w:bCs w:val="0"/>
                      <w:color w:val="auto"/>
                      <w:sz w:val="21"/>
                      <w:szCs w:val="21"/>
                    </w:rPr>
                    <w:t>装</w:t>
                  </w:r>
                </w:p>
              </w:tc>
              <w:tc>
                <w:tcPr>
                  <w:tcW w:w="616" w:type="pct"/>
                  <w:noWrap w:val="0"/>
                  <w:vAlign w:val="center"/>
                </w:tcPr>
                <w:p w14:paraId="3B1C474A">
                  <w:pPr>
                    <w:pStyle w:val="64"/>
                    <w:ind w:left="420" w:hanging="420"/>
                    <w:rPr>
                      <w:rFonts w:hint="default" w:eastAsia="宋体"/>
                      <w:b w:val="0"/>
                      <w:bCs w:val="0"/>
                      <w:color w:val="auto"/>
                      <w:sz w:val="21"/>
                      <w:szCs w:val="21"/>
                      <w:lang w:val="en-US" w:eastAsia="zh-CN"/>
                    </w:rPr>
                  </w:pPr>
                  <w:r>
                    <w:rPr>
                      <w:rFonts w:hint="eastAsia"/>
                      <w:b w:val="0"/>
                      <w:bCs w:val="0"/>
                      <w:color w:val="auto"/>
                      <w:sz w:val="21"/>
                      <w:szCs w:val="21"/>
                      <w:lang w:val="en-US" w:eastAsia="zh-CN"/>
                    </w:rPr>
                    <w:t>1.5</w:t>
                  </w:r>
                </w:p>
              </w:tc>
              <w:tc>
                <w:tcPr>
                  <w:tcW w:w="378" w:type="pct"/>
                  <w:shd w:val="clear" w:color="auto" w:fill="auto"/>
                  <w:noWrap w:val="0"/>
                  <w:vAlign w:val="center"/>
                </w:tcPr>
                <w:p w14:paraId="0F11383A">
                  <w:pPr>
                    <w:pStyle w:val="64"/>
                    <w:ind w:left="420" w:leftChars="0" w:hanging="420" w:hangingChars="200"/>
                    <w:rPr>
                      <w:rFonts w:hint="eastAsia" w:ascii="Times New Roman" w:hAnsi="Times New Roman" w:eastAsia="宋体" w:cs="Times New Roman"/>
                      <w:b w:val="0"/>
                      <w:bCs w:val="0"/>
                      <w:color w:val="auto"/>
                      <w:kern w:val="0"/>
                      <w:sz w:val="21"/>
                      <w:szCs w:val="21"/>
                      <w:lang w:val="en-US" w:eastAsia="zh-CN" w:bidi="he-IL"/>
                    </w:rPr>
                  </w:pPr>
                  <w:r>
                    <w:rPr>
                      <w:rFonts w:hint="eastAsia"/>
                      <w:b w:val="0"/>
                      <w:bCs w:val="0"/>
                      <w:color w:val="auto"/>
                      <w:sz w:val="21"/>
                      <w:szCs w:val="21"/>
                    </w:rPr>
                    <w:t>1</w:t>
                  </w:r>
                  <w:r>
                    <w:rPr>
                      <w:b w:val="0"/>
                      <w:bCs w:val="0"/>
                      <w:color w:val="auto"/>
                      <w:sz w:val="21"/>
                      <w:szCs w:val="21"/>
                    </w:rPr>
                    <w:t>年</w:t>
                  </w:r>
                </w:p>
              </w:tc>
            </w:tr>
            <w:tr w14:paraId="75495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74" w:type="pct"/>
                  <w:noWrap w:val="0"/>
                  <w:vAlign w:val="center"/>
                </w:tcPr>
                <w:p w14:paraId="5131AF4D">
                  <w:pPr>
                    <w:pStyle w:val="64"/>
                    <w:ind w:left="420" w:hanging="420"/>
                    <w:rPr>
                      <w:rFonts w:hint="eastAsia" w:eastAsia="宋体"/>
                      <w:color w:val="auto"/>
                      <w:sz w:val="21"/>
                      <w:szCs w:val="21"/>
                      <w:lang w:val="en-US" w:eastAsia="zh-CN"/>
                    </w:rPr>
                  </w:pPr>
                  <w:r>
                    <w:rPr>
                      <w:rFonts w:hint="eastAsia"/>
                      <w:color w:val="auto"/>
                      <w:sz w:val="21"/>
                      <w:szCs w:val="21"/>
                      <w:lang w:val="en-US" w:eastAsia="zh-CN"/>
                    </w:rPr>
                    <w:t>2</w:t>
                  </w:r>
                </w:p>
              </w:tc>
              <w:tc>
                <w:tcPr>
                  <w:tcW w:w="637" w:type="pct"/>
                  <w:shd w:val="clear" w:color="auto" w:fill="auto"/>
                  <w:noWrap w:val="0"/>
                  <w:vAlign w:val="center"/>
                </w:tcPr>
                <w:p w14:paraId="1A6871E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废液压油</w:t>
                  </w:r>
                </w:p>
              </w:tc>
              <w:tc>
                <w:tcPr>
                  <w:tcW w:w="524" w:type="pct"/>
                  <w:noWrap w:val="0"/>
                  <w:vAlign w:val="center"/>
                </w:tcPr>
                <w:p w14:paraId="6342B5B1">
                  <w:pPr>
                    <w:kinsoku w:val="0"/>
                    <w:overflowPunct w:val="0"/>
                    <w:autoSpaceDE w:val="0"/>
                    <w:autoSpaceDN w:val="0"/>
                    <w:adjustRightInd w:val="0"/>
                    <w:jc w:val="center"/>
                    <w:rPr>
                      <w:rFonts w:hint="default" w:eastAsia="宋体"/>
                      <w:color w:val="auto"/>
                      <w:kern w:val="0"/>
                      <w:szCs w:val="21"/>
                      <w:lang w:val="en-US" w:eastAsia="zh-CN"/>
                    </w:rPr>
                  </w:pPr>
                  <w:r>
                    <w:rPr>
                      <w:rFonts w:hint="eastAsia"/>
                      <w:color w:val="auto"/>
                      <w:kern w:val="0"/>
                      <w:szCs w:val="21"/>
                      <w:lang w:val="en-US" w:eastAsia="zh-CN"/>
                    </w:rPr>
                    <w:t>HW08</w:t>
                  </w:r>
                </w:p>
              </w:tc>
              <w:tc>
                <w:tcPr>
                  <w:tcW w:w="739" w:type="pct"/>
                  <w:shd w:val="clear" w:color="auto" w:fill="auto"/>
                  <w:noWrap w:val="0"/>
                  <w:vAlign w:val="center"/>
                </w:tcPr>
                <w:p w14:paraId="0A60FF3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900-217-08</w:t>
                  </w:r>
                </w:p>
              </w:tc>
              <w:tc>
                <w:tcPr>
                  <w:tcW w:w="991" w:type="pct"/>
                  <w:vMerge w:val="continue"/>
                  <w:shd w:val="clear" w:color="auto" w:fill="auto"/>
                  <w:noWrap w:val="0"/>
                  <w:vAlign w:val="center"/>
                </w:tcPr>
                <w:p w14:paraId="419C0F13">
                  <w:pPr>
                    <w:pStyle w:val="34"/>
                    <w:rPr>
                      <w:rFonts w:hint="eastAsia" w:ascii="Times New Roman" w:hAnsi="Times New Roman" w:eastAsia="宋体" w:cs="Times New Roman"/>
                      <w:b w:val="0"/>
                      <w:bCs w:val="0"/>
                      <w:color w:val="auto"/>
                      <w:kern w:val="0"/>
                      <w:sz w:val="21"/>
                      <w:szCs w:val="21"/>
                      <w:lang w:val="en-US" w:eastAsia="zh-CN" w:bidi="ar-SA"/>
                    </w:rPr>
                  </w:pPr>
                </w:p>
              </w:tc>
              <w:tc>
                <w:tcPr>
                  <w:tcW w:w="443" w:type="pct"/>
                  <w:vMerge w:val="continue"/>
                  <w:shd w:val="clear" w:color="auto" w:fill="auto"/>
                  <w:noWrap w:val="0"/>
                  <w:vAlign w:val="center"/>
                </w:tcPr>
                <w:p w14:paraId="3E9C0BFD">
                  <w:pPr>
                    <w:pStyle w:val="64"/>
                    <w:ind w:left="420" w:leftChars="0" w:hanging="420" w:hangingChars="200"/>
                    <w:rPr>
                      <w:rFonts w:hint="eastAsia" w:ascii="Times New Roman" w:hAnsi="Times New Roman" w:eastAsia="宋体" w:cs="Times New Roman"/>
                      <w:b w:val="0"/>
                      <w:bCs w:val="0"/>
                      <w:color w:val="auto"/>
                      <w:kern w:val="0"/>
                      <w:sz w:val="21"/>
                      <w:szCs w:val="21"/>
                      <w:lang w:val="en-US" w:eastAsia="zh-CN" w:bidi="he-IL"/>
                    </w:rPr>
                  </w:pPr>
                </w:p>
              </w:tc>
              <w:tc>
                <w:tcPr>
                  <w:tcW w:w="393" w:type="pct"/>
                  <w:noWrap w:val="0"/>
                  <w:vAlign w:val="center"/>
                </w:tcPr>
                <w:p w14:paraId="2589D8B2">
                  <w:pPr>
                    <w:pStyle w:val="64"/>
                    <w:ind w:left="420" w:hanging="420"/>
                    <w:rPr>
                      <w:rFonts w:hint="default" w:eastAsia="宋体"/>
                      <w:b w:val="0"/>
                      <w:bCs w:val="0"/>
                      <w:color w:val="auto"/>
                      <w:sz w:val="21"/>
                      <w:szCs w:val="21"/>
                      <w:lang w:val="en-US" w:eastAsia="zh-CN"/>
                    </w:rPr>
                  </w:pPr>
                  <w:r>
                    <w:rPr>
                      <w:rFonts w:hint="eastAsia"/>
                      <w:b w:val="0"/>
                      <w:bCs w:val="0"/>
                      <w:color w:val="auto"/>
                      <w:sz w:val="21"/>
                      <w:szCs w:val="21"/>
                      <w:lang w:val="en-US" w:eastAsia="zh-CN"/>
                    </w:rPr>
                    <w:t>桶装</w:t>
                  </w:r>
                </w:p>
              </w:tc>
              <w:tc>
                <w:tcPr>
                  <w:tcW w:w="616" w:type="pct"/>
                  <w:noWrap w:val="0"/>
                  <w:vAlign w:val="center"/>
                </w:tcPr>
                <w:p w14:paraId="43ABDC7C">
                  <w:pPr>
                    <w:pStyle w:val="64"/>
                    <w:ind w:left="420" w:hanging="420"/>
                    <w:rPr>
                      <w:rFonts w:hint="default"/>
                      <w:b w:val="0"/>
                      <w:bCs w:val="0"/>
                      <w:color w:val="auto"/>
                      <w:sz w:val="21"/>
                      <w:szCs w:val="21"/>
                      <w:lang w:val="en-US" w:eastAsia="zh-CN"/>
                    </w:rPr>
                  </w:pPr>
                  <w:r>
                    <w:rPr>
                      <w:rFonts w:hint="eastAsia"/>
                      <w:b w:val="0"/>
                      <w:bCs w:val="0"/>
                      <w:color w:val="auto"/>
                      <w:sz w:val="21"/>
                      <w:szCs w:val="21"/>
                      <w:lang w:val="en-US" w:eastAsia="zh-CN"/>
                    </w:rPr>
                    <w:t>0.1</w:t>
                  </w:r>
                </w:p>
              </w:tc>
              <w:tc>
                <w:tcPr>
                  <w:tcW w:w="378" w:type="pct"/>
                  <w:shd w:val="clear" w:color="auto" w:fill="auto"/>
                  <w:noWrap w:val="0"/>
                  <w:vAlign w:val="center"/>
                </w:tcPr>
                <w:p w14:paraId="6FA5F9B6">
                  <w:pPr>
                    <w:pStyle w:val="64"/>
                    <w:ind w:left="420" w:leftChars="0" w:hanging="420" w:hangingChars="200"/>
                    <w:rPr>
                      <w:rFonts w:hint="default" w:ascii="Times New Roman" w:hAnsi="Times New Roman" w:eastAsia="宋体" w:cs="Times New Roman"/>
                      <w:b w:val="0"/>
                      <w:bCs w:val="0"/>
                      <w:color w:val="auto"/>
                      <w:kern w:val="0"/>
                      <w:sz w:val="21"/>
                      <w:szCs w:val="21"/>
                      <w:lang w:val="en-US" w:eastAsia="zh-CN" w:bidi="he-IL"/>
                    </w:rPr>
                  </w:pPr>
                  <w:r>
                    <w:rPr>
                      <w:rFonts w:hint="eastAsia"/>
                      <w:b w:val="0"/>
                      <w:bCs w:val="0"/>
                      <w:color w:val="auto"/>
                      <w:sz w:val="21"/>
                      <w:szCs w:val="21"/>
                      <w:lang w:val="en-US" w:eastAsia="zh-CN"/>
                    </w:rPr>
                    <w:t>1年</w:t>
                  </w:r>
                </w:p>
              </w:tc>
            </w:tr>
            <w:tr w14:paraId="47771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74" w:type="pct"/>
                  <w:noWrap w:val="0"/>
                  <w:vAlign w:val="center"/>
                </w:tcPr>
                <w:p w14:paraId="6885974C">
                  <w:pPr>
                    <w:pStyle w:val="64"/>
                    <w:ind w:left="420" w:hanging="420"/>
                    <w:rPr>
                      <w:rFonts w:hint="default"/>
                      <w:color w:val="auto"/>
                      <w:sz w:val="21"/>
                      <w:szCs w:val="21"/>
                      <w:lang w:val="en-US" w:eastAsia="zh-CN"/>
                    </w:rPr>
                  </w:pPr>
                  <w:bookmarkStart w:id="203" w:name="_Toc16892"/>
                  <w:r>
                    <w:rPr>
                      <w:rFonts w:hint="eastAsia"/>
                      <w:color w:val="auto"/>
                      <w:sz w:val="21"/>
                      <w:szCs w:val="21"/>
                      <w:lang w:val="en-US" w:eastAsia="zh-CN"/>
                    </w:rPr>
                    <w:t>3</w:t>
                  </w:r>
                </w:p>
              </w:tc>
              <w:tc>
                <w:tcPr>
                  <w:tcW w:w="637" w:type="pct"/>
                  <w:shd w:val="clear" w:color="auto" w:fill="auto"/>
                  <w:noWrap w:val="0"/>
                  <w:vAlign w:val="center"/>
                </w:tcPr>
                <w:p w14:paraId="56A442C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污泥</w:t>
                  </w:r>
                </w:p>
              </w:tc>
              <w:tc>
                <w:tcPr>
                  <w:tcW w:w="524" w:type="pct"/>
                  <w:noWrap w:val="0"/>
                  <w:vAlign w:val="center"/>
                </w:tcPr>
                <w:p w14:paraId="5B6A9D4D">
                  <w:pPr>
                    <w:kinsoku w:val="0"/>
                    <w:overflowPunct w:val="0"/>
                    <w:autoSpaceDE w:val="0"/>
                    <w:autoSpaceDN w:val="0"/>
                    <w:adjustRightInd w:val="0"/>
                    <w:jc w:val="center"/>
                    <w:rPr>
                      <w:rFonts w:hint="default" w:eastAsia="宋体"/>
                      <w:color w:val="auto"/>
                      <w:kern w:val="0"/>
                      <w:szCs w:val="21"/>
                      <w:lang w:val="en-US" w:eastAsia="zh-CN"/>
                    </w:rPr>
                  </w:pPr>
                  <w:r>
                    <w:rPr>
                      <w:rFonts w:hint="eastAsia"/>
                      <w:color w:val="auto"/>
                      <w:kern w:val="0"/>
                      <w:szCs w:val="21"/>
                      <w:lang w:val="en-US" w:eastAsia="zh-CN"/>
                    </w:rPr>
                    <w:t>HW13</w:t>
                  </w:r>
                </w:p>
              </w:tc>
              <w:tc>
                <w:tcPr>
                  <w:tcW w:w="739" w:type="pct"/>
                  <w:shd w:val="clear" w:color="auto" w:fill="auto"/>
                  <w:noWrap w:val="0"/>
                  <w:vAlign w:val="center"/>
                </w:tcPr>
                <w:p w14:paraId="185FDDB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265-103-13</w:t>
                  </w:r>
                </w:p>
              </w:tc>
              <w:tc>
                <w:tcPr>
                  <w:tcW w:w="991" w:type="pct"/>
                  <w:vMerge w:val="continue"/>
                  <w:noWrap w:val="0"/>
                  <w:vAlign w:val="center"/>
                </w:tcPr>
                <w:p w14:paraId="0A3F7E3B">
                  <w:pPr>
                    <w:pStyle w:val="34"/>
                    <w:rPr>
                      <w:rFonts w:hint="eastAsia"/>
                      <w:b w:val="0"/>
                      <w:bCs w:val="0"/>
                      <w:color w:val="auto"/>
                      <w:kern w:val="0"/>
                      <w:szCs w:val="21"/>
                      <w:lang w:val="en-US" w:eastAsia="zh-CN"/>
                    </w:rPr>
                  </w:pPr>
                </w:p>
              </w:tc>
              <w:tc>
                <w:tcPr>
                  <w:tcW w:w="443" w:type="pct"/>
                  <w:vMerge w:val="continue"/>
                  <w:shd w:val="clear" w:color="auto" w:fill="auto"/>
                  <w:noWrap w:val="0"/>
                  <w:vAlign w:val="center"/>
                </w:tcPr>
                <w:p w14:paraId="00181D72">
                  <w:pPr>
                    <w:pStyle w:val="64"/>
                    <w:ind w:left="420" w:leftChars="0" w:hanging="420" w:hangingChars="200"/>
                    <w:rPr>
                      <w:rFonts w:hint="eastAsia" w:ascii="Times New Roman" w:hAnsi="Times New Roman" w:eastAsia="宋体" w:cs="Times New Roman"/>
                      <w:b w:val="0"/>
                      <w:bCs w:val="0"/>
                      <w:color w:val="auto"/>
                      <w:kern w:val="0"/>
                      <w:sz w:val="21"/>
                      <w:szCs w:val="21"/>
                      <w:lang w:val="en-US" w:eastAsia="zh-CN" w:bidi="he-IL"/>
                    </w:rPr>
                  </w:pPr>
                </w:p>
              </w:tc>
              <w:tc>
                <w:tcPr>
                  <w:tcW w:w="393" w:type="pct"/>
                  <w:noWrap w:val="0"/>
                  <w:vAlign w:val="center"/>
                </w:tcPr>
                <w:p w14:paraId="54658700">
                  <w:pPr>
                    <w:pStyle w:val="64"/>
                    <w:ind w:left="420" w:hanging="420"/>
                    <w:rPr>
                      <w:rFonts w:hint="default" w:eastAsia="宋体"/>
                      <w:b w:val="0"/>
                      <w:bCs w:val="0"/>
                      <w:color w:val="auto"/>
                      <w:sz w:val="21"/>
                      <w:szCs w:val="21"/>
                      <w:lang w:val="en-US" w:eastAsia="zh-CN"/>
                    </w:rPr>
                  </w:pPr>
                  <w:r>
                    <w:rPr>
                      <w:rFonts w:hint="eastAsia"/>
                      <w:b w:val="0"/>
                      <w:bCs w:val="0"/>
                      <w:color w:val="auto"/>
                      <w:sz w:val="21"/>
                      <w:szCs w:val="21"/>
                      <w:lang w:val="en-US" w:eastAsia="zh-CN"/>
                    </w:rPr>
                    <w:t>袋装</w:t>
                  </w:r>
                </w:p>
              </w:tc>
              <w:tc>
                <w:tcPr>
                  <w:tcW w:w="616" w:type="pct"/>
                  <w:noWrap w:val="0"/>
                  <w:vAlign w:val="center"/>
                </w:tcPr>
                <w:p w14:paraId="720834D8">
                  <w:pPr>
                    <w:pStyle w:val="64"/>
                    <w:ind w:left="420" w:hanging="420"/>
                    <w:rPr>
                      <w:rFonts w:hint="default"/>
                      <w:b w:val="0"/>
                      <w:bCs w:val="0"/>
                      <w:color w:val="auto"/>
                      <w:sz w:val="21"/>
                      <w:szCs w:val="21"/>
                      <w:lang w:val="en-US" w:eastAsia="zh-CN"/>
                    </w:rPr>
                  </w:pPr>
                  <w:r>
                    <w:rPr>
                      <w:rFonts w:hint="eastAsia"/>
                      <w:b w:val="0"/>
                      <w:bCs w:val="0"/>
                      <w:color w:val="auto"/>
                      <w:sz w:val="21"/>
                      <w:szCs w:val="21"/>
                      <w:lang w:val="en-US" w:eastAsia="zh-CN"/>
                    </w:rPr>
                    <w:t>0.5</w:t>
                  </w:r>
                </w:p>
              </w:tc>
              <w:tc>
                <w:tcPr>
                  <w:tcW w:w="378" w:type="pct"/>
                  <w:shd w:val="clear" w:color="auto" w:fill="auto"/>
                  <w:noWrap w:val="0"/>
                  <w:vAlign w:val="center"/>
                </w:tcPr>
                <w:p w14:paraId="53B47304">
                  <w:pPr>
                    <w:pStyle w:val="64"/>
                    <w:ind w:left="420" w:leftChars="0" w:hanging="420" w:hangingChars="200"/>
                    <w:rPr>
                      <w:rFonts w:hint="default" w:ascii="Times New Roman" w:hAnsi="Times New Roman" w:eastAsia="宋体" w:cs="Times New Roman"/>
                      <w:b w:val="0"/>
                      <w:bCs w:val="0"/>
                      <w:color w:val="auto"/>
                      <w:kern w:val="0"/>
                      <w:sz w:val="21"/>
                      <w:szCs w:val="21"/>
                      <w:lang w:val="en-US" w:eastAsia="zh-CN" w:bidi="he-IL"/>
                    </w:rPr>
                  </w:pPr>
                  <w:r>
                    <w:rPr>
                      <w:rFonts w:hint="eastAsia"/>
                      <w:b w:val="0"/>
                      <w:bCs w:val="0"/>
                      <w:color w:val="auto"/>
                      <w:sz w:val="21"/>
                      <w:szCs w:val="21"/>
                    </w:rPr>
                    <w:t>1</w:t>
                  </w:r>
                  <w:r>
                    <w:rPr>
                      <w:b w:val="0"/>
                      <w:bCs w:val="0"/>
                      <w:color w:val="auto"/>
                      <w:sz w:val="21"/>
                      <w:szCs w:val="21"/>
                    </w:rPr>
                    <w:t>年</w:t>
                  </w:r>
                </w:p>
              </w:tc>
            </w:tr>
          </w:tbl>
          <w:p w14:paraId="61952688">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highlight w:val="none"/>
                <w:lang w:val="zh-CN" w:eastAsia="zh-CN"/>
              </w:rPr>
            </w:pPr>
            <w:bookmarkStart w:id="204" w:name="_Toc5790"/>
            <w:r>
              <w:rPr>
                <w:rFonts w:hint="eastAsia"/>
                <w:b/>
                <w:color w:val="auto"/>
                <w:kern w:val="0"/>
                <w:sz w:val="24"/>
                <w:highlight w:val="none"/>
                <w:lang w:val="zh-CN" w:eastAsia="zh-CN"/>
              </w:rPr>
              <w:t>4.4.2固废管理要求</w:t>
            </w:r>
            <w:bookmarkEnd w:id="203"/>
            <w:bookmarkEnd w:id="204"/>
          </w:p>
          <w:p w14:paraId="4DE099D5">
            <w:pPr>
              <w:spacing w:line="360" w:lineRule="auto"/>
              <w:ind w:firstLine="480" w:firstLineChars="200"/>
              <w:rPr>
                <w:color w:val="auto"/>
                <w:sz w:val="24"/>
              </w:rPr>
            </w:pPr>
            <w:r>
              <w:rPr>
                <w:rFonts w:hint="eastAsia"/>
                <w:color w:val="auto"/>
                <w:sz w:val="24"/>
              </w:rPr>
              <w:t>本项目在生产过程中产生</w:t>
            </w:r>
            <w:r>
              <w:rPr>
                <w:rFonts w:hint="eastAsia"/>
                <w:color w:val="auto"/>
                <w:sz w:val="24"/>
                <w:lang w:eastAsia="zh-CN"/>
              </w:rPr>
              <w:t>的</w:t>
            </w:r>
            <w:r>
              <w:rPr>
                <w:rFonts w:hint="eastAsia"/>
                <w:color w:val="auto"/>
                <w:sz w:val="24"/>
                <w:lang w:val="en-US" w:eastAsia="zh-CN"/>
              </w:rPr>
              <w:t>不合格产品属于一般工业固体废物</w:t>
            </w:r>
            <w:r>
              <w:rPr>
                <w:color w:val="auto"/>
                <w:sz w:val="24"/>
              </w:rPr>
              <w:t>等一般工业固废，经</w:t>
            </w:r>
            <w:r>
              <w:rPr>
                <w:rFonts w:hint="eastAsia"/>
                <w:color w:val="auto"/>
                <w:sz w:val="24"/>
              </w:rPr>
              <w:t>分类</w:t>
            </w:r>
            <w:r>
              <w:rPr>
                <w:color w:val="auto"/>
                <w:sz w:val="24"/>
              </w:rPr>
              <w:t>收集后出售给回收企业回收利用</w:t>
            </w:r>
            <w:r>
              <w:rPr>
                <w:rFonts w:hint="eastAsia"/>
                <w:color w:val="auto"/>
                <w:sz w:val="24"/>
              </w:rPr>
              <w:t>或自行综合利用</w:t>
            </w:r>
            <w:r>
              <w:rPr>
                <w:color w:val="auto"/>
                <w:sz w:val="24"/>
              </w:rPr>
              <w:t>，本评价要求项目产生的一般工业固废应按《一般工业固体废物贮存和填埋污染控制标准》</w:t>
            </w:r>
            <w:r>
              <w:rPr>
                <w:rFonts w:hint="eastAsia"/>
                <w:color w:val="auto"/>
                <w:sz w:val="24"/>
                <w:lang w:eastAsia="zh-CN"/>
              </w:rPr>
              <w:t>（</w:t>
            </w:r>
            <w:r>
              <w:rPr>
                <w:color w:val="auto"/>
                <w:sz w:val="24"/>
              </w:rPr>
              <w:t>GB18599-2020</w:t>
            </w:r>
            <w:r>
              <w:rPr>
                <w:rFonts w:hint="eastAsia"/>
                <w:color w:val="auto"/>
                <w:sz w:val="24"/>
                <w:lang w:eastAsia="zh-CN"/>
              </w:rPr>
              <w:t>）</w:t>
            </w:r>
            <w:r>
              <w:rPr>
                <w:color w:val="auto"/>
                <w:sz w:val="24"/>
              </w:rPr>
              <w:t>要求进行规范化的</w:t>
            </w:r>
            <w:r>
              <w:rPr>
                <w:rFonts w:hint="eastAsia"/>
                <w:color w:val="auto"/>
                <w:sz w:val="24"/>
              </w:rPr>
              <w:t>暂存管理</w:t>
            </w:r>
            <w:r>
              <w:rPr>
                <w:color w:val="auto"/>
                <w:sz w:val="24"/>
              </w:rPr>
              <w:t>，并做好</w:t>
            </w:r>
            <w:r>
              <w:rPr>
                <w:rFonts w:hint="eastAsia"/>
                <w:color w:val="auto"/>
                <w:sz w:val="24"/>
              </w:rPr>
              <w:t>防雨、防漏、防渗</w:t>
            </w:r>
            <w:r>
              <w:rPr>
                <w:color w:val="auto"/>
                <w:sz w:val="24"/>
              </w:rPr>
              <w:t>等措施。</w:t>
            </w:r>
          </w:p>
          <w:p w14:paraId="0636BA81">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lang w:val="zh-CN" w:eastAsia="zh-CN"/>
              </w:rPr>
            </w:pPr>
            <w:bookmarkStart w:id="205" w:name="_Toc30940"/>
            <w:bookmarkStart w:id="206" w:name="_Toc9557"/>
            <w:r>
              <w:rPr>
                <w:rFonts w:hint="eastAsia"/>
                <w:b/>
                <w:color w:val="auto"/>
                <w:kern w:val="0"/>
                <w:sz w:val="24"/>
                <w:lang w:val="zh-CN" w:eastAsia="zh-CN"/>
              </w:rPr>
              <w:t>4.4.3危险废物管理要求</w:t>
            </w:r>
            <w:bookmarkEnd w:id="205"/>
            <w:bookmarkEnd w:id="206"/>
          </w:p>
          <w:p w14:paraId="7117BB12">
            <w:pPr>
              <w:pStyle w:val="36"/>
              <w:spacing w:line="360" w:lineRule="auto"/>
              <w:ind w:firstLine="480"/>
              <w:rPr>
                <w:rFonts w:hint="eastAsia" w:cs="Times New Roman"/>
                <w:color w:val="auto"/>
                <w:kern w:val="2"/>
                <w:sz w:val="24"/>
                <w:szCs w:val="24"/>
                <w:lang w:val="en-US" w:eastAsia="zh-CN" w:bidi="ar-SA"/>
              </w:rPr>
            </w:pPr>
            <w:r>
              <w:rPr>
                <w:rFonts w:hint="eastAsia"/>
                <w:color w:val="auto"/>
                <w:sz w:val="24"/>
                <w:lang w:val="en-US" w:eastAsia="zh-CN"/>
              </w:rPr>
              <w:t>本项目运营期内所产生的危险废物为废气处理设施产生的废活性炭、设备维护保养时产生的废液压油、冷却水循环沉淀池产生的污泥</w:t>
            </w:r>
          </w:p>
          <w:p w14:paraId="2E3E9E38">
            <w:pPr>
              <w:pStyle w:val="36"/>
              <w:spacing w:line="360" w:lineRule="auto"/>
              <w:ind w:firstLine="480"/>
              <w:rPr>
                <w:rFonts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本项目危险废物为</w:t>
            </w:r>
            <w:r>
              <w:rPr>
                <w:rFonts w:hint="eastAsia" w:ascii="Times New Roman" w:hAnsi="Times New Roman" w:eastAsia="宋体" w:cs="Times New Roman"/>
                <w:color w:val="auto"/>
                <w:kern w:val="2"/>
                <w:sz w:val="24"/>
                <w:szCs w:val="24"/>
                <w:lang w:val="en-US" w:eastAsia="zh-CN" w:bidi="ar-SA"/>
              </w:rPr>
              <w:t>本评价要求企业在建设过程中对危废贮存库须进行防渗防漏处理，危废贮存库的建设与管理符合《危险废物贮存污染控制标准》（GB18597-2023）要求，日常按规范要求进行管理，避免发生危废泄漏事故。</w:t>
            </w:r>
          </w:p>
          <w:p w14:paraId="73E6CDFD">
            <w:pPr>
              <w:spacing w:line="360" w:lineRule="auto"/>
              <w:ind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rPr>
              <w:t>危险废物的收集包装</w:t>
            </w:r>
          </w:p>
          <w:p w14:paraId="1D77AEE3">
            <w:pPr>
              <w:spacing w:line="360" w:lineRule="auto"/>
              <w:ind w:firstLine="480" w:firstLineChars="200"/>
              <w:rPr>
                <w:rFonts w:hint="eastAsia"/>
                <w:color w:val="auto"/>
                <w:sz w:val="24"/>
              </w:rPr>
            </w:pPr>
            <w:r>
              <w:rPr>
                <w:rFonts w:hint="eastAsia"/>
                <w:color w:val="auto"/>
                <w:sz w:val="24"/>
                <w:lang w:val="en-US" w:eastAsia="zh-CN"/>
              </w:rPr>
              <w:t>①</w:t>
            </w:r>
            <w:r>
              <w:rPr>
                <w:rFonts w:hint="eastAsia"/>
                <w:color w:val="auto"/>
                <w:sz w:val="24"/>
              </w:rPr>
              <w:t>有符合要求的包装容器、收集人员的个人防护设备；</w:t>
            </w:r>
          </w:p>
          <w:p w14:paraId="7FF26CDE">
            <w:pPr>
              <w:spacing w:line="360" w:lineRule="auto"/>
              <w:ind w:firstLine="480" w:firstLineChars="200"/>
              <w:rPr>
                <w:rFonts w:hint="eastAsia"/>
                <w:color w:val="auto"/>
                <w:sz w:val="24"/>
              </w:rPr>
            </w:pPr>
            <w:r>
              <w:rPr>
                <w:rFonts w:hint="eastAsia"/>
                <w:color w:val="auto"/>
                <w:sz w:val="24"/>
                <w:lang w:val="en-US" w:eastAsia="zh-CN"/>
              </w:rPr>
              <w:t>②</w:t>
            </w:r>
            <w:r>
              <w:rPr>
                <w:rFonts w:hint="eastAsia"/>
                <w:color w:val="auto"/>
                <w:sz w:val="24"/>
              </w:rPr>
              <w:t>危险废物的收集容器应在醒目位置贴有危险废物标签，在收集场所醒目的地方设置危险废物警告标识。</w:t>
            </w:r>
          </w:p>
          <w:p w14:paraId="0D6F1716">
            <w:pPr>
              <w:spacing w:line="360" w:lineRule="auto"/>
              <w:ind w:firstLine="480" w:firstLineChars="200"/>
              <w:rPr>
                <w:rFonts w:hint="eastAsia" w:eastAsia="宋体"/>
                <w:color w:val="auto"/>
                <w:sz w:val="24"/>
                <w:lang w:eastAsia="zh-CN"/>
              </w:rPr>
            </w:pPr>
            <w:r>
              <w:rPr>
                <w:rFonts w:hint="eastAsia"/>
                <w:color w:val="auto"/>
                <w:sz w:val="24"/>
                <w:lang w:val="en-US" w:eastAsia="zh-CN"/>
              </w:rPr>
              <w:t>③</w:t>
            </w:r>
            <w:r>
              <w:rPr>
                <w:rFonts w:hint="eastAsia"/>
                <w:color w:val="auto"/>
                <w:sz w:val="24"/>
              </w:rPr>
              <w:t>危险废物标签应标明以下信息：主要化学成分或危险废物名称、数量、物理形态、危险类别、安全措施以及危险废物产生单位名称、地址、联系人及电话。</w:t>
            </w:r>
          </w:p>
          <w:p w14:paraId="7D61CECC">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危险废物的暂存要求</w:t>
            </w:r>
          </w:p>
          <w:p w14:paraId="677FD18A">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a.一般规定：</w:t>
            </w:r>
          </w:p>
          <w:p w14:paraId="4515C21B">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①应根据危险废物的形态、物理化学性质、包装形式和污染物迁移途径，采取必要的防风、防晒、防雨、防漏、防渗、防腐以及其他环境污染防治措施，不应露天堆放危险废物；</w:t>
            </w:r>
          </w:p>
          <w:p w14:paraId="5138E547">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②应根据危险废物的类别、数量、形态、物理化学性质和污染防治等要求设置必要的贮存分区，避免不相容的危险废物接触、混合；</w:t>
            </w:r>
          </w:p>
          <w:p w14:paraId="63B8CB56">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③地面、墙面</w:t>
            </w:r>
            <w:r>
              <w:rPr>
                <w:rFonts w:hint="eastAsia" w:cs="Times New Roman"/>
                <w:color w:val="auto"/>
                <w:sz w:val="24"/>
                <w:lang w:eastAsia="zh-CN"/>
              </w:rPr>
              <w:t>裙角</w:t>
            </w:r>
            <w:r>
              <w:rPr>
                <w:rFonts w:hint="eastAsia" w:ascii="Times New Roman" w:hAnsi="Times New Roman" w:eastAsia="宋体" w:cs="Times New Roman"/>
                <w:color w:val="auto"/>
                <w:sz w:val="24"/>
              </w:rPr>
              <w:t>、堵截泄漏的围堰、接触危险废物的隔板和墙体等应采用坚固的材料建造，表面无裂缝；</w:t>
            </w:r>
          </w:p>
          <w:p w14:paraId="428E847E">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④地面与裙脚应采取表面防渗措施</w:t>
            </w:r>
            <w:r>
              <w:rPr>
                <w:rFonts w:hint="eastAsia" w:cs="Times New Roman"/>
                <w:color w:val="auto"/>
                <w:sz w:val="24"/>
                <w:lang w:eastAsia="zh-CN"/>
              </w:rPr>
              <w:t>；</w:t>
            </w:r>
            <w:r>
              <w:rPr>
                <w:rFonts w:hint="eastAsia" w:ascii="Times New Roman" w:hAnsi="Times New Roman" w:eastAsia="宋体" w:cs="Times New Roman"/>
                <w:color w:val="auto"/>
                <w:sz w:val="24"/>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auto"/>
                <w:sz w:val="24"/>
                <w:vertAlign w:val="superscript"/>
                <w:lang w:val="en-US" w:eastAsia="zh-CN"/>
              </w:rPr>
              <w:t>-7</w:t>
            </w:r>
            <w:r>
              <w:rPr>
                <w:rFonts w:hint="eastAsia" w:ascii="Times New Roman" w:hAnsi="Times New Roman" w:eastAsia="宋体" w:cs="Times New Roman"/>
                <w:color w:val="auto"/>
                <w:sz w:val="24"/>
              </w:rPr>
              <w:t>cm/s），或至少2mm厚高密度聚乙烯膜等人工防渗材料（渗透系数不大于10</w:t>
            </w:r>
            <w:r>
              <w:rPr>
                <w:rFonts w:hint="eastAsia" w:cs="Times New Roman"/>
                <w:color w:val="auto"/>
                <w:sz w:val="24"/>
                <w:vertAlign w:val="superscript"/>
                <w:lang w:val="en-US" w:eastAsia="zh-CN"/>
              </w:rPr>
              <w:t>-1</w:t>
            </w:r>
            <w:r>
              <w:rPr>
                <w:rFonts w:hint="eastAsia" w:ascii="Times New Roman" w:hAnsi="Times New Roman" w:eastAsia="宋体" w:cs="Times New Roman"/>
                <w:color w:val="auto"/>
                <w:sz w:val="24"/>
                <w:vertAlign w:val="superscript"/>
              </w:rPr>
              <w:t>0</w:t>
            </w:r>
            <w:r>
              <w:rPr>
                <w:rFonts w:hint="eastAsia" w:ascii="Times New Roman" w:hAnsi="Times New Roman" w:eastAsia="宋体" w:cs="Times New Roman"/>
                <w:color w:val="auto"/>
                <w:sz w:val="24"/>
              </w:rPr>
              <w:t>cm/s），或其他防渗性能等效的材料；</w:t>
            </w:r>
          </w:p>
          <w:p w14:paraId="458A22C9">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⑤应采取技术和管理措施防止无关人员进入。</w:t>
            </w:r>
          </w:p>
          <w:p w14:paraId="7EE29487">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危险废物转移要求</w:t>
            </w:r>
          </w:p>
          <w:p w14:paraId="522291A5">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根据《危险废物转移管理办法》，危险废物转移过程应满足以下要求：</w:t>
            </w:r>
          </w:p>
          <w:p w14:paraId="17A15EFB">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①危险废物转移联单应当根据危险废物管理计划中填报的危险废物转移等备案信息填写、运行。</w:t>
            </w:r>
          </w:p>
          <w:p w14:paraId="2F7BF728">
            <w:pPr>
              <w:pStyle w:val="66"/>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14:paraId="00E59097">
            <w:pPr>
              <w:pStyle w:val="66"/>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152CAE2F">
            <w:pPr>
              <w:pStyle w:val="66"/>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14:paraId="58A40D82">
            <w:pPr>
              <w:pStyle w:val="66"/>
              <w:ind w:firstLine="480"/>
              <w:jc w:val="left"/>
              <w:rPr>
                <w:rFonts w:hint="eastAsia"/>
                <w:color w:val="auto"/>
              </w:rPr>
            </w:pPr>
            <w:r>
              <w:rPr>
                <w:rFonts w:hint="eastAsia"/>
                <w:color w:val="auto"/>
                <w:lang w:val="en-US" w:eastAsia="zh-CN"/>
              </w:rPr>
              <w:t>⑤接收</w:t>
            </w:r>
            <w:r>
              <w:rPr>
                <w:rFonts w:hint="eastAsia"/>
                <w:color w:val="auto"/>
              </w:rPr>
              <w:t>人应当对运抵的危险废物进行核实验收，并在</w:t>
            </w:r>
            <w:r>
              <w:rPr>
                <w:rFonts w:hint="eastAsia"/>
                <w:color w:val="auto"/>
                <w:lang w:eastAsia="zh-CN"/>
              </w:rPr>
              <w:t>接收</w:t>
            </w:r>
            <w:r>
              <w:rPr>
                <w:rFonts w:hint="eastAsia"/>
                <w:color w:val="auto"/>
              </w:rPr>
              <w:t>之日起五个工作日内通过信息系统确认</w:t>
            </w:r>
            <w:r>
              <w:rPr>
                <w:rFonts w:hint="eastAsia"/>
                <w:color w:val="auto"/>
                <w:lang w:eastAsia="zh-CN"/>
              </w:rPr>
              <w:t>接收</w:t>
            </w:r>
            <w:r>
              <w:rPr>
                <w:rFonts w:hint="eastAsia"/>
                <w:color w:val="auto"/>
              </w:rPr>
              <w:t>。运抵的危险废物的名称、数量、特性、形态、包装方式与危险废物转移联单填写内容不符的，接受人应当及时告知移出人，视情况决定是否接受，同时向接受地生态环境主管部门报告。</w:t>
            </w:r>
          </w:p>
          <w:p w14:paraId="00576D7C">
            <w:pPr>
              <w:pStyle w:val="66"/>
              <w:ind w:firstLine="480"/>
              <w:jc w:val="left"/>
              <w:rPr>
                <w:rFonts w:hint="eastAsia" w:ascii="Times New Roman" w:hAnsi="Times New Roman" w:eastAsia="宋体" w:cs="Times New Roman"/>
                <w:color w:val="auto"/>
              </w:rPr>
            </w:pPr>
            <w:r>
              <w:rPr>
                <w:rFonts w:hint="eastAsia"/>
                <w:color w:val="auto"/>
                <w:lang w:val="en-US" w:eastAsia="zh-CN"/>
              </w:rPr>
              <w:t>⑥</w:t>
            </w:r>
            <w:r>
              <w:rPr>
                <w:rFonts w:hint="eastAsia"/>
                <w:color w:val="auto"/>
              </w:rPr>
              <w:t>危险废物电子转移联单数据应当在信息系统中至少保存十年。因特殊原因无法运行危险废物电子转移联单的，可以先使用纸质转移联单，并于转移活动完成后</w:t>
            </w:r>
            <w:r>
              <w:rPr>
                <w:rFonts w:hint="eastAsia" w:ascii="Times New Roman" w:hAnsi="Times New Roman" w:eastAsia="宋体" w:cs="Times New Roman"/>
                <w:color w:val="auto"/>
              </w:rPr>
              <w:t>十个工作日内在信息系统中补录电子转移联单。</w:t>
            </w:r>
          </w:p>
          <w:p w14:paraId="30BAC228">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运输过程要求</w:t>
            </w:r>
          </w:p>
          <w:p w14:paraId="19FE053A">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危险废物运输和转移过</w:t>
            </w:r>
            <w:r>
              <w:rPr>
                <w:rFonts w:hint="eastAsia" w:cs="Times New Roman"/>
                <w:color w:val="auto"/>
                <w:lang w:eastAsia="zh-CN"/>
              </w:rPr>
              <w:t>程中</w:t>
            </w:r>
            <w:r>
              <w:rPr>
                <w:rFonts w:hint="eastAsia" w:ascii="Times New Roman" w:hAnsi="Times New Roman" w:eastAsia="宋体" w:cs="Times New Roman"/>
                <w:color w:val="auto"/>
              </w:rPr>
              <w:t>需注意：</w:t>
            </w:r>
          </w:p>
          <w:p w14:paraId="631CB407">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①危险废物运输单位必须具备相应的条件和能力；</w:t>
            </w:r>
          </w:p>
          <w:p w14:paraId="3E106BF2">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②需和负责运输的单位签订安全环保责任状，保证分工明确，责任到位；</w:t>
            </w:r>
          </w:p>
          <w:p w14:paraId="07A2416E">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③危险废物的转移按国家关于危险废物管理办法运输，避免和减缓转移过程的环境风险。</w:t>
            </w:r>
          </w:p>
          <w:p w14:paraId="2D869DDB">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4ECF61D7">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207" w:name="_Toc30471"/>
            <w:bookmarkStart w:id="208" w:name="_Toc26263"/>
            <w:r>
              <w:rPr>
                <w:rFonts w:hint="eastAsia" w:ascii="Times New Roman" w:hAnsi="Times New Roman" w:eastAsia="宋体" w:cs="Times New Roman"/>
                <w:color w:val="auto"/>
                <w:sz w:val="28"/>
                <w:szCs w:val="28"/>
                <w:u w:val="none"/>
                <w:lang w:val="en-US" w:eastAsia="zh-CN"/>
              </w:rPr>
              <w:t>4.5地下水、土壤环境影响和保护措施</w:t>
            </w:r>
            <w:bookmarkEnd w:id="207"/>
            <w:bookmarkEnd w:id="208"/>
          </w:p>
          <w:p w14:paraId="6C8DA71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lang w:val="zh-CN" w:eastAsia="zh-CN"/>
              </w:rPr>
            </w:pPr>
            <w:bookmarkStart w:id="209" w:name="_Toc22084"/>
            <w:bookmarkStart w:id="210" w:name="_Toc9310"/>
            <w:r>
              <w:rPr>
                <w:rFonts w:hint="eastAsia"/>
                <w:b/>
                <w:color w:val="auto"/>
                <w:kern w:val="0"/>
                <w:sz w:val="24"/>
                <w:lang w:val="zh-CN" w:eastAsia="zh-CN"/>
              </w:rPr>
              <w:t>4.5.1地下水、土壤环境影响分析</w:t>
            </w:r>
            <w:bookmarkEnd w:id="209"/>
            <w:bookmarkEnd w:id="210"/>
          </w:p>
          <w:p w14:paraId="4AE4C514">
            <w:pPr>
              <w:pStyle w:val="59"/>
              <w:spacing w:line="360" w:lineRule="auto"/>
              <w:ind w:firstLine="480"/>
              <w:rPr>
                <w:rFonts w:hint="eastAsia" w:ascii="Times New Roman" w:hAnsi="Times New Roman"/>
                <w:bCs w:val="0"/>
                <w:color w:val="auto"/>
                <w:szCs w:val="24"/>
              </w:rPr>
            </w:pPr>
            <w:r>
              <w:rPr>
                <w:rFonts w:hint="eastAsia" w:ascii="Times New Roman" w:hAnsi="Times New Roman"/>
                <w:bCs w:val="0"/>
                <w:color w:val="auto"/>
                <w:szCs w:val="24"/>
              </w:rPr>
              <w:t>地下水环境：</w:t>
            </w:r>
            <w:r>
              <w:rPr>
                <w:rFonts w:ascii="Times New Roman" w:hAnsi="Times New Roman"/>
                <w:bCs w:val="0"/>
                <w:color w:val="auto"/>
                <w:szCs w:val="24"/>
              </w:rPr>
              <w:t>本项目生活用水全部采用自来水，不取用地下水，项目对区域地下水环境可能造成影响的污染源主要是化粪池、危废暂存间。</w:t>
            </w:r>
            <w:r>
              <w:rPr>
                <w:rFonts w:hint="eastAsia" w:ascii="Times New Roman" w:hAnsi="Times New Roman"/>
                <w:bCs w:val="0"/>
                <w:color w:val="auto"/>
                <w:szCs w:val="24"/>
              </w:rPr>
              <w:t>主要影响途径为</w:t>
            </w:r>
            <w:r>
              <w:rPr>
                <w:rFonts w:ascii="Times New Roman" w:hAnsi="Times New Roman"/>
                <w:bCs w:val="0"/>
                <w:color w:val="auto"/>
                <w:szCs w:val="24"/>
              </w:rPr>
              <w:t>化粪池</w:t>
            </w:r>
            <w:r>
              <w:rPr>
                <w:rFonts w:hint="eastAsia" w:ascii="Times New Roman" w:hAnsi="Times New Roman"/>
                <w:bCs w:val="0"/>
                <w:color w:val="auto"/>
                <w:szCs w:val="24"/>
              </w:rPr>
              <w:t>、</w:t>
            </w:r>
            <w:r>
              <w:rPr>
                <w:rFonts w:hint="eastAsia"/>
                <w:bCs w:val="0"/>
                <w:color w:val="auto"/>
                <w:szCs w:val="24"/>
                <w:lang w:val="en-US" w:eastAsia="zh-CN"/>
              </w:rPr>
              <w:t>危险废物贮存</w:t>
            </w:r>
            <w:r>
              <w:rPr>
                <w:rFonts w:ascii="Times New Roman" w:hAnsi="Times New Roman"/>
                <w:bCs w:val="0"/>
                <w:color w:val="auto"/>
                <w:szCs w:val="24"/>
              </w:rPr>
              <w:t>场地、污水管网系统堵塞、管道破裂破损情况下等污水下渗对地下水造成的污染</w:t>
            </w:r>
            <w:r>
              <w:rPr>
                <w:rFonts w:hint="eastAsia" w:ascii="Times New Roman" w:hAnsi="Times New Roman"/>
                <w:bCs w:val="0"/>
                <w:color w:val="auto"/>
                <w:szCs w:val="24"/>
              </w:rPr>
              <w:t>。</w:t>
            </w:r>
          </w:p>
          <w:p w14:paraId="658C4F2A">
            <w:pPr>
              <w:pStyle w:val="59"/>
              <w:spacing w:line="360" w:lineRule="auto"/>
              <w:ind w:firstLine="480"/>
              <w:rPr>
                <w:rFonts w:ascii="Times New Roman" w:hAnsi="Times New Roman"/>
                <w:bCs w:val="0"/>
                <w:color w:val="auto"/>
                <w:szCs w:val="24"/>
              </w:rPr>
            </w:pPr>
            <w:r>
              <w:rPr>
                <w:rFonts w:hint="eastAsia" w:ascii="Times New Roman" w:hAnsi="Times New Roman"/>
                <w:bCs w:val="0"/>
                <w:color w:val="auto"/>
                <w:szCs w:val="24"/>
              </w:rPr>
              <w:t>土壤环境：</w:t>
            </w:r>
            <w:r>
              <w:rPr>
                <w:rFonts w:ascii="Times New Roman" w:hAnsi="Times New Roman"/>
                <w:bCs w:val="0"/>
                <w:color w:val="auto"/>
                <w:szCs w:val="24"/>
              </w:rPr>
              <w:t>项目对区域</w:t>
            </w:r>
            <w:r>
              <w:rPr>
                <w:rFonts w:hint="eastAsia" w:ascii="Times New Roman" w:hAnsi="Times New Roman"/>
                <w:bCs w:val="0"/>
                <w:color w:val="auto"/>
                <w:szCs w:val="24"/>
              </w:rPr>
              <w:t>土壤</w:t>
            </w:r>
            <w:r>
              <w:rPr>
                <w:rFonts w:ascii="Times New Roman" w:hAnsi="Times New Roman"/>
                <w:bCs w:val="0"/>
                <w:color w:val="auto"/>
                <w:szCs w:val="24"/>
              </w:rPr>
              <w:t>环境可能造成影响的污染源主要是</w:t>
            </w:r>
            <w:r>
              <w:rPr>
                <w:rFonts w:hint="eastAsia" w:ascii="Times New Roman" w:hAnsi="Times New Roman"/>
                <w:bCs w:val="0"/>
                <w:color w:val="auto"/>
                <w:szCs w:val="24"/>
              </w:rPr>
              <w:t>生产产生的有机废气沉降、</w:t>
            </w:r>
            <w:r>
              <w:rPr>
                <w:rFonts w:ascii="Times New Roman" w:hAnsi="Times New Roman"/>
                <w:bCs w:val="0"/>
                <w:color w:val="auto"/>
                <w:szCs w:val="24"/>
              </w:rPr>
              <w:t>化粪池、危废暂存间。</w:t>
            </w:r>
            <w:r>
              <w:rPr>
                <w:rFonts w:hint="eastAsia" w:ascii="Times New Roman" w:hAnsi="Times New Roman"/>
                <w:bCs w:val="0"/>
                <w:color w:val="auto"/>
                <w:szCs w:val="24"/>
              </w:rPr>
              <w:t>主要影响途径为</w:t>
            </w:r>
            <w:r>
              <w:rPr>
                <w:rFonts w:ascii="Times New Roman" w:hAnsi="Times New Roman"/>
                <w:bCs w:val="0"/>
                <w:color w:val="auto"/>
                <w:szCs w:val="24"/>
              </w:rPr>
              <w:t>有机废气大气沉降影响，以及废水设施及排放管道发生泄漏和危险废物贮存、运输过程中发生泄漏或渗漏，污染因子受土壤的截留作用，因而改变土壤理化性质，影响植物的生长和发育</w:t>
            </w:r>
            <w:r>
              <w:rPr>
                <w:rFonts w:hint="eastAsia" w:ascii="Times New Roman" w:hAnsi="Times New Roman"/>
                <w:bCs w:val="0"/>
                <w:color w:val="auto"/>
                <w:szCs w:val="24"/>
              </w:rPr>
              <w:t>。</w:t>
            </w:r>
          </w:p>
          <w:p w14:paraId="24B7378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lang w:val="zh-CN" w:eastAsia="zh-CN"/>
              </w:rPr>
            </w:pPr>
            <w:bookmarkStart w:id="211" w:name="_Toc8514"/>
            <w:bookmarkStart w:id="212" w:name="_Toc19666"/>
            <w:r>
              <w:rPr>
                <w:rFonts w:hint="eastAsia"/>
                <w:b/>
                <w:color w:val="auto"/>
                <w:kern w:val="0"/>
                <w:sz w:val="24"/>
                <w:lang w:val="zh-CN" w:eastAsia="zh-CN"/>
              </w:rPr>
              <w:t>4.5.2地下水、土壤环境防控措施</w:t>
            </w:r>
            <w:bookmarkEnd w:id="211"/>
            <w:bookmarkEnd w:id="212"/>
          </w:p>
          <w:p w14:paraId="30C4EF00">
            <w:pPr>
              <w:pStyle w:val="59"/>
              <w:spacing w:line="360" w:lineRule="auto"/>
              <w:ind w:firstLine="480"/>
              <w:rPr>
                <w:rFonts w:ascii="Times New Roman" w:hAnsi="Times New Roman"/>
                <w:color w:val="auto"/>
                <w:szCs w:val="24"/>
              </w:rPr>
            </w:pPr>
            <w:r>
              <w:rPr>
                <w:rFonts w:hint="eastAsia" w:ascii="Times New Roman" w:hAnsi="Times New Roman"/>
                <w:color w:val="auto"/>
                <w:szCs w:val="24"/>
              </w:rPr>
              <w:t>（</w:t>
            </w:r>
            <w:r>
              <w:rPr>
                <w:rFonts w:ascii="Times New Roman" w:hAnsi="Times New Roman"/>
                <w:color w:val="auto"/>
                <w:szCs w:val="24"/>
              </w:rPr>
              <w:t>1）重点污染区防渗措施为：</w:t>
            </w:r>
            <w:r>
              <w:rPr>
                <w:rFonts w:ascii="Times New Roman" w:hAnsi="Times New Roman"/>
                <w:color w:val="auto"/>
                <w:kern w:val="0"/>
              </w:rPr>
              <w:t>根据《环境影响评价技术导则地下水环境》</w:t>
            </w:r>
            <w:r>
              <w:rPr>
                <w:rFonts w:hint="eastAsia"/>
                <w:color w:val="auto"/>
                <w:kern w:val="0"/>
                <w:lang w:eastAsia="zh-CN"/>
              </w:rPr>
              <w:t>（</w:t>
            </w:r>
            <w:r>
              <w:rPr>
                <w:rFonts w:ascii="Times New Roman" w:hAnsi="Times New Roman"/>
                <w:color w:val="auto"/>
                <w:kern w:val="0"/>
              </w:rPr>
              <w:t>HJ610-2016</w:t>
            </w:r>
            <w:r>
              <w:rPr>
                <w:rFonts w:hint="eastAsia"/>
                <w:color w:val="auto"/>
                <w:kern w:val="0"/>
                <w:lang w:eastAsia="zh-CN"/>
              </w:rPr>
              <w:t>）</w:t>
            </w:r>
            <w:r>
              <w:rPr>
                <w:rFonts w:ascii="Times New Roman" w:hAnsi="Times New Roman"/>
                <w:color w:val="auto"/>
                <w:kern w:val="0"/>
              </w:rPr>
              <w:t>的要求，重点防治区的防渗性能应等效黏土防渗层≥6.0m，渗透系数≤1.0×10</w:t>
            </w:r>
            <w:r>
              <w:rPr>
                <w:rFonts w:hint="eastAsia"/>
                <w:color w:val="auto"/>
                <w:kern w:val="0"/>
                <w:lang w:eastAsia="zh-CN"/>
              </w:rPr>
              <w:t>—</w:t>
            </w:r>
            <w:r>
              <w:rPr>
                <w:rFonts w:ascii="Times New Roman" w:hAnsi="Times New Roman"/>
                <w:color w:val="auto"/>
                <w:kern w:val="0"/>
                <w:vertAlign w:val="superscript"/>
              </w:rPr>
              <w:t>7</w:t>
            </w:r>
            <w:r>
              <w:rPr>
                <w:rFonts w:ascii="Times New Roman" w:hAnsi="Times New Roman"/>
                <w:color w:val="auto"/>
                <w:kern w:val="0"/>
              </w:rPr>
              <w:t>cm/s。危险废物暂存场重点防渗区应按照《危险废物污染防治技术政策》及</w:t>
            </w:r>
            <w:r>
              <w:rPr>
                <w:rFonts w:ascii="Times New Roman" w:hAnsi="Times New Roman"/>
                <w:color w:val="auto"/>
              </w:rPr>
              <w:t>《危险废物贮存污染控制标准》</w:t>
            </w:r>
            <w:r>
              <w:rPr>
                <w:rFonts w:hint="eastAsia"/>
                <w:color w:val="auto"/>
                <w:lang w:eastAsia="zh-CN"/>
              </w:rPr>
              <w:t>（</w:t>
            </w:r>
            <w:r>
              <w:rPr>
                <w:rFonts w:ascii="Times New Roman" w:hAnsi="Times New Roman"/>
                <w:color w:val="auto"/>
              </w:rPr>
              <w:t>GB18597-2023</w:t>
            </w:r>
            <w:r>
              <w:rPr>
                <w:rFonts w:hint="eastAsia"/>
                <w:color w:val="auto"/>
                <w:lang w:eastAsia="zh-CN"/>
              </w:rPr>
              <w:t>）</w:t>
            </w:r>
            <w:r>
              <w:rPr>
                <w:rFonts w:ascii="Times New Roman" w:hAnsi="Times New Roman"/>
                <w:color w:val="auto"/>
                <w:kern w:val="0"/>
              </w:rPr>
              <w:t>等危险废物处理的相关标准、法律法规的要求</w:t>
            </w:r>
            <w:r>
              <w:rPr>
                <w:rFonts w:ascii="Times New Roman" w:hAnsi="Times New Roman"/>
                <w:color w:val="auto"/>
                <w:szCs w:val="24"/>
              </w:rPr>
              <w:t>；</w:t>
            </w:r>
          </w:p>
          <w:p w14:paraId="66BFDA9F">
            <w:pPr>
              <w:pStyle w:val="59"/>
              <w:spacing w:line="360" w:lineRule="auto"/>
              <w:ind w:firstLine="480"/>
              <w:rPr>
                <w:color w:val="auto"/>
              </w:rPr>
            </w:pPr>
            <w:bookmarkStart w:id="213" w:name="_Toc12701"/>
            <w:bookmarkStart w:id="214" w:name="_Toc3195"/>
            <w:bookmarkStart w:id="215" w:name="_Toc15205"/>
            <w:bookmarkStart w:id="216" w:name="_Toc19130"/>
            <w:bookmarkStart w:id="217" w:name="_Toc9711"/>
            <w:r>
              <w:rPr>
                <w:rFonts w:ascii="Times New Roman" w:hAnsi="Times New Roman"/>
                <w:color w:val="auto"/>
                <w:szCs w:val="24"/>
              </w:rPr>
              <w:t>（2）一般污染区防渗措施：一般工业固废间、项目生产车间、化粪池地面采取防渗水泥固化。</w:t>
            </w:r>
            <w:r>
              <w:rPr>
                <w:rFonts w:ascii="Times New Roman" w:hAnsi="Times New Roman"/>
                <w:color w:val="auto"/>
                <w:kern w:val="0"/>
              </w:rPr>
              <w:t>根据《环境影响评价技术导则地下水环境》</w:t>
            </w:r>
            <w:r>
              <w:rPr>
                <w:rFonts w:hint="eastAsia"/>
                <w:color w:val="auto"/>
                <w:kern w:val="0"/>
                <w:lang w:eastAsia="zh-CN"/>
              </w:rPr>
              <w:t>（</w:t>
            </w:r>
            <w:r>
              <w:rPr>
                <w:rFonts w:ascii="Times New Roman" w:hAnsi="Times New Roman"/>
                <w:color w:val="auto"/>
                <w:kern w:val="0"/>
              </w:rPr>
              <w:t>HJ610-2016</w:t>
            </w:r>
            <w:r>
              <w:rPr>
                <w:rFonts w:hint="eastAsia"/>
                <w:color w:val="auto"/>
                <w:kern w:val="0"/>
                <w:lang w:eastAsia="zh-CN"/>
              </w:rPr>
              <w:t>）</w:t>
            </w:r>
            <w:r>
              <w:rPr>
                <w:rFonts w:ascii="Times New Roman" w:hAnsi="Times New Roman"/>
                <w:color w:val="auto"/>
                <w:kern w:val="0"/>
              </w:rPr>
              <w:t>，一般防渗区的防渗性能等效黏土防渗层≥1.5m，渗透系数≤1.0×10</w:t>
            </w:r>
            <w:r>
              <w:rPr>
                <w:rFonts w:hint="eastAsia"/>
                <w:color w:val="auto"/>
                <w:kern w:val="0"/>
                <w:lang w:eastAsia="zh-CN"/>
              </w:rPr>
              <w:t>—</w:t>
            </w:r>
            <w:r>
              <w:rPr>
                <w:rFonts w:ascii="Times New Roman" w:hAnsi="Times New Roman"/>
                <w:color w:val="auto"/>
                <w:kern w:val="0"/>
                <w:vertAlign w:val="superscript"/>
              </w:rPr>
              <w:t>7</w:t>
            </w:r>
            <w:r>
              <w:rPr>
                <w:rFonts w:ascii="Times New Roman" w:hAnsi="Times New Roman"/>
                <w:color w:val="auto"/>
                <w:kern w:val="0"/>
              </w:rPr>
              <w:t>cm/s。一般工业固体废物暂存场一般防渗区应按照</w:t>
            </w:r>
            <w:r>
              <w:rPr>
                <w:rFonts w:ascii="Times New Roman" w:hAnsi="Times New Roman"/>
                <w:color w:val="auto"/>
              </w:rPr>
              <w:t>《一般工业固体废物贮存和填埋污染控制标准》</w:t>
            </w:r>
            <w:r>
              <w:rPr>
                <w:rFonts w:hint="eastAsia"/>
                <w:color w:val="auto"/>
                <w:lang w:eastAsia="zh-CN"/>
              </w:rPr>
              <w:t>（</w:t>
            </w:r>
            <w:r>
              <w:rPr>
                <w:rFonts w:ascii="Times New Roman" w:hAnsi="Times New Roman"/>
                <w:color w:val="auto"/>
              </w:rPr>
              <w:t>GB18599-2020</w:t>
            </w:r>
            <w:r>
              <w:rPr>
                <w:rFonts w:hint="eastAsia"/>
                <w:color w:val="auto"/>
                <w:lang w:eastAsia="zh-CN"/>
              </w:rPr>
              <w:t>）</w:t>
            </w:r>
            <w:r>
              <w:rPr>
                <w:rFonts w:ascii="Times New Roman" w:hAnsi="Times New Roman"/>
                <w:color w:val="auto"/>
              </w:rPr>
              <w:t>中要求</w:t>
            </w:r>
            <w:r>
              <w:rPr>
                <w:rFonts w:ascii="Times New Roman" w:hAnsi="Times New Roman"/>
                <w:color w:val="auto"/>
                <w:kern w:val="0"/>
              </w:rPr>
              <w:t>进行设计</w:t>
            </w:r>
            <w:r>
              <w:rPr>
                <w:rFonts w:hint="eastAsia"/>
                <w:color w:val="auto"/>
                <w:kern w:val="0"/>
                <w:lang w:eastAsia="zh-CN"/>
              </w:rPr>
              <w:t>且</w:t>
            </w:r>
            <w:r>
              <w:rPr>
                <w:rFonts w:ascii="Times New Roman" w:hAnsi="Times New Roman"/>
                <w:color w:val="auto"/>
              </w:rPr>
              <w:t>具有防雨、防渗、防</w:t>
            </w:r>
            <w:r>
              <w:rPr>
                <w:color w:val="auto"/>
              </w:rPr>
              <w:t>风、防日晒的功能。</w:t>
            </w:r>
          </w:p>
          <w:bookmarkEnd w:id="213"/>
          <w:bookmarkEnd w:id="214"/>
          <w:bookmarkEnd w:id="215"/>
          <w:bookmarkEnd w:id="216"/>
          <w:bookmarkEnd w:id="217"/>
          <w:p w14:paraId="0FD15050">
            <w:pPr>
              <w:pStyle w:val="59"/>
              <w:spacing w:line="360" w:lineRule="auto"/>
              <w:ind w:firstLine="480"/>
              <w:rPr>
                <w:rFonts w:hint="eastAsia" w:ascii="Times New Roman" w:hAnsi="Times New Roman"/>
                <w:color w:val="auto"/>
                <w:szCs w:val="24"/>
              </w:rPr>
            </w:pPr>
            <w:r>
              <w:rPr>
                <w:rFonts w:ascii="Times New Roman" w:hAnsi="Times New Roman"/>
                <w:color w:val="auto"/>
                <w:szCs w:val="24"/>
              </w:rPr>
              <w:t>（3）污水管网系统堵塞、管道破裂、破损情况</w:t>
            </w:r>
            <w:r>
              <w:rPr>
                <w:rFonts w:hint="eastAsia"/>
                <w:color w:val="auto"/>
                <w:szCs w:val="24"/>
                <w:lang w:eastAsia="zh-CN"/>
              </w:rPr>
              <w:t>下</w:t>
            </w:r>
            <w:r>
              <w:rPr>
                <w:rFonts w:ascii="Times New Roman" w:hAnsi="Times New Roman"/>
                <w:color w:val="auto"/>
                <w:szCs w:val="24"/>
              </w:rPr>
              <w:t>污水下渗可能会对地下水造成污染，但这种情况发生的</w:t>
            </w:r>
            <w:r>
              <w:rPr>
                <w:rFonts w:hint="eastAsia"/>
                <w:color w:val="auto"/>
                <w:szCs w:val="24"/>
                <w:lang w:eastAsia="zh-CN"/>
              </w:rPr>
              <w:t>概率</w:t>
            </w:r>
            <w:r>
              <w:rPr>
                <w:rFonts w:ascii="Times New Roman" w:hAnsi="Times New Roman"/>
                <w:color w:val="auto"/>
                <w:szCs w:val="24"/>
              </w:rPr>
              <w:t>很小，其避免措施是：在污水管道设计中，要选择适当的设计流速和充满度，防止污泥沉积；选择合适的防腐管材，注意其封闭性，防止污水</w:t>
            </w:r>
            <w:r>
              <w:rPr>
                <w:rFonts w:hint="eastAsia"/>
                <w:color w:val="auto"/>
                <w:szCs w:val="24"/>
                <w:lang w:eastAsia="zh-CN"/>
              </w:rPr>
              <w:t>“</w:t>
            </w:r>
            <w:r>
              <w:rPr>
                <w:rFonts w:ascii="Times New Roman" w:hAnsi="Times New Roman"/>
                <w:color w:val="auto"/>
                <w:szCs w:val="24"/>
              </w:rPr>
              <w:t>跑、冒、滴、漏</w:t>
            </w:r>
            <w:r>
              <w:rPr>
                <w:rFonts w:hint="eastAsia"/>
                <w:color w:val="auto"/>
                <w:szCs w:val="24"/>
                <w:lang w:eastAsia="zh-CN"/>
              </w:rPr>
              <w:t>”</w:t>
            </w:r>
            <w:r>
              <w:rPr>
                <w:rFonts w:ascii="Times New Roman" w:hAnsi="Times New Roman"/>
                <w:color w:val="auto"/>
                <w:szCs w:val="24"/>
              </w:rPr>
              <w:t>；制定严格的污水管网维修制度；建设单位应严禁固体废物排入下水管道，环保部门应与市政部门密切配合，强化监测与管理工作</w:t>
            </w:r>
            <w:r>
              <w:rPr>
                <w:rFonts w:hint="eastAsia" w:ascii="Times New Roman" w:hAnsi="Times New Roman"/>
                <w:color w:val="auto"/>
                <w:szCs w:val="24"/>
              </w:rPr>
              <w:t>；</w:t>
            </w:r>
          </w:p>
          <w:p w14:paraId="2BB7F0FE">
            <w:pPr>
              <w:pStyle w:val="59"/>
              <w:spacing w:line="360" w:lineRule="auto"/>
              <w:ind w:firstLine="480"/>
              <w:rPr>
                <w:rFonts w:hint="eastAsia" w:ascii="Times New Roman" w:hAnsi="Times New Roman"/>
                <w:color w:val="auto"/>
                <w:szCs w:val="24"/>
              </w:rPr>
            </w:pPr>
            <w:r>
              <w:rPr>
                <w:rFonts w:hint="eastAsia" w:ascii="Times New Roman" w:hAnsi="Times New Roman"/>
                <w:color w:val="auto"/>
                <w:szCs w:val="24"/>
              </w:rPr>
              <w:t>（4）</w:t>
            </w:r>
            <w:r>
              <w:rPr>
                <w:rFonts w:ascii="Times New Roman" w:hAnsi="Times New Roman"/>
                <w:color w:val="auto"/>
                <w:szCs w:val="24"/>
              </w:rPr>
              <w:t>加强废气环保设施管理，保证废气达标排放</w:t>
            </w:r>
            <w:r>
              <w:rPr>
                <w:rFonts w:hint="eastAsia" w:ascii="Times New Roman" w:hAnsi="Times New Roman"/>
                <w:color w:val="auto"/>
                <w:szCs w:val="24"/>
              </w:rPr>
              <w:t>，减少大气沉降对地面土壤的影响；</w:t>
            </w:r>
          </w:p>
          <w:p w14:paraId="1510A655">
            <w:pPr>
              <w:pStyle w:val="11"/>
              <w:spacing w:before="0" w:after="0" w:line="360" w:lineRule="auto"/>
              <w:ind w:firstLine="480" w:firstLineChars="200"/>
              <w:rPr>
                <w:rFonts w:hint="eastAsia"/>
                <w:color w:val="auto"/>
                <w:sz w:val="24"/>
                <w:szCs w:val="24"/>
              </w:rPr>
            </w:pPr>
            <w:r>
              <w:rPr>
                <w:rFonts w:hint="eastAsia"/>
                <w:b w:val="0"/>
                <w:bCs/>
                <w:color w:val="auto"/>
                <w:sz w:val="24"/>
                <w:szCs w:val="24"/>
              </w:rPr>
              <w:t>跟踪监测要求：项</w:t>
            </w:r>
            <w:r>
              <w:rPr>
                <w:rFonts w:hint="eastAsia"/>
                <w:color w:val="auto"/>
                <w:sz w:val="24"/>
                <w:szCs w:val="24"/>
              </w:rPr>
              <w:t>目已按分区防控要求提出相应的防控措施，同时项目车间地面</w:t>
            </w:r>
            <w:r>
              <w:rPr>
                <w:rFonts w:hint="eastAsia"/>
                <w:color w:val="auto"/>
                <w:sz w:val="24"/>
                <w:szCs w:val="24"/>
                <w:lang w:val="en-US" w:eastAsia="zh-CN"/>
              </w:rPr>
              <w:t>已全部</w:t>
            </w:r>
            <w:r>
              <w:rPr>
                <w:rFonts w:hint="eastAsia"/>
                <w:color w:val="auto"/>
                <w:sz w:val="24"/>
                <w:szCs w:val="24"/>
              </w:rPr>
              <w:t>硬化，一般情况下不会对周边地下水、土壤环境造成影响，故可不需要进行跟踪监测。</w:t>
            </w:r>
          </w:p>
          <w:p w14:paraId="6391DF4F">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Style w:val="67"/>
                <w:rFonts w:ascii="Times New Roman" w:hAnsi="Times New Roman"/>
                <w:b/>
                <w:bCs/>
                <w:color w:val="auto"/>
                <w:kern w:val="0"/>
                <w:sz w:val="28"/>
                <w:szCs w:val="28"/>
              </w:rPr>
            </w:pPr>
            <w:bookmarkStart w:id="218" w:name="_Toc2007"/>
            <w:bookmarkStart w:id="219" w:name="_Toc5964"/>
            <w:r>
              <w:rPr>
                <w:rStyle w:val="67"/>
                <w:rFonts w:ascii="Times New Roman" w:hAnsi="Times New Roman"/>
                <w:b/>
                <w:bCs/>
                <w:color w:val="auto"/>
                <w:kern w:val="0"/>
                <w:sz w:val="28"/>
                <w:szCs w:val="28"/>
              </w:rPr>
              <w:t>4.</w:t>
            </w:r>
            <w:r>
              <w:rPr>
                <w:rStyle w:val="67"/>
                <w:rFonts w:hint="eastAsia" w:ascii="Times New Roman" w:hAnsi="Times New Roman"/>
                <w:b/>
                <w:bCs/>
                <w:color w:val="auto"/>
                <w:kern w:val="0"/>
                <w:sz w:val="28"/>
                <w:szCs w:val="28"/>
              </w:rPr>
              <w:t>6</w:t>
            </w:r>
            <w:r>
              <w:rPr>
                <w:rStyle w:val="67"/>
                <w:rFonts w:ascii="Times New Roman" w:hAnsi="Times New Roman"/>
                <w:b/>
                <w:bCs/>
                <w:color w:val="auto"/>
                <w:kern w:val="0"/>
                <w:sz w:val="28"/>
                <w:szCs w:val="28"/>
              </w:rPr>
              <w:t>环境风险</w:t>
            </w:r>
            <w:bookmarkEnd w:id="218"/>
            <w:r>
              <w:rPr>
                <w:rStyle w:val="67"/>
                <w:rFonts w:ascii="Times New Roman" w:hAnsi="Times New Roman"/>
                <w:b/>
                <w:bCs/>
                <w:color w:val="auto"/>
                <w:kern w:val="0"/>
                <w:sz w:val="28"/>
                <w:szCs w:val="28"/>
              </w:rPr>
              <w:t>分析</w:t>
            </w:r>
            <w:bookmarkEnd w:id="219"/>
          </w:p>
          <w:p w14:paraId="27B02B8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en-US" w:eastAsia="zh-CN"/>
              </w:rPr>
            </w:pPr>
            <w:bookmarkStart w:id="220" w:name="_Toc27752"/>
            <w:bookmarkStart w:id="221" w:name="_Toc15543"/>
            <w:r>
              <w:rPr>
                <w:rFonts w:hint="eastAsia"/>
                <w:b/>
                <w:color w:val="auto"/>
                <w:kern w:val="0"/>
                <w:sz w:val="24"/>
                <w:lang w:val="en-US" w:eastAsia="zh-CN"/>
              </w:rPr>
              <w:t>4.6.1</w:t>
            </w:r>
            <w:r>
              <w:rPr>
                <w:rFonts w:hint="default"/>
                <w:b/>
                <w:color w:val="auto"/>
                <w:kern w:val="0"/>
                <w:sz w:val="24"/>
                <w:lang w:val="en-US" w:eastAsia="zh-CN"/>
              </w:rPr>
              <w:t>项目危险物质调查</w:t>
            </w:r>
            <w:bookmarkEnd w:id="220"/>
            <w:bookmarkEnd w:id="221"/>
          </w:p>
          <w:p w14:paraId="5DD06CE7">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lang w:val="en-US" w:eastAsia="zh-CN"/>
              </w:rPr>
              <w:t>对照《危险化学品重大危险源辨识》（GB18218-2018）、</w:t>
            </w:r>
            <w:r>
              <w:rPr>
                <w:rFonts w:hint="default" w:ascii="Times New Roman" w:hAnsi="Times New Roman" w:eastAsia="宋体" w:cs="Times New Roman"/>
                <w:color w:val="auto"/>
                <w:sz w:val="24"/>
              </w:rPr>
              <w:t>《建设项目环境风险评价技术导则》（HJ169-2018）和《</w:t>
            </w:r>
            <w:r>
              <w:rPr>
                <w:rFonts w:hint="default" w:ascii="Times New Roman" w:hAnsi="Times New Roman" w:eastAsia="宋体" w:cs="Times New Roman"/>
                <w:color w:val="auto"/>
                <w:sz w:val="24"/>
                <w:lang w:val="en-US" w:eastAsia="zh-CN"/>
              </w:rPr>
              <w:t>关于进一步加强环境影响评价管理防范环境风险的通知》</w:t>
            </w:r>
            <w:r>
              <w:rPr>
                <w:rFonts w:hint="default" w:ascii="Times New Roman" w:hAnsi="Times New Roman" w:eastAsia="宋体" w:cs="Times New Roman"/>
                <w:color w:val="auto"/>
                <w:sz w:val="24"/>
              </w:rPr>
              <w:t>（环发</w:t>
            </w:r>
            <w:r>
              <w:rPr>
                <w:rFonts w:hint="eastAsia" w:ascii="宋体" w:hAnsi="宋体" w:eastAsia="宋体" w:cs="宋体"/>
                <w:color w:val="auto"/>
                <w:sz w:val="24"/>
                <w:lang w:val="en-US" w:eastAsia="zh-CN"/>
              </w:rPr>
              <w:t>〔2012〕77</w:t>
            </w:r>
            <w:r>
              <w:rPr>
                <w:rFonts w:hint="default" w:ascii="Times New Roman" w:hAnsi="Times New Roman" w:eastAsia="宋体" w:cs="Times New Roman"/>
                <w:color w:val="auto"/>
                <w:sz w:val="24"/>
              </w:rPr>
              <w:t>号），对环境风险源进行了识别，本项目</w:t>
            </w:r>
            <w:r>
              <w:rPr>
                <w:rFonts w:hint="eastAsia" w:ascii="Times New Roman" w:hAnsi="Times New Roman" w:eastAsia="宋体" w:cs="Times New Roman"/>
                <w:color w:val="auto"/>
                <w:sz w:val="24"/>
                <w:lang w:val="en-US" w:eastAsia="zh-CN"/>
              </w:rPr>
              <w:t>使用液压油、机油，</w:t>
            </w:r>
            <w:r>
              <w:rPr>
                <w:rFonts w:hint="default" w:ascii="Times New Roman" w:hAnsi="Times New Roman" w:eastAsia="宋体" w:cs="Times New Roman"/>
                <w:color w:val="auto"/>
                <w:sz w:val="24"/>
              </w:rPr>
              <w:t>涉及</w:t>
            </w:r>
            <w:r>
              <w:rPr>
                <w:rFonts w:hint="eastAsia" w:ascii="Times New Roman" w:hAnsi="Times New Roman" w:eastAsia="宋体" w:cs="Times New Roman"/>
                <w:color w:val="auto"/>
                <w:sz w:val="24"/>
                <w:lang w:val="en-US" w:eastAsia="zh-CN"/>
              </w:rPr>
              <w:t>突发环境风险物质中的油类物质，临界量为2500。风险物质情况</w:t>
            </w:r>
            <w:r>
              <w:rPr>
                <w:rFonts w:hint="eastAsia"/>
                <w:color w:val="auto"/>
                <w:sz w:val="24"/>
                <w:lang w:val="en-US" w:eastAsia="zh-CN"/>
              </w:rPr>
              <w:t>详见表4.6-1。</w:t>
            </w:r>
          </w:p>
          <w:p w14:paraId="5786C0D6">
            <w:pPr>
              <w:keepNext w:val="0"/>
              <w:keepLines w:val="0"/>
              <w:pageBreakBefore w:val="0"/>
              <w:widowControl w:val="0"/>
              <w:numPr>
                <w:ilvl w:val="0"/>
                <w:numId w:val="0"/>
              </w:numPr>
              <w:kinsoku/>
              <w:wordWrap/>
              <w:overflowPunct/>
              <w:topLinePunct w:val="0"/>
              <w:autoSpaceDE/>
              <w:autoSpaceDN/>
              <w:bidi w:val="0"/>
              <w:adjustRightInd/>
              <w:snapToGrid/>
              <w:spacing w:before="163" w:beforeLines="50"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主要</w:t>
            </w:r>
            <w:r>
              <w:rPr>
                <w:rFonts w:hint="eastAsia" w:cs="Times New Roman"/>
                <w:b/>
                <w:bCs/>
                <w:color w:val="auto"/>
                <w:sz w:val="24"/>
                <w:lang w:val="en-US" w:eastAsia="zh-CN"/>
              </w:rPr>
              <w:t>风险物质</w:t>
            </w:r>
            <w:r>
              <w:rPr>
                <w:rFonts w:hint="default" w:ascii="Times New Roman" w:hAnsi="Times New Roman" w:eastAsia="宋体" w:cs="Times New Roman"/>
                <w:b/>
                <w:bCs/>
                <w:color w:val="auto"/>
                <w:sz w:val="24"/>
                <w:lang w:eastAsia="zh-CN"/>
              </w:rPr>
              <w:t>数量</w:t>
            </w:r>
            <w:r>
              <w:rPr>
                <w:rFonts w:hint="default" w:ascii="Times New Roman" w:hAnsi="Times New Roman" w:eastAsia="宋体" w:cs="Times New Roman"/>
                <w:b/>
                <w:bCs/>
                <w:color w:val="auto"/>
                <w:sz w:val="24"/>
              </w:rPr>
              <w:t>、有害因素分布表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04"/>
              <w:gridCol w:w="1118"/>
              <w:gridCol w:w="1444"/>
              <w:gridCol w:w="1750"/>
              <w:gridCol w:w="852"/>
              <w:gridCol w:w="1115"/>
              <w:gridCol w:w="1125"/>
            </w:tblGrid>
            <w:tr w14:paraId="298B0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24" w:type="pct"/>
                  <w:tcBorders>
                    <w:tl2br w:val="nil"/>
                    <w:tr2bl w:val="nil"/>
                  </w:tcBorders>
                  <w:noWrap w:val="0"/>
                  <w:vAlign w:val="center"/>
                </w:tcPr>
                <w:p w14:paraId="2969816A">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物质名称</w:t>
                  </w:r>
                </w:p>
              </w:tc>
              <w:tc>
                <w:tcPr>
                  <w:tcW w:w="397" w:type="pct"/>
                  <w:tcBorders>
                    <w:tl2br w:val="nil"/>
                    <w:tr2bl w:val="nil"/>
                  </w:tcBorders>
                  <w:noWrap w:val="0"/>
                  <w:vAlign w:val="center"/>
                </w:tcPr>
                <w:p w14:paraId="4FB35581">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形态</w:t>
                  </w:r>
                </w:p>
              </w:tc>
              <w:tc>
                <w:tcPr>
                  <w:tcW w:w="630" w:type="pct"/>
                  <w:tcBorders>
                    <w:tl2br w:val="nil"/>
                    <w:tr2bl w:val="nil"/>
                  </w:tcBorders>
                  <w:noWrap w:val="0"/>
                  <w:vAlign w:val="center"/>
                </w:tcPr>
                <w:p w14:paraId="12749DB2">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年储存量（t）</w:t>
                  </w:r>
                </w:p>
              </w:tc>
              <w:tc>
                <w:tcPr>
                  <w:tcW w:w="814" w:type="pct"/>
                  <w:tcBorders>
                    <w:tl2br w:val="nil"/>
                    <w:tr2bl w:val="nil"/>
                  </w:tcBorders>
                  <w:noWrap w:val="0"/>
                  <w:vAlign w:val="center"/>
                </w:tcPr>
                <w:p w14:paraId="7F2346C0">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最大储存量（t）</w:t>
                  </w:r>
                </w:p>
              </w:tc>
              <w:tc>
                <w:tcPr>
                  <w:tcW w:w="987" w:type="pct"/>
                  <w:tcBorders>
                    <w:tl2br w:val="nil"/>
                    <w:tr2bl w:val="nil"/>
                  </w:tcBorders>
                  <w:noWrap w:val="0"/>
                  <w:vAlign w:val="center"/>
                </w:tcPr>
                <w:p w14:paraId="5BC7564A">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危险物质成分</w:t>
                  </w:r>
                </w:p>
              </w:tc>
              <w:tc>
                <w:tcPr>
                  <w:tcW w:w="480" w:type="pct"/>
                  <w:tcBorders>
                    <w:tl2br w:val="nil"/>
                    <w:tr2bl w:val="nil"/>
                  </w:tcBorders>
                  <w:noWrap w:val="0"/>
                  <w:vAlign w:val="center"/>
                </w:tcPr>
                <w:p w14:paraId="10F8CE90">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危险特性</w:t>
                  </w:r>
                </w:p>
              </w:tc>
              <w:tc>
                <w:tcPr>
                  <w:tcW w:w="629" w:type="pct"/>
                  <w:tcBorders>
                    <w:tl2br w:val="nil"/>
                    <w:tr2bl w:val="nil"/>
                  </w:tcBorders>
                  <w:noWrap w:val="0"/>
                  <w:vAlign w:val="center"/>
                </w:tcPr>
                <w:p w14:paraId="4DAD9141">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临界量（t）</w:t>
                  </w:r>
                </w:p>
              </w:tc>
              <w:tc>
                <w:tcPr>
                  <w:tcW w:w="634" w:type="pct"/>
                  <w:tcBorders>
                    <w:tl2br w:val="nil"/>
                    <w:tr2bl w:val="nil"/>
                  </w:tcBorders>
                  <w:noWrap w:val="0"/>
                  <w:vAlign w:val="center"/>
                </w:tcPr>
                <w:p w14:paraId="7C352677">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位置</w:t>
                  </w:r>
                </w:p>
              </w:tc>
            </w:tr>
            <w:tr w14:paraId="47BBB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424" w:type="pct"/>
                  <w:tcBorders>
                    <w:tl2br w:val="nil"/>
                    <w:tr2bl w:val="nil"/>
                  </w:tcBorders>
                  <w:shd w:val="clear" w:color="auto" w:fill="auto"/>
                  <w:noWrap w:val="0"/>
                  <w:vAlign w:val="center"/>
                </w:tcPr>
                <w:p w14:paraId="46A9FFB6">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废机油</w:t>
                  </w:r>
                </w:p>
              </w:tc>
              <w:tc>
                <w:tcPr>
                  <w:tcW w:w="397" w:type="pct"/>
                  <w:tcBorders>
                    <w:tl2br w:val="nil"/>
                    <w:tr2bl w:val="nil"/>
                  </w:tcBorders>
                  <w:shd w:val="clear" w:color="auto" w:fill="auto"/>
                  <w:noWrap w:val="0"/>
                  <w:vAlign w:val="center"/>
                </w:tcPr>
                <w:p w14:paraId="539B885B">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液态</w:t>
                  </w:r>
                </w:p>
              </w:tc>
              <w:tc>
                <w:tcPr>
                  <w:tcW w:w="630" w:type="pct"/>
                  <w:tcBorders>
                    <w:tl2br w:val="nil"/>
                    <w:tr2bl w:val="nil"/>
                  </w:tcBorders>
                  <w:shd w:val="clear" w:color="auto" w:fill="auto"/>
                  <w:noWrap w:val="0"/>
                  <w:vAlign w:val="center"/>
                </w:tcPr>
                <w:p w14:paraId="34BDA5BB">
                  <w:pPr>
                    <w:keepNext w:val="0"/>
                    <w:keepLines/>
                    <w:pageBreakBefore w:val="0"/>
                    <w:widowControl/>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0.08</w:t>
                  </w:r>
                </w:p>
              </w:tc>
              <w:tc>
                <w:tcPr>
                  <w:tcW w:w="814" w:type="pct"/>
                  <w:tcBorders>
                    <w:tl2br w:val="nil"/>
                    <w:tr2bl w:val="nil"/>
                  </w:tcBorders>
                  <w:shd w:val="clear" w:color="auto" w:fill="auto"/>
                  <w:noWrap w:val="0"/>
                  <w:vAlign w:val="center"/>
                </w:tcPr>
                <w:p w14:paraId="60760248">
                  <w:pPr>
                    <w:pStyle w:val="64"/>
                    <w:keepNext w:val="0"/>
                    <w:pageBreakBefore w:val="0"/>
                    <w:kinsoku/>
                    <w:wordWrap/>
                    <w:overflowPunct/>
                    <w:topLinePunct w:val="0"/>
                    <w:bidi w:val="0"/>
                    <w:spacing w:line="240" w:lineRule="auto"/>
                    <w:ind w:left="0" w:leftChars="0" w:firstLine="0" w:firstLineChars="0"/>
                    <w:jc w:val="center"/>
                    <w:outlineLvl w:val="9"/>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0.1</w:t>
                  </w:r>
                </w:p>
              </w:tc>
              <w:tc>
                <w:tcPr>
                  <w:tcW w:w="987" w:type="pct"/>
                  <w:tcBorders>
                    <w:tl2br w:val="nil"/>
                    <w:tr2bl w:val="nil"/>
                  </w:tcBorders>
                  <w:shd w:val="clear" w:color="auto" w:fill="auto"/>
                  <w:noWrap w:val="0"/>
                  <w:vAlign w:val="center"/>
                </w:tcPr>
                <w:p w14:paraId="273BA549">
                  <w:pPr>
                    <w:keepNext w:val="0"/>
                    <w:keepLines/>
                    <w:pageBreakBefore w:val="0"/>
                    <w:widowControl/>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480" w:type="pct"/>
                  <w:tcBorders>
                    <w:tl2br w:val="nil"/>
                    <w:tr2bl w:val="nil"/>
                  </w:tcBorders>
                  <w:shd w:val="clear" w:color="auto" w:fill="auto"/>
                  <w:noWrap w:val="0"/>
                  <w:vAlign w:val="center"/>
                </w:tcPr>
                <w:p w14:paraId="10DF97EA">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易燃物质</w:t>
                  </w:r>
                </w:p>
              </w:tc>
              <w:tc>
                <w:tcPr>
                  <w:tcW w:w="629" w:type="pct"/>
                  <w:tcBorders>
                    <w:tl2br w:val="nil"/>
                    <w:tr2bl w:val="nil"/>
                  </w:tcBorders>
                  <w:shd w:val="clear" w:color="auto" w:fill="auto"/>
                  <w:noWrap w:val="0"/>
                  <w:vAlign w:val="center"/>
                </w:tcPr>
                <w:p w14:paraId="59B39180">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2500</w:t>
                  </w:r>
                </w:p>
              </w:tc>
              <w:tc>
                <w:tcPr>
                  <w:tcW w:w="634" w:type="pct"/>
                  <w:tcBorders>
                    <w:tl2br w:val="nil"/>
                    <w:tr2bl w:val="nil"/>
                  </w:tcBorders>
                  <w:noWrap w:val="0"/>
                  <w:vAlign w:val="center"/>
                </w:tcPr>
                <w:p w14:paraId="25C45B13">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危险废物贮存间</w:t>
                  </w:r>
                </w:p>
              </w:tc>
            </w:tr>
            <w:tr w14:paraId="30099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5000" w:type="pct"/>
                  <w:gridSpan w:val="8"/>
                  <w:tcBorders>
                    <w:tl2br w:val="nil"/>
                    <w:tr2bl w:val="nil"/>
                  </w:tcBorders>
                  <w:noWrap w:val="0"/>
                  <w:vAlign w:val="center"/>
                </w:tcPr>
                <w:p w14:paraId="20B38D85">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left"/>
                    <w:textAlignment w:val="baseline"/>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备注：</w:t>
                  </w:r>
                  <w:r>
                    <w:rPr>
                      <w:rFonts w:hint="default"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因项目物质未直接列入《建设项目环境风险评价技术导则》（HJ169-2018）附录B表B.1突发环境事件风险物质及临界量内，但其属于环境风险物质，</w:t>
                  </w:r>
                  <w:r>
                    <w:rPr>
                      <w:rFonts w:hint="default" w:ascii="Times New Roman" w:hAnsi="Times New Roman" w:eastAsia="宋体" w:cs="Times New Roman"/>
                      <w:color w:val="auto"/>
                      <w:kern w:val="0"/>
                      <w:sz w:val="21"/>
                      <w:szCs w:val="21"/>
                      <w:lang w:val="en-US" w:eastAsia="zh-CN" w:bidi="ar"/>
                    </w:rPr>
                    <w:t>危险废物临界量参考《建设项目环境风险评价技术导则》（HJ169-2018）附录B的表B.2中健康危险急性毒性物质（类别2，类别3）的推荐临界量50t</w:t>
                  </w:r>
                </w:p>
              </w:tc>
            </w:tr>
          </w:tbl>
          <w:p w14:paraId="21019D5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根据表4.6-1计算可知，项目环境风险物质数量与临界量比值Q=</w:t>
            </w:r>
            <w:r>
              <w:rPr>
                <w:rFonts w:hint="eastAsia" w:cs="Times New Roman"/>
                <w:b w:val="0"/>
                <w:bCs w:val="0"/>
                <w:color w:val="auto"/>
                <w:sz w:val="24"/>
                <w:lang w:val="en-US" w:eastAsia="zh-CN"/>
              </w:rPr>
              <w:t>0.00016</w:t>
            </w:r>
            <w:r>
              <w:rPr>
                <w:rFonts w:hint="default" w:ascii="Times New Roman" w:hAnsi="Times New Roman" w:eastAsia="宋体" w:cs="Times New Roman"/>
                <w:b w:val="0"/>
                <w:bCs w:val="0"/>
                <w:color w:val="auto"/>
                <w:sz w:val="24"/>
                <w:lang w:val="en-US" w:eastAsia="zh-CN"/>
              </w:rPr>
              <w:t>＜1，根据《建设项目环境风险评价技术导则》</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HJ169-2018</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附录C可知，当Q＜1时，该项目环境风险潜势为Ⅰ，环境风险潜势为Ⅰ时，评价工作级别简单分析，因此，本评价主要在描述环境影响途径、环境危害后果、风险防范措施等方面给出定性说明。</w:t>
            </w:r>
          </w:p>
          <w:p w14:paraId="16FFB160">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auto"/>
                <w:sz w:val="24"/>
                <w:highlight w:val="none"/>
                <w:lang w:val="en-US" w:eastAsia="zh-CN"/>
              </w:rPr>
            </w:pPr>
            <w:bookmarkStart w:id="222" w:name="_Toc26828"/>
            <w:bookmarkStart w:id="223" w:name="_Toc3275"/>
            <w:r>
              <w:rPr>
                <w:rFonts w:hint="eastAsia" w:cs="Times New Roman"/>
                <w:b/>
                <w:bCs/>
                <w:color w:val="auto"/>
                <w:sz w:val="24"/>
                <w:highlight w:val="none"/>
                <w:lang w:val="en-US" w:eastAsia="zh-CN"/>
              </w:rPr>
              <w:t>4.6.2</w:t>
            </w:r>
            <w:r>
              <w:rPr>
                <w:rFonts w:hint="default" w:ascii="Times New Roman" w:hAnsi="Times New Roman" w:cs="Times New Roman"/>
                <w:b/>
                <w:bCs/>
                <w:color w:val="auto"/>
                <w:sz w:val="24"/>
                <w:highlight w:val="none"/>
                <w:lang w:val="en-US" w:eastAsia="zh-CN"/>
              </w:rPr>
              <w:t>环境风险识别</w:t>
            </w:r>
            <w:bookmarkEnd w:id="222"/>
            <w:bookmarkEnd w:id="223"/>
          </w:p>
          <w:p w14:paraId="705A32E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通过对项目</w:t>
            </w:r>
            <w:r>
              <w:rPr>
                <w:rFonts w:hint="eastAsia" w:ascii="Times New Roman" w:hAnsi="Times New Roman" w:cs="Times New Roman"/>
                <w:color w:val="auto"/>
                <w:kern w:val="0"/>
                <w:sz w:val="24"/>
                <w:highlight w:val="none"/>
                <w:lang w:val="en-US" w:eastAsia="zh-CN"/>
              </w:rPr>
              <w:t>环境风险</w:t>
            </w:r>
            <w:r>
              <w:rPr>
                <w:rFonts w:hint="default" w:ascii="Times New Roman" w:hAnsi="Times New Roman" w:cs="Times New Roman"/>
                <w:color w:val="auto"/>
                <w:kern w:val="0"/>
                <w:sz w:val="24"/>
                <w:highlight w:val="none"/>
              </w:rPr>
              <w:t>识别，项目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4.6</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p>
          <w:p w14:paraId="5098F7CD">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潜在环境风险事故</w:t>
            </w:r>
            <w:r>
              <w:rPr>
                <w:rFonts w:hint="default" w:ascii="Times New Roman" w:hAnsi="Times New Roman" w:eastAsia="宋体" w:cs="Times New Roman"/>
                <w:b/>
                <w:bCs/>
                <w:color w:val="auto"/>
                <w:sz w:val="24"/>
              </w:rPr>
              <w:t>一览表</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78"/>
              <w:gridCol w:w="1736"/>
              <w:gridCol w:w="3481"/>
              <w:gridCol w:w="2262"/>
            </w:tblGrid>
            <w:tr w14:paraId="3AF3A8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7" w:type="pct"/>
                  <w:noWrap w:val="0"/>
                  <w:vAlign w:val="center"/>
                </w:tcPr>
                <w:p w14:paraId="3974BD2F">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bookmarkStart w:id="224" w:name="_Toc215736207"/>
                  <w:r>
                    <w:rPr>
                      <w:rFonts w:hint="default" w:ascii="Times New Roman" w:hAnsi="Times New Roman" w:cs="Times New Roman"/>
                      <w:color w:val="auto"/>
                      <w:sz w:val="21"/>
                      <w:szCs w:val="21"/>
                      <w:highlight w:val="none"/>
                      <w:u w:val="none"/>
                    </w:rPr>
                    <w:t>潜在事故</w:t>
                  </w:r>
                </w:p>
                <w:p w14:paraId="19D75106">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类型</w:t>
                  </w:r>
                </w:p>
              </w:tc>
              <w:tc>
                <w:tcPr>
                  <w:tcW w:w="980" w:type="pct"/>
                  <w:noWrap w:val="0"/>
                  <w:vAlign w:val="center"/>
                </w:tcPr>
                <w:p w14:paraId="5F85C13D">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1965" w:type="pct"/>
                  <w:noWrap w:val="0"/>
                  <w:vAlign w:val="center"/>
                </w:tcPr>
                <w:p w14:paraId="0D4C33C7">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1276" w:type="pct"/>
                  <w:noWrap w:val="0"/>
                  <w:vAlign w:val="center"/>
                </w:tcPr>
                <w:p w14:paraId="728F529B">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691604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7" w:type="pct"/>
                  <w:noWrap w:val="0"/>
                  <w:vAlign w:val="center"/>
                </w:tcPr>
                <w:p w14:paraId="4BA50161">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废气事故</w:t>
                  </w:r>
                </w:p>
                <w:p w14:paraId="79F454AD">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排放</w:t>
                  </w:r>
                </w:p>
              </w:tc>
              <w:tc>
                <w:tcPr>
                  <w:tcW w:w="980" w:type="pct"/>
                  <w:noWrap w:val="0"/>
                  <w:vAlign w:val="center"/>
                </w:tcPr>
                <w:p w14:paraId="349CEF19">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废气处理</w:t>
                  </w:r>
                </w:p>
                <w:p w14:paraId="73A074AF">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设施故障</w:t>
                  </w:r>
                </w:p>
              </w:tc>
              <w:tc>
                <w:tcPr>
                  <w:tcW w:w="1965" w:type="pct"/>
                  <w:noWrap w:val="0"/>
                  <w:vAlign w:val="center"/>
                </w:tcPr>
                <w:p w14:paraId="729B525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r>
                    <w:rPr>
                      <w:rFonts w:hint="eastAsia" w:ascii="Times New Roman" w:hAnsi="Times New Roman" w:eastAsia="宋体" w:cs="Times New Roman"/>
                      <w:b w:val="0"/>
                      <w:bCs/>
                      <w:color w:val="auto"/>
                      <w:sz w:val="21"/>
                      <w:szCs w:val="21"/>
                      <w:highlight w:val="none"/>
                      <w:vertAlign w:val="baseline"/>
                      <w:lang w:val="en-US" w:eastAsia="zh-CN"/>
                    </w:rPr>
                    <w:t>未经处理</w:t>
                  </w:r>
                  <w:r>
                    <w:rPr>
                      <w:rFonts w:hint="default" w:ascii="Times New Roman" w:hAnsi="Times New Roman" w:eastAsia="宋体" w:cs="Times New Roman"/>
                      <w:b w:val="0"/>
                      <w:bCs/>
                      <w:color w:val="auto"/>
                      <w:sz w:val="21"/>
                      <w:szCs w:val="21"/>
                      <w:highlight w:val="none"/>
                      <w:vertAlign w:val="baseline"/>
                      <w:lang w:val="en-US" w:eastAsia="zh-CN"/>
                    </w:rPr>
                    <w:t>全部</w:t>
                  </w:r>
                  <w:r>
                    <w:rPr>
                      <w:rFonts w:hint="eastAsia" w:ascii="Times New Roman" w:hAnsi="Times New Roman" w:eastAsia="宋体" w:cs="Times New Roman"/>
                      <w:b w:val="0"/>
                      <w:bCs/>
                      <w:color w:val="auto"/>
                      <w:sz w:val="21"/>
                      <w:szCs w:val="21"/>
                      <w:highlight w:val="none"/>
                      <w:vertAlign w:val="baseline"/>
                      <w:lang w:val="en-US" w:eastAsia="zh-CN"/>
                    </w:rPr>
                    <w:t>直接</w:t>
                  </w:r>
                  <w:r>
                    <w:rPr>
                      <w:rFonts w:hint="default" w:ascii="Times New Roman" w:hAnsi="Times New Roman" w:eastAsia="宋体" w:cs="Times New Roman"/>
                      <w:b w:val="0"/>
                      <w:bCs/>
                      <w:color w:val="auto"/>
                      <w:sz w:val="21"/>
                      <w:szCs w:val="21"/>
                      <w:highlight w:val="none"/>
                      <w:vertAlign w:val="baseline"/>
                      <w:lang w:val="en-US" w:eastAsia="zh-CN"/>
                    </w:rPr>
                    <w:t>排放扩散</w:t>
                  </w:r>
                </w:p>
              </w:tc>
              <w:tc>
                <w:tcPr>
                  <w:tcW w:w="1276" w:type="pct"/>
                  <w:noWrap w:val="0"/>
                  <w:vAlign w:val="center"/>
                </w:tcPr>
                <w:p w14:paraId="645217FC">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对大气环境有</w:t>
                  </w:r>
                  <w:r>
                    <w:rPr>
                      <w:rFonts w:hint="eastAsia" w:ascii="Times New Roman" w:hAnsi="Times New Roman" w:eastAsia="宋体" w:cs="Times New Roman"/>
                      <w:b w:val="0"/>
                      <w:bCs/>
                      <w:color w:val="auto"/>
                      <w:sz w:val="21"/>
                      <w:szCs w:val="21"/>
                      <w:highlight w:val="none"/>
                      <w:vertAlign w:val="baseline"/>
                      <w:lang w:val="en-US" w:eastAsia="zh-CN"/>
                    </w:rPr>
                    <w:t>轻微的</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487020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77" w:type="pct"/>
                  <w:vMerge w:val="restart"/>
                  <w:noWrap w:val="0"/>
                  <w:vAlign w:val="center"/>
                </w:tcPr>
                <w:p w14:paraId="0DD8B31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p w14:paraId="4669386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等</w:t>
                  </w:r>
                  <w:r>
                    <w:rPr>
                      <w:rFonts w:hint="default" w:ascii="Times New Roman" w:hAnsi="Times New Roman" w:eastAsia="宋体" w:cs="Times New Roman"/>
                      <w:b w:val="0"/>
                      <w:bCs/>
                      <w:color w:val="auto"/>
                      <w:sz w:val="21"/>
                      <w:szCs w:val="21"/>
                      <w:highlight w:val="none"/>
                      <w:vertAlign w:val="baseline"/>
                      <w:lang w:val="en-US" w:eastAsia="zh-CN"/>
                    </w:rPr>
                    <w:t>泄漏</w:t>
                  </w:r>
                </w:p>
              </w:tc>
              <w:tc>
                <w:tcPr>
                  <w:tcW w:w="980" w:type="pct"/>
                  <w:noWrap w:val="0"/>
                  <w:vAlign w:val="center"/>
                </w:tcPr>
                <w:p w14:paraId="2D2C6DC7">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包装</w:t>
                  </w:r>
                  <w:r>
                    <w:rPr>
                      <w:rFonts w:hint="default" w:ascii="Times New Roman" w:hAnsi="Times New Roman" w:eastAsia="宋体" w:cs="Times New Roman"/>
                      <w:b w:val="0"/>
                      <w:bCs/>
                      <w:color w:val="auto"/>
                      <w:sz w:val="21"/>
                      <w:szCs w:val="21"/>
                      <w:highlight w:val="none"/>
                      <w:vertAlign w:val="baseline"/>
                      <w:lang w:val="en-US" w:eastAsia="zh-CN"/>
                    </w:rPr>
                    <w:t>桶泄漏</w:t>
                  </w:r>
                </w:p>
              </w:tc>
              <w:tc>
                <w:tcPr>
                  <w:tcW w:w="1965" w:type="pct"/>
                  <w:noWrap w:val="0"/>
                  <w:vAlign w:val="center"/>
                </w:tcPr>
                <w:p w14:paraId="7650EF7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restart"/>
                  <w:noWrap w:val="0"/>
                  <w:vAlign w:val="center"/>
                </w:tcPr>
                <w:p w14:paraId="21CE1F9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对周边</w:t>
                  </w:r>
                  <w:r>
                    <w:rPr>
                      <w:rFonts w:hint="eastAsia" w:ascii="Times New Roman" w:hAnsi="Times New Roman" w:eastAsia="宋体" w:cs="Times New Roman"/>
                      <w:b w:val="0"/>
                      <w:bCs/>
                      <w:color w:val="auto"/>
                      <w:sz w:val="21"/>
                      <w:szCs w:val="21"/>
                      <w:highlight w:val="none"/>
                      <w:vertAlign w:val="baseline"/>
                      <w:lang w:val="en-US" w:eastAsia="zh-CN"/>
                    </w:rPr>
                    <w:t>土壤、</w:t>
                  </w:r>
                  <w:r>
                    <w:rPr>
                      <w:rFonts w:hint="default" w:ascii="Times New Roman" w:hAnsi="Times New Roman" w:eastAsia="宋体" w:cs="Times New Roman"/>
                      <w:b w:val="0"/>
                      <w:bCs/>
                      <w:color w:val="auto"/>
                      <w:sz w:val="21"/>
                      <w:szCs w:val="21"/>
                      <w:highlight w:val="none"/>
                      <w:vertAlign w:val="baseline"/>
                      <w:lang w:val="en-US" w:eastAsia="zh-CN"/>
                    </w:rPr>
                    <w:t>地下水及周边</w:t>
                  </w:r>
                  <w:r>
                    <w:rPr>
                      <w:rFonts w:hint="eastAsia" w:ascii="Times New Roman" w:hAnsi="Times New Roman" w:eastAsia="宋体" w:cs="Times New Roman"/>
                      <w:b w:val="0"/>
                      <w:bCs/>
                      <w:color w:val="auto"/>
                      <w:sz w:val="21"/>
                      <w:szCs w:val="21"/>
                      <w:highlight w:val="none"/>
                      <w:vertAlign w:val="baseline"/>
                      <w:lang w:val="en-US" w:eastAsia="zh-CN"/>
                    </w:rPr>
                    <w:t>地表水</w:t>
                  </w:r>
                  <w:r>
                    <w:rPr>
                      <w:rFonts w:hint="default" w:ascii="Times New Roman" w:hAnsi="Times New Roman" w:eastAsia="宋体" w:cs="Times New Roman"/>
                      <w:b w:val="0"/>
                      <w:bCs/>
                      <w:color w:val="auto"/>
                      <w:sz w:val="21"/>
                      <w:szCs w:val="21"/>
                      <w:highlight w:val="none"/>
                      <w:vertAlign w:val="baseline"/>
                      <w:lang w:val="en-US" w:eastAsia="zh-CN"/>
                    </w:rPr>
                    <w:t>可能造成</w:t>
                  </w:r>
                  <w:r>
                    <w:rPr>
                      <w:rFonts w:hint="eastAsia" w:ascii="Times New Roman" w:hAnsi="Times New Roman" w:eastAsia="宋体" w:cs="Times New Roman"/>
                      <w:b w:val="0"/>
                      <w:bCs/>
                      <w:color w:val="auto"/>
                      <w:sz w:val="21"/>
                      <w:szCs w:val="21"/>
                      <w:highlight w:val="none"/>
                      <w:vertAlign w:val="baseline"/>
                      <w:lang w:val="en-US" w:eastAsia="zh-CN"/>
                    </w:rPr>
                    <w:t>较大</w:t>
                  </w:r>
                  <w:r>
                    <w:rPr>
                      <w:rFonts w:hint="default" w:ascii="Times New Roman" w:hAnsi="Times New Roman" w:eastAsia="宋体" w:cs="Times New Roman"/>
                      <w:b w:val="0"/>
                      <w:bCs/>
                      <w:color w:val="auto"/>
                      <w:sz w:val="21"/>
                      <w:szCs w:val="21"/>
                      <w:highlight w:val="none"/>
                      <w:vertAlign w:val="baseline"/>
                      <w:lang w:val="en-US" w:eastAsia="zh-CN"/>
                    </w:rPr>
                    <w:t>影响、对大气环境有</w:t>
                  </w:r>
                  <w:r>
                    <w:rPr>
                      <w:rFonts w:hint="eastAsia" w:ascii="Times New Roman" w:hAnsi="Times New Roman" w:eastAsia="宋体" w:cs="Times New Roman"/>
                      <w:b w:val="0"/>
                      <w:bCs/>
                      <w:color w:val="auto"/>
                      <w:sz w:val="21"/>
                      <w:szCs w:val="21"/>
                      <w:highlight w:val="none"/>
                      <w:vertAlign w:val="baseline"/>
                      <w:lang w:val="en-US" w:eastAsia="zh-CN"/>
                    </w:rPr>
                    <w:t>轻微</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7878C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777" w:type="pct"/>
                  <w:vMerge w:val="continue"/>
                  <w:noWrap w:val="0"/>
                  <w:vAlign w:val="center"/>
                </w:tcPr>
                <w:p w14:paraId="3ACC1F35">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c>
                <w:tcPr>
                  <w:tcW w:w="980" w:type="pct"/>
                  <w:noWrap w:val="0"/>
                  <w:vAlign w:val="center"/>
                </w:tcPr>
                <w:p w14:paraId="36D1897A">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运输车辆发生事故发生泄漏</w:t>
                  </w:r>
                </w:p>
              </w:tc>
              <w:tc>
                <w:tcPr>
                  <w:tcW w:w="1965" w:type="pct"/>
                  <w:noWrap w:val="0"/>
                  <w:vAlign w:val="center"/>
                </w:tcPr>
                <w:p w14:paraId="262429B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continue"/>
                  <w:noWrap w:val="0"/>
                  <w:vAlign w:val="center"/>
                </w:tcPr>
                <w:p w14:paraId="3D6996E1">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r>
            <w:tr w14:paraId="710066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7" w:type="pct"/>
                  <w:noWrap w:val="0"/>
                  <w:vAlign w:val="center"/>
                </w:tcPr>
                <w:p w14:paraId="3373FDE7">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火灾事故</w:t>
                  </w:r>
                </w:p>
              </w:tc>
              <w:tc>
                <w:tcPr>
                  <w:tcW w:w="980" w:type="pct"/>
                  <w:noWrap w:val="0"/>
                  <w:vAlign w:val="center"/>
                </w:tcPr>
                <w:p w14:paraId="675B752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电线短路</w:t>
                  </w:r>
                  <w:r>
                    <w:rPr>
                      <w:rFonts w:hint="eastAsia" w:ascii="Times New Roman" w:hAnsi="Times New Roman" w:eastAsia="宋体" w:cs="Times New Roman"/>
                      <w:b w:val="0"/>
                      <w:bCs/>
                      <w:color w:val="auto"/>
                      <w:sz w:val="21"/>
                      <w:szCs w:val="21"/>
                      <w:highlight w:val="none"/>
                      <w:vertAlign w:val="baseline"/>
                      <w:lang w:val="en-US" w:eastAsia="zh-CN"/>
                    </w:rPr>
                    <w:t>泄漏、</w:t>
                  </w:r>
                  <w:r>
                    <w:rPr>
                      <w:rFonts w:hint="default" w:ascii="Times New Roman" w:hAnsi="Times New Roman" w:eastAsia="宋体" w:cs="Times New Roman"/>
                      <w:b w:val="0"/>
                      <w:bCs/>
                      <w:color w:val="auto"/>
                      <w:sz w:val="21"/>
                      <w:szCs w:val="21"/>
                      <w:highlight w:val="none"/>
                      <w:vertAlign w:val="baseline"/>
                      <w:lang w:val="en-US" w:eastAsia="zh-CN"/>
                    </w:rPr>
                    <w:t>静电火花等，遇明火或高热发生火灾事故</w:t>
                  </w:r>
                </w:p>
              </w:tc>
              <w:tc>
                <w:tcPr>
                  <w:tcW w:w="1965" w:type="pct"/>
                  <w:noWrap w:val="0"/>
                  <w:vAlign w:val="center"/>
                </w:tcPr>
                <w:p w14:paraId="5EF1FAC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火灾产生的热辐射、浓烟、有害气体等直接进入环境，火灾扑救过</w:t>
                  </w:r>
                  <w:r>
                    <w:rPr>
                      <w:rFonts w:hint="eastAsia" w:eastAsia="宋体" w:cs="Times New Roman"/>
                      <w:b w:val="0"/>
                      <w:bCs/>
                      <w:color w:val="auto"/>
                      <w:sz w:val="21"/>
                      <w:szCs w:val="21"/>
                      <w:highlight w:val="none"/>
                      <w:vertAlign w:val="baseline"/>
                      <w:lang w:val="en-US" w:eastAsia="zh-CN"/>
                    </w:rPr>
                    <w:t>程中</w:t>
                  </w:r>
                  <w:r>
                    <w:rPr>
                      <w:rFonts w:hint="default" w:ascii="Times New Roman" w:hAnsi="Times New Roman" w:eastAsia="宋体" w:cs="Times New Roman"/>
                      <w:b w:val="0"/>
                      <w:bCs/>
                      <w:color w:val="auto"/>
                      <w:sz w:val="21"/>
                      <w:szCs w:val="21"/>
                      <w:highlight w:val="none"/>
                      <w:vertAlign w:val="baseline"/>
                      <w:lang w:val="en-US" w:eastAsia="zh-CN"/>
                    </w:rPr>
                    <w:t>产生的消防废水全部</w:t>
                  </w:r>
                  <w:r>
                    <w:rPr>
                      <w:rFonts w:hint="eastAsia" w:ascii="Times New Roman" w:hAnsi="Times New Roman" w:eastAsia="宋体" w:cs="Times New Roman"/>
                      <w:b w:val="0"/>
                      <w:bCs/>
                      <w:color w:val="auto"/>
                      <w:sz w:val="21"/>
                      <w:szCs w:val="21"/>
                      <w:highlight w:val="none"/>
                      <w:vertAlign w:val="baseline"/>
                      <w:lang w:val="en-US" w:eastAsia="zh-CN"/>
                    </w:rPr>
                    <w:t>直接排入市政污水管网或者排入周边地表水体</w:t>
                  </w:r>
                </w:p>
              </w:tc>
              <w:tc>
                <w:tcPr>
                  <w:tcW w:w="1276" w:type="pct"/>
                  <w:noWrap w:val="0"/>
                  <w:vAlign w:val="center"/>
                </w:tcPr>
                <w:p w14:paraId="0553401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w:t>
                  </w:r>
                  <w:r>
                    <w:rPr>
                      <w:rFonts w:hint="eastAsia" w:ascii="Times New Roman" w:hAnsi="Times New Roman" w:eastAsia="宋体" w:cs="Times New Roman"/>
                      <w:b w:val="0"/>
                      <w:bCs/>
                      <w:color w:val="auto"/>
                      <w:sz w:val="21"/>
                      <w:szCs w:val="21"/>
                      <w:highlight w:val="none"/>
                      <w:vertAlign w:val="baseline"/>
                      <w:lang w:val="en-US" w:eastAsia="zh-CN"/>
                    </w:rPr>
                    <w:t>周边环境空气、对周边地表水体等均</w:t>
                  </w:r>
                  <w:r>
                    <w:rPr>
                      <w:rFonts w:hint="default" w:ascii="Times New Roman" w:hAnsi="Times New Roman" w:eastAsia="宋体" w:cs="Times New Roman"/>
                      <w:b w:val="0"/>
                      <w:bCs/>
                      <w:color w:val="auto"/>
                      <w:sz w:val="21"/>
                      <w:szCs w:val="21"/>
                      <w:highlight w:val="none"/>
                      <w:vertAlign w:val="baseline"/>
                      <w:lang w:val="en-US" w:eastAsia="zh-CN"/>
                    </w:rPr>
                    <w:t>有</w:t>
                  </w:r>
                  <w:r>
                    <w:rPr>
                      <w:rFonts w:hint="eastAsia" w:ascii="Times New Roman" w:hAnsi="Times New Roman" w:eastAsia="宋体" w:cs="Times New Roman"/>
                      <w:b w:val="0"/>
                      <w:bCs/>
                      <w:color w:val="auto"/>
                      <w:sz w:val="21"/>
                      <w:szCs w:val="21"/>
                      <w:highlight w:val="none"/>
                      <w:vertAlign w:val="baseline"/>
                      <w:lang w:val="en-US" w:eastAsia="zh-CN"/>
                    </w:rPr>
                    <w:t>较大影响</w:t>
                  </w:r>
                </w:p>
              </w:tc>
            </w:tr>
          </w:tbl>
          <w:p w14:paraId="3DC78F24">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bookmarkStart w:id="225" w:name="_Toc5825"/>
            <w:bookmarkStart w:id="226" w:name="_Toc29837"/>
            <w:r>
              <w:rPr>
                <w:rFonts w:hint="eastAsia" w:cs="Times New Roman"/>
                <w:b/>
                <w:bCs/>
                <w:color w:val="auto"/>
                <w:sz w:val="24"/>
                <w:highlight w:val="none"/>
                <w:lang w:val="en-US" w:eastAsia="zh-CN"/>
              </w:rPr>
              <w:t>4.6.3</w:t>
            </w:r>
            <w:r>
              <w:rPr>
                <w:rFonts w:hint="default" w:ascii="Times New Roman" w:hAnsi="Times New Roman" w:eastAsia="宋体" w:cs="Times New Roman"/>
                <w:b/>
                <w:bCs/>
                <w:color w:val="auto"/>
                <w:sz w:val="24"/>
                <w:highlight w:val="none"/>
                <w:lang w:val="en-US" w:eastAsia="zh-CN"/>
              </w:rPr>
              <w:t>环境风险防范措施</w:t>
            </w:r>
            <w:bookmarkEnd w:id="225"/>
            <w:bookmarkEnd w:id="226"/>
          </w:p>
          <w:p w14:paraId="12A36AA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（1）</w:t>
            </w:r>
            <w:r>
              <w:rPr>
                <w:rFonts w:hint="default" w:ascii="Times New Roman" w:hAnsi="Times New Roman" w:eastAsia="宋体" w:cs="Times New Roman"/>
                <w:color w:val="auto"/>
                <w:kern w:val="0"/>
                <w:sz w:val="24"/>
              </w:rPr>
              <w:t>废气事故排放风险防范措施</w:t>
            </w:r>
          </w:p>
          <w:p w14:paraId="35FCBEE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①定期对废气处理设施从设备到运输管道进行检修，发现问题及时解决。</w:t>
            </w:r>
          </w:p>
          <w:p w14:paraId="51C8E80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②各生产岗位制定严格的操作规程和注意事项，车间工人需熟悉工作流程，严格按操作规程进行运行控制，防止操作失误导致废气事故排放。</w:t>
            </w:r>
          </w:p>
          <w:p w14:paraId="202CFAC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③定期更换活性炭，</w:t>
            </w:r>
            <w:r>
              <w:rPr>
                <w:rFonts w:hint="default" w:ascii="Times New Roman" w:hAnsi="Times New Roman" w:eastAsia="宋体" w:cs="Times New Roman"/>
                <w:color w:val="auto"/>
                <w:sz w:val="24"/>
              </w:rPr>
              <w:t>同时确保项目</w:t>
            </w:r>
            <w:r>
              <w:rPr>
                <w:rFonts w:hint="default" w:ascii="Times New Roman" w:hAnsi="Times New Roman" w:eastAsia="宋体" w:cs="Times New Roman"/>
                <w:color w:val="auto"/>
                <w:sz w:val="24"/>
                <w:lang w:eastAsia="zh-CN"/>
              </w:rPr>
              <w:t>活性炭吸附装置</w:t>
            </w:r>
            <w:r>
              <w:rPr>
                <w:rFonts w:hint="default" w:ascii="Times New Roman" w:hAnsi="Times New Roman" w:eastAsia="宋体" w:cs="Times New Roman"/>
                <w:color w:val="auto"/>
                <w:sz w:val="24"/>
              </w:rPr>
              <w:t>一次性装置量。</w:t>
            </w:r>
          </w:p>
          <w:p w14:paraId="747810B1">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lang w:eastAsia="zh-CN"/>
              </w:rPr>
              <w:t>（2）</w:t>
            </w:r>
            <w:r>
              <w:rPr>
                <w:rFonts w:hint="default" w:ascii="Times New Roman" w:hAnsi="Times New Roman" w:eastAsia="宋体" w:cs="Times New Roman"/>
                <w:color w:val="auto"/>
                <w:kern w:val="0"/>
                <w:sz w:val="24"/>
              </w:rPr>
              <w:t>危险废物等泄漏事故风险防范措施</w:t>
            </w:r>
          </w:p>
          <w:p w14:paraId="039CFDF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①危险废物间周围设置围堰，地面采取防渗，设置导流沟，设置警示标识等。</w:t>
            </w:r>
          </w:p>
          <w:p w14:paraId="1D54884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②危险废物间严禁明火，严格遵守操作规程，避免因操作失误发生事故。</w:t>
            </w:r>
          </w:p>
          <w:p w14:paraId="7F7F373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w:t>
            </w:r>
            <w:r>
              <w:rPr>
                <w:rFonts w:hint="default" w:ascii="Times New Roman" w:hAnsi="Times New Roman" w:eastAsia="宋体" w:cs="Times New Roman"/>
                <w:color w:val="auto"/>
                <w:kern w:val="0"/>
                <w:sz w:val="24"/>
              </w:rPr>
              <w:t>配备</w:t>
            </w:r>
            <w:r>
              <w:rPr>
                <w:rFonts w:hint="default" w:ascii="Times New Roman" w:hAnsi="Times New Roman" w:eastAsia="宋体" w:cs="Times New Roman"/>
                <w:color w:val="auto"/>
                <w:sz w:val="24"/>
              </w:rPr>
              <w:t>相应的堵漏材料</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沙袋、吸油毡等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2A50C6B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④项目危险废物贮存库应按照《危险废物贮存污染控制标准》（GB18597-2023）要求进行建设，具备防风、防雨、防晒、防止流失及扬散、防渗、防漏等要求。危险废物等不得与禁忌化学品混合贮存。</w:t>
            </w:r>
          </w:p>
          <w:p w14:paraId="7B03A18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（3）</w:t>
            </w:r>
            <w:r>
              <w:rPr>
                <w:rFonts w:hint="default" w:ascii="Times New Roman" w:hAnsi="Times New Roman" w:eastAsia="宋体" w:cs="Times New Roman"/>
                <w:color w:val="auto"/>
                <w:kern w:val="0"/>
                <w:sz w:val="24"/>
              </w:rPr>
              <w:t>火灾事故风险防范施</w:t>
            </w:r>
          </w:p>
          <w:p w14:paraId="233F259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①加强消防设施和灭火器材的配备，严格落实有关消防技术规范的规定，加强人员疏散设施管理，保证疏散通道畅通。</w:t>
            </w:r>
          </w:p>
          <w:p w14:paraId="296F431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②定期进行防火安全检查，确保消防设施完整好用。</w:t>
            </w:r>
          </w:p>
          <w:p w14:paraId="5A67D36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③</w:t>
            </w:r>
            <w:r>
              <w:rPr>
                <w:rFonts w:hint="default" w:ascii="Times New Roman" w:hAnsi="Times New Roman" w:eastAsia="宋体" w:cs="Times New Roman"/>
                <w:bCs/>
                <w:color w:val="auto"/>
                <w:sz w:val="24"/>
              </w:rPr>
              <w:t>公司要求职工应遵守各项规章制度，杜绝</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三违</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违章作业、违章指挥、违反劳动纪律</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，作业时要遵守各项规定</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如动火、高处作业、进入设备作业等规定</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要求，确保安全生产。</w:t>
            </w:r>
          </w:p>
          <w:p w14:paraId="37BF0D7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④公司强化安全、消防和环保管理，完善环保安全管理机构，完善各项管理制度，加强日常监督检查；车间内严禁烟火，严格动火审批制度，进料车辆必须戴阻火器。</w:t>
            </w:r>
          </w:p>
          <w:p w14:paraId="55B6F7E7">
            <w:pPr>
              <w:pStyle w:val="71"/>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4.6.4</w:t>
            </w:r>
            <w:r>
              <w:rPr>
                <w:rFonts w:hint="default" w:ascii="Times New Roman" w:hAnsi="Times New Roman" w:cs="Times New Roman"/>
                <w:b/>
                <w:bCs/>
                <w:color w:val="auto"/>
                <w:highlight w:val="none"/>
              </w:rPr>
              <w:t>风险分析结论</w:t>
            </w:r>
          </w:p>
          <w:p w14:paraId="1F92CED1">
            <w:pPr>
              <w:pStyle w:val="71"/>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lang w:val="en-GB"/>
              </w:rPr>
              <w:t>本项目</w:t>
            </w:r>
            <w:r>
              <w:rPr>
                <w:rFonts w:hint="eastAsia" w:ascii="Times New Roman" w:hAnsi="Times New Roman" w:cs="Times New Roman"/>
                <w:color w:val="auto"/>
                <w:highlight w:val="none"/>
                <w:lang w:val="en-US" w:eastAsia="zh-CN"/>
              </w:rPr>
              <w:t>再配备</w:t>
            </w:r>
            <w:r>
              <w:rPr>
                <w:rFonts w:hint="default" w:ascii="Times New Roman" w:hAnsi="Times New Roman" w:cs="Times New Roman"/>
                <w:color w:val="auto"/>
                <w:highlight w:val="none"/>
                <w:lang w:val="en-GB" w:eastAsia="zh-CN"/>
              </w:rPr>
              <w:t>相应的</w:t>
            </w:r>
            <w:r>
              <w:rPr>
                <w:rFonts w:hint="eastAsia" w:ascii="Times New Roman" w:hAnsi="Times New Roman" w:cs="Times New Roman"/>
                <w:color w:val="auto"/>
                <w:highlight w:val="none"/>
                <w:lang w:val="en-GB" w:eastAsia="zh-CN"/>
              </w:rPr>
              <w:t>应急物资，</w:t>
            </w:r>
            <w:r>
              <w:rPr>
                <w:rFonts w:hint="default" w:ascii="Times New Roman" w:hAnsi="Times New Roman" w:cs="Times New Roman"/>
                <w:color w:val="auto"/>
                <w:highlight w:val="none"/>
                <w:lang w:val="en-GB"/>
              </w:rPr>
              <w:t>加强厂区防火管理</w:t>
            </w:r>
            <w:r>
              <w:rPr>
                <w:rFonts w:hint="eastAsia" w:ascii="Times New Roman" w:hAnsi="Times New Roman" w:cs="Times New Roman"/>
                <w:color w:val="auto"/>
                <w:highlight w:val="none"/>
                <w:lang w:val="en-GB" w:eastAsia="zh-CN"/>
              </w:rPr>
              <w:t>，</w:t>
            </w:r>
            <w:r>
              <w:rPr>
                <w:rFonts w:hint="eastAsia" w:ascii="Times New Roman" w:hAnsi="Times New Roman" w:cs="Times New Roman"/>
                <w:color w:val="auto"/>
                <w:highlight w:val="none"/>
                <w:lang w:val="en-US" w:eastAsia="zh-CN"/>
              </w:rPr>
              <w:t>加强环保设施运行维护</w:t>
            </w:r>
            <w:r>
              <w:rPr>
                <w:rFonts w:hint="eastAsia" w:cs="Times New Roman"/>
                <w:color w:val="auto"/>
                <w:highlight w:val="none"/>
                <w:lang w:val="en-US" w:eastAsia="zh-CN"/>
              </w:rPr>
              <w:t>，在</w:t>
            </w:r>
            <w:r>
              <w:rPr>
                <w:rFonts w:hint="default" w:ascii="Times New Roman" w:hAnsi="Times New Roman" w:cs="Times New Roman"/>
                <w:color w:val="auto"/>
                <w:highlight w:val="none"/>
                <w:lang w:val="en-GB"/>
              </w:rPr>
              <w:t>完善事故风险防范措施</w:t>
            </w:r>
            <w:r>
              <w:rPr>
                <w:rFonts w:hint="eastAsia" w:ascii="Times New Roman" w:hAnsi="Times New Roman" w:cs="Times New Roman"/>
                <w:color w:val="auto"/>
                <w:highlight w:val="none"/>
                <w:lang w:val="en-US" w:eastAsia="zh-CN"/>
              </w:rPr>
              <w:t>的前提下</w:t>
            </w:r>
            <w:r>
              <w:rPr>
                <w:rFonts w:hint="default" w:ascii="Times New Roman" w:hAnsi="Times New Roman" w:cs="Times New Roman"/>
                <w:color w:val="auto"/>
                <w:highlight w:val="none"/>
                <w:lang w:val="en-GB"/>
              </w:rPr>
              <w:t>，事故发生概率很低，本项目环境风险在可接受的范围内。</w:t>
            </w:r>
            <w:bookmarkEnd w:id="224"/>
          </w:p>
          <w:p w14:paraId="7C6693BE">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227" w:name="_Toc6333"/>
            <w:bookmarkStart w:id="228" w:name="_Toc4336"/>
            <w:r>
              <w:rPr>
                <w:rFonts w:hint="eastAsia" w:ascii="Times New Roman" w:hAnsi="Times New Roman" w:eastAsia="宋体" w:cs="Times New Roman"/>
                <w:color w:val="auto"/>
                <w:sz w:val="28"/>
                <w:szCs w:val="28"/>
                <w:u w:val="none"/>
                <w:lang w:val="en-US" w:eastAsia="zh-CN"/>
              </w:rPr>
              <w:t>4.7自行监测计划</w:t>
            </w:r>
            <w:bookmarkEnd w:id="227"/>
            <w:bookmarkEnd w:id="228"/>
          </w:p>
          <w:p w14:paraId="1F5799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szCs w:val="24"/>
                <w:lang w:val="en-US" w:eastAsia="zh-CN" w:bidi="ar"/>
              </w:rPr>
              <w:t>本评价根据</w:t>
            </w:r>
            <w:r>
              <w:rPr>
                <w:rFonts w:hint="default" w:ascii="Times New Roman" w:hAnsi="Times New Roman" w:eastAsia="宋体" w:cs="Times New Roman"/>
                <w:color w:val="auto"/>
                <w:sz w:val="24"/>
                <w:lang w:bidi="ar"/>
              </w:rPr>
              <w:t>《排污许可证申请与核发技术规范</w:t>
            </w:r>
            <w:r>
              <w:rPr>
                <w:rFonts w:hint="default" w:ascii="Times New Roman" w:hAnsi="Times New Roman" w:eastAsia="宋体" w:cs="Times New Roman"/>
                <w:color w:val="auto"/>
                <w:sz w:val="24"/>
                <w:lang w:val="en-US" w:eastAsia="zh-CN" w:bidi="ar"/>
              </w:rPr>
              <w:t>橡胶和塑料制品</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kern w:val="0"/>
                <w:sz w:val="24"/>
                <w:szCs w:val="24"/>
                <w:lang w:val="en-US" w:eastAsia="zh-CN" w:bidi="ar"/>
              </w:rPr>
              <w:t>（HJ1207-2021）、《排污单位自行监测技术指南总则》（HJ819-2017）、《排污许可证自行监测技术指南</w:t>
            </w:r>
            <w:r>
              <w:rPr>
                <w:rFonts w:hint="default" w:ascii="Times New Roman" w:hAnsi="Times New Roman" w:eastAsia="宋体" w:cs="Times New Roman"/>
                <w:color w:val="auto"/>
                <w:sz w:val="24"/>
                <w:lang w:val="en-US" w:eastAsia="zh-CN" w:bidi="ar"/>
              </w:rPr>
              <w:t>橡胶和塑料制品</w:t>
            </w:r>
            <w:r>
              <w:rPr>
                <w:rFonts w:hint="default" w:ascii="Times New Roman" w:hAnsi="Times New Roman" w:eastAsia="宋体" w:cs="Times New Roman"/>
                <w:color w:val="auto"/>
                <w:kern w:val="0"/>
                <w:sz w:val="24"/>
                <w:szCs w:val="24"/>
                <w:lang w:val="en-US" w:eastAsia="zh-CN" w:bidi="ar"/>
              </w:rPr>
              <w:t>》（HJ1207-2021）的要求，提出项目运营期自行监测计划，具体详见表4.8-1。</w:t>
            </w:r>
          </w:p>
          <w:p w14:paraId="3C1EEDD9">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表4.8-1本项目自行监测计划</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881"/>
              <w:gridCol w:w="1931"/>
              <w:gridCol w:w="3242"/>
              <w:gridCol w:w="1144"/>
              <w:gridCol w:w="1113"/>
            </w:tblGrid>
            <w:tr w14:paraId="7B04F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pct"/>
                  <w:gridSpan w:val="2"/>
                  <w:tcBorders>
                    <w:tl2br w:val="nil"/>
                    <w:tr2bl w:val="nil"/>
                  </w:tcBorders>
                  <w:noWrap w:val="0"/>
                  <w:vAlign w:val="center"/>
                </w:tcPr>
                <w:p w14:paraId="162C5D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089" w:type="pct"/>
                  <w:tcBorders>
                    <w:tl2br w:val="nil"/>
                    <w:tr2bl w:val="nil"/>
                  </w:tcBorders>
                  <w:noWrap w:val="0"/>
                  <w:vAlign w:val="center"/>
                </w:tcPr>
                <w:p w14:paraId="07FA2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1829" w:type="pct"/>
                  <w:tcBorders>
                    <w:tl2br w:val="nil"/>
                    <w:tr2bl w:val="nil"/>
                  </w:tcBorders>
                  <w:noWrap w:val="0"/>
                  <w:vAlign w:val="center"/>
                </w:tcPr>
                <w:p w14:paraId="1F968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645" w:type="pct"/>
                  <w:tcBorders>
                    <w:tl2br w:val="nil"/>
                    <w:tr2bl w:val="nil"/>
                  </w:tcBorders>
                  <w:noWrap w:val="0"/>
                  <w:vAlign w:val="center"/>
                </w:tcPr>
                <w:p w14:paraId="6C9221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628" w:type="pct"/>
                  <w:tcBorders>
                    <w:tl2br w:val="nil"/>
                    <w:tr2bl w:val="nil"/>
                  </w:tcBorders>
                  <w:noWrap w:val="0"/>
                  <w:vAlign w:val="center"/>
                </w:tcPr>
                <w:p w14:paraId="4E5931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监测负责单位</w:t>
                  </w:r>
                </w:p>
              </w:tc>
            </w:tr>
            <w:tr w14:paraId="6C62D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0" w:type="pct"/>
                  <w:vMerge w:val="restart"/>
                  <w:tcBorders>
                    <w:tl2br w:val="nil"/>
                    <w:tr2bl w:val="nil"/>
                  </w:tcBorders>
                  <w:noWrap w:val="0"/>
                  <w:vAlign w:val="center"/>
                </w:tcPr>
                <w:p w14:paraId="1A1A81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497" w:type="pct"/>
                  <w:vMerge w:val="restart"/>
                  <w:tcBorders>
                    <w:tl2br w:val="nil"/>
                    <w:tr2bl w:val="nil"/>
                  </w:tcBorders>
                  <w:noWrap w:val="0"/>
                  <w:vAlign w:val="center"/>
                </w:tcPr>
                <w:p w14:paraId="2C5CC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无组织废气</w:t>
                  </w:r>
                </w:p>
                <w:p w14:paraId="466755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89" w:type="pct"/>
                  <w:tcBorders>
                    <w:tl2br w:val="nil"/>
                    <w:tr2bl w:val="nil"/>
                  </w:tcBorders>
                  <w:noWrap w:val="0"/>
                  <w:vAlign w:val="center"/>
                </w:tcPr>
                <w:p w14:paraId="448CA9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厂区内</w:t>
                  </w:r>
                  <w:r>
                    <w:rPr>
                      <w:rFonts w:hint="eastAsia" w:cs="Times New Roman"/>
                      <w:color w:val="auto"/>
                      <w:kern w:val="0"/>
                      <w:sz w:val="21"/>
                      <w:szCs w:val="21"/>
                      <w:lang w:val="en-US" w:eastAsia="zh-CN" w:bidi="ar"/>
                    </w:rPr>
                    <w:t>主要设施旁1</w:t>
                  </w:r>
                  <w:r>
                    <w:rPr>
                      <w:rFonts w:hint="default" w:ascii="Times New Roman" w:hAnsi="Times New Roman" w:eastAsia="宋体" w:cs="Times New Roman"/>
                      <w:color w:val="auto"/>
                      <w:kern w:val="0"/>
                      <w:sz w:val="21"/>
                      <w:szCs w:val="21"/>
                      <w:lang w:val="en-US" w:eastAsia="zh-CN" w:bidi="ar"/>
                    </w:rPr>
                    <w:t>个监控点</w:t>
                  </w:r>
                </w:p>
              </w:tc>
              <w:tc>
                <w:tcPr>
                  <w:tcW w:w="1829" w:type="pct"/>
                  <w:tcBorders>
                    <w:tl2br w:val="nil"/>
                    <w:tr2bl w:val="nil"/>
                  </w:tcBorders>
                  <w:noWrap w:val="0"/>
                  <w:vAlign w:val="center"/>
                </w:tcPr>
                <w:p w14:paraId="76C385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非甲烷总烃</w:t>
                  </w:r>
                </w:p>
              </w:tc>
              <w:tc>
                <w:tcPr>
                  <w:tcW w:w="645" w:type="pct"/>
                  <w:tcBorders>
                    <w:tl2br w:val="nil"/>
                    <w:tr2bl w:val="nil"/>
                  </w:tcBorders>
                  <w:noWrap w:val="0"/>
                  <w:vAlign w:val="center"/>
                </w:tcPr>
                <w:p w14:paraId="01FFC8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次</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半</w:t>
                  </w:r>
                  <w:r>
                    <w:rPr>
                      <w:rFonts w:hint="default" w:ascii="Times New Roman" w:hAnsi="Times New Roman" w:eastAsia="宋体" w:cs="Times New Roman"/>
                      <w:bCs/>
                      <w:color w:val="auto"/>
                      <w:sz w:val="21"/>
                      <w:szCs w:val="21"/>
                    </w:rPr>
                    <w:t>年</w:t>
                  </w:r>
                </w:p>
              </w:tc>
              <w:tc>
                <w:tcPr>
                  <w:tcW w:w="628" w:type="pct"/>
                  <w:vMerge w:val="restart"/>
                  <w:tcBorders>
                    <w:tl2br w:val="nil"/>
                    <w:tr2bl w:val="nil"/>
                  </w:tcBorders>
                  <w:noWrap w:val="0"/>
                  <w:vAlign w:val="center"/>
                </w:tcPr>
                <w:p w14:paraId="269539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委托专业检测单位</w:t>
                  </w:r>
                </w:p>
                <w:p w14:paraId="394906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FF96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89D5D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7" w:type="pct"/>
                  <w:vMerge w:val="continue"/>
                  <w:tcBorders>
                    <w:tl2br w:val="nil"/>
                    <w:tr2bl w:val="nil"/>
                  </w:tcBorders>
                  <w:noWrap w:val="0"/>
                  <w:vAlign w:val="center"/>
                </w:tcPr>
                <w:p w14:paraId="0BC864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89" w:type="pct"/>
                  <w:vMerge w:val="restart"/>
                  <w:tcBorders>
                    <w:tl2br w:val="nil"/>
                    <w:tr2bl w:val="nil"/>
                  </w:tcBorders>
                  <w:noWrap w:val="0"/>
                  <w:vAlign w:val="center"/>
                </w:tcPr>
                <w:p w14:paraId="0C81DC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厂界上风向1个监控点；下风向</w:t>
                  </w:r>
                  <w:r>
                    <w:rPr>
                      <w:rFonts w:hint="eastAsia"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个监控点</w:t>
                  </w:r>
                </w:p>
              </w:tc>
              <w:tc>
                <w:tcPr>
                  <w:tcW w:w="1829" w:type="pct"/>
                  <w:tcBorders>
                    <w:tl2br w:val="nil"/>
                    <w:tr2bl w:val="nil"/>
                  </w:tcBorders>
                  <w:noWrap w:val="0"/>
                  <w:vAlign w:val="center"/>
                </w:tcPr>
                <w:p w14:paraId="2C5249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非甲烷总烃</w:t>
                  </w:r>
                </w:p>
              </w:tc>
              <w:tc>
                <w:tcPr>
                  <w:tcW w:w="645" w:type="pct"/>
                  <w:tcBorders>
                    <w:tl2br w:val="nil"/>
                    <w:tr2bl w:val="nil"/>
                  </w:tcBorders>
                  <w:noWrap w:val="0"/>
                  <w:vAlign w:val="center"/>
                </w:tcPr>
                <w:p w14:paraId="6FE704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次</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半</w:t>
                  </w:r>
                  <w:r>
                    <w:rPr>
                      <w:rFonts w:hint="default" w:ascii="Times New Roman" w:hAnsi="Times New Roman" w:eastAsia="宋体" w:cs="Times New Roman"/>
                      <w:bCs/>
                      <w:color w:val="auto"/>
                      <w:sz w:val="21"/>
                      <w:szCs w:val="21"/>
                    </w:rPr>
                    <w:t>年</w:t>
                  </w:r>
                </w:p>
              </w:tc>
              <w:tc>
                <w:tcPr>
                  <w:tcW w:w="628" w:type="pct"/>
                  <w:vMerge w:val="continue"/>
                  <w:tcBorders>
                    <w:tl2br w:val="nil"/>
                    <w:tr2bl w:val="nil"/>
                  </w:tcBorders>
                  <w:noWrap w:val="0"/>
                  <w:vAlign w:val="center"/>
                </w:tcPr>
                <w:p w14:paraId="43AB5F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A70F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2377C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7" w:type="pct"/>
                  <w:vMerge w:val="continue"/>
                  <w:tcBorders>
                    <w:tl2br w:val="nil"/>
                    <w:tr2bl w:val="nil"/>
                  </w:tcBorders>
                  <w:noWrap w:val="0"/>
                  <w:vAlign w:val="center"/>
                </w:tcPr>
                <w:p w14:paraId="2DAFCB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89" w:type="pct"/>
                  <w:vMerge w:val="continue"/>
                  <w:tcBorders>
                    <w:tl2br w:val="nil"/>
                    <w:tr2bl w:val="nil"/>
                  </w:tcBorders>
                  <w:noWrap w:val="0"/>
                  <w:vAlign w:val="center"/>
                </w:tcPr>
                <w:p w14:paraId="1BDD7FB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p>
              </w:tc>
              <w:tc>
                <w:tcPr>
                  <w:tcW w:w="1829" w:type="pct"/>
                  <w:tcBorders>
                    <w:tl2br w:val="nil"/>
                    <w:tr2bl w:val="nil"/>
                  </w:tcBorders>
                  <w:noWrap w:val="0"/>
                  <w:vAlign w:val="center"/>
                </w:tcPr>
                <w:p w14:paraId="4F91DBD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颗粒物、特征污染物</w:t>
                  </w:r>
                  <w:r>
                    <w:rPr>
                      <w:rFonts w:hint="eastAsia" w:cs="Times New Roman"/>
                      <w:color w:val="auto"/>
                      <w:kern w:val="0"/>
                      <w:sz w:val="21"/>
                      <w:szCs w:val="21"/>
                      <w:highlight w:val="none"/>
                      <w:vertAlign w:val="superscript"/>
                      <w:lang w:val="en-US" w:eastAsia="zh-CN" w:bidi="ar"/>
                    </w:rPr>
                    <w:t>f</w:t>
                  </w:r>
                  <w:r>
                    <w:rPr>
                      <w:rFonts w:hint="eastAsia" w:cs="Times New Roman"/>
                      <w:color w:val="auto"/>
                      <w:kern w:val="0"/>
                      <w:sz w:val="21"/>
                      <w:szCs w:val="21"/>
                      <w:highlight w:val="none"/>
                      <w:lang w:val="en-US" w:eastAsia="zh-CN" w:bidi="ar"/>
                    </w:rPr>
                    <w:t>、臭气浓度</w:t>
                  </w:r>
                  <w:r>
                    <w:rPr>
                      <w:rFonts w:hint="eastAsia" w:cs="Times New Roman"/>
                      <w:color w:val="auto"/>
                      <w:kern w:val="0"/>
                      <w:sz w:val="21"/>
                      <w:szCs w:val="21"/>
                      <w:highlight w:val="none"/>
                      <w:vertAlign w:val="superscript"/>
                      <w:lang w:val="en-US" w:eastAsia="zh-CN" w:bidi="ar"/>
                    </w:rPr>
                    <w:t>c</w:t>
                  </w:r>
                  <w:r>
                    <w:rPr>
                      <w:rFonts w:hint="eastAsia" w:cs="Times New Roman"/>
                      <w:color w:val="auto"/>
                      <w:kern w:val="0"/>
                      <w:sz w:val="21"/>
                      <w:szCs w:val="21"/>
                      <w:highlight w:val="none"/>
                      <w:lang w:val="en-US" w:eastAsia="zh-CN" w:bidi="ar"/>
                    </w:rPr>
                    <w:t>、恶臭特征污染物</w:t>
                  </w:r>
                  <w:r>
                    <w:rPr>
                      <w:rFonts w:hint="eastAsia" w:cs="Times New Roman"/>
                      <w:color w:val="auto"/>
                      <w:kern w:val="0"/>
                      <w:sz w:val="21"/>
                      <w:szCs w:val="21"/>
                      <w:highlight w:val="none"/>
                      <w:vertAlign w:val="superscript"/>
                      <w:lang w:val="en-US" w:eastAsia="zh-CN" w:bidi="ar"/>
                    </w:rPr>
                    <w:t>c</w:t>
                  </w:r>
                </w:p>
              </w:tc>
              <w:tc>
                <w:tcPr>
                  <w:tcW w:w="645" w:type="pct"/>
                  <w:tcBorders>
                    <w:tl2br w:val="nil"/>
                    <w:tr2bl w:val="nil"/>
                  </w:tcBorders>
                  <w:noWrap w:val="0"/>
                  <w:vAlign w:val="center"/>
                </w:tcPr>
                <w:p w14:paraId="72304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1次/年</w:t>
                  </w:r>
                </w:p>
              </w:tc>
              <w:tc>
                <w:tcPr>
                  <w:tcW w:w="628" w:type="pct"/>
                  <w:vMerge w:val="continue"/>
                  <w:tcBorders>
                    <w:tl2br w:val="nil"/>
                    <w:tr2bl w:val="nil"/>
                  </w:tcBorders>
                  <w:noWrap w:val="0"/>
                  <w:vAlign w:val="center"/>
                </w:tcPr>
                <w:p w14:paraId="119B0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B0EA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5CC767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7" w:type="pct"/>
                  <w:vMerge w:val="restart"/>
                  <w:tcBorders>
                    <w:tl2br w:val="nil"/>
                    <w:tr2bl w:val="nil"/>
                  </w:tcBorders>
                  <w:noWrap w:val="0"/>
                  <w:vAlign w:val="center"/>
                </w:tcPr>
                <w:p w14:paraId="7D923D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有组织废气</w:t>
                  </w:r>
                </w:p>
              </w:tc>
              <w:tc>
                <w:tcPr>
                  <w:tcW w:w="1089" w:type="pct"/>
                  <w:vMerge w:val="restart"/>
                  <w:tcBorders>
                    <w:tl2br w:val="nil"/>
                    <w:tr2bl w:val="nil"/>
                  </w:tcBorders>
                  <w:noWrap w:val="0"/>
                  <w:vAlign w:val="center"/>
                </w:tcPr>
                <w:p w14:paraId="289D9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排气筒DA001</w:t>
                  </w:r>
                </w:p>
              </w:tc>
              <w:tc>
                <w:tcPr>
                  <w:tcW w:w="1829" w:type="pct"/>
                  <w:tcBorders>
                    <w:tl2br w:val="nil"/>
                    <w:tr2bl w:val="nil"/>
                  </w:tcBorders>
                  <w:noWrap w:val="0"/>
                  <w:vAlign w:val="center"/>
                </w:tcPr>
                <w:p w14:paraId="58470E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非甲烷总烃</w:t>
                  </w:r>
                </w:p>
              </w:tc>
              <w:tc>
                <w:tcPr>
                  <w:tcW w:w="645" w:type="pct"/>
                  <w:tcBorders>
                    <w:tl2br w:val="nil"/>
                    <w:tr2bl w:val="nil"/>
                  </w:tcBorders>
                  <w:noWrap w:val="0"/>
                  <w:vAlign w:val="center"/>
                </w:tcPr>
                <w:p w14:paraId="5E527E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次/</w:t>
                  </w:r>
                  <w:r>
                    <w:rPr>
                      <w:rFonts w:hint="eastAsia" w:cs="Times New Roman"/>
                      <w:b w:val="0"/>
                      <w:bCs/>
                      <w:color w:val="auto"/>
                      <w:sz w:val="21"/>
                      <w:szCs w:val="21"/>
                      <w:vertAlign w:val="baseline"/>
                      <w:lang w:val="en-US" w:eastAsia="zh-CN"/>
                    </w:rPr>
                    <w:t>半</w:t>
                  </w:r>
                  <w:r>
                    <w:rPr>
                      <w:rFonts w:hint="default" w:ascii="Times New Roman" w:hAnsi="Times New Roman" w:eastAsia="宋体" w:cs="Times New Roman"/>
                      <w:b w:val="0"/>
                      <w:bCs/>
                      <w:color w:val="auto"/>
                      <w:sz w:val="21"/>
                      <w:szCs w:val="21"/>
                      <w:vertAlign w:val="baseline"/>
                      <w:lang w:val="en-US" w:eastAsia="zh-CN"/>
                    </w:rPr>
                    <w:t>年</w:t>
                  </w:r>
                </w:p>
              </w:tc>
              <w:tc>
                <w:tcPr>
                  <w:tcW w:w="628" w:type="pct"/>
                  <w:vMerge w:val="continue"/>
                  <w:tcBorders>
                    <w:tl2br w:val="nil"/>
                    <w:tr2bl w:val="nil"/>
                  </w:tcBorders>
                  <w:noWrap w:val="0"/>
                  <w:vAlign w:val="center"/>
                </w:tcPr>
                <w:p w14:paraId="04DE9A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C0A4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310" w:type="pct"/>
                  <w:vMerge w:val="continue"/>
                  <w:tcBorders>
                    <w:tl2br w:val="nil"/>
                    <w:tr2bl w:val="nil"/>
                  </w:tcBorders>
                  <w:noWrap w:val="0"/>
                  <w:vAlign w:val="center"/>
                </w:tcPr>
                <w:p w14:paraId="681A8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7" w:type="pct"/>
                  <w:vMerge w:val="continue"/>
                  <w:tcBorders>
                    <w:tl2br w:val="nil"/>
                    <w:tr2bl w:val="nil"/>
                  </w:tcBorders>
                  <w:noWrap w:val="0"/>
                  <w:vAlign w:val="center"/>
                </w:tcPr>
                <w:p w14:paraId="059CF7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89" w:type="pct"/>
                  <w:vMerge w:val="continue"/>
                  <w:tcBorders>
                    <w:tl2br w:val="nil"/>
                    <w:tr2bl w:val="nil"/>
                  </w:tcBorders>
                  <w:noWrap w:val="0"/>
                  <w:vAlign w:val="center"/>
                </w:tcPr>
                <w:p w14:paraId="007D09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829" w:type="pct"/>
                  <w:tcBorders>
                    <w:tl2br w:val="nil"/>
                    <w:tr2bl w:val="nil"/>
                  </w:tcBorders>
                  <w:shd w:val="clear" w:color="auto" w:fill="auto"/>
                  <w:noWrap w:val="0"/>
                  <w:vAlign w:val="center"/>
                </w:tcPr>
                <w:p w14:paraId="25ACBDB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颗粒物、特征污染物</w:t>
                  </w:r>
                  <w:r>
                    <w:rPr>
                      <w:rFonts w:hint="eastAsia" w:cs="Times New Roman"/>
                      <w:color w:val="auto"/>
                      <w:kern w:val="0"/>
                      <w:sz w:val="21"/>
                      <w:szCs w:val="21"/>
                      <w:highlight w:val="none"/>
                      <w:vertAlign w:val="superscript"/>
                      <w:lang w:val="en-US" w:eastAsia="zh-CN" w:bidi="ar"/>
                    </w:rPr>
                    <w:t>f</w:t>
                  </w:r>
                  <w:r>
                    <w:rPr>
                      <w:rFonts w:hint="eastAsia" w:cs="Times New Roman"/>
                      <w:color w:val="auto"/>
                      <w:kern w:val="0"/>
                      <w:sz w:val="21"/>
                      <w:szCs w:val="21"/>
                      <w:highlight w:val="none"/>
                      <w:lang w:val="en-US" w:eastAsia="zh-CN" w:bidi="ar"/>
                    </w:rPr>
                    <w:t>、臭气浓度</w:t>
                  </w:r>
                  <w:r>
                    <w:rPr>
                      <w:rFonts w:hint="eastAsia" w:cs="Times New Roman"/>
                      <w:color w:val="auto"/>
                      <w:kern w:val="0"/>
                      <w:sz w:val="21"/>
                      <w:szCs w:val="21"/>
                      <w:highlight w:val="none"/>
                      <w:vertAlign w:val="superscript"/>
                      <w:lang w:val="en-US" w:eastAsia="zh-CN" w:bidi="ar"/>
                    </w:rPr>
                    <w:t>c</w:t>
                  </w:r>
                  <w:r>
                    <w:rPr>
                      <w:rFonts w:hint="eastAsia" w:cs="Times New Roman"/>
                      <w:color w:val="auto"/>
                      <w:kern w:val="0"/>
                      <w:sz w:val="21"/>
                      <w:szCs w:val="21"/>
                      <w:highlight w:val="none"/>
                      <w:lang w:val="en-US" w:eastAsia="zh-CN" w:bidi="ar"/>
                    </w:rPr>
                    <w:t>、恶臭特征污染物</w:t>
                  </w:r>
                  <w:r>
                    <w:rPr>
                      <w:rFonts w:hint="eastAsia" w:cs="Times New Roman"/>
                      <w:color w:val="auto"/>
                      <w:kern w:val="0"/>
                      <w:sz w:val="21"/>
                      <w:szCs w:val="21"/>
                      <w:highlight w:val="none"/>
                      <w:vertAlign w:val="superscript"/>
                      <w:lang w:val="en-US" w:eastAsia="zh-CN" w:bidi="ar"/>
                    </w:rPr>
                    <w:t>c</w:t>
                  </w:r>
                </w:p>
              </w:tc>
              <w:tc>
                <w:tcPr>
                  <w:tcW w:w="645" w:type="pct"/>
                  <w:tcBorders>
                    <w:tl2br w:val="nil"/>
                    <w:tr2bl w:val="nil"/>
                  </w:tcBorders>
                  <w:shd w:val="clear" w:color="auto" w:fill="auto"/>
                  <w:noWrap w:val="0"/>
                  <w:vAlign w:val="center"/>
                </w:tcPr>
                <w:p w14:paraId="4B4B54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1次/年</w:t>
                  </w:r>
                </w:p>
              </w:tc>
              <w:tc>
                <w:tcPr>
                  <w:tcW w:w="628" w:type="pct"/>
                  <w:vMerge w:val="continue"/>
                  <w:tcBorders>
                    <w:tl2br w:val="nil"/>
                    <w:tr2bl w:val="nil"/>
                  </w:tcBorders>
                  <w:noWrap w:val="0"/>
                  <w:vAlign w:val="center"/>
                </w:tcPr>
                <w:p w14:paraId="3D44CA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2F960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7" w:type="pct"/>
                  <w:gridSpan w:val="2"/>
                  <w:tcBorders>
                    <w:tl2br w:val="nil"/>
                    <w:tr2bl w:val="nil"/>
                  </w:tcBorders>
                  <w:noWrap w:val="0"/>
                  <w:vAlign w:val="center"/>
                </w:tcPr>
                <w:p w14:paraId="1F18E7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4192" w:type="pct"/>
                  <w:gridSpan w:val="4"/>
                  <w:tcBorders>
                    <w:tl2br w:val="nil"/>
                    <w:tr2bl w:val="nil"/>
                  </w:tcBorders>
                  <w:noWrap w:val="0"/>
                  <w:vAlign w:val="center"/>
                </w:tcPr>
                <w:p w14:paraId="3E6D3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根据《排污单位自行监测技术指南总则》（HJ819-2017）、</w:t>
                  </w:r>
                  <w:r>
                    <w:rPr>
                      <w:rFonts w:hint="eastAsia" w:ascii="Times New Roman" w:hAnsi="Times New Roman" w:eastAsia="宋体" w:cs="Times New Roman"/>
                      <w:color w:val="auto"/>
                      <w:sz w:val="21"/>
                      <w:szCs w:val="21"/>
                      <w:lang w:val="en-US" w:eastAsia="zh-CN"/>
                    </w:rPr>
                    <w:t>《排污许可证自行监测技术指南橡胶和塑料制品》（HJ1207-2021）</w:t>
                  </w:r>
                  <w:r>
                    <w:rPr>
                      <w:rFonts w:hint="default" w:ascii="Times New Roman" w:hAnsi="Times New Roman" w:eastAsia="宋体" w:cs="Times New Roman"/>
                      <w:color w:val="auto"/>
                      <w:sz w:val="21"/>
                      <w:szCs w:val="21"/>
                      <w:lang w:val="en-US" w:eastAsia="zh-CN"/>
                    </w:rPr>
                    <w:t>，间接排放的生活污水单独排放口无自行监测要求。因此，本评价不对生活污水提出自行监测要求。</w:t>
                  </w:r>
                </w:p>
              </w:tc>
            </w:tr>
            <w:tr w14:paraId="4C761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pct"/>
                  <w:gridSpan w:val="2"/>
                  <w:tcBorders>
                    <w:tl2br w:val="nil"/>
                    <w:tr2bl w:val="nil"/>
                  </w:tcBorders>
                  <w:noWrap w:val="0"/>
                  <w:vAlign w:val="center"/>
                </w:tcPr>
                <w:p w14:paraId="66B85C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089" w:type="pct"/>
                  <w:tcBorders>
                    <w:tl2br w:val="nil"/>
                    <w:tr2bl w:val="nil"/>
                  </w:tcBorders>
                  <w:noWrap w:val="0"/>
                  <w:vAlign w:val="center"/>
                </w:tcPr>
                <w:p w14:paraId="27970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厂界四周外1m</w:t>
                  </w:r>
                </w:p>
              </w:tc>
              <w:tc>
                <w:tcPr>
                  <w:tcW w:w="1829" w:type="pct"/>
                  <w:tcBorders>
                    <w:tl2br w:val="nil"/>
                    <w:tr2bl w:val="nil"/>
                  </w:tcBorders>
                  <w:noWrap w:val="0"/>
                  <w:vAlign w:val="center"/>
                </w:tcPr>
                <w:p w14:paraId="3B2463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等效A声级</w:t>
                  </w:r>
                </w:p>
              </w:tc>
              <w:tc>
                <w:tcPr>
                  <w:tcW w:w="645" w:type="pct"/>
                  <w:tcBorders>
                    <w:tl2br w:val="nil"/>
                    <w:tr2bl w:val="nil"/>
                  </w:tcBorders>
                  <w:noWrap w:val="0"/>
                  <w:vAlign w:val="center"/>
                </w:tcPr>
                <w:p w14:paraId="1CA9BD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1次/季度</w:t>
                  </w:r>
                </w:p>
              </w:tc>
              <w:tc>
                <w:tcPr>
                  <w:tcW w:w="628" w:type="pct"/>
                  <w:tcBorders>
                    <w:tl2br w:val="nil"/>
                    <w:tr2bl w:val="nil"/>
                  </w:tcBorders>
                  <w:noWrap w:val="0"/>
                  <w:vAlign w:val="center"/>
                </w:tcPr>
                <w:p w14:paraId="7BDD0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委托专业检测单位</w:t>
                  </w:r>
                </w:p>
              </w:tc>
            </w:tr>
            <w:tr w14:paraId="2A8E2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tcBorders>
                    <w:tl2br w:val="nil"/>
                    <w:tr2bl w:val="nil"/>
                  </w:tcBorders>
                  <w:noWrap w:val="0"/>
                  <w:vAlign w:val="center"/>
                </w:tcPr>
                <w:p w14:paraId="4173BDA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sz w:val="21"/>
                      <w:szCs w:val="21"/>
                      <w:lang w:val="en-US" w:eastAsia="zh-CN"/>
                    </w:rPr>
                  </w:pPr>
                  <w:bookmarkStart w:id="229" w:name="_Toc7744"/>
                  <w:bookmarkStart w:id="230" w:name="_Toc12062"/>
                  <w:bookmarkStart w:id="231" w:name="_Toc11633"/>
                  <w:bookmarkStart w:id="232" w:name="_Toc25365"/>
                  <w:bookmarkStart w:id="233" w:name="_Toc30083"/>
                  <w:bookmarkStart w:id="234" w:name="_Toc26125"/>
                  <w:r>
                    <w:rPr>
                      <w:rFonts w:hint="eastAsia" w:ascii="Times New Roman" w:hAnsi="Times New Roman" w:eastAsia="宋体" w:cs="Times New Roman"/>
                      <w:color w:val="auto"/>
                      <w:sz w:val="21"/>
                      <w:szCs w:val="21"/>
                      <w:lang w:val="en-US" w:eastAsia="zh-CN"/>
                    </w:rPr>
                    <w:t>注</w:t>
                  </w:r>
                  <w:r>
                    <w:rPr>
                      <w:rFonts w:hint="eastAsia" w:cs="Times New Roman"/>
                      <w:color w:val="auto"/>
                      <w:sz w:val="21"/>
                      <w:szCs w:val="21"/>
                      <w:lang w:val="en-US" w:eastAsia="zh-CN"/>
                    </w:rPr>
                    <w:t>C</w:t>
                  </w:r>
                  <w:r>
                    <w:rPr>
                      <w:rFonts w:hint="eastAsia" w:ascii="Times New Roman" w:hAnsi="Times New Roman" w:eastAsia="宋体" w:cs="Times New Roman"/>
                      <w:color w:val="auto"/>
                      <w:sz w:val="21"/>
                      <w:szCs w:val="21"/>
                      <w:lang w:val="en-US" w:eastAsia="zh-CN"/>
                    </w:rPr>
                    <w:t>：环境影响评价文件及其批复确定需要监测臭气浓度、恶臭特征污染物的，应监测臭气浓度、恶臭特征污染物，臭气浓度、恶臭特征污染物执行</w:t>
                  </w:r>
                  <w:r>
                    <w:rPr>
                      <w:rFonts w:hint="default" w:ascii="Times New Roman" w:hAnsi="Times New Roman" w:eastAsia="宋体" w:cs="Times New Roman"/>
                      <w:color w:val="auto"/>
                      <w:sz w:val="21"/>
                      <w:szCs w:val="21"/>
                      <w:lang w:val="en-US" w:eastAsia="zh-CN"/>
                    </w:rPr>
                    <w:t>GB14554</w:t>
                  </w:r>
                  <w:r>
                    <w:rPr>
                      <w:rFonts w:hint="eastAsia" w:ascii="Times New Roman" w:hAnsi="Times New Roman" w:eastAsia="宋体" w:cs="Times New Roman"/>
                      <w:color w:val="auto"/>
                      <w:sz w:val="21"/>
                      <w:szCs w:val="21"/>
                      <w:lang w:val="en-US" w:eastAsia="zh-CN"/>
                    </w:rPr>
                    <w:t>，恶臭特征污染物种类按环境影响评价文件及其批复确定。</w:t>
                  </w:r>
                </w:p>
                <w:p w14:paraId="410543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lang w:val="en-US" w:eastAsia="zh-CN"/>
                    </w:rPr>
                  </w:pPr>
                  <w:r>
                    <w:rPr>
                      <w:rFonts w:hint="eastAsia" w:cs="Times New Roman"/>
                      <w:color w:val="auto"/>
                      <w:sz w:val="21"/>
                      <w:szCs w:val="21"/>
                      <w:lang w:val="en-US" w:eastAsia="zh-CN"/>
                    </w:rPr>
                    <w:t>f</w:t>
                  </w:r>
                  <w:r>
                    <w:rPr>
                      <w:rFonts w:hint="eastAsia" w:ascii="Times New Roman" w:hAnsi="Times New Roman" w:eastAsia="宋体" w:cs="Times New Roman"/>
                      <w:color w:val="auto"/>
                      <w:sz w:val="21"/>
                      <w:szCs w:val="21"/>
                      <w:lang w:val="en-US" w:eastAsia="zh-CN"/>
                    </w:rPr>
                    <w:t>：特征污染物执行</w:t>
                  </w:r>
                  <w:r>
                    <w:rPr>
                      <w:rFonts w:hint="default" w:ascii="Times New Roman" w:hAnsi="Times New Roman" w:eastAsia="宋体" w:cs="Times New Roman"/>
                      <w:color w:val="auto"/>
                      <w:sz w:val="21"/>
                      <w:szCs w:val="21"/>
                      <w:lang w:val="en-US" w:eastAsia="zh-CN"/>
                    </w:rPr>
                    <w:t>GB31572</w:t>
                  </w:r>
                  <w:r>
                    <w:rPr>
                      <w:rFonts w:hint="eastAsia" w:ascii="Times New Roman" w:hAnsi="Times New Roman" w:eastAsia="宋体" w:cs="Times New Roman"/>
                      <w:color w:val="auto"/>
                      <w:sz w:val="21"/>
                      <w:szCs w:val="21"/>
                      <w:lang w:val="en-US" w:eastAsia="zh-CN"/>
                    </w:rPr>
                    <w:t>，污染物种类按使用的合成树脂类型确定。</w:t>
                  </w:r>
                </w:p>
              </w:tc>
            </w:tr>
          </w:tbl>
          <w:p w14:paraId="2266964C">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235" w:name="_Toc18399"/>
            <w:r>
              <w:rPr>
                <w:rFonts w:hint="eastAsia" w:ascii="Times New Roman" w:hAnsi="Times New Roman" w:eastAsia="宋体" w:cs="Times New Roman"/>
                <w:color w:val="auto"/>
                <w:sz w:val="28"/>
                <w:szCs w:val="28"/>
                <w:u w:val="none"/>
                <w:lang w:val="en-US" w:eastAsia="zh-CN"/>
              </w:rPr>
              <w:t>4.8环保投资估算</w:t>
            </w:r>
            <w:bookmarkEnd w:id="229"/>
            <w:bookmarkEnd w:id="230"/>
            <w:bookmarkEnd w:id="231"/>
            <w:bookmarkEnd w:id="232"/>
            <w:bookmarkEnd w:id="233"/>
            <w:bookmarkEnd w:id="234"/>
            <w:bookmarkEnd w:id="235"/>
          </w:p>
          <w:p w14:paraId="6AD7F3FD">
            <w:pPr>
              <w:widowControl w:val="0"/>
              <w:bidi w:val="0"/>
              <w:spacing w:line="360" w:lineRule="auto"/>
              <w:ind w:firstLine="480" w:firstLineChars="200"/>
              <w:jc w:val="both"/>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本项目环保措施包括废水、废气、噪声治理措施、固体废物收集场所等。具体见表4.9-1。</w:t>
            </w:r>
          </w:p>
          <w:p w14:paraId="478D4E5F">
            <w:pPr>
              <w:pStyle w:val="72"/>
              <w:bidi w:val="0"/>
              <w:rPr>
                <w:rFonts w:hint="default"/>
                <w:color w:val="auto"/>
                <w:lang w:val="en-US" w:eastAsia="zh-CN"/>
              </w:rPr>
            </w:pPr>
            <w:r>
              <w:rPr>
                <w:rFonts w:hint="eastAsia"/>
                <w:color w:val="auto"/>
                <w:lang w:val="en-US" w:eastAsia="zh-CN"/>
              </w:rPr>
              <w:t>表4.9-1环保投资估算</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34"/>
              <w:gridCol w:w="6089"/>
              <w:gridCol w:w="1118"/>
            </w:tblGrid>
            <w:tr w14:paraId="491E9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tcBorders>
                    <w:tl2br w:val="nil"/>
                    <w:tr2bl w:val="nil"/>
                  </w:tcBorders>
                  <w:noWrap w:val="0"/>
                  <w:vAlign w:val="center"/>
                </w:tcPr>
                <w:p w14:paraId="5275B2DB">
                  <w:pPr>
                    <w:pStyle w:val="54"/>
                    <w:bidi w:val="0"/>
                    <w:rPr>
                      <w:rFonts w:hint="default"/>
                      <w:color w:val="auto"/>
                      <w:lang w:val="en-US" w:eastAsia="zh-CN"/>
                    </w:rPr>
                  </w:pPr>
                  <w:r>
                    <w:rPr>
                      <w:rFonts w:hint="eastAsia"/>
                      <w:color w:val="auto"/>
                      <w:lang w:val="en-US" w:eastAsia="zh-CN"/>
                    </w:rPr>
                    <w:t>序号</w:t>
                  </w:r>
                </w:p>
              </w:tc>
              <w:tc>
                <w:tcPr>
                  <w:tcW w:w="527" w:type="pct"/>
                  <w:tcBorders>
                    <w:tl2br w:val="nil"/>
                    <w:tr2bl w:val="nil"/>
                  </w:tcBorders>
                  <w:noWrap w:val="0"/>
                  <w:vAlign w:val="center"/>
                </w:tcPr>
                <w:p w14:paraId="656D6975">
                  <w:pPr>
                    <w:pStyle w:val="54"/>
                    <w:bidi w:val="0"/>
                    <w:rPr>
                      <w:rFonts w:hint="default"/>
                      <w:color w:val="auto"/>
                      <w:lang w:val="en-US" w:eastAsia="zh-CN"/>
                    </w:rPr>
                  </w:pPr>
                  <w:r>
                    <w:rPr>
                      <w:rFonts w:hint="eastAsia"/>
                      <w:color w:val="auto"/>
                      <w:lang w:val="en-US" w:eastAsia="zh-CN"/>
                    </w:rPr>
                    <w:t>污染源</w:t>
                  </w:r>
                </w:p>
              </w:tc>
              <w:tc>
                <w:tcPr>
                  <w:tcW w:w="3436" w:type="pct"/>
                  <w:tcBorders>
                    <w:tl2br w:val="nil"/>
                    <w:tr2bl w:val="nil"/>
                  </w:tcBorders>
                  <w:noWrap w:val="0"/>
                  <w:vAlign w:val="center"/>
                </w:tcPr>
                <w:p w14:paraId="2CF59A7A">
                  <w:pPr>
                    <w:pStyle w:val="54"/>
                    <w:bidi w:val="0"/>
                    <w:rPr>
                      <w:rFonts w:hint="default"/>
                      <w:color w:val="auto"/>
                      <w:lang w:val="en-US" w:eastAsia="zh-CN"/>
                    </w:rPr>
                  </w:pPr>
                  <w:r>
                    <w:rPr>
                      <w:rFonts w:hint="eastAsia"/>
                      <w:color w:val="auto"/>
                      <w:lang w:val="en-US" w:eastAsia="zh-CN"/>
                    </w:rPr>
                    <w:t>措施</w:t>
                  </w:r>
                </w:p>
              </w:tc>
              <w:tc>
                <w:tcPr>
                  <w:tcW w:w="630" w:type="pct"/>
                  <w:tcBorders>
                    <w:tl2br w:val="nil"/>
                    <w:tr2bl w:val="nil"/>
                  </w:tcBorders>
                  <w:noWrap w:val="0"/>
                  <w:vAlign w:val="center"/>
                </w:tcPr>
                <w:p w14:paraId="34F3FF9B">
                  <w:pPr>
                    <w:pStyle w:val="54"/>
                    <w:bidi w:val="0"/>
                    <w:rPr>
                      <w:rFonts w:hint="default"/>
                      <w:color w:val="auto"/>
                      <w:lang w:val="en-US" w:eastAsia="zh-CN"/>
                    </w:rPr>
                  </w:pPr>
                  <w:r>
                    <w:rPr>
                      <w:rFonts w:hint="eastAsia"/>
                      <w:color w:val="auto"/>
                      <w:lang w:val="en-US" w:eastAsia="zh-CN"/>
                    </w:rPr>
                    <w:t>投资</w:t>
                  </w:r>
                </w:p>
              </w:tc>
            </w:tr>
            <w:tr w14:paraId="40415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tcBorders>
                    <w:tl2br w:val="nil"/>
                    <w:tr2bl w:val="nil"/>
                  </w:tcBorders>
                  <w:noWrap w:val="0"/>
                  <w:vAlign w:val="center"/>
                </w:tcPr>
                <w:p w14:paraId="6486756A">
                  <w:pPr>
                    <w:pStyle w:val="54"/>
                    <w:bidi w:val="0"/>
                    <w:rPr>
                      <w:rFonts w:hint="default"/>
                      <w:color w:val="auto"/>
                      <w:lang w:val="en-US" w:eastAsia="zh-CN"/>
                    </w:rPr>
                  </w:pPr>
                  <w:r>
                    <w:rPr>
                      <w:rFonts w:hint="eastAsia"/>
                      <w:color w:val="auto"/>
                      <w:lang w:val="en-US" w:eastAsia="zh-CN"/>
                    </w:rPr>
                    <w:t>1</w:t>
                  </w:r>
                </w:p>
              </w:tc>
              <w:tc>
                <w:tcPr>
                  <w:tcW w:w="527" w:type="pct"/>
                  <w:tcBorders>
                    <w:tl2br w:val="nil"/>
                    <w:tr2bl w:val="nil"/>
                  </w:tcBorders>
                  <w:noWrap w:val="0"/>
                  <w:vAlign w:val="center"/>
                </w:tcPr>
                <w:p w14:paraId="161CE7CA">
                  <w:pPr>
                    <w:pStyle w:val="54"/>
                    <w:bidi w:val="0"/>
                    <w:rPr>
                      <w:rFonts w:hint="default"/>
                      <w:color w:val="auto"/>
                      <w:lang w:val="en-US" w:eastAsia="zh-CN"/>
                    </w:rPr>
                  </w:pPr>
                  <w:r>
                    <w:rPr>
                      <w:rFonts w:hint="eastAsia"/>
                      <w:color w:val="auto"/>
                      <w:lang w:val="en-US" w:eastAsia="zh-CN"/>
                    </w:rPr>
                    <w:t>废水</w:t>
                  </w:r>
                </w:p>
              </w:tc>
              <w:tc>
                <w:tcPr>
                  <w:tcW w:w="3436" w:type="pct"/>
                  <w:tcBorders>
                    <w:tl2br w:val="nil"/>
                    <w:tr2bl w:val="nil"/>
                  </w:tcBorders>
                  <w:noWrap w:val="0"/>
                  <w:vAlign w:val="center"/>
                </w:tcPr>
                <w:p w14:paraId="739555A6">
                  <w:pPr>
                    <w:pStyle w:val="54"/>
                    <w:bidi w:val="0"/>
                    <w:rPr>
                      <w:rFonts w:hint="default" w:eastAsia="宋体"/>
                      <w:color w:val="auto"/>
                      <w:lang w:val="en-US" w:eastAsia="zh-CN"/>
                    </w:rPr>
                  </w:pPr>
                  <w:r>
                    <w:rPr>
                      <w:rFonts w:hint="eastAsia" w:ascii="Times New Roman" w:hAnsi="Times New Roman" w:cs="Times New Roman"/>
                      <w:b w:val="0"/>
                      <w:bCs w:val="0"/>
                      <w:color w:val="auto"/>
                      <w:kern w:val="0"/>
                      <w:sz w:val="21"/>
                      <w:szCs w:val="21"/>
                      <w:highlight w:val="none"/>
                      <w:u w:val="none"/>
                      <w:vertAlign w:val="baseline"/>
                      <w:lang w:val="en-US" w:eastAsia="zh-CN" w:bidi="ar-SA"/>
                    </w:rPr>
                    <w:t>冷却水经“</w:t>
                  </w:r>
                  <w:r>
                    <w:rPr>
                      <w:rFonts w:hint="eastAsia" w:cs="Times New Roman"/>
                      <w:b w:val="0"/>
                      <w:bCs w:val="0"/>
                      <w:color w:val="auto"/>
                      <w:kern w:val="0"/>
                      <w:sz w:val="21"/>
                      <w:szCs w:val="21"/>
                      <w:highlight w:val="none"/>
                      <w:u w:val="none"/>
                      <w:vertAlign w:val="baseline"/>
                      <w:lang w:val="en-US" w:eastAsia="zh-CN" w:bidi="ar-SA"/>
                    </w:rPr>
                    <w:t>冷却水循环沉淀池</w:t>
                  </w:r>
                  <w:r>
                    <w:rPr>
                      <w:rFonts w:hint="eastAsia" w:ascii="Times New Roman" w:hAnsi="Times New Roman" w:cs="Times New Roman"/>
                      <w:b w:val="0"/>
                      <w:bCs w:val="0"/>
                      <w:color w:val="auto"/>
                      <w:kern w:val="0"/>
                      <w:sz w:val="21"/>
                      <w:szCs w:val="21"/>
                      <w:highlight w:val="none"/>
                      <w:u w:val="none"/>
                      <w:vertAlign w:val="baseline"/>
                      <w:lang w:val="en-US" w:eastAsia="zh-CN" w:bidi="ar-SA"/>
                    </w:rPr>
                    <w:t>+冷却塔”处理后循环使用不</w:t>
                  </w:r>
                  <w:r>
                    <w:rPr>
                      <w:rFonts w:hint="eastAsia" w:ascii="Times New Roman" w:hAnsi="Times New Roman" w:eastAsia="宋体" w:cs="Times New Roman"/>
                      <w:bCs/>
                      <w:color w:val="auto"/>
                      <w:sz w:val="21"/>
                      <w:szCs w:val="21"/>
                      <w:lang w:val="en-US" w:eastAsia="zh-CN"/>
                    </w:rPr>
                    <w:t>外排。生活污水</w:t>
                  </w:r>
                  <w:r>
                    <w:rPr>
                      <w:rFonts w:hint="default" w:ascii="Times New Roman" w:hAnsi="Times New Roman" w:eastAsia="宋体" w:cs="Times New Roman"/>
                      <w:bCs/>
                      <w:color w:val="auto"/>
                      <w:sz w:val="21"/>
                      <w:szCs w:val="21"/>
                    </w:rPr>
                    <w:t>经化粪池预处理后接入市政污水管网排入</w:t>
                  </w:r>
                  <w:r>
                    <w:rPr>
                      <w:rFonts w:hint="eastAsia" w:ascii="Times New Roman" w:hAnsi="Times New Roman" w:eastAsia="宋体" w:cs="Times New Roman"/>
                      <w:bCs/>
                      <w:color w:val="auto"/>
                      <w:sz w:val="21"/>
                      <w:szCs w:val="21"/>
                      <w:lang w:val="en-US" w:eastAsia="zh-CN"/>
                    </w:rPr>
                    <w:t>江阴污水处理厂（江阴港城经济区污水处理厂）</w:t>
                  </w:r>
                  <w:r>
                    <w:rPr>
                      <w:rFonts w:hint="default" w:ascii="Times New Roman" w:hAnsi="Times New Roman" w:eastAsia="宋体" w:cs="Times New Roman"/>
                      <w:bCs/>
                      <w:color w:val="auto"/>
                      <w:sz w:val="21"/>
                      <w:szCs w:val="21"/>
                    </w:rPr>
                    <w:t>集中处理</w:t>
                  </w:r>
                  <w:r>
                    <w:rPr>
                      <w:rFonts w:hint="eastAsia" w:cs="Times New Roman"/>
                      <w:bCs/>
                      <w:color w:val="auto"/>
                      <w:sz w:val="21"/>
                      <w:szCs w:val="21"/>
                      <w:lang w:eastAsia="zh-CN"/>
                    </w:rPr>
                    <w:t>，</w:t>
                  </w:r>
                  <w:r>
                    <w:rPr>
                      <w:rFonts w:hint="eastAsia" w:cs="Times New Roman"/>
                      <w:bCs/>
                      <w:color w:val="auto"/>
                      <w:sz w:val="21"/>
                      <w:szCs w:val="21"/>
                      <w:lang w:val="en-US" w:eastAsia="zh-CN"/>
                    </w:rPr>
                    <w:t>依托现有项目</w:t>
                  </w:r>
                </w:p>
              </w:tc>
              <w:tc>
                <w:tcPr>
                  <w:tcW w:w="630" w:type="pct"/>
                  <w:tcBorders>
                    <w:tl2br w:val="nil"/>
                    <w:tr2bl w:val="nil"/>
                  </w:tcBorders>
                  <w:noWrap w:val="0"/>
                  <w:vAlign w:val="center"/>
                </w:tcPr>
                <w:p w14:paraId="0FC88E02">
                  <w:pPr>
                    <w:pStyle w:val="54"/>
                    <w:bidi w:val="0"/>
                    <w:jc w:val="center"/>
                    <w:rPr>
                      <w:rFonts w:hint="default"/>
                      <w:color w:val="auto"/>
                      <w:lang w:val="en-US" w:eastAsia="zh-CN"/>
                    </w:rPr>
                  </w:pPr>
                  <w:r>
                    <w:rPr>
                      <w:rFonts w:hint="eastAsia"/>
                      <w:color w:val="auto"/>
                      <w:lang w:val="en-US" w:eastAsia="zh-CN"/>
                    </w:rPr>
                    <w:t>0万元</w:t>
                  </w:r>
                </w:p>
              </w:tc>
            </w:tr>
            <w:tr w14:paraId="5E8BE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tcBorders>
                    <w:tl2br w:val="nil"/>
                    <w:tr2bl w:val="nil"/>
                  </w:tcBorders>
                  <w:noWrap w:val="0"/>
                  <w:vAlign w:val="center"/>
                </w:tcPr>
                <w:p w14:paraId="47B65E7F">
                  <w:pPr>
                    <w:pStyle w:val="54"/>
                    <w:bidi w:val="0"/>
                    <w:rPr>
                      <w:rFonts w:hint="default"/>
                      <w:color w:val="auto"/>
                      <w:lang w:val="en-US" w:eastAsia="zh-CN"/>
                    </w:rPr>
                  </w:pPr>
                  <w:r>
                    <w:rPr>
                      <w:rFonts w:hint="eastAsia"/>
                      <w:color w:val="auto"/>
                      <w:lang w:val="en-US" w:eastAsia="zh-CN"/>
                    </w:rPr>
                    <w:t>2</w:t>
                  </w:r>
                </w:p>
              </w:tc>
              <w:tc>
                <w:tcPr>
                  <w:tcW w:w="527" w:type="pct"/>
                  <w:tcBorders>
                    <w:tl2br w:val="nil"/>
                    <w:tr2bl w:val="nil"/>
                  </w:tcBorders>
                  <w:noWrap w:val="0"/>
                  <w:vAlign w:val="center"/>
                </w:tcPr>
                <w:p w14:paraId="06661EB0">
                  <w:pPr>
                    <w:pStyle w:val="54"/>
                    <w:bidi w:val="0"/>
                    <w:rPr>
                      <w:rFonts w:hint="default"/>
                      <w:color w:val="auto"/>
                      <w:lang w:val="en-US" w:eastAsia="zh-CN"/>
                    </w:rPr>
                  </w:pPr>
                  <w:r>
                    <w:rPr>
                      <w:rFonts w:hint="eastAsia"/>
                      <w:color w:val="auto"/>
                      <w:lang w:val="en-US" w:eastAsia="zh-CN"/>
                    </w:rPr>
                    <w:t>废气</w:t>
                  </w:r>
                </w:p>
              </w:tc>
              <w:tc>
                <w:tcPr>
                  <w:tcW w:w="3436" w:type="pct"/>
                  <w:tcBorders>
                    <w:tl2br w:val="nil"/>
                    <w:tr2bl w:val="nil"/>
                  </w:tcBorders>
                  <w:noWrap w:val="0"/>
                  <w:vAlign w:val="center"/>
                </w:tcPr>
                <w:p w14:paraId="3C81A777">
                  <w:pP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预发与成型工序所</w:t>
                  </w:r>
                  <w:r>
                    <w:rPr>
                      <w:rFonts w:hint="default" w:ascii="Times New Roman" w:hAnsi="Times New Roman" w:eastAsia="宋体" w:cs="Times New Roman"/>
                      <w:color w:val="auto"/>
                      <w:sz w:val="21"/>
                      <w:szCs w:val="21"/>
                      <w:highlight w:val="none"/>
                      <w:vertAlign w:val="baseline"/>
                      <w:lang w:val="en-US" w:eastAsia="zh-CN"/>
                    </w:rPr>
                    <w:t>产生废气通过</w:t>
                  </w:r>
                  <w:r>
                    <w:rPr>
                      <w:rFonts w:hint="eastAsia" w:ascii="Times New Roman" w:hAnsi="Times New Roman" w:eastAsia="宋体" w:cs="Times New Roman"/>
                      <w:color w:val="auto"/>
                      <w:sz w:val="21"/>
                      <w:szCs w:val="21"/>
                      <w:highlight w:val="none"/>
                      <w:vertAlign w:val="baseline"/>
                      <w:lang w:val="en-US" w:eastAsia="zh-CN"/>
                    </w:rPr>
                    <w:t>“集气罩收集</w:t>
                  </w:r>
                  <w:r>
                    <w:rPr>
                      <w:rFonts w:hint="default" w:ascii="Times New Roman" w:hAnsi="Times New Roman" w:eastAsia="宋体" w:cs="Times New Roman"/>
                      <w:color w:val="auto"/>
                      <w:sz w:val="21"/>
                      <w:szCs w:val="21"/>
                      <w:highlight w:val="none"/>
                      <w:vertAlign w:val="baseline"/>
                      <w:lang w:val="en-US" w:eastAsia="zh-CN"/>
                    </w:rPr>
                    <w:t>+活性炭吸附装置</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处理后，通过1根15m高排气筒（DA001）排放</w:t>
                  </w:r>
                </w:p>
              </w:tc>
              <w:tc>
                <w:tcPr>
                  <w:tcW w:w="630" w:type="pct"/>
                  <w:tcBorders>
                    <w:tl2br w:val="nil"/>
                    <w:tr2bl w:val="nil"/>
                  </w:tcBorders>
                  <w:noWrap w:val="0"/>
                  <w:vAlign w:val="center"/>
                </w:tcPr>
                <w:p w14:paraId="2E1DCD30">
                  <w:pPr>
                    <w:pStyle w:val="54"/>
                    <w:bidi w:val="0"/>
                    <w:rPr>
                      <w:rFonts w:hint="default"/>
                      <w:color w:val="auto"/>
                      <w:lang w:val="en-US" w:eastAsia="zh-CN"/>
                    </w:rPr>
                  </w:pPr>
                  <w:r>
                    <w:rPr>
                      <w:rFonts w:hint="eastAsia"/>
                      <w:color w:val="auto"/>
                      <w:lang w:val="en-US" w:eastAsia="zh-CN"/>
                    </w:rPr>
                    <w:t>20万元</w:t>
                  </w:r>
                </w:p>
              </w:tc>
            </w:tr>
            <w:tr w14:paraId="0F710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tcBorders>
                    <w:tl2br w:val="nil"/>
                    <w:tr2bl w:val="nil"/>
                  </w:tcBorders>
                  <w:noWrap w:val="0"/>
                  <w:vAlign w:val="center"/>
                </w:tcPr>
                <w:p w14:paraId="1AC508D2">
                  <w:pPr>
                    <w:pStyle w:val="54"/>
                    <w:bidi w:val="0"/>
                    <w:rPr>
                      <w:rFonts w:hint="default"/>
                      <w:color w:val="auto"/>
                      <w:lang w:val="en-US" w:eastAsia="zh-CN"/>
                    </w:rPr>
                  </w:pPr>
                  <w:r>
                    <w:rPr>
                      <w:rFonts w:hint="eastAsia"/>
                      <w:color w:val="auto"/>
                      <w:lang w:val="en-US" w:eastAsia="zh-CN"/>
                    </w:rPr>
                    <w:t>3</w:t>
                  </w:r>
                </w:p>
              </w:tc>
              <w:tc>
                <w:tcPr>
                  <w:tcW w:w="527" w:type="pct"/>
                  <w:tcBorders>
                    <w:tl2br w:val="nil"/>
                    <w:tr2bl w:val="nil"/>
                  </w:tcBorders>
                  <w:noWrap w:val="0"/>
                  <w:vAlign w:val="center"/>
                </w:tcPr>
                <w:p w14:paraId="702C915A">
                  <w:pPr>
                    <w:pStyle w:val="54"/>
                    <w:bidi w:val="0"/>
                    <w:rPr>
                      <w:rFonts w:hint="default"/>
                      <w:color w:val="auto"/>
                      <w:lang w:val="en-US" w:eastAsia="zh-CN"/>
                    </w:rPr>
                  </w:pPr>
                  <w:r>
                    <w:rPr>
                      <w:rFonts w:hint="eastAsia"/>
                      <w:color w:val="auto"/>
                      <w:lang w:val="en-US" w:eastAsia="zh-CN"/>
                    </w:rPr>
                    <w:t>噪声</w:t>
                  </w:r>
                </w:p>
              </w:tc>
              <w:tc>
                <w:tcPr>
                  <w:tcW w:w="3436" w:type="pct"/>
                  <w:tcBorders>
                    <w:tl2br w:val="nil"/>
                    <w:tr2bl w:val="nil"/>
                  </w:tcBorders>
                  <w:noWrap w:val="0"/>
                  <w:vAlign w:val="center"/>
                </w:tcPr>
                <w:p w14:paraId="0D7313F9">
                  <w:pPr>
                    <w:pStyle w:val="54"/>
                    <w:bidi w:val="0"/>
                    <w:rPr>
                      <w:rFonts w:hint="default"/>
                      <w:color w:val="auto"/>
                      <w:lang w:val="en-US" w:eastAsia="zh-CN"/>
                    </w:rPr>
                  </w:pPr>
                  <w:r>
                    <w:rPr>
                      <w:rFonts w:hint="eastAsia"/>
                      <w:color w:val="auto"/>
                      <w:lang w:val="en-US" w:eastAsia="zh-CN"/>
                    </w:rPr>
                    <w:t>优先选用先进、低噪声设备；对高噪声设备采取减振基础、安装减振垫圈等减振措施；对各类机械设备定期检修、维护，防止设备异常噪声产生；优化平面布局，合理布置高噪声设备于远离声环境敏感点位置</w:t>
                  </w:r>
                </w:p>
              </w:tc>
              <w:tc>
                <w:tcPr>
                  <w:tcW w:w="630" w:type="pct"/>
                  <w:tcBorders>
                    <w:tl2br w:val="nil"/>
                    <w:tr2bl w:val="nil"/>
                  </w:tcBorders>
                  <w:noWrap w:val="0"/>
                  <w:vAlign w:val="center"/>
                </w:tcPr>
                <w:p w14:paraId="18C11385">
                  <w:pPr>
                    <w:pStyle w:val="54"/>
                    <w:bidi w:val="0"/>
                    <w:rPr>
                      <w:rFonts w:hint="default"/>
                      <w:color w:val="auto"/>
                      <w:lang w:val="en-US" w:eastAsia="zh-CN"/>
                    </w:rPr>
                  </w:pPr>
                  <w:r>
                    <w:rPr>
                      <w:rFonts w:hint="eastAsia"/>
                      <w:color w:val="auto"/>
                      <w:lang w:val="en-US" w:eastAsia="zh-CN"/>
                    </w:rPr>
                    <w:t>5万元</w:t>
                  </w:r>
                </w:p>
              </w:tc>
            </w:tr>
            <w:tr w14:paraId="4922F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05" w:type="pct"/>
                  <w:tcBorders>
                    <w:tl2br w:val="nil"/>
                    <w:tr2bl w:val="nil"/>
                  </w:tcBorders>
                  <w:noWrap w:val="0"/>
                  <w:vAlign w:val="center"/>
                </w:tcPr>
                <w:p w14:paraId="0105E2F8">
                  <w:pPr>
                    <w:pStyle w:val="54"/>
                    <w:bidi w:val="0"/>
                    <w:rPr>
                      <w:rFonts w:hint="default"/>
                      <w:color w:val="auto"/>
                      <w:lang w:val="en-US" w:eastAsia="zh-CN"/>
                    </w:rPr>
                  </w:pPr>
                  <w:r>
                    <w:rPr>
                      <w:rFonts w:hint="eastAsia"/>
                      <w:color w:val="auto"/>
                      <w:lang w:val="en-US" w:eastAsia="zh-CN"/>
                    </w:rPr>
                    <w:t>4</w:t>
                  </w:r>
                </w:p>
              </w:tc>
              <w:tc>
                <w:tcPr>
                  <w:tcW w:w="527" w:type="pct"/>
                  <w:tcBorders>
                    <w:tl2br w:val="nil"/>
                    <w:tr2bl w:val="nil"/>
                  </w:tcBorders>
                  <w:noWrap w:val="0"/>
                  <w:vAlign w:val="center"/>
                </w:tcPr>
                <w:p w14:paraId="609A9427">
                  <w:pPr>
                    <w:pStyle w:val="54"/>
                    <w:bidi w:val="0"/>
                    <w:rPr>
                      <w:rFonts w:hint="default"/>
                      <w:color w:val="auto"/>
                      <w:lang w:val="en-US" w:eastAsia="zh-CN"/>
                    </w:rPr>
                  </w:pPr>
                  <w:r>
                    <w:rPr>
                      <w:rFonts w:hint="eastAsia"/>
                      <w:color w:val="auto"/>
                      <w:lang w:val="en-US" w:eastAsia="zh-CN"/>
                    </w:rPr>
                    <w:t>固体废物</w:t>
                  </w:r>
                </w:p>
              </w:tc>
              <w:tc>
                <w:tcPr>
                  <w:tcW w:w="3436" w:type="pct"/>
                  <w:tcBorders>
                    <w:tl2br w:val="nil"/>
                    <w:tr2bl w:val="nil"/>
                  </w:tcBorders>
                  <w:noWrap w:val="0"/>
                  <w:vAlign w:val="center"/>
                </w:tcPr>
                <w:p w14:paraId="0CDE8FAA">
                  <w:pPr>
                    <w:pStyle w:val="54"/>
                    <w:bidi w:val="0"/>
                    <w:rPr>
                      <w:rFonts w:hint="default"/>
                      <w:color w:val="auto"/>
                      <w:lang w:val="en-US" w:eastAsia="zh-CN"/>
                    </w:rPr>
                  </w:pPr>
                  <w:r>
                    <w:rPr>
                      <w:rFonts w:hint="eastAsia"/>
                      <w:color w:val="auto"/>
                      <w:lang w:val="en-US" w:eastAsia="zh-CN"/>
                    </w:rPr>
                    <w:t>一般工业固体废物定期外售给其他企业综合利用；设置垃圾桶存放生活垃圾，并委托环卫部门定期清运；危险废物存放于危险废物</w:t>
                  </w:r>
                  <w:r>
                    <w:rPr>
                      <w:rFonts w:hint="eastAsia" w:ascii="Times New Roman" w:hAnsi="Times New Roman" w:eastAsia="宋体" w:cs="Times New Roman"/>
                      <w:color w:val="auto"/>
                      <w:lang w:val="en-US" w:eastAsia="zh-CN"/>
                    </w:rPr>
                    <w:t>贮存</w:t>
                  </w:r>
                  <w:r>
                    <w:rPr>
                      <w:rFonts w:hint="eastAsia" w:cs="Times New Roman"/>
                      <w:color w:val="auto"/>
                      <w:lang w:val="en-US" w:eastAsia="zh-CN"/>
                    </w:rPr>
                    <w:t>间</w:t>
                  </w:r>
                  <w:r>
                    <w:rPr>
                      <w:rFonts w:hint="eastAsia" w:ascii="Times New Roman" w:hAnsi="Times New Roman" w:eastAsia="宋体" w:cs="Times New Roman"/>
                      <w:color w:val="auto"/>
                      <w:lang w:val="en-US" w:eastAsia="zh-CN"/>
                    </w:rPr>
                    <w:t>，定</w:t>
                  </w:r>
                  <w:r>
                    <w:rPr>
                      <w:rFonts w:hint="eastAsia"/>
                      <w:color w:val="auto"/>
                      <w:lang w:val="en-US" w:eastAsia="zh-CN"/>
                    </w:rPr>
                    <w:t>期委托有处置危险废物资质的单位处置</w:t>
                  </w:r>
                </w:p>
              </w:tc>
              <w:tc>
                <w:tcPr>
                  <w:tcW w:w="630" w:type="pct"/>
                  <w:tcBorders>
                    <w:tl2br w:val="nil"/>
                    <w:tr2bl w:val="nil"/>
                  </w:tcBorders>
                  <w:noWrap w:val="0"/>
                  <w:vAlign w:val="center"/>
                </w:tcPr>
                <w:p w14:paraId="2FB07E62">
                  <w:pPr>
                    <w:pStyle w:val="54"/>
                    <w:bidi w:val="0"/>
                    <w:rPr>
                      <w:rFonts w:hint="default"/>
                      <w:color w:val="auto"/>
                      <w:lang w:val="en-US" w:eastAsia="zh-CN"/>
                    </w:rPr>
                  </w:pPr>
                  <w:r>
                    <w:rPr>
                      <w:rFonts w:hint="eastAsia"/>
                      <w:color w:val="auto"/>
                      <w:lang w:val="en-US" w:eastAsia="zh-CN"/>
                    </w:rPr>
                    <w:t>5万元</w:t>
                  </w:r>
                </w:p>
              </w:tc>
            </w:tr>
            <w:tr w14:paraId="45F7D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9" w:type="pct"/>
                  <w:gridSpan w:val="3"/>
                  <w:tcBorders>
                    <w:tl2br w:val="nil"/>
                    <w:tr2bl w:val="nil"/>
                  </w:tcBorders>
                  <w:noWrap w:val="0"/>
                  <w:vAlign w:val="center"/>
                </w:tcPr>
                <w:p w14:paraId="1F4D0470">
                  <w:pPr>
                    <w:pStyle w:val="54"/>
                    <w:bidi w:val="0"/>
                    <w:rPr>
                      <w:rFonts w:hint="default"/>
                      <w:color w:val="auto"/>
                      <w:lang w:val="en-US" w:eastAsia="zh-CN"/>
                    </w:rPr>
                  </w:pPr>
                  <w:r>
                    <w:rPr>
                      <w:rFonts w:hint="eastAsia"/>
                      <w:color w:val="auto"/>
                      <w:lang w:val="en-US" w:eastAsia="zh-CN"/>
                    </w:rPr>
                    <w:t>合计</w:t>
                  </w:r>
                </w:p>
              </w:tc>
              <w:tc>
                <w:tcPr>
                  <w:tcW w:w="630" w:type="pct"/>
                  <w:tcBorders>
                    <w:tl2br w:val="nil"/>
                    <w:tr2bl w:val="nil"/>
                  </w:tcBorders>
                  <w:noWrap w:val="0"/>
                  <w:vAlign w:val="center"/>
                </w:tcPr>
                <w:p w14:paraId="30EB19D3">
                  <w:pPr>
                    <w:pStyle w:val="54"/>
                    <w:bidi w:val="0"/>
                    <w:rPr>
                      <w:rFonts w:hint="default"/>
                      <w:color w:val="auto"/>
                      <w:lang w:val="en-US" w:eastAsia="zh-CN"/>
                    </w:rPr>
                  </w:pPr>
                  <w:r>
                    <w:rPr>
                      <w:rFonts w:hint="eastAsia"/>
                      <w:color w:val="auto"/>
                      <w:lang w:val="en-US" w:eastAsia="zh-CN"/>
                    </w:rPr>
                    <w:t>30万元</w:t>
                  </w:r>
                </w:p>
              </w:tc>
            </w:tr>
          </w:tbl>
          <w:p w14:paraId="6FD4CA75">
            <w:pPr>
              <w:pStyle w:val="3"/>
              <w:rPr>
                <w:rFonts w:hint="default"/>
                <w:color w:val="auto"/>
                <w:lang w:val="en-US" w:eastAsia="zh-CN"/>
              </w:rPr>
            </w:pPr>
          </w:p>
        </w:tc>
      </w:tr>
    </w:tbl>
    <w:p w14:paraId="31A7FBBC">
      <w:pPr>
        <w:pStyle w:val="76"/>
        <w:rPr>
          <w:color w:val="auto"/>
          <w:highlight w:val="none"/>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p w14:paraId="08BE93E2">
      <w:pPr>
        <w:pStyle w:val="76"/>
        <w:numPr>
          <w:ilvl w:val="0"/>
          <w:numId w:val="8"/>
        </w:numPr>
        <w:rPr>
          <w:rFonts w:hint="default"/>
          <w:color w:val="auto"/>
          <w:highlight w:val="none"/>
          <w:lang w:val="en-GB" w:eastAsia="zh-CN"/>
        </w:rPr>
      </w:pPr>
      <w:bookmarkStart w:id="236" w:name="_Hlk54167917"/>
      <w:bookmarkStart w:id="237" w:name="_Toc7458"/>
      <w:r>
        <w:rPr>
          <w:color w:val="auto"/>
          <w:highlight w:val="none"/>
        </w:rPr>
        <w:t>环境保护措施监督检查清单</w:t>
      </w:r>
      <w:bookmarkEnd w:id="195"/>
      <w:bookmarkEnd w:id="196"/>
      <w:bookmarkEnd w:id="197"/>
      <w:bookmarkEnd w:id="198"/>
      <w:bookmarkEnd w:id="199"/>
      <w:bookmarkEnd w:id="200"/>
      <w:bookmarkEnd w:id="201"/>
      <w:bookmarkEnd w:id="202"/>
      <w:bookmarkEnd w:id="236"/>
      <w:bookmarkEnd w:id="237"/>
    </w:p>
    <w:tbl>
      <w:tblPr>
        <w:tblStyle w:val="23"/>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75"/>
        <w:gridCol w:w="1394"/>
        <w:gridCol w:w="997"/>
        <w:gridCol w:w="2564"/>
        <w:gridCol w:w="3575"/>
      </w:tblGrid>
      <w:tr w14:paraId="476C53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58" w:type="dxa"/>
            <w:gridSpan w:val="2"/>
            <w:tcBorders>
              <w:tl2br w:val="single" w:color="auto" w:sz="4" w:space="0"/>
            </w:tcBorders>
            <w:noWrap w:val="0"/>
            <w:vAlign w:val="top"/>
          </w:tcPr>
          <w:p w14:paraId="481E82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outlineLvl w:val="9"/>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kern w:val="2"/>
                <w:sz w:val="21"/>
                <w:szCs w:val="21"/>
                <w:highlight w:val="none"/>
                <w:lang w:val="en-GB" w:eastAsia="zh-CN" w:bidi="ar-SA"/>
              </w:rPr>
              <w:t>内容</w:t>
            </w:r>
          </w:p>
          <w:p w14:paraId="1B55FC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p w14:paraId="0C1D0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394" w:type="dxa"/>
            <w:noWrap w:val="0"/>
            <w:vAlign w:val="center"/>
          </w:tcPr>
          <w:p w14:paraId="640223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/污染源</w:t>
            </w:r>
          </w:p>
        </w:tc>
        <w:tc>
          <w:tcPr>
            <w:tcW w:w="997" w:type="dxa"/>
            <w:noWrap w:val="0"/>
            <w:vAlign w:val="center"/>
          </w:tcPr>
          <w:p w14:paraId="2666A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564" w:type="dxa"/>
            <w:noWrap w:val="0"/>
            <w:vAlign w:val="center"/>
          </w:tcPr>
          <w:p w14:paraId="52CB48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3575" w:type="dxa"/>
            <w:noWrap w:val="0"/>
            <w:vAlign w:val="center"/>
          </w:tcPr>
          <w:p w14:paraId="62B416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59954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58" w:type="dxa"/>
            <w:gridSpan w:val="2"/>
            <w:vMerge w:val="restart"/>
            <w:noWrap w:val="0"/>
            <w:vAlign w:val="center"/>
          </w:tcPr>
          <w:p w14:paraId="66407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restart"/>
            <w:noWrap w:val="0"/>
            <w:vAlign w:val="center"/>
          </w:tcPr>
          <w:p w14:paraId="75645F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排气筒</w:t>
            </w:r>
          </w:p>
          <w:p w14:paraId="2578D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(DA001)</w:t>
            </w:r>
          </w:p>
          <w:p w14:paraId="37D6F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预发、成型废气</w:t>
            </w:r>
          </w:p>
        </w:tc>
        <w:tc>
          <w:tcPr>
            <w:tcW w:w="997" w:type="dxa"/>
            <w:noWrap w:val="0"/>
            <w:vAlign w:val="center"/>
          </w:tcPr>
          <w:p w14:paraId="491B6D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非甲烷总烃</w:t>
            </w:r>
          </w:p>
        </w:tc>
        <w:tc>
          <w:tcPr>
            <w:tcW w:w="2564" w:type="dxa"/>
            <w:vMerge w:val="restart"/>
            <w:noWrap w:val="0"/>
            <w:vAlign w:val="center"/>
          </w:tcPr>
          <w:p w14:paraId="41EE02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预发与成型工序所产生废气通过“集气罩收集+活性炭吸附装置”处理后，通过1根15m高排气筒（DA001）排放</w:t>
            </w:r>
            <w:r>
              <w:rPr>
                <w:rFonts w:hint="default" w:ascii="Times New Roman" w:hAnsi="Times New Roman" w:eastAsia="宋体" w:cs="Times New Roman"/>
                <w:color w:val="auto"/>
                <w:sz w:val="21"/>
                <w:szCs w:val="21"/>
                <w:highlight w:val="none"/>
                <w:lang w:val="en-US" w:eastAsia="zh-CN"/>
              </w:rPr>
              <w:t>，风机风量为20000m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kern w:val="2"/>
                <w:sz w:val="21"/>
                <w:szCs w:val="21"/>
                <w:highlight w:val="none"/>
                <w:lang w:val="en-US" w:eastAsia="zh-CN" w:bidi="ar-SA"/>
              </w:rPr>
              <w:t>VOCs采用集气罩收集，采用碘值不低于800毫克/克的活性炭，并定期更换</w:t>
            </w:r>
            <w:r>
              <w:rPr>
                <w:rFonts w:hint="default" w:ascii="Times New Roman" w:hAnsi="Times New Roman" w:eastAsia="宋体" w:cs="Times New Roman"/>
                <w:color w:val="auto"/>
                <w:sz w:val="21"/>
                <w:szCs w:val="21"/>
                <w:highlight w:val="none"/>
              </w:rPr>
              <w:t>。</w:t>
            </w:r>
          </w:p>
        </w:tc>
        <w:tc>
          <w:tcPr>
            <w:tcW w:w="3575" w:type="dxa"/>
            <w:vMerge w:val="restart"/>
            <w:noWrap w:val="0"/>
            <w:vAlign w:val="center"/>
          </w:tcPr>
          <w:p w14:paraId="1C6E95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非甲烷总烃、苯乙烯、甲苯、乙苯《合成树脂工艺污染物排放标准限值》（GB31572-2015）表5特别标准限值</w:t>
            </w:r>
            <w:r>
              <w:rPr>
                <w:rFonts w:hint="default" w:ascii="Times New Roman" w:hAnsi="Times New Roman" w:eastAsia="宋体" w:cs="Times New Roman"/>
                <w:color w:val="auto"/>
                <w:sz w:val="21"/>
                <w:szCs w:val="21"/>
                <w:highlight w:val="none"/>
                <w:lang w:val="en-US" w:eastAsia="zh-CN"/>
              </w:rPr>
              <w:t>（即非甲烷总烃</w:t>
            </w:r>
            <w:r>
              <w:rPr>
                <w:rFonts w:hint="default" w:ascii="Times New Roman" w:hAnsi="Times New Roman" w:eastAsia="宋体" w:cs="Times New Roman"/>
                <w:color w:val="auto"/>
                <w:kern w:val="18"/>
                <w:sz w:val="21"/>
                <w:szCs w:val="21"/>
                <w:highlight w:val="none"/>
                <w:lang w:val="en-US" w:eastAsia="zh-CN"/>
              </w:rPr>
              <w:t>≤60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苯乙烯</w:t>
            </w:r>
            <w:r>
              <w:rPr>
                <w:rFonts w:hint="default" w:ascii="Times New Roman" w:hAnsi="Times New Roman" w:eastAsia="宋体" w:cs="Times New Roman"/>
                <w:color w:val="auto"/>
                <w:kern w:val="18"/>
                <w:sz w:val="21"/>
                <w:szCs w:val="21"/>
                <w:highlight w:val="none"/>
                <w:lang w:val="en-US" w:eastAsia="zh-CN"/>
              </w:rPr>
              <w:t>≤20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甲苯</w:t>
            </w:r>
            <w:r>
              <w:rPr>
                <w:rFonts w:hint="default" w:ascii="Times New Roman" w:hAnsi="Times New Roman" w:eastAsia="宋体" w:cs="Times New Roman"/>
                <w:color w:val="auto"/>
                <w:kern w:val="18"/>
                <w:sz w:val="21"/>
                <w:szCs w:val="21"/>
                <w:highlight w:val="none"/>
                <w:lang w:val="en-US" w:eastAsia="zh-CN"/>
              </w:rPr>
              <w:t>≤8</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乙苯</w:t>
            </w:r>
            <w:r>
              <w:rPr>
                <w:rFonts w:hint="default" w:ascii="Times New Roman" w:hAnsi="Times New Roman" w:eastAsia="宋体" w:cs="Times New Roman"/>
                <w:color w:val="auto"/>
                <w:kern w:val="18"/>
                <w:sz w:val="21"/>
                <w:szCs w:val="21"/>
                <w:highlight w:val="none"/>
                <w:lang w:val="en-US" w:eastAsia="zh-CN"/>
              </w:rPr>
              <w:t>≤50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w:t>
            </w:r>
          </w:p>
        </w:tc>
      </w:tr>
      <w:tr w14:paraId="76750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58" w:type="dxa"/>
            <w:gridSpan w:val="2"/>
            <w:vMerge w:val="continue"/>
            <w:noWrap w:val="0"/>
            <w:vAlign w:val="center"/>
          </w:tcPr>
          <w:p w14:paraId="713999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noWrap w:val="0"/>
            <w:vAlign w:val="center"/>
          </w:tcPr>
          <w:p w14:paraId="61CF2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997" w:type="dxa"/>
            <w:noWrap w:val="0"/>
            <w:vAlign w:val="center"/>
          </w:tcPr>
          <w:p w14:paraId="703925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苯乙烯</w:t>
            </w:r>
          </w:p>
        </w:tc>
        <w:tc>
          <w:tcPr>
            <w:tcW w:w="2564" w:type="dxa"/>
            <w:vMerge w:val="continue"/>
            <w:noWrap w:val="0"/>
            <w:vAlign w:val="center"/>
          </w:tcPr>
          <w:p w14:paraId="3D8C11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vMerge w:val="continue"/>
            <w:noWrap w:val="0"/>
            <w:vAlign w:val="center"/>
          </w:tcPr>
          <w:p w14:paraId="13E2D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rPr>
            </w:pPr>
          </w:p>
        </w:tc>
      </w:tr>
      <w:tr w14:paraId="4FEBF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58" w:type="dxa"/>
            <w:gridSpan w:val="2"/>
            <w:vMerge w:val="continue"/>
            <w:noWrap w:val="0"/>
            <w:vAlign w:val="center"/>
          </w:tcPr>
          <w:p w14:paraId="6A8B5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noWrap w:val="0"/>
            <w:vAlign w:val="center"/>
          </w:tcPr>
          <w:p w14:paraId="4FAD4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997" w:type="dxa"/>
            <w:noWrap w:val="0"/>
            <w:vAlign w:val="center"/>
          </w:tcPr>
          <w:p w14:paraId="1AD4F0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甲苯</w:t>
            </w:r>
          </w:p>
        </w:tc>
        <w:tc>
          <w:tcPr>
            <w:tcW w:w="2564" w:type="dxa"/>
            <w:vMerge w:val="continue"/>
            <w:noWrap w:val="0"/>
            <w:vAlign w:val="center"/>
          </w:tcPr>
          <w:p w14:paraId="28A880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vMerge w:val="continue"/>
            <w:noWrap w:val="0"/>
            <w:vAlign w:val="center"/>
          </w:tcPr>
          <w:p w14:paraId="33C2C2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rPr>
            </w:pPr>
          </w:p>
        </w:tc>
      </w:tr>
      <w:tr w14:paraId="4D873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758" w:type="dxa"/>
            <w:gridSpan w:val="2"/>
            <w:vMerge w:val="continue"/>
            <w:noWrap w:val="0"/>
            <w:vAlign w:val="center"/>
          </w:tcPr>
          <w:p w14:paraId="23676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noWrap w:val="0"/>
            <w:vAlign w:val="center"/>
          </w:tcPr>
          <w:p w14:paraId="5BB65B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997" w:type="dxa"/>
            <w:noWrap w:val="0"/>
            <w:vAlign w:val="center"/>
          </w:tcPr>
          <w:p w14:paraId="5957C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乙苯</w:t>
            </w:r>
          </w:p>
        </w:tc>
        <w:tc>
          <w:tcPr>
            <w:tcW w:w="2564" w:type="dxa"/>
            <w:vMerge w:val="continue"/>
            <w:noWrap w:val="0"/>
            <w:vAlign w:val="center"/>
          </w:tcPr>
          <w:p w14:paraId="6B8FB3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vMerge w:val="continue"/>
            <w:noWrap w:val="0"/>
            <w:vAlign w:val="center"/>
          </w:tcPr>
          <w:p w14:paraId="37D08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rPr>
            </w:pPr>
          </w:p>
        </w:tc>
      </w:tr>
      <w:tr w14:paraId="090CD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58" w:type="dxa"/>
            <w:gridSpan w:val="2"/>
            <w:vMerge w:val="continue"/>
            <w:noWrap w:val="0"/>
            <w:vAlign w:val="center"/>
          </w:tcPr>
          <w:p w14:paraId="15C29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noWrap w:val="0"/>
            <w:vAlign w:val="center"/>
          </w:tcPr>
          <w:p w14:paraId="21884A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997" w:type="dxa"/>
            <w:noWrap w:val="0"/>
            <w:vAlign w:val="center"/>
          </w:tcPr>
          <w:p w14:paraId="3A3A07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臭气浓度</w:t>
            </w:r>
          </w:p>
        </w:tc>
        <w:tc>
          <w:tcPr>
            <w:tcW w:w="2564" w:type="dxa"/>
            <w:vMerge w:val="continue"/>
            <w:noWrap w:val="0"/>
            <w:vAlign w:val="center"/>
          </w:tcPr>
          <w:p w14:paraId="12607E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noWrap w:val="0"/>
            <w:vAlign w:val="center"/>
          </w:tcPr>
          <w:p w14:paraId="7EA7F4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lang w:val="en-US" w:eastAsia="zh-CN"/>
              </w:rPr>
              <w:t>臭气浓度执行《恶臭污染物排放标准》（GB14554-93）表2相应排气筒排放限值（即臭气浓度≤2000（无量纲））</w:t>
            </w:r>
          </w:p>
        </w:tc>
      </w:tr>
      <w:tr w14:paraId="7095F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vMerge w:val="continue"/>
            <w:noWrap w:val="0"/>
            <w:vAlign w:val="center"/>
          </w:tcPr>
          <w:p w14:paraId="6A3E0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noWrap w:val="0"/>
            <w:vAlign w:val="center"/>
          </w:tcPr>
          <w:p w14:paraId="4D528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w:t>
            </w:r>
          </w:p>
        </w:tc>
        <w:tc>
          <w:tcPr>
            <w:tcW w:w="997" w:type="dxa"/>
            <w:noWrap w:val="0"/>
            <w:vAlign w:val="center"/>
          </w:tcPr>
          <w:p w14:paraId="195C06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564" w:type="dxa"/>
            <w:vMerge w:val="restart"/>
            <w:noWrap w:val="0"/>
            <w:vAlign w:val="center"/>
          </w:tcPr>
          <w:p w14:paraId="371C51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eastAsia="宋体" w:cs="Times New Roman"/>
                <w:bCs/>
                <w:color w:val="auto"/>
                <w:sz w:val="21"/>
                <w:szCs w:val="21"/>
                <w:highlight w:val="none"/>
                <w:lang w:val="en-US" w:eastAsia="zh-CN"/>
              </w:rPr>
              <w:t>设置密闭生产车间，加强车间管理。减少废气无组织排放。</w:t>
            </w:r>
          </w:p>
        </w:tc>
        <w:tc>
          <w:tcPr>
            <w:tcW w:w="3575" w:type="dxa"/>
            <w:tcBorders>
              <w:bottom w:val="single" w:color="000000" w:sz="4" w:space="0"/>
            </w:tcBorders>
            <w:noWrap w:val="0"/>
            <w:vAlign w:val="center"/>
          </w:tcPr>
          <w:p w14:paraId="5547CF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eastAsia="宋体" w:cs="Times New Roman"/>
                <w:color w:val="auto"/>
                <w:sz w:val="21"/>
                <w:szCs w:val="21"/>
                <w:highlight w:val="none"/>
                <w:lang w:val="en-US" w:eastAsia="zh-CN"/>
              </w:rPr>
              <w:t>监控点1h平均浓度值、厂区内监控点任意一次浓度值、</w:t>
            </w:r>
            <w:r>
              <w:rPr>
                <w:rFonts w:hint="default" w:ascii="Times New Roman" w:hAnsi="Times New Roman" w:eastAsia="宋体" w:cs="Times New Roman"/>
                <w:color w:val="auto"/>
                <w:sz w:val="21"/>
                <w:szCs w:val="21"/>
                <w:highlight w:val="none"/>
                <w:shd w:val="clear" w:color="auto" w:fill="FFFFFF"/>
                <w:lang w:val="en-US" w:eastAsia="zh-CN"/>
              </w:rPr>
              <w:t>颗粒物企业厂区内执行</w:t>
            </w:r>
            <w:r>
              <w:rPr>
                <w:rFonts w:hint="default" w:ascii="Times New Roman" w:hAnsi="Times New Roman" w:eastAsia="宋体" w:cs="Times New Roman"/>
                <w:bCs/>
                <w:color w:val="auto"/>
                <w:kern w:val="2"/>
                <w:sz w:val="21"/>
                <w:szCs w:val="21"/>
                <w:highlight w:val="none"/>
                <w:lang w:val="en-US" w:eastAsia="zh-CN" w:bidi="ar-SA"/>
              </w:rPr>
              <w:t>《挥发性有机物无组织排放控制标准》（GB37822-2019）附录A中表A.1相关排放限值</w:t>
            </w:r>
            <w:r>
              <w:rPr>
                <w:rFonts w:hint="default"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lang w:val="en-US" w:eastAsia="zh-CN"/>
              </w:rPr>
              <w:t>即非甲烷总烃厂区内无组织排放</w:t>
            </w:r>
            <w:r>
              <w:rPr>
                <w:rFonts w:hint="default" w:ascii="Times New Roman" w:hAnsi="Times New Roman" w:eastAsia="宋体" w:cs="Times New Roman"/>
                <w:color w:val="auto"/>
                <w:sz w:val="21"/>
                <w:szCs w:val="21"/>
                <w:highlight w:val="none"/>
                <w:shd w:val="clear" w:color="auto" w:fill="FFFFFF"/>
                <w:lang w:eastAsia="zh-CN"/>
              </w:rPr>
              <w:t>监控点处</w:t>
            </w:r>
            <w:r>
              <w:rPr>
                <w:rFonts w:hint="default" w:ascii="Times New Roman" w:hAnsi="Times New Roman" w:eastAsia="宋体" w:cs="Times New Roman"/>
                <w:color w:val="auto"/>
                <w:sz w:val="21"/>
                <w:szCs w:val="21"/>
                <w:highlight w:val="none"/>
                <w:shd w:val="clear" w:color="auto" w:fill="FFFFFF"/>
                <w:lang w:val="en-US" w:eastAsia="zh-CN"/>
              </w:rPr>
              <w:t>1h平均浓度值≤6</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，监控点处任意一点浓度值≤20mg/m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p>
        </w:tc>
      </w:tr>
      <w:tr w14:paraId="4CBF9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58" w:type="dxa"/>
            <w:gridSpan w:val="2"/>
            <w:vMerge w:val="continue"/>
            <w:noWrap w:val="0"/>
            <w:vAlign w:val="center"/>
          </w:tcPr>
          <w:p w14:paraId="135FD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restart"/>
            <w:noWrap w:val="0"/>
            <w:vAlign w:val="center"/>
          </w:tcPr>
          <w:p w14:paraId="5547E1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997" w:type="dxa"/>
            <w:noWrap w:val="0"/>
            <w:vAlign w:val="center"/>
          </w:tcPr>
          <w:p w14:paraId="3CBA8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564" w:type="dxa"/>
            <w:vMerge w:val="continue"/>
            <w:noWrap w:val="0"/>
            <w:vAlign w:val="center"/>
          </w:tcPr>
          <w:p w14:paraId="5C3CC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3575" w:type="dxa"/>
            <w:vMerge w:val="restart"/>
            <w:noWrap w:val="0"/>
            <w:vAlign w:val="center"/>
          </w:tcPr>
          <w:p w14:paraId="7FA8F3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VOCs、甲苯</w:t>
            </w:r>
            <w:r>
              <w:rPr>
                <w:rFonts w:hint="default" w:ascii="Times New Roman" w:hAnsi="Times New Roman" w:eastAsia="宋体" w:cs="Times New Roman"/>
                <w:bCs/>
                <w:color w:val="auto"/>
                <w:kern w:val="2"/>
                <w:sz w:val="21"/>
                <w:szCs w:val="21"/>
                <w:highlight w:val="none"/>
                <w:lang w:val="en-US" w:eastAsia="zh-CN" w:bidi="ar-SA"/>
              </w:rPr>
              <w:t>《合成树脂工艺污染物排放标准限值》（GB31572-2015）表9标准限值</w:t>
            </w:r>
            <w:r>
              <w:rPr>
                <w:rFonts w:hint="default" w:ascii="Times New Roman" w:hAnsi="Times New Roman" w:eastAsia="宋体" w:cs="Times New Roman"/>
                <w:color w:val="auto"/>
                <w:kern w:val="18"/>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即非甲烷总烃≤4</w:t>
            </w:r>
            <w:r>
              <w:rPr>
                <w:rFonts w:hint="default" w:ascii="Times New Roman" w:hAnsi="Times New Roman" w:eastAsia="宋体" w:cs="Times New Roman"/>
                <w:color w:val="auto"/>
                <w:sz w:val="21"/>
                <w:szCs w:val="21"/>
                <w:highlight w:val="none"/>
                <w:lang w:val="en-US" w:eastAsia="zh-CN"/>
              </w:rPr>
              <w:t>.0mg/m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；苯</w:t>
            </w:r>
            <w:r>
              <w:rPr>
                <w:rFonts w:hint="default" w:ascii="Times New Roman" w:hAnsi="Times New Roman" w:eastAsia="宋体" w:cs="Times New Roman"/>
                <w:color w:val="auto"/>
                <w:kern w:val="2"/>
                <w:sz w:val="21"/>
                <w:szCs w:val="21"/>
                <w:highlight w:val="none"/>
                <w:lang w:val="en-US" w:eastAsia="zh-CN" w:bidi="ar-SA"/>
              </w:rPr>
              <w:t>≤0.4</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；甲苯</w:t>
            </w:r>
            <w:r>
              <w:rPr>
                <w:rFonts w:hint="default" w:ascii="Times New Roman" w:hAnsi="Times New Roman" w:eastAsia="宋体" w:cs="Times New Roman"/>
                <w:color w:val="auto"/>
                <w:kern w:val="2"/>
                <w:sz w:val="21"/>
                <w:szCs w:val="21"/>
                <w:highlight w:val="none"/>
                <w:lang w:val="en-US" w:eastAsia="zh-CN" w:bidi="ar-SA"/>
              </w:rPr>
              <w:t>≤0.8</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p>
        </w:tc>
      </w:tr>
      <w:tr w14:paraId="1621F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vMerge w:val="continue"/>
            <w:noWrap w:val="0"/>
            <w:vAlign w:val="center"/>
          </w:tcPr>
          <w:p w14:paraId="3BF0E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rPr>
            </w:pPr>
          </w:p>
        </w:tc>
        <w:tc>
          <w:tcPr>
            <w:tcW w:w="1394" w:type="dxa"/>
            <w:vMerge w:val="continue"/>
            <w:noWrap w:val="0"/>
            <w:vAlign w:val="center"/>
          </w:tcPr>
          <w:p w14:paraId="223FD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p>
        </w:tc>
        <w:tc>
          <w:tcPr>
            <w:tcW w:w="997" w:type="dxa"/>
            <w:noWrap w:val="0"/>
            <w:vAlign w:val="center"/>
          </w:tcPr>
          <w:p w14:paraId="668D9E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2564" w:type="dxa"/>
            <w:vMerge w:val="continue"/>
            <w:noWrap w:val="0"/>
            <w:vAlign w:val="center"/>
          </w:tcPr>
          <w:p w14:paraId="7F985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vMerge w:val="continue"/>
            <w:noWrap w:val="0"/>
            <w:vAlign w:val="center"/>
          </w:tcPr>
          <w:p w14:paraId="7C2A5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14:paraId="4FBA4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vMerge w:val="continue"/>
            <w:noWrap w:val="0"/>
            <w:vAlign w:val="center"/>
          </w:tcPr>
          <w:p w14:paraId="02C1B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rPr>
            </w:pPr>
          </w:p>
        </w:tc>
        <w:tc>
          <w:tcPr>
            <w:tcW w:w="1394" w:type="dxa"/>
            <w:vMerge w:val="continue"/>
            <w:noWrap w:val="0"/>
            <w:vAlign w:val="center"/>
          </w:tcPr>
          <w:p w14:paraId="6FF100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p>
        </w:tc>
        <w:tc>
          <w:tcPr>
            <w:tcW w:w="997" w:type="dxa"/>
            <w:noWrap w:val="0"/>
            <w:vAlign w:val="center"/>
          </w:tcPr>
          <w:p w14:paraId="3DD0A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2564" w:type="dxa"/>
            <w:vMerge w:val="continue"/>
            <w:noWrap w:val="0"/>
            <w:vAlign w:val="center"/>
          </w:tcPr>
          <w:p w14:paraId="28BA3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noWrap w:val="0"/>
            <w:vAlign w:val="center"/>
          </w:tcPr>
          <w:p w14:paraId="3FAE5E90">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18"/>
                <w:sz w:val="21"/>
                <w:szCs w:val="21"/>
                <w:highlight w:val="none"/>
                <w:lang w:val="en-US" w:eastAsia="zh-CN"/>
              </w:rPr>
              <w:t>臭气浓度执行《恶臭污染物排放标准》（GB14554-93）表1新改扩建项目厂界二级标准（即臭气浓度≤20（无量纲））</w:t>
            </w:r>
          </w:p>
        </w:tc>
      </w:tr>
      <w:tr w14:paraId="32947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58" w:type="dxa"/>
            <w:gridSpan w:val="2"/>
            <w:vMerge w:val="restart"/>
            <w:noWrap w:val="0"/>
            <w:vAlign w:val="center"/>
          </w:tcPr>
          <w:p w14:paraId="049E2A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16F044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394" w:type="dxa"/>
            <w:noWrap w:val="0"/>
            <w:vAlign w:val="center"/>
          </w:tcPr>
          <w:p w14:paraId="77CA3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模具冷却水</w:t>
            </w:r>
          </w:p>
        </w:tc>
        <w:tc>
          <w:tcPr>
            <w:tcW w:w="997" w:type="dxa"/>
            <w:noWrap w:val="0"/>
            <w:vAlign w:val="center"/>
          </w:tcPr>
          <w:p w14:paraId="23987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64" w:type="dxa"/>
            <w:vMerge w:val="restart"/>
            <w:noWrap w:val="0"/>
            <w:vAlign w:val="center"/>
          </w:tcPr>
          <w:p w14:paraId="4B75A9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冷却水经“冷却水循环沉淀池+冷却塔”处理后循环使用不外排。</w:t>
            </w:r>
          </w:p>
        </w:tc>
        <w:tc>
          <w:tcPr>
            <w:tcW w:w="3575" w:type="dxa"/>
            <w:noWrap w:val="0"/>
            <w:vAlign w:val="center"/>
          </w:tcPr>
          <w:p w14:paraId="450AB3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w:t>
            </w:r>
          </w:p>
        </w:tc>
      </w:tr>
      <w:tr w14:paraId="4828D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58" w:type="dxa"/>
            <w:gridSpan w:val="2"/>
            <w:vMerge w:val="continue"/>
            <w:noWrap w:val="0"/>
            <w:vAlign w:val="center"/>
          </w:tcPr>
          <w:p w14:paraId="6445F2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noWrap w:val="0"/>
            <w:vAlign w:val="center"/>
          </w:tcPr>
          <w:p w14:paraId="1AE43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蒸汽冷凝水</w:t>
            </w:r>
          </w:p>
        </w:tc>
        <w:tc>
          <w:tcPr>
            <w:tcW w:w="997" w:type="dxa"/>
            <w:noWrap w:val="0"/>
            <w:vAlign w:val="center"/>
          </w:tcPr>
          <w:p w14:paraId="03845B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64" w:type="dxa"/>
            <w:vMerge w:val="continue"/>
            <w:noWrap w:val="0"/>
            <w:vAlign w:val="center"/>
          </w:tcPr>
          <w:p w14:paraId="507C3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p>
        </w:tc>
        <w:tc>
          <w:tcPr>
            <w:tcW w:w="3575" w:type="dxa"/>
            <w:noWrap w:val="0"/>
            <w:vAlign w:val="center"/>
          </w:tcPr>
          <w:p w14:paraId="758A28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F110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758" w:type="dxa"/>
            <w:gridSpan w:val="2"/>
            <w:vMerge w:val="continue"/>
            <w:noWrap w:val="0"/>
            <w:vAlign w:val="center"/>
          </w:tcPr>
          <w:p w14:paraId="157ADF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noWrap w:val="0"/>
            <w:vAlign w:val="center"/>
          </w:tcPr>
          <w:p w14:paraId="632E4B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生活污水（DW001）</w:t>
            </w:r>
          </w:p>
        </w:tc>
        <w:tc>
          <w:tcPr>
            <w:tcW w:w="997" w:type="dxa"/>
            <w:noWrap w:val="0"/>
            <w:vAlign w:val="center"/>
          </w:tcPr>
          <w:p w14:paraId="683AE3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564" w:type="dxa"/>
            <w:noWrap w:val="0"/>
            <w:vAlign w:val="center"/>
          </w:tcPr>
          <w:p w14:paraId="16ACC6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生活污水</w:t>
            </w:r>
            <w:r>
              <w:rPr>
                <w:rFonts w:hint="default" w:ascii="Times New Roman" w:hAnsi="Times New Roman" w:eastAsia="宋体" w:cs="Times New Roman"/>
                <w:bCs/>
                <w:color w:val="auto"/>
                <w:sz w:val="21"/>
                <w:szCs w:val="21"/>
                <w:highlight w:val="none"/>
              </w:rPr>
              <w:t>经化粪池预处理后接入市政污水管网排入</w:t>
            </w:r>
            <w:r>
              <w:rPr>
                <w:rFonts w:hint="default" w:ascii="Times New Roman" w:hAnsi="Times New Roman" w:eastAsia="宋体" w:cs="Times New Roman"/>
                <w:bCs/>
                <w:color w:val="auto"/>
                <w:sz w:val="21"/>
                <w:szCs w:val="21"/>
                <w:lang w:val="en-US" w:eastAsia="zh-CN"/>
              </w:rPr>
              <w:t>江阴污水处理厂（江阴港城经济区污水处理厂）</w:t>
            </w:r>
            <w:r>
              <w:rPr>
                <w:rFonts w:hint="default" w:ascii="Times New Roman" w:hAnsi="Times New Roman" w:eastAsia="宋体" w:cs="Times New Roman"/>
                <w:bCs/>
                <w:color w:val="auto"/>
                <w:sz w:val="21"/>
                <w:szCs w:val="21"/>
                <w:highlight w:val="none"/>
              </w:rPr>
              <w:t>集中处理</w:t>
            </w:r>
          </w:p>
        </w:tc>
        <w:tc>
          <w:tcPr>
            <w:tcW w:w="3575" w:type="dxa"/>
            <w:noWrap w:val="0"/>
            <w:vAlign w:val="center"/>
          </w:tcPr>
          <w:p w14:paraId="39AD9E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生活污水执行</w:t>
            </w: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45mg/L）</w:t>
            </w:r>
          </w:p>
        </w:tc>
      </w:tr>
      <w:tr w14:paraId="48778C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noWrap w:val="0"/>
            <w:vAlign w:val="center"/>
          </w:tcPr>
          <w:p w14:paraId="2D8842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394" w:type="dxa"/>
            <w:noWrap w:val="0"/>
            <w:vAlign w:val="center"/>
          </w:tcPr>
          <w:p w14:paraId="275AE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厂界四周</w:t>
            </w:r>
          </w:p>
        </w:tc>
        <w:tc>
          <w:tcPr>
            <w:tcW w:w="997" w:type="dxa"/>
            <w:noWrap w:val="0"/>
            <w:vAlign w:val="center"/>
          </w:tcPr>
          <w:p w14:paraId="196D2D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564" w:type="dxa"/>
            <w:noWrap w:val="0"/>
            <w:vAlign w:val="center"/>
          </w:tcPr>
          <w:p w14:paraId="2FB92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US" w:eastAsia="zh-CN" w:bidi="ar-SA"/>
              </w:rPr>
              <w:t>本项目生产时间为24小时工作制。</w:t>
            </w:r>
            <w:r>
              <w:rPr>
                <w:rFonts w:hint="default" w:ascii="Times New Roman" w:hAnsi="Times New Roman" w:eastAsia="宋体" w:cs="Times New Roman"/>
                <w:color w:val="auto"/>
                <w:kern w:val="2"/>
                <w:sz w:val="21"/>
                <w:szCs w:val="21"/>
                <w:highlight w:val="none"/>
                <w:lang w:val="en-GB" w:eastAsia="zh-CN" w:bidi="ar-SA"/>
              </w:rPr>
              <w:t>选用低噪声设备，加强设备维护，高噪声设备设置基础减振、隔声等措施</w:t>
            </w:r>
          </w:p>
        </w:tc>
        <w:tc>
          <w:tcPr>
            <w:tcW w:w="3575" w:type="dxa"/>
            <w:noWrap w:val="0"/>
            <w:vAlign w:val="center"/>
          </w:tcPr>
          <w:p w14:paraId="41F98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满足《工业企业厂界环境噪声排放标准》（GB12348-2008）</w:t>
            </w:r>
            <w:r>
              <w:rPr>
                <w:rFonts w:hint="default" w:ascii="Times New Roman" w:hAnsi="Times New Roman" w:eastAsia="宋体" w:cs="Times New Roman"/>
                <w:color w:val="auto"/>
                <w:kern w:val="2"/>
                <w:sz w:val="21"/>
                <w:szCs w:val="21"/>
                <w:highlight w:val="none"/>
                <w:lang w:val="en-US" w:eastAsia="zh-CN" w:bidi="ar-SA"/>
              </w:rPr>
              <w:t>表1</w:t>
            </w:r>
            <w:r>
              <w:rPr>
                <w:rFonts w:hint="default" w:ascii="Times New Roman" w:hAnsi="Times New Roman" w:eastAsia="宋体" w:cs="Times New Roman"/>
                <w:color w:val="auto"/>
                <w:kern w:val="2"/>
                <w:sz w:val="21"/>
                <w:szCs w:val="21"/>
                <w:highlight w:val="none"/>
                <w:lang w:val="en-GB" w:eastAsia="zh-CN" w:bidi="ar-SA"/>
              </w:rPr>
              <w:t>中</w:t>
            </w:r>
            <w:r>
              <w:rPr>
                <w:rFonts w:hint="default" w:ascii="Times New Roman" w:hAnsi="Times New Roman" w:eastAsia="宋体" w:cs="Times New Roman"/>
                <w:color w:val="auto"/>
                <w:kern w:val="2"/>
                <w:sz w:val="21"/>
                <w:szCs w:val="21"/>
                <w:highlight w:val="none"/>
                <w:lang w:val="en-US" w:eastAsia="zh-CN" w:bidi="ar-SA"/>
              </w:rPr>
              <w:t>3类标准（</w:t>
            </w:r>
            <w:r>
              <w:rPr>
                <w:rFonts w:hint="default" w:ascii="Times New Roman" w:hAnsi="Times New Roman" w:eastAsia="宋体" w:cs="Times New Roman"/>
                <w:color w:val="auto"/>
                <w:kern w:val="2"/>
                <w:sz w:val="21"/>
                <w:szCs w:val="21"/>
                <w:highlight w:val="none"/>
                <w:lang w:val="en-GB" w:eastAsia="zh-CN" w:bidi="ar-SA"/>
              </w:rPr>
              <w:t>昼间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GB" w:eastAsia="zh-CN" w:bidi="ar-SA"/>
              </w:rPr>
              <w:t>dB（A）；</w:t>
            </w:r>
            <w:r>
              <w:rPr>
                <w:rFonts w:hint="default" w:ascii="Times New Roman" w:hAnsi="Times New Roman" w:eastAsia="宋体" w:cs="Times New Roman"/>
                <w:color w:val="auto"/>
                <w:kern w:val="2"/>
                <w:sz w:val="21"/>
                <w:szCs w:val="21"/>
                <w:highlight w:val="none"/>
                <w:lang w:val="en-US" w:eastAsia="zh-CN" w:bidi="ar-SA"/>
              </w:rPr>
              <w:t>夜间噪声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GB" w:eastAsia="zh-CN" w:bidi="ar-SA"/>
              </w:rPr>
              <w:t>dB（A））</w:t>
            </w:r>
          </w:p>
        </w:tc>
      </w:tr>
      <w:tr w14:paraId="2633F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758" w:type="dxa"/>
            <w:gridSpan w:val="2"/>
            <w:noWrap w:val="0"/>
            <w:vAlign w:val="center"/>
          </w:tcPr>
          <w:p w14:paraId="4CF123F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w:t>
            </w:r>
          </w:p>
          <w:p w14:paraId="727E317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辐射</w:t>
            </w:r>
          </w:p>
        </w:tc>
        <w:tc>
          <w:tcPr>
            <w:tcW w:w="1394" w:type="dxa"/>
            <w:noWrap w:val="0"/>
            <w:vAlign w:val="center"/>
          </w:tcPr>
          <w:p w14:paraId="407A7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997" w:type="dxa"/>
            <w:noWrap w:val="0"/>
            <w:vAlign w:val="center"/>
          </w:tcPr>
          <w:p w14:paraId="17595D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564" w:type="dxa"/>
            <w:noWrap w:val="0"/>
            <w:vAlign w:val="center"/>
          </w:tcPr>
          <w:p w14:paraId="7BA0A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3575" w:type="dxa"/>
            <w:noWrap w:val="0"/>
            <w:vAlign w:val="center"/>
          </w:tcPr>
          <w:p w14:paraId="77B21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0D012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5" w:hRule="atLeast"/>
          <w:jc w:val="center"/>
        </w:trPr>
        <w:tc>
          <w:tcPr>
            <w:tcW w:w="758" w:type="dxa"/>
            <w:gridSpan w:val="2"/>
            <w:noWrap w:val="0"/>
            <w:vAlign w:val="center"/>
          </w:tcPr>
          <w:p w14:paraId="0ECCD0D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固体</w:t>
            </w:r>
          </w:p>
          <w:p w14:paraId="5D6374A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废物</w:t>
            </w:r>
          </w:p>
        </w:tc>
        <w:tc>
          <w:tcPr>
            <w:tcW w:w="8530" w:type="dxa"/>
            <w:gridSpan w:val="4"/>
            <w:noWrap w:val="0"/>
            <w:vAlign w:val="center"/>
          </w:tcPr>
          <w:p w14:paraId="130EC74C">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w:t>
            </w:r>
            <w:r>
              <w:rPr>
                <w:rFonts w:hint="eastAsia" w:cs="Times New Roman"/>
                <w:color w:val="auto"/>
                <w:sz w:val="24"/>
                <w:szCs w:val="24"/>
                <w:highlight w:val="none"/>
                <w:lang w:val="en-US" w:eastAsia="zh-CN"/>
              </w:rPr>
              <w:t>不合格产品，</w:t>
            </w:r>
            <w:r>
              <w:rPr>
                <w:rFonts w:hint="default" w:ascii="Times New Roman" w:hAnsi="Times New Roman" w:eastAsia="宋体" w:cs="Times New Roman"/>
                <w:color w:val="auto"/>
                <w:sz w:val="24"/>
                <w:szCs w:val="24"/>
                <w:highlight w:val="none"/>
              </w:rPr>
              <w:t>设置一般工业固废暂存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，满足《一般工业固体废物贮存和填埋污染控制标准》（GB18599-2020）的相关要求；</w:t>
            </w:r>
          </w:p>
          <w:p w14:paraId="50AF3E93">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w:t>
            </w:r>
            <w:r>
              <w:rPr>
                <w:rFonts w:hint="eastAsia" w:cs="Times New Roman"/>
                <w:color w:val="auto"/>
                <w:sz w:val="24"/>
                <w:szCs w:val="24"/>
                <w:highlight w:val="none"/>
                <w:lang w:val="en-US" w:eastAsia="zh-CN"/>
              </w:rPr>
              <w:t>废活性炭、废液压油、污泥</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设置危险废物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sz w:val="24"/>
                <w:szCs w:val="24"/>
                <w:highlight w:val="none"/>
              </w:rPr>
              <w:t>，妥善分类收集后定期委托有资质的单位进行处置满足</w:t>
            </w:r>
            <w:r>
              <w:rPr>
                <w:rFonts w:hint="default" w:ascii="Times New Roman" w:hAnsi="Times New Roman" w:eastAsia="宋体" w:cs="Times New Roman"/>
                <w:color w:val="auto"/>
                <w:sz w:val="24"/>
                <w:szCs w:val="24"/>
                <w:highlight w:val="none"/>
                <w:lang w:val="en-GB"/>
              </w:rPr>
              <w:t>《危险废物贮存污染控制标准》</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GB18597</w:t>
            </w:r>
            <w:r>
              <w:rPr>
                <w:rFonts w:hint="default" w:ascii="Times New Roman" w:hAnsi="Times New Roman" w:eastAsia="宋体" w:cs="Times New Roman"/>
                <w:color w:val="auto"/>
                <w:sz w:val="24"/>
                <w:szCs w:val="24"/>
                <w:highlight w:val="none"/>
                <w:lang w:val="en-US" w:eastAsia="zh-CN"/>
              </w:rPr>
              <w:t>-2023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要求。危废转移应严格</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转移</w:t>
            </w:r>
            <w:r>
              <w:rPr>
                <w:rFonts w:hint="default" w:ascii="Times New Roman" w:hAnsi="Times New Roman" w:eastAsia="宋体" w:cs="Times New Roman"/>
                <w:color w:val="auto"/>
                <w:sz w:val="24"/>
                <w:szCs w:val="24"/>
                <w:highlight w:val="none"/>
              </w:rPr>
              <w:t>管理办法》要求；</w:t>
            </w:r>
          </w:p>
          <w:p w14:paraId="68DF30F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sz w:val="24"/>
                <w:szCs w:val="24"/>
                <w:highlight w:val="none"/>
              </w:rPr>
              <w:t>③生活垃圾：</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垃圾桶收集，由市政环卫部门统一清运处理</w:t>
            </w:r>
          </w:p>
        </w:tc>
      </w:tr>
      <w:tr w14:paraId="52A80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758" w:type="dxa"/>
            <w:gridSpan w:val="2"/>
            <w:noWrap w:val="0"/>
            <w:vAlign w:val="center"/>
          </w:tcPr>
          <w:p w14:paraId="25FB22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土壤及地下水污染防治措施</w:t>
            </w:r>
          </w:p>
        </w:tc>
        <w:tc>
          <w:tcPr>
            <w:tcW w:w="8530" w:type="dxa"/>
            <w:gridSpan w:val="4"/>
            <w:noWrap w:val="0"/>
            <w:vAlign w:val="center"/>
          </w:tcPr>
          <w:p w14:paraId="6BB845A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合理进行防渗区域划分，危险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GB" w:eastAsia="zh-CN" w:bidi="ar-SA"/>
              </w:rPr>
              <w:t>等四周设置导流沟，地面</w:t>
            </w:r>
            <w:r>
              <w:rPr>
                <w:rFonts w:hint="eastAsia" w:cs="Times New Roman"/>
                <w:color w:val="auto"/>
                <w:kern w:val="2"/>
                <w:sz w:val="24"/>
                <w:szCs w:val="24"/>
                <w:highlight w:val="none"/>
                <w:lang w:val="en-GB" w:eastAsia="zh-CN" w:bidi="ar-SA"/>
              </w:rPr>
              <w:t>采用分区</w:t>
            </w:r>
            <w:r>
              <w:rPr>
                <w:rFonts w:hint="default" w:ascii="Times New Roman" w:hAnsi="Times New Roman" w:eastAsia="宋体" w:cs="Times New Roman"/>
                <w:color w:val="auto"/>
                <w:kern w:val="2"/>
                <w:sz w:val="24"/>
                <w:szCs w:val="24"/>
                <w:highlight w:val="none"/>
                <w:lang w:val="en-GB" w:eastAsia="zh-CN" w:bidi="ar-SA"/>
              </w:rPr>
              <w:t>防渗，按重点污染区防渗要求进行建设；一般工业固废间、项目生产车间等按一般污染区防渗要求进行建设</w:t>
            </w:r>
            <w:r>
              <w:rPr>
                <w:rFonts w:hint="eastAsia" w:cs="Times New Roman"/>
                <w:color w:val="auto"/>
                <w:kern w:val="2"/>
                <w:sz w:val="24"/>
                <w:szCs w:val="24"/>
                <w:highlight w:val="none"/>
                <w:lang w:val="en-GB" w:eastAsia="zh-CN" w:bidi="ar-SA"/>
              </w:rPr>
              <w:t>且</w:t>
            </w:r>
            <w:r>
              <w:rPr>
                <w:rFonts w:hint="default" w:ascii="Times New Roman" w:hAnsi="Times New Roman" w:eastAsia="宋体" w:cs="Times New Roman"/>
                <w:color w:val="auto"/>
                <w:kern w:val="2"/>
                <w:sz w:val="24"/>
                <w:szCs w:val="24"/>
                <w:highlight w:val="none"/>
                <w:lang w:val="en-GB" w:eastAsia="zh-CN" w:bidi="ar-SA"/>
              </w:rPr>
              <w:t>具有防雨、防渗、防风、防日晒等功能</w:t>
            </w:r>
          </w:p>
        </w:tc>
      </w:tr>
      <w:tr w14:paraId="467FB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758" w:type="dxa"/>
            <w:gridSpan w:val="2"/>
            <w:noWrap w:val="0"/>
            <w:vAlign w:val="center"/>
          </w:tcPr>
          <w:p w14:paraId="221AFA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生态保护措施</w:t>
            </w:r>
          </w:p>
        </w:tc>
        <w:tc>
          <w:tcPr>
            <w:tcW w:w="8530" w:type="dxa"/>
            <w:gridSpan w:val="4"/>
            <w:noWrap w:val="0"/>
            <w:vAlign w:val="center"/>
          </w:tcPr>
          <w:p w14:paraId="3260FBA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w:t>
            </w:r>
          </w:p>
        </w:tc>
      </w:tr>
      <w:tr w14:paraId="2FC26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758" w:type="dxa"/>
            <w:gridSpan w:val="2"/>
            <w:noWrap w:val="0"/>
            <w:vAlign w:val="center"/>
          </w:tcPr>
          <w:p w14:paraId="227367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环境风险防范措施</w:t>
            </w:r>
          </w:p>
        </w:tc>
        <w:tc>
          <w:tcPr>
            <w:tcW w:w="8530" w:type="dxa"/>
            <w:gridSpan w:val="4"/>
            <w:noWrap w:val="0"/>
            <w:vAlign w:val="center"/>
          </w:tcPr>
          <w:p w14:paraId="09E9139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US" w:eastAsia="zh-CN" w:bidi="ar-SA"/>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2CB44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dxa"/>
            <w:noWrap w:val="0"/>
            <w:vAlign w:val="center"/>
          </w:tcPr>
          <w:p w14:paraId="6945FE5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其他环境</w:t>
            </w:r>
          </w:p>
          <w:p w14:paraId="0A0D017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管理要求</w:t>
            </w:r>
          </w:p>
        </w:tc>
        <w:tc>
          <w:tcPr>
            <w:tcW w:w="8705" w:type="dxa"/>
            <w:gridSpan w:val="5"/>
            <w:noWrap w:val="0"/>
            <w:vAlign w:val="center"/>
          </w:tcPr>
          <w:p w14:paraId="0104E59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（1）排污口规范管理</w:t>
            </w:r>
          </w:p>
          <w:p w14:paraId="37547F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val="0"/>
                <w:bCs w:val="0"/>
                <w:color w:val="auto"/>
                <w:kern w:val="2"/>
                <w:sz w:val="24"/>
                <w:szCs w:val="24"/>
                <w:highlight w:val="none"/>
                <w:lang w:val="en-US" w:eastAsia="zh-CN" w:bidi="ar-SA"/>
              </w:rPr>
              <w:t>各污染源排放口应设置专项图标，执行《环境保护图形标志—排放口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GB15563.1-1995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，要求各排放口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提示标志形状采用正方形边框，背景颜色采用绿色，图形颜色采用白色。标志牌应设在与之功能相应的醒目处，并保持清晰、完整，具体详见表5.1-1。</w:t>
            </w:r>
          </w:p>
          <w:p w14:paraId="40A2E9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4"/>
                <w:szCs w:val="24"/>
                <w:highlight w:val="none"/>
                <w:lang w:bidi="ar"/>
              </w:rPr>
            </w:pPr>
          </w:p>
          <w:p w14:paraId="6BCB60D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表5.1-1排污口图形符号</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提示标志</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一览表</w:t>
            </w:r>
          </w:p>
          <w:tbl>
            <w:tblPr>
              <w:tblStyle w:val="23"/>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1390"/>
              <w:gridCol w:w="1391"/>
              <w:gridCol w:w="1391"/>
              <w:gridCol w:w="1440"/>
              <w:gridCol w:w="1339"/>
            </w:tblGrid>
            <w:tr w14:paraId="66F0571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7C65D9D5">
                  <w:pPr>
                    <w:pStyle w:val="64"/>
                    <w:keepNext w:val="0"/>
                    <w:pageBreakBefore w:val="0"/>
                    <w:kinsoku/>
                    <w:wordWrap/>
                    <w:overflowPunct/>
                    <w:topLinePunct w:val="0"/>
                    <w:autoSpaceDE/>
                    <w:autoSpaceDN/>
                    <w:bidi w:val="0"/>
                    <w:spacing w:line="326" w:lineRule="atLeast"/>
                    <w:jc w:val="right"/>
                    <w:textAlignment w:val="auto"/>
                    <w:outlineLvl w:val="9"/>
                    <w:rPr>
                      <w:color w:val="auto"/>
                      <w:sz w:val="21"/>
                      <w:highlight w:val="none"/>
                      <w:lang w:val="en-GB"/>
                    </w:rPr>
                  </w:pPr>
                  <w:bookmarkStart w:id="238" w:name="_Toc24814499"/>
                  <w:r>
                    <w:rPr>
                      <w:color w:val="auto"/>
                      <w:sz w:val="21"/>
                      <w:highlight w:val="none"/>
                      <w:lang w:val="en-GB"/>
                    </w:rPr>
                    <w:t>排放部位</w:t>
                  </w:r>
                </w:p>
                <w:p w14:paraId="4221B7EE">
                  <w:pPr>
                    <w:pStyle w:val="64"/>
                    <w:keepNext w:val="0"/>
                    <w:pageBreakBefore w:val="0"/>
                    <w:kinsoku/>
                    <w:wordWrap/>
                    <w:overflowPunct/>
                    <w:topLinePunct w:val="0"/>
                    <w:autoSpaceDE/>
                    <w:autoSpaceDN/>
                    <w:bidi w:val="0"/>
                    <w:spacing w:line="326" w:lineRule="atLeast"/>
                    <w:jc w:val="both"/>
                    <w:textAlignment w:val="auto"/>
                    <w:outlineLvl w:val="9"/>
                    <w:rPr>
                      <w:color w:val="auto"/>
                      <w:sz w:val="21"/>
                      <w:highlight w:val="none"/>
                      <w:lang w:val="en-GB"/>
                    </w:rPr>
                  </w:pPr>
                  <w:r>
                    <w:rPr>
                      <w:color w:val="auto"/>
                      <w:sz w:val="21"/>
                      <w:highlight w:val="none"/>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11C81716">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69921A07">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A838A97">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46D278B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4F453F6C">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危险废物</w:t>
                  </w:r>
                </w:p>
              </w:tc>
            </w:tr>
            <w:tr w14:paraId="1778A01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071" w:hRule="atLeast"/>
                <w:jc w:val="center"/>
              </w:trPr>
              <w:tc>
                <w:tcPr>
                  <w:tcW w:w="904" w:type="pct"/>
                  <w:tcBorders>
                    <w:top w:val="single" w:color="auto" w:sz="6" w:space="0"/>
                    <w:left w:val="nil"/>
                    <w:bottom w:val="single" w:color="auto" w:sz="6" w:space="0"/>
                    <w:right w:val="single" w:color="auto" w:sz="6" w:space="0"/>
                  </w:tcBorders>
                  <w:noWrap w:val="0"/>
                  <w:vAlign w:val="center"/>
                </w:tcPr>
                <w:p w14:paraId="1260939E">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51B23F43">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color w:val="auto"/>
                      <w:highlight w:val="none"/>
                    </w:rPr>
                    <mc:AlternateContent>
                      <mc:Choice Requires="wpg">
                        <w:drawing>
                          <wp:anchor distT="0" distB="0" distL="114300" distR="114300" simplePos="0" relativeHeight="251663360" behindDoc="0" locked="0" layoutInCell="1" allowOverlap="1">
                            <wp:simplePos x="0" y="0"/>
                            <wp:positionH relativeFrom="column">
                              <wp:posOffset>-17780</wp:posOffset>
                            </wp:positionH>
                            <wp:positionV relativeFrom="paragraph">
                              <wp:posOffset>85725</wp:posOffset>
                            </wp:positionV>
                            <wp:extent cx="3418205" cy="660400"/>
                            <wp:effectExtent l="0" t="0" r="10795" b="6350"/>
                            <wp:wrapNone/>
                            <wp:docPr id="3" name="组合 3"/>
                            <wp:cNvGraphicFramePr/>
                            <a:graphic xmlns:a="http://schemas.openxmlformats.org/drawingml/2006/main">
                              <a:graphicData uri="http://schemas.microsoft.com/office/word/2010/wordprocessingGroup">
                                <wpg:wgp>
                                  <wpg:cNvGrpSpPr/>
                                  <wpg:grpSpPr>
                                    <a:xfrm>
                                      <a:off x="0" y="0"/>
                                      <a:ext cx="3418205" cy="660400"/>
                                      <a:chOff x="4407" y="1049350"/>
                                      <a:chExt cx="4805" cy="1057"/>
                                    </a:xfrm>
                                    <a:effectLst/>
                                  </wpg:grpSpPr>
                                  <pic:pic xmlns:pic="http://schemas.openxmlformats.org/drawingml/2006/picture">
                                    <pic:nvPicPr>
                                      <pic:cNvPr id="44" name="图片 754" descr="1"/>
                                      <pic:cNvPicPr>
                                        <a:picLocks noChangeAspect="1"/>
                                      </pic:cNvPicPr>
                                    </pic:nvPicPr>
                                    <pic:blipFill>
                                      <a:blip r:embed="rId44"/>
                                      <a:stretch>
                                        <a:fillRect/>
                                      </a:stretch>
                                    </pic:blipFill>
                                    <pic:spPr>
                                      <a:xfrm>
                                        <a:off x="4407" y="1049350"/>
                                        <a:ext cx="1031" cy="1031"/>
                                      </a:xfrm>
                                      <a:prstGeom prst="rect">
                                        <a:avLst/>
                                      </a:prstGeom>
                                      <a:noFill/>
                                      <a:ln>
                                        <a:noFill/>
                                      </a:ln>
                                      <a:effectLst/>
                                    </pic:spPr>
                                  </pic:pic>
                                  <pic:pic xmlns:pic="http://schemas.openxmlformats.org/drawingml/2006/picture">
                                    <pic:nvPicPr>
                                      <pic:cNvPr id="45" name="图片 755" descr="点击看大图及详细资料"/>
                                      <pic:cNvPicPr>
                                        <a:picLocks noChangeAspect="1"/>
                                      </pic:cNvPicPr>
                                    </pic:nvPicPr>
                                    <pic:blipFill>
                                      <a:blip r:embed="rId45"/>
                                      <a:stretch>
                                        <a:fillRect/>
                                      </a:stretch>
                                    </pic:blipFill>
                                    <pic:spPr>
                                      <a:xfrm>
                                        <a:off x="5651" y="1049375"/>
                                        <a:ext cx="1031" cy="1031"/>
                                      </a:xfrm>
                                      <a:prstGeom prst="rect">
                                        <a:avLst/>
                                      </a:prstGeom>
                                      <a:noFill/>
                                      <a:ln>
                                        <a:noFill/>
                                      </a:ln>
                                      <a:effectLst/>
                                    </pic:spPr>
                                  </pic:pic>
                                  <pic:pic xmlns:pic="http://schemas.openxmlformats.org/drawingml/2006/picture">
                                    <pic:nvPicPr>
                                      <pic:cNvPr id="46" name="图片 756" descr="点击看大图及详细资料"/>
                                      <pic:cNvPicPr>
                                        <a:picLocks noChangeAspect="1"/>
                                      </pic:cNvPicPr>
                                    </pic:nvPicPr>
                                    <pic:blipFill>
                                      <a:blip r:embed="rId46"/>
                                      <a:stretch>
                                        <a:fillRect/>
                                      </a:stretch>
                                    </pic:blipFill>
                                    <pic:spPr>
                                      <a:xfrm>
                                        <a:off x="6899" y="1049361"/>
                                        <a:ext cx="1034" cy="1031"/>
                                      </a:xfrm>
                                      <a:prstGeom prst="rect">
                                        <a:avLst/>
                                      </a:prstGeom>
                                      <a:noFill/>
                                      <a:ln>
                                        <a:noFill/>
                                      </a:ln>
                                      <a:effectLst/>
                                    </pic:spPr>
                                  </pic:pic>
                                  <pic:pic xmlns:pic="http://schemas.openxmlformats.org/drawingml/2006/picture">
                                    <pic:nvPicPr>
                                      <pic:cNvPr id="47" name="图片 757" descr="一般固废"/>
                                      <pic:cNvPicPr preferRelativeResize="0"/>
                                    </pic:nvPicPr>
                                    <pic:blipFill>
                                      <a:blip r:embed="rId47"/>
                                      <a:stretch>
                                        <a:fillRect/>
                                      </a:stretch>
                                    </pic:blipFill>
                                    <pic:spPr>
                                      <a:xfrm>
                                        <a:off x="8179" y="1049376"/>
                                        <a:ext cx="1033" cy="1031"/>
                                      </a:xfrm>
                                      <a:prstGeom prst="rect">
                                        <a:avLst/>
                                      </a:prstGeom>
                                      <a:noFill/>
                                      <a:ln>
                                        <a:noFill/>
                                      </a:ln>
                                      <a:effectLst/>
                                    </pic:spPr>
                                  </pic:pic>
                                </wpg:wgp>
                              </a:graphicData>
                            </a:graphic>
                          </wp:anchor>
                        </w:drawing>
                      </mc:Choice>
                      <mc:Fallback>
                        <w:pict>
                          <v:group id="_x0000_s1026" o:spid="_x0000_s1026" o:spt="203" style="position:absolute;left:0pt;margin-left:-1.4pt;margin-top:6.75pt;height:52pt;width:269.15pt;z-index:251663360;mso-width-relative:page;mso-height-relative:page;" coordorigin="4407,1049350" coordsize="4805,1057" o:gfxdata="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4qguY70AAADb&#10;AAAADwAAAGRycy9kb3ducmV2LnhtbEWPT4vCMBTE74LfITxhbza1iGg1yu6ii3rTXQRvz+bZlm1e&#10;ShP/fnojCB6HmfkNM5ldTSXO1LjSsoJeFIMgzqwuOVfw97voDkE4j6yxskwKbuRgNm23Jphqe+EN&#10;nbc+FwHCLkUFhfd1KqXLCjLoIlsTB+9oG4M+yCaXusFLgJtKJnE8kAZLDgsF1vRdUPa/PRkF8129&#10;T8z9kHyevlbZT7VfexqhUh+dXjwG4enq3+FXe6kV9Pv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C5jvQAA&#10;ANsAAAAPAAAAAAAAAAEAIAAAACIAAABkcnMvZG93bnJldi54bWxQSwECFAAUAAAACACHTuJAMy8F&#10;njsAAAA5AAAAEAAAAAAAAAABACAAAAAMAQAAZHJzL3NoYXBleG1sLnhtbFBLBQYAAAAABgAGAFsB&#10;AAC2AwAAAAA=&#10;">
                              <v:fill on="f" focussize="0,0"/>
                              <v:stroke on="f"/>
                              <v:imagedata r:id="rId44"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B83Pb8AAAADb&#10;AAAADwAAAGRycy9kb3ducmV2LnhtbEWPQWvCQBSE7wX/w/KE3swmrUpJXQMRIgXpQSsVb6/ZZxKb&#10;fRuyW6P/3i0Uehxm5htmkV1NKy7Uu8aygiSKQRCXVjdcKdh/FJMXEM4ja2wtk4IbOciWo4cFptoO&#10;vKXLzlciQNilqKD2vkuldGVNBl1kO+LgnWxv0AfZV1L3OAS4aeVTHM+lwYbDQo0drWoqv3c/RsF6&#10;+zXLz+vPw22Fz8c8eS+KzZAo9ThO4lcQnq7+P/zXftMKpjP4/RJ+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c9v&#10;wAAAANsAAAAPAAAAAAAAAAEAIAAAACIAAABkcnMvZG93bnJldi54bWxQSwECFAAUAAAACACHTuJA&#10;My8FnjsAAAA5AAAAEAAAAAAAAAABACAAAAAPAQAAZHJzL3NoYXBleG1sLnhtbFBLBQYAAAAABgAG&#10;AFsBAAC5AwAAAAA=&#10;">
                              <v:fill on="f" focussize="0,0"/>
                              <v:stroke on="f"/>
                              <v:imagedata r:id="rId45"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CwkTjL0AAADb&#10;AAAADwAAAGRycy9kb3ducmV2LnhtbEWPT4vCMBTE74LfIbwFb2talbpUowf/gKAe1AWvj+Zt293m&#10;pTax6rc3woLHYWZ+w0znd1OJlhpXWlYQ9yMQxJnVJecKvk/rzy8QziNrrCyTggc5mM+6nSmm2t74&#10;QO3R5yJA2KWooPC+TqV0WUEGXd/WxMH7sY1BH2STS93gLcBNJQdRlEiDJYeFAmtaFJT9Ha9GgRme&#10;2l9dnf1lZbfxbr8cX5Nkq1TvI44mIDzd/Tv8395oBaMEXl/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OMvQAA&#10;ANsAAAAPAAAAAAAAAAEAIAAAACIAAABkcnMvZG93bnJldi54bWxQSwECFAAUAAAACACHTuJAMy8F&#10;njsAAAA5AAAAEAAAAAAAAAABACAAAAAMAQAAZHJzL3NoYXBleG1sLnhtbFBLBQYAAAAABgAGAFsB&#10;AAC2AwAAAAA=&#10;">
                              <v:fill on="f" focussize="0,0"/>
                              <v:stroke on="f"/>
                              <v:imagedata r:id="rId46"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3nXM8L4AAADb&#10;AAAADwAAAGRycy9kb3ducmV2LnhtbEWPT2sCMRTE7wW/Q3hCL0UTpVRZjR60Qm/FPxdvj81zd3Xz&#10;siTpru6nbwpCj8PM/IZZru+2Fi35UDnWMBkrEMS5MxUXGk7H3WgOIkRkg7Vj0vCgAOvV4GWJmXEd&#10;76k9xEIkCIcMNZQxNpmUIS/JYhi7hjh5F+ctxiR9IY3HLsFtLadKfUiLFaeFEhvalJTfDj9Ww1WG&#10;+ey7V+e67d/8+dF/brvipPXrcKIWICLd43/42f4yGt5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XM8L4A&#10;AADbAAAADwAAAAAAAAABACAAAAAiAAAAZHJzL2Rvd25yZXYueG1sUEsBAhQAFAAAAAgAh07iQDMv&#10;BZ47AAAAOQAAABAAAAAAAAAAAQAgAAAADQEAAGRycy9zaGFwZXhtbC54bWxQSwUGAAAAAAYABgBb&#10;AQAAtwMAAAAA&#10;">
                              <v:fill on="f" focussize="0,0"/>
                              <v:stroke on="f"/>
                              <v:imagedata r:id="rId47" o:title=""/>
                              <o:lock v:ext="edit" aspectratio="f"/>
                            </v:shape>
                          </v:group>
                        </w:pict>
                      </mc:Fallback>
                    </mc:AlternateContent>
                  </w:r>
                </w:p>
                <w:p w14:paraId="0BB8BF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08672C72">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6EFBAD32">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51735CF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25B60E9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7DE9EFAB">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19E0E95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3A219DA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4CD510CB">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06DCCEA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788" w:type="pct"/>
                  <w:tcBorders>
                    <w:top w:val="single" w:color="auto" w:sz="6" w:space="0"/>
                    <w:left w:val="single" w:color="auto" w:sz="6" w:space="0"/>
                    <w:bottom w:val="single" w:color="auto" w:sz="6" w:space="0"/>
                    <w:right w:val="nil"/>
                  </w:tcBorders>
                  <w:noWrap w:val="0"/>
                  <w:vAlign w:val="center"/>
                </w:tcPr>
                <w:p w14:paraId="6A53D20C">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rFonts w:hint="eastAsia" w:eastAsia="宋体"/>
                      <w:color w:val="auto"/>
                      <w:highlight w:val="none"/>
                      <w:lang w:eastAsia="zh-CN"/>
                    </w:rPr>
                    <w:drawing>
                      <wp:inline distT="0" distB="0" distL="114300" distR="114300">
                        <wp:extent cx="660400" cy="600710"/>
                        <wp:effectExtent l="0" t="0" r="6350" b="8890"/>
                        <wp:docPr id="48" name="图片 27"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093c2d640a89c2c2fc565a102dcd89f"/>
                                <pic:cNvPicPr>
                                  <a:picLocks noChangeAspect="1"/>
                                </pic:cNvPicPr>
                              </pic:nvPicPr>
                              <pic:blipFill>
                                <a:blip r:embed="rId48"/>
                                <a:stretch>
                                  <a:fillRect/>
                                </a:stretch>
                              </pic:blipFill>
                              <pic:spPr>
                                <a:xfrm>
                                  <a:off x="0" y="0"/>
                                  <a:ext cx="660400" cy="600710"/>
                                </a:xfrm>
                                <a:prstGeom prst="rect">
                                  <a:avLst/>
                                </a:prstGeom>
                                <a:noFill/>
                                <a:ln>
                                  <a:noFill/>
                                </a:ln>
                              </pic:spPr>
                            </pic:pic>
                          </a:graphicData>
                        </a:graphic>
                      </wp:inline>
                    </w:drawing>
                  </w:r>
                </w:p>
              </w:tc>
            </w:tr>
            <w:tr w14:paraId="41698CB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03D77A4E">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F661BFC">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69FCD94">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EFCC34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00DCA350">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1550CFA9">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r>
            <w:tr w14:paraId="5577945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0A597213">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8399018">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4C6AA54">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82D2E2F">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2D8286A6">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0D4CF3C4">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r>
            <w:tr w14:paraId="1969359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7D5E8E30">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FCC0122">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B9EDE7D">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2D44BD0">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42D1A1F4">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5D9DB29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r>
          </w:tbl>
          <w:p w14:paraId="3EDD13A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（2）排污申报</w:t>
            </w:r>
          </w:p>
          <w:p w14:paraId="13F835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根据《固定污染源排污许可分类管理名录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2019年版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生态环境部第11号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可知，本项目实行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登记</w:t>
            </w:r>
            <w:r>
              <w:rPr>
                <w:rFonts w:hint="eastAsia" w:ascii="Times New Roman" w:hAnsi="Times New Roman" w:eastAsia="宋体" w:cs="Times New Roman"/>
                <w:color w:val="auto"/>
                <w:kern w:val="2"/>
                <w:sz w:val="24"/>
                <w:szCs w:val="24"/>
                <w:highlight w:val="none"/>
                <w:lang w:val="en-US" w:eastAsia="zh-CN" w:bidi="ar-SA"/>
              </w:rPr>
              <w:t>（详见表5.1-2）</w:t>
            </w:r>
            <w:r>
              <w:rPr>
                <w:rFonts w:hint="default" w:ascii="Times New Roman" w:hAnsi="Times New Roman" w:eastAsia="宋体" w:cs="Times New Roman"/>
                <w:color w:val="auto"/>
                <w:kern w:val="2"/>
                <w:sz w:val="24"/>
                <w:szCs w:val="24"/>
                <w:highlight w:val="none"/>
                <w:lang w:val="en-US" w:eastAsia="zh-CN" w:bidi="ar-SA"/>
              </w:rPr>
              <w:t>；因此，建设单位应当在启动生产设施或者发生实际排污之前在全国排污许可证管理信息平台进行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许可证登记申报</w:t>
            </w:r>
            <w:r>
              <w:rPr>
                <w:rFonts w:hint="default" w:ascii="Times New Roman" w:hAnsi="Times New Roman" w:eastAsia="宋体" w:cs="Times New Roman"/>
                <w:color w:val="auto"/>
                <w:kern w:val="2"/>
                <w:sz w:val="24"/>
                <w:szCs w:val="24"/>
                <w:highlight w:val="none"/>
                <w:lang w:val="en-US" w:eastAsia="zh-CN" w:bidi="ar-SA"/>
              </w:rPr>
              <w:t>。</w:t>
            </w:r>
          </w:p>
          <w:p w14:paraId="4CE46A62">
            <w:pPr>
              <w:pStyle w:val="8"/>
              <w:keepNext w:val="0"/>
              <w:pageBreakBefore w:val="0"/>
              <w:kinsoku/>
              <w:wordWrap/>
              <w:overflowPunct/>
              <w:topLinePunct w:val="0"/>
              <w:autoSpaceDE/>
              <w:autoSpaceDN/>
              <w:bidi w:val="0"/>
              <w:spacing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表5.1-2</w:t>
            </w:r>
            <w:r>
              <w:rPr>
                <w:rFonts w:hint="eastAsia" w:ascii="Times New Roman" w:hAnsi="Times New Roman" w:eastAsia="宋体" w:cs="Times New Roman"/>
                <w:b/>
                <w:bCs/>
                <w:color w:val="auto"/>
                <w:sz w:val="24"/>
                <w:szCs w:val="24"/>
                <w:highlight w:val="none"/>
                <w:lang w:val="en-US" w:eastAsia="zh-CN"/>
              </w:rPr>
              <w:t>固定</w:t>
            </w:r>
            <w:r>
              <w:rPr>
                <w:rFonts w:hint="default" w:ascii="Times New Roman" w:hAnsi="Times New Roman" w:eastAsia="宋体" w:cs="Times New Roman"/>
                <w:b/>
                <w:bCs/>
                <w:color w:val="auto"/>
                <w:sz w:val="24"/>
                <w:szCs w:val="24"/>
                <w:highlight w:val="none"/>
                <w:lang w:val="en-US" w:eastAsia="zh-CN"/>
              </w:rPr>
              <w:t>污染源排污许可分类管理名录</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摘录</w:t>
            </w:r>
            <w:r>
              <w:rPr>
                <w:rFonts w:hint="eastAsia" w:ascii="Times New Roman" w:hAnsi="Times New Roman" w:eastAsia="宋体" w:cs="Times New Roman"/>
                <w:b/>
                <w:bCs/>
                <w:color w:val="auto"/>
                <w:sz w:val="24"/>
                <w:szCs w:val="24"/>
                <w:highlight w:val="none"/>
                <w:lang w:val="en-US" w:eastAsia="zh-CN"/>
              </w:rPr>
              <w:t>）</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0"/>
              <w:gridCol w:w="1078"/>
              <w:gridCol w:w="1295"/>
              <w:gridCol w:w="4323"/>
              <w:gridCol w:w="1128"/>
            </w:tblGrid>
            <w:tr w14:paraId="3AAAC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0" w:type="dxa"/>
                  <w:shd w:val="clear" w:color="auto" w:fill="auto"/>
                  <w:vAlign w:val="center"/>
                </w:tcPr>
                <w:p w14:paraId="2FC87F5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78" w:type="dxa"/>
                  <w:shd w:val="clear" w:color="auto" w:fill="auto"/>
                  <w:vAlign w:val="center"/>
                </w:tcPr>
                <w:p w14:paraId="63851F4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1295" w:type="dxa"/>
                  <w:shd w:val="clear" w:color="auto" w:fill="auto"/>
                  <w:vAlign w:val="center"/>
                </w:tcPr>
                <w:p w14:paraId="249DFE32">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重点管理</w:t>
                  </w:r>
                </w:p>
              </w:tc>
              <w:tc>
                <w:tcPr>
                  <w:tcW w:w="4323" w:type="dxa"/>
                  <w:tcBorders>
                    <w:top w:val="single" w:color="auto" w:sz="12" w:space="0"/>
                    <w:bottom w:val="single" w:color="auto" w:sz="4" w:space="0"/>
                  </w:tcBorders>
                  <w:shd w:val="clear" w:color="auto" w:fill="auto"/>
                  <w:vAlign w:val="center"/>
                </w:tcPr>
                <w:p w14:paraId="0C1F9C90">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简化管理</w:t>
                  </w:r>
                </w:p>
              </w:tc>
              <w:tc>
                <w:tcPr>
                  <w:tcW w:w="1128" w:type="dxa"/>
                  <w:tcBorders>
                    <w:top w:val="single" w:color="auto" w:sz="12" w:space="0"/>
                    <w:bottom w:val="single" w:color="auto" w:sz="4" w:space="0"/>
                  </w:tcBorders>
                  <w:shd w:val="clear" w:color="auto" w:fill="BEBEBE" w:themeFill="background1" w:themeFillShade="BF"/>
                  <w:vAlign w:val="center"/>
                </w:tcPr>
                <w:p w14:paraId="040F4E01">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登记管理</w:t>
                  </w:r>
                </w:p>
              </w:tc>
            </w:tr>
            <w:tr w14:paraId="500E9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504" w:type="dxa"/>
                  <w:gridSpan w:val="5"/>
                  <w:tcBorders>
                    <w:top w:val="single" w:color="auto" w:sz="4" w:space="0"/>
                    <w:bottom w:val="single" w:color="auto" w:sz="4" w:space="0"/>
                  </w:tcBorders>
                  <w:shd w:val="clear" w:color="auto" w:fill="BEBEBE" w:themeFill="background1" w:themeFillShade="BF"/>
                  <w:vAlign w:val="center"/>
                </w:tcPr>
                <w:p w14:paraId="1CEABB43">
                  <w:pPr>
                    <w:adjustRightInd w:val="0"/>
                    <w:snapToGrid w:val="0"/>
                    <w:spacing w:line="340" w:lineRule="exact"/>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bCs/>
                      <w:color w:val="auto"/>
                      <w:sz w:val="21"/>
                      <w:szCs w:val="21"/>
                    </w:rPr>
                    <w:t>二十</w:t>
                  </w:r>
                  <w:r>
                    <w:rPr>
                      <w:rFonts w:hint="eastAsia" w:cs="Times New Roman"/>
                      <w:b/>
                      <w:bCs/>
                      <w:color w:val="auto"/>
                      <w:sz w:val="21"/>
                      <w:szCs w:val="21"/>
                      <w:lang w:val="en-US" w:eastAsia="zh-CN"/>
                    </w:rPr>
                    <w:t>四</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橡胶和塑料制品业29</w:t>
                  </w:r>
                </w:p>
              </w:tc>
            </w:tr>
            <w:tr w14:paraId="6FEA0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0" w:type="dxa"/>
                  <w:shd w:val="clear" w:color="auto" w:fill="auto"/>
                  <w:vAlign w:val="center"/>
                </w:tcPr>
                <w:p w14:paraId="376D59F0">
                  <w:pPr>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c>
                <w:tcPr>
                  <w:tcW w:w="1078" w:type="dxa"/>
                  <w:shd w:val="clear" w:color="auto" w:fill="auto"/>
                  <w:vAlign w:val="center"/>
                </w:tcPr>
                <w:p w14:paraId="005890D9">
                  <w:pPr>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塑料制品业292</w:t>
                  </w:r>
                </w:p>
              </w:tc>
              <w:tc>
                <w:tcPr>
                  <w:tcW w:w="1295" w:type="dxa"/>
                  <w:shd w:val="clear" w:color="auto" w:fill="auto"/>
                  <w:vAlign w:val="center"/>
                </w:tcPr>
                <w:p w14:paraId="72E0604F">
                  <w:pPr>
                    <w:spacing w:line="34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塑料人造革、合成革制造2925</w:t>
                  </w:r>
                </w:p>
              </w:tc>
              <w:tc>
                <w:tcPr>
                  <w:tcW w:w="4323" w:type="dxa"/>
                  <w:tcBorders>
                    <w:top w:val="single" w:color="auto" w:sz="4" w:space="0"/>
                    <w:bottom w:val="single" w:color="auto" w:sz="4" w:space="0"/>
                  </w:tcBorders>
                  <w:shd w:val="clear" w:color="auto" w:fill="auto"/>
                  <w:vAlign w:val="center"/>
                </w:tcPr>
                <w:p w14:paraId="76EA5B13">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val="en-US" w:eastAsia="zh-CN"/>
                    </w:rPr>
                    <w:t>年产1万吨及以上的泡沫塑料制造2924</w:t>
                  </w:r>
                  <w:r>
                    <w:rPr>
                      <w:rFonts w:hint="eastAsia" w:ascii="Times New Roman" w:hAnsi="Times New Roman" w:eastAsia="宋体" w:cs="Times New Roman"/>
                      <w:color w:val="auto"/>
                      <w:sz w:val="21"/>
                      <w:szCs w:val="21"/>
                      <w:lang w:val="en-US" w:eastAsia="zh-CN"/>
                    </w:rPr>
                    <w:t>，年产1万吨及以上涉及改性的塑料薄膜制造2921、塑料板、管、型材制造2922、塑料丝、绳和编织品制</w:t>
                  </w:r>
                  <w:r>
                    <w:rPr>
                      <w:rFonts w:hint="eastAsia" w:cs="Times New Roman"/>
                      <w:color w:val="auto"/>
                      <w:sz w:val="21"/>
                      <w:szCs w:val="21"/>
                      <w:lang w:val="en-US" w:eastAsia="zh-CN"/>
                    </w:rPr>
                    <w:t>造</w:t>
                  </w:r>
                  <w:r>
                    <w:rPr>
                      <w:rFonts w:hint="eastAsia" w:ascii="Times New Roman" w:hAnsi="Times New Roman" w:eastAsia="宋体" w:cs="Times New Roman"/>
                      <w:color w:val="auto"/>
                      <w:sz w:val="21"/>
                      <w:szCs w:val="21"/>
                      <w:lang w:val="en-US" w:eastAsia="zh-CN"/>
                    </w:rPr>
                    <w:t>2923、塑料包装箱及容器制造2926、日用塑料品制造2927、人造草坪制</w:t>
                  </w:r>
                  <w:r>
                    <w:rPr>
                      <w:rFonts w:hint="eastAsia" w:cs="Times New Roman"/>
                      <w:color w:val="auto"/>
                      <w:sz w:val="21"/>
                      <w:szCs w:val="21"/>
                      <w:lang w:val="en-US" w:eastAsia="zh-CN"/>
                    </w:rPr>
                    <w:t>造</w:t>
                  </w:r>
                  <w:r>
                    <w:rPr>
                      <w:rFonts w:hint="eastAsia" w:ascii="Times New Roman" w:hAnsi="Times New Roman" w:eastAsia="宋体" w:cs="Times New Roman"/>
                      <w:color w:val="auto"/>
                      <w:sz w:val="21"/>
                      <w:szCs w:val="21"/>
                      <w:lang w:val="en-US" w:eastAsia="zh-CN"/>
                    </w:rPr>
                    <w:t>2928、塑料零件及其他塑料制品制造2929</w:t>
                  </w:r>
                </w:p>
              </w:tc>
              <w:tc>
                <w:tcPr>
                  <w:tcW w:w="1128" w:type="dxa"/>
                  <w:tcBorders>
                    <w:top w:val="single" w:color="auto" w:sz="4" w:space="0"/>
                    <w:bottom w:val="single" w:color="auto" w:sz="4" w:space="0"/>
                  </w:tcBorders>
                  <w:shd w:val="clear" w:color="auto" w:fill="BEBEBE" w:themeFill="background1" w:themeFillShade="BF"/>
                  <w:vAlign w:val="center"/>
                </w:tcPr>
                <w:p w14:paraId="65FF86E4">
                  <w:pPr>
                    <w:adjustRightInd w:val="0"/>
                    <w:snapToGrid w:val="0"/>
                    <w:spacing w:line="340" w:lineRule="exac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其他</w:t>
                  </w:r>
                </w:p>
              </w:tc>
            </w:tr>
          </w:tbl>
          <w:p w14:paraId="1C23A5F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bookmarkEnd w:id="238"/>
            <w:bookmarkStart w:id="239" w:name="_Toc24814500"/>
            <w:r>
              <w:rPr>
                <w:rFonts w:hint="default" w:ascii="Times New Roman" w:hAnsi="Times New Roman" w:eastAsia="宋体" w:cs="Times New Roman"/>
                <w:b/>
                <w:bCs/>
                <w:color w:val="auto"/>
                <w:kern w:val="2"/>
                <w:sz w:val="24"/>
                <w:szCs w:val="24"/>
                <w:highlight w:val="none"/>
                <w:lang w:val="en-US" w:eastAsia="zh-CN" w:bidi="ar-SA"/>
              </w:rPr>
              <w:t>自主竣工环境保护验收要求</w:t>
            </w:r>
            <w:bookmarkEnd w:id="239"/>
          </w:p>
          <w:p w14:paraId="397011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根据国务院【国令第682号】《建设项目环境保护管理条例》及《建设项目竣工环境保护验收暂行办法》（国环规环评</w:t>
            </w:r>
            <w:r>
              <w:rPr>
                <w:rFonts w:hint="eastAsia" w:ascii="Times New Roman" w:hAnsi="Times New Roman" w:eastAsia="宋体" w:cs="Times New Roman"/>
                <w:color w:val="auto"/>
                <w:kern w:val="2"/>
                <w:sz w:val="24"/>
                <w:szCs w:val="24"/>
                <w:highlight w:val="none"/>
                <w:lang w:val="en-US" w:eastAsia="zh-CN" w:bidi="ar-SA"/>
              </w:rPr>
              <w:t>〔2017〕4号</w:t>
            </w:r>
            <w:r>
              <w:rPr>
                <w:rFonts w:hint="default" w:ascii="Times New Roman" w:hAnsi="Times New Roman" w:eastAsia="宋体" w:cs="Times New Roman"/>
                <w:color w:val="auto"/>
                <w:kern w:val="2"/>
                <w:sz w:val="24"/>
                <w:szCs w:val="24"/>
                <w:highlight w:val="none"/>
                <w:lang w:val="en-US" w:eastAsia="zh-CN" w:bidi="ar-SA"/>
              </w:rPr>
              <w:t>），强化建设单位环境保护主体责任，落实建设项目环境保护</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三同时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制度，规范建设项目竣工后建设单位自主开展环境保护验收的程序和标准。建设单位是建设项目竣工环境保护验收的责任主体。</w:t>
            </w:r>
          </w:p>
          <w:p w14:paraId="75CEF0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cs="Times New Roman"/>
                <w:color w:val="auto"/>
                <w:kern w:val="2"/>
                <w:sz w:val="24"/>
                <w:szCs w:val="24"/>
                <w:highlight w:val="none"/>
                <w:lang w:val="en-US" w:eastAsia="zh-CN" w:bidi="ar-SA"/>
              </w:rPr>
              <w:t>生态环境部</w:t>
            </w:r>
            <w:r>
              <w:rPr>
                <w:rFonts w:hint="default" w:ascii="Times New Roman" w:hAnsi="Times New Roman" w:eastAsia="宋体" w:cs="Times New Roman"/>
                <w:color w:val="auto"/>
                <w:kern w:val="2"/>
                <w:sz w:val="24"/>
                <w:szCs w:val="24"/>
                <w:highlight w:val="none"/>
                <w:lang w:val="en-US" w:eastAsia="zh-CN" w:bidi="ar-SA"/>
              </w:rPr>
              <w:t>《建设项目竣工环境保护验收技术指南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74F37162">
      <w:pPr>
        <w:pStyle w:val="76"/>
        <w:widowControl/>
        <w:numPr>
          <w:ilvl w:val="0"/>
          <w:numId w:val="0"/>
        </w:numPr>
        <w:adjustRightInd w:val="0"/>
        <w:snapToGrid w:val="0"/>
        <w:spacing w:before="0" w:beforeAutospacing="0" w:after="0" w:afterAutospacing="0" w:line="360" w:lineRule="auto"/>
        <w:jc w:val="center"/>
        <w:outlineLvl w:val="0"/>
        <w:rPr>
          <w:rFonts w:hint="default"/>
          <w:color w:val="auto"/>
          <w:highlight w:val="none"/>
          <w:lang w:val="en-GB"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p w14:paraId="79D59C06">
      <w:pPr>
        <w:pStyle w:val="22"/>
        <w:jc w:val="center"/>
        <w:outlineLvl w:val="0"/>
        <w:rPr>
          <w:rFonts w:ascii="Times New Roman" w:hAnsi="Times New Roman" w:eastAsia="黑体"/>
          <w:snapToGrid w:val="0"/>
          <w:color w:val="auto"/>
          <w:sz w:val="30"/>
          <w:szCs w:val="30"/>
        </w:rPr>
      </w:pPr>
      <w:bookmarkStart w:id="240" w:name="_Toc17280"/>
      <w:bookmarkStart w:id="241" w:name="_Toc12176"/>
      <w:bookmarkStart w:id="242" w:name="_Toc4252"/>
      <w:r>
        <w:rPr>
          <w:rFonts w:ascii="Times New Roman" w:hAnsi="Times New Roman" w:eastAsia="黑体"/>
          <w:snapToGrid w:val="0"/>
          <w:color w:val="auto"/>
          <w:sz w:val="30"/>
          <w:szCs w:val="30"/>
        </w:rPr>
        <w:t>六、结论</w:t>
      </w:r>
      <w:bookmarkEnd w:id="240"/>
      <w:bookmarkEnd w:id="241"/>
      <w:bookmarkEnd w:id="24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AD93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4C96DE39">
            <w:pPr>
              <w:spacing w:line="360" w:lineRule="auto"/>
              <w:rPr>
                <w:b/>
                <w:bCs/>
                <w:color w:val="auto"/>
                <w:sz w:val="28"/>
                <w:szCs w:val="28"/>
              </w:rPr>
            </w:pPr>
            <w:r>
              <w:rPr>
                <w:b/>
                <w:bCs/>
                <w:color w:val="auto"/>
                <w:sz w:val="28"/>
                <w:szCs w:val="28"/>
              </w:rPr>
              <w:t>6.1总结论</w:t>
            </w:r>
          </w:p>
          <w:p w14:paraId="23ED5480">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位于</w:t>
            </w:r>
            <w:r>
              <w:rPr>
                <w:rFonts w:hint="eastAsia" w:cs="Times New Roman"/>
                <w:color w:val="auto"/>
                <w:sz w:val="24"/>
                <w:szCs w:val="24"/>
                <w:highlight w:val="none"/>
                <w:u w:val="none"/>
                <w:lang w:val="en-US" w:eastAsia="zh-CN"/>
              </w:rPr>
              <w:t>江阴港城经济区福建力峰机械实业有限公司</w:t>
            </w:r>
            <w:r>
              <w:rPr>
                <w:rFonts w:hint="default" w:ascii="Times New Roman" w:hAnsi="Times New Roman" w:eastAsia="宋体" w:cs="Times New Roman"/>
                <w:color w:val="auto"/>
                <w:sz w:val="24"/>
                <w:szCs w:val="24"/>
                <w:highlight w:val="none"/>
                <w:u w:val="none"/>
                <w:lang w:val="en-US" w:eastAsia="zh-CN"/>
              </w:rPr>
              <w:t>（租赁福建力峰机械实业有限公司2号金属配件车间、1号组装车间）</w:t>
            </w:r>
            <w:r>
              <w:rPr>
                <w:rFonts w:hint="default" w:ascii="Times New Roman" w:hAnsi="Times New Roman" w:eastAsia="宋体" w:cs="Times New Roman"/>
                <w:color w:val="auto"/>
                <w:sz w:val="24"/>
                <w:lang w:val="en-US" w:eastAsia="zh-CN"/>
              </w:rPr>
              <w:t>，项目主要</w:t>
            </w:r>
            <w:r>
              <w:rPr>
                <w:rFonts w:hint="default" w:ascii="Times New Roman" w:hAnsi="Times New Roman" w:eastAsia="宋体" w:cs="Times New Roman"/>
                <w:color w:val="auto"/>
                <w:sz w:val="24"/>
                <w:szCs w:val="24"/>
                <w:highlight w:val="none"/>
                <w:u w:val="none"/>
                <w:lang w:val="en-US" w:eastAsia="zh-CN"/>
              </w:rPr>
              <w:t>从事包装材料、泡沫塑料、塑料制品生产、销售等相关业务。</w:t>
            </w:r>
            <w:r>
              <w:rPr>
                <w:rFonts w:hint="default" w:ascii="Times New Roman" w:hAnsi="Times New Roman" w:eastAsia="宋体" w:cs="Times New Roman"/>
                <w:color w:val="auto"/>
                <w:sz w:val="24"/>
                <w:lang w:val="en-US" w:eastAsia="zh-CN"/>
              </w:rPr>
              <w:t>建设符合国家相关产业政策、符合</w:t>
            </w:r>
            <w:r>
              <w:rPr>
                <w:rFonts w:hint="default" w:ascii="Times New Roman" w:hAnsi="Times New Roman" w:eastAsia="宋体" w:cs="Times New Roman"/>
                <w:b w:val="0"/>
                <w:color w:val="auto"/>
                <w:kern w:val="0"/>
                <w:sz w:val="24"/>
                <w:szCs w:val="24"/>
                <w:u w:val="none"/>
                <w:lang w:val="en-US" w:eastAsia="zh-CN" w:bidi="ar"/>
              </w:rPr>
              <w:t>《福州江阴港城总体规划（2018-2035）》</w:t>
            </w:r>
            <w:r>
              <w:rPr>
                <w:rFonts w:hint="default" w:ascii="Times New Roman" w:hAnsi="Times New Roman" w:eastAsia="宋体" w:cs="Times New Roman"/>
                <w:color w:val="auto"/>
                <w:sz w:val="24"/>
                <w:lang w:val="en-US" w:eastAsia="zh-CN"/>
              </w:rPr>
              <w:t>中的相关要求。符合“三线一单”以及生态环境分区管控控制要求，选址可行。经采取综合性、积极有效的防治措施并确保污染物达标排放后，可避免或减少这些不利影响，使这些不利影响均在可接受范围内。</w:t>
            </w:r>
            <w:r>
              <w:rPr>
                <w:rFonts w:hint="default" w:ascii="Times New Roman" w:hAnsi="Times New Roman" w:eastAsia="宋体" w:cs="Times New Roman"/>
                <w:color w:val="auto"/>
                <w:sz w:val="24"/>
                <w:szCs w:val="24"/>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44C4D557">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综上所述，在认真执行建设项目</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三同时</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制度，切实落实各项规划方案的要求，完成本次环境影响评价提出的各项污染防治措施</w:t>
            </w:r>
            <w:r>
              <w:rPr>
                <w:rFonts w:hint="default" w:ascii="Times New Roman" w:hAnsi="Times New Roman" w:eastAsia="宋体" w:cs="Times New Roman"/>
                <w:b w:val="0"/>
                <w:bCs w:val="0"/>
                <w:color w:val="auto"/>
                <w:sz w:val="24"/>
                <w:lang w:eastAsia="zh-CN"/>
              </w:rPr>
              <w:t>，在</w:t>
            </w:r>
            <w:r>
              <w:rPr>
                <w:rFonts w:hint="default" w:ascii="Times New Roman" w:hAnsi="Times New Roman" w:eastAsia="宋体" w:cs="Times New Roman"/>
                <w:b w:val="0"/>
                <w:bCs w:val="0"/>
                <w:color w:val="auto"/>
                <w:sz w:val="24"/>
              </w:rPr>
              <w:t>严格落实各项生态环境保护和污染防治措施后，确保各污染物达标排放，对周围的环境影响较小。从环</w:t>
            </w:r>
            <w:r>
              <w:rPr>
                <w:rFonts w:hint="default" w:ascii="Times New Roman" w:hAnsi="Times New Roman" w:eastAsia="宋体" w:cs="Times New Roman"/>
                <w:color w:val="auto"/>
                <w:sz w:val="24"/>
              </w:rPr>
              <w:t>境</w:t>
            </w:r>
            <w:r>
              <w:rPr>
                <w:rFonts w:hint="default" w:ascii="Times New Roman" w:hAnsi="Times New Roman" w:eastAsia="宋体" w:cs="Times New Roman"/>
                <w:color w:val="auto"/>
                <w:sz w:val="24"/>
                <w:lang w:val="en-US" w:eastAsia="zh-CN"/>
              </w:rPr>
              <w:t>影响</w:t>
            </w:r>
            <w:r>
              <w:rPr>
                <w:rFonts w:hint="default" w:ascii="Times New Roman" w:hAnsi="Times New Roman" w:eastAsia="宋体" w:cs="Times New Roman"/>
                <w:color w:val="auto"/>
                <w:sz w:val="24"/>
              </w:rPr>
              <w:t>角度分析，该项目的建设是可行的。</w:t>
            </w:r>
          </w:p>
          <w:p w14:paraId="20F92617">
            <w:pPr>
              <w:spacing w:line="360" w:lineRule="auto"/>
              <w:ind w:firstLine="482" w:firstLineChars="200"/>
              <w:rPr>
                <w:b/>
                <w:bCs/>
                <w:color w:val="auto"/>
                <w:sz w:val="24"/>
              </w:rPr>
            </w:pPr>
          </w:p>
          <w:p w14:paraId="5669BF3E">
            <w:pPr>
              <w:spacing w:line="360" w:lineRule="auto"/>
              <w:ind w:firstLine="482" w:firstLineChars="200"/>
              <w:jc w:val="right"/>
              <w:rPr>
                <w:rFonts w:hint="default" w:eastAsia="宋体"/>
                <w:b/>
                <w:bCs/>
                <w:color w:val="auto"/>
                <w:sz w:val="24"/>
                <w:lang w:val="en-US" w:eastAsia="zh-CN"/>
              </w:rPr>
            </w:pPr>
          </w:p>
          <w:p w14:paraId="411302FA">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color w:val="auto"/>
                <w:sz w:val="24"/>
                <w:highlight w:val="none"/>
                <w:lang w:val="en-US" w:eastAsia="zh-CN"/>
              </w:rPr>
            </w:pPr>
            <w:r>
              <w:rPr>
                <w:rFonts w:hint="eastAsia"/>
                <w:b w:val="0"/>
                <w:bCs w:val="0"/>
                <w:color w:val="auto"/>
                <w:sz w:val="24"/>
                <w:highlight w:val="none"/>
                <w:lang w:val="en-US" w:eastAsia="zh-CN"/>
              </w:rPr>
              <w:t>福州朴诚至信环保科技有限公司</w:t>
            </w:r>
          </w:p>
          <w:p w14:paraId="58547A9E">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color w:val="auto"/>
                <w:sz w:val="24"/>
                <w:highlight w:val="none"/>
                <w:lang w:val="en-US" w:eastAsia="zh-CN"/>
              </w:rPr>
            </w:pPr>
            <w:r>
              <w:rPr>
                <w:b w:val="0"/>
                <w:bCs w:val="0"/>
                <w:color w:val="auto"/>
                <w:sz w:val="24"/>
                <w:highlight w:val="none"/>
              </w:rPr>
              <w:t>202</w:t>
            </w:r>
            <w:r>
              <w:rPr>
                <w:rFonts w:hint="eastAsia"/>
                <w:b w:val="0"/>
                <w:bCs w:val="0"/>
                <w:color w:val="auto"/>
                <w:sz w:val="24"/>
                <w:highlight w:val="none"/>
                <w:lang w:val="en-US" w:eastAsia="zh-CN"/>
              </w:rPr>
              <w:t>6</w:t>
            </w:r>
            <w:r>
              <w:rPr>
                <w:b w:val="0"/>
                <w:bCs w:val="0"/>
                <w:color w:val="auto"/>
                <w:sz w:val="24"/>
                <w:highlight w:val="none"/>
              </w:rPr>
              <w:t>年</w:t>
            </w:r>
            <w:r>
              <w:rPr>
                <w:rFonts w:hint="eastAsia"/>
                <w:b w:val="0"/>
                <w:bCs w:val="0"/>
                <w:color w:val="auto"/>
                <w:sz w:val="24"/>
                <w:highlight w:val="none"/>
                <w:lang w:val="en-US" w:eastAsia="zh-CN"/>
              </w:rPr>
              <w:t>3</w:t>
            </w:r>
            <w:r>
              <w:rPr>
                <w:b w:val="0"/>
                <w:bCs w:val="0"/>
                <w:color w:val="auto"/>
                <w:sz w:val="24"/>
                <w:highlight w:val="none"/>
              </w:rPr>
              <w:t>月</w:t>
            </w:r>
            <w:r>
              <w:rPr>
                <w:rFonts w:hint="eastAsia"/>
                <w:b w:val="0"/>
                <w:bCs w:val="0"/>
                <w:color w:val="auto"/>
                <w:sz w:val="24"/>
                <w:highlight w:val="none"/>
                <w:lang w:val="en-US" w:eastAsia="zh-CN"/>
              </w:rPr>
              <w:t xml:space="preserve">       </w:t>
            </w:r>
          </w:p>
          <w:p w14:paraId="01F9BB8C">
            <w:pPr>
              <w:keepNext w:val="0"/>
              <w:keepLines w:val="0"/>
              <w:pageBreakBefore w:val="0"/>
              <w:widowControl w:val="0"/>
              <w:kinsoku/>
              <w:overflowPunct/>
              <w:topLinePunct w:val="0"/>
              <w:autoSpaceDE/>
              <w:autoSpaceDN/>
              <w:bidi w:val="0"/>
              <w:adjustRightInd/>
              <w:snapToGrid/>
              <w:spacing w:line="480" w:lineRule="auto"/>
              <w:ind w:firstLine="482" w:firstLineChars="200"/>
              <w:textAlignment w:val="auto"/>
              <w:rPr>
                <w:b/>
                <w:bCs/>
                <w:color w:val="auto"/>
                <w:sz w:val="24"/>
                <w:highlight w:val="none"/>
              </w:rPr>
            </w:pPr>
          </w:p>
          <w:p w14:paraId="4448CC7F">
            <w:pPr>
              <w:spacing w:line="360" w:lineRule="auto"/>
              <w:ind w:firstLine="482" w:firstLineChars="200"/>
              <w:rPr>
                <w:b/>
                <w:bCs/>
                <w:color w:val="auto"/>
                <w:sz w:val="24"/>
              </w:rPr>
            </w:pPr>
          </w:p>
          <w:p w14:paraId="67EC127E">
            <w:pPr>
              <w:spacing w:line="360" w:lineRule="auto"/>
              <w:ind w:firstLine="482" w:firstLineChars="200"/>
              <w:rPr>
                <w:b/>
                <w:bCs/>
                <w:color w:val="auto"/>
                <w:sz w:val="24"/>
              </w:rPr>
            </w:pPr>
          </w:p>
          <w:p w14:paraId="02820C61">
            <w:pPr>
              <w:spacing w:line="360" w:lineRule="auto"/>
              <w:ind w:firstLine="482" w:firstLineChars="200"/>
              <w:rPr>
                <w:b/>
                <w:bCs/>
                <w:color w:val="auto"/>
                <w:sz w:val="24"/>
              </w:rPr>
            </w:pPr>
          </w:p>
          <w:p w14:paraId="0C67ECE4">
            <w:pPr>
              <w:spacing w:line="360" w:lineRule="auto"/>
              <w:rPr>
                <w:color w:val="auto"/>
                <w:sz w:val="24"/>
              </w:rPr>
            </w:pPr>
          </w:p>
        </w:tc>
      </w:tr>
    </w:tbl>
    <w:p w14:paraId="76C4A6A0">
      <w:pPr>
        <w:rPr>
          <w:rFonts w:hint="eastAsia"/>
          <w:b/>
          <w:bCs/>
          <w:color w:val="auto"/>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p w14:paraId="03C36563">
      <w:pPr>
        <w:pStyle w:val="22"/>
        <w:adjustRightInd w:val="0"/>
        <w:snapToGrid w:val="0"/>
        <w:spacing w:before="120" w:beforeLines="50" w:beforeAutospacing="0" w:after="0" w:afterAutospacing="0"/>
        <w:jc w:val="both"/>
        <w:outlineLvl w:val="0"/>
        <w:rPr>
          <w:rFonts w:ascii="Times New Roman" w:hAnsi="Times New Roman" w:eastAsia="方正小标宋_GBK"/>
          <w:snapToGrid w:val="0"/>
          <w:color w:val="auto"/>
          <w:sz w:val="38"/>
          <w:szCs w:val="38"/>
        </w:rPr>
      </w:pPr>
      <w:bookmarkStart w:id="243" w:name="_Toc7093"/>
      <w:bookmarkStart w:id="244" w:name="_Toc21269"/>
      <w:bookmarkStart w:id="245" w:name="_Toc1015"/>
      <w:r>
        <w:rPr>
          <w:color w:val="auto"/>
        </w:rPr>
        <w:drawing>
          <wp:anchor distT="0" distB="0" distL="114300" distR="114300" simplePos="0" relativeHeight="251667456" behindDoc="0" locked="0" layoutInCell="1" allowOverlap="1">
            <wp:simplePos x="0" y="0"/>
            <wp:positionH relativeFrom="column">
              <wp:posOffset>-448945</wp:posOffset>
            </wp:positionH>
            <wp:positionV relativeFrom="paragraph">
              <wp:posOffset>-206375</wp:posOffset>
            </wp:positionV>
            <wp:extent cx="10021570" cy="6000750"/>
            <wp:effectExtent l="0" t="0" r="17780" b="0"/>
            <wp:wrapNone/>
            <wp:docPr id="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
                    <pic:cNvPicPr>
                      <a:picLocks noChangeAspect="1"/>
                    </pic:cNvPicPr>
                  </pic:nvPicPr>
                  <pic:blipFill>
                    <a:blip r:embed="rId49"/>
                    <a:stretch>
                      <a:fillRect/>
                    </a:stretch>
                  </pic:blipFill>
                  <pic:spPr>
                    <a:xfrm>
                      <a:off x="0" y="0"/>
                      <a:ext cx="10021570" cy="6000750"/>
                    </a:xfrm>
                    <a:prstGeom prst="rect">
                      <a:avLst/>
                    </a:prstGeom>
                    <a:noFill/>
                    <a:ln>
                      <a:noFill/>
                    </a:ln>
                  </pic:spPr>
                </pic:pic>
              </a:graphicData>
            </a:graphic>
          </wp:anchor>
        </w:drawing>
      </w:r>
      <w:r>
        <w:rPr>
          <w:rFonts w:ascii="Times New Roman" w:hAnsi="Times New Roman" w:eastAsia="方正小标宋_GBK"/>
          <w:b/>
          <w:bCs/>
          <w:snapToGrid w:val="0"/>
          <w:color w:val="auto"/>
          <w:sz w:val="38"/>
          <w:szCs w:val="38"/>
        </w:rPr>
        <w:t>附</w:t>
      </w:r>
      <w:r>
        <w:rPr>
          <w:rFonts w:ascii="Times New Roman" w:hAnsi="Times New Roman" w:eastAsia="方正小标宋_GBK" w:cs="Times New Roman"/>
          <w:b/>
          <w:bCs/>
          <w:snapToGrid w:val="0"/>
          <w:color w:val="auto"/>
          <w:sz w:val="38"/>
          <w:szCs w:val="38"/>
        </w:rPr>
        <w:t>表</w:t>
      </w:r>
      <w:bookmarkEnd w:id="243"/>
      <w:bookmarkEnd w:id="244"/>
      <w:bookmarkEnd w:id="245"/>
    </w:p>
    <w:p w14:paraId="4F63F605">
      <w:pPr>
        <w:pStyle w:val="22"/>
        <w:adjustRightInd w:val="0"/>
        <w:snapToGrid w:val="0"/>
        <w:spacing w:before="0" w:beforeLines="0" w:beforeAutospacing="0" w:after="0" w:afterLines="0" w:afterAutospacing="0"/>
        <w:jc w:val="center"/>
        <w:outlineLvl w:val="0"/>
        <w:rPr>
          <w:rFonts w:ascii="Times New Roman" w:hAnsi="Times New Roman" w:eastAsia="方正小标宋_GBK"/>
          <w:snapToGrid w:val="0"/>
          <w:color w:val="auto"/>
          <w:sz w:val="38"/>
          <w:szCs w:val="38"/>
        </w:rPr>
      </w:pPr>
      <w:bookmarkStart w:id="246" w:name="_Toc13012"/>
      <w:bookmarkStart w:id="247" w:name="_Toc96"/>
      <w:bookmarkStart w:id="248" w:name="_Toc25545"/>
      <w:bookmarkStart w:id="249" w:name="_Toc17929"/>
      <w:r>
        <w:rPr>
          <w:rFonts w:ascii="Times New Roman" w:hAnsi="Times New Roman" w:eastAsia="方正小标宋_GBK"/>
          <w:snapToGrid w:val="0"/>
          <w:color w:val="auto"/>
          <w:sz w:val="38"/>
          <w:szCs w:val="38"/>
        </w:rPr>
        <w:t>建设项目污染物排放量汇总表</w:t>
      </w:r>
      <w:bookmarkEnd w:id="246"/>
      <w:bookmarkEnd w:id="247"/>
      <w:bookmarkEnd w:id="248"/>
      <w:bookmarkEnd w:id="249"/>
    </w:p>
    <w:tbl>
      <w:tblPr>
        <w:tblStyle w:val="23"/>
        <w:tblW w:w="140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3030"/>
        <w:gridCol w:w="1436"/>
        <w:gridCol w:w="1150"/>
        <w:gridCol w:w="1450"/>
        <w:gridCol w:w="1500"/>
        <w:gridCol w:w="1667"/>
        <w:gridCol w:w="1633"/>
        <w:gridCol w:w="989"/>
      </w:tblGrid>
      <w:tr w14:paraId="591AB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29" w:type="dxa"/>
            <w:tcBorders>
              <w:tl2br w:val="single" w:color="auto" w:sz="4" w:space="0"/>
            </w:tcBorders>
            <w:noWrap w:val="0"/>
            <w:tcMar>
              <w:left w:w="28" w:type="dxa"/>
              <w:right w:w="28" w:type="dxa"/>
            </w:tcMar>
            <w:vAlign w:val="center"/>
          </w:tcPr>
          <w:p w14:paraId="7EE2A71E">
            <w:pPr>
              <w:pStyle w:val="78"/>
              <w:bidi w:val="0"/>
              <w:jc w:val="right"/>
              <w:rPr>
                <w:color w:val="auto"/>
              </w:rPr>
            </w:pPr>
            <w:r>
              <w:rPr>
                <w:color w:val="auto"/>
              </w:rPr>
              <w:t>项目</w:t>
            </w:r>
          </w:p>
          <w:p w14:paraId="4F4375E2">
            <w:pPr>
              <w:pStyle w:val="78"/>
              <w:bidi w:val="0"/>
              <w:jc w:val="left"/>
              <w:rPr>
                <w:color w:val="auto"/>
              </w:rPr>
            </w:pPr>
            <w:r>
              <w:rPr>
                <w:color w:val="auto"/>
              </w:rPr>
              <w:t>分类</w:t>
            </w:r>
          </w:p>
        </w:tc>
        <w:tc>
          <w:tcPr>
            <w:tcW w:w="3030" w:type="dxa"/>
            <w:noWrap w:val="0"/>
            <w:tcMar>
              <w:left w:w="28" w:type="dxa"/>
              <w:right w:w="28" w:type="dxa"/>
            </w:tcMar>
            <w:vAlign w:val="center"/>
          </w:tcPr>
          <w:p w14:paraId="33A94768">
            <w:pPr>
              <w:pStyle w:val="78"/>
              <w:bidi w:val="0"/>
              <w:rPr>
                <w:color w:val="auto"/>
              </w:rPr>
            </w:pPr>
            <w:r>
              <w:rPr>
                <w:color w:val="auto"/>
              </w:rPr>
              <w:t>污染物名称</w:t>
            </w:r>
          </w:p>
        </w:tc>
        <w:tc>
          <w:tcPr>
            <w:tcW w:w="1436" w:type="dxa"/>
            <w:noWrap w:val="0"/>
            <w:tcMar>
              <w:left w:w="28" w:type="dxa"/>
              <w:right w:w="28" w:type="dxa"/>
            </w:tcMar>
            <w:vAlign w:val="center"/>
          </w:tcPr>
          <w:p w14:paraId="699274D9">
            <w:pPr>
              <w:pStyle w:val="78"/>
              <w:bidi w:val="0"/>
              <w:rPr>
                <w:color w:val="auto"/>
              </w:rPr>
            </w:pPr>
            <w:r>
              <w:rPr>
                <w:color w:val="auto"/>
              </w:rPr>
              <w:t>现有工程</w:t>
            </w:r>
          </w:p>
          <w:p w14:paraId="744AD8E6">
            <w:pPr>
              <w:pStyle w:val="78"/>
              <w:bidi w:val="0"/>
              <w:rPr>
                <w:color w:val="auto"/>
              </w:rPr>
            </w:pPr>
            <w:r>
              <w:rPr>
                <w:color w:val="auto"/>
              </w:rPr>
              <w:t>排放量（固体废物产生量）</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tc>
        <w:tc>
          <w:tcPr>
            <w:tcW w:w="1150" w:type="dxa"/>
            <w:noWrap w:val="0"/>
            <w:tcMar>
              <w:left w:w="28" w:type="dxa"/>
              <w:right w:w="28" w:type="dxa"/>
            </w:tcMar>
            <w:vAlign w:val="center"/>
          </w:tcPr>
          <w:p w14:paraId="32C19947">
            <w:pPr>
              <w:pStyle w:val="78"/>
              <w:bidi w:val="0"/>
              <w:rPr>
                <w:color w:val="auto"/>
              </w:rPr>
            </w:pPr>
            <w:r>
              <w:rPr>
                <w:color w:val="auto"/>
              </w:rPr>
              <w:t>现有工程</w:t>
            </w:r>
          </w:p>
          <w:p w14:paraId="3F624E35">
            <w:pPr>
              <w:pStyle w:val="78"/>
              <w:bidi w:val="0"/>
              <w:rPr>
                <w:color w:val="auto"/>
              </w:rPr>
            </w:pPr>
            <w:r>
              <w:rPr>
                <w:color w:val="auto"/>
              </w:rPr>
              <w:t>许可排放量</w:t>
            </w:r>
          </w:p>
          <w:p w14:paraId="52AC24BD">
            <w:pPr>
              <w:pStyle w:val="78"/>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p>
        </w:tc>
        <w:tc>
          <w:tcPr>
            <w:tcW w:w="1450" w:type="dxa"/>
            <w:noWrap w:val="0"/>
            <w:tcMar>
              <w:left w:w="28" w:type="dxa"/>
              <w:right w:w="28" w:type="dxa"/>
            </w:tcMar>
            <w:vAlign w:val="center"/>
          </w:tcPr>
          <w:p w14:paraId="74B38EE3">
            <w:pPr>
              <w:pStyle w:val="78"/>
              <w:bidi w:val="0"/>
              <w:rPr>
                <w:color w:val="auto"/>
              </w:rPr>
            </w:pPr>
            <w:r>
              <w:rPr>
                <w:color w:val="auto"/>
              </w:rPr>
              <w:t>在建工程</w:t>
            </w:r>
          </w:p>
          <w:p w14:paraId="7A583D09">
            <w:pPr>
              <w:pStyle w:val="78"/>
              <w:bidi w:val="0"/>
              <w:rPr>
                <w:color w:val="auto"/>
              </w:rPr>
            </w:pPr>
            <w:r>
              <w:rPr>
                <w:color w:val="auto"/>
              </w:rPr>
              <w:t>排放量（固体废物产生量）</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p>
        </w:tc>
        <w:tc>
          <w:tcPr>
            <w:tcW w:w="1500" w:type="dxa"/>
            <w:noWrap w:val="0"/>
            <w:tcMar>
              <w:left w:w="28" w:type="dxa"/>
              <w:right w:w="28" w:type="dxa"/>
            </w:tcMar>
            <w:vAlign w:val="center"/>
          </w:tcPr>
          <w:p w14:paraId="785CA085">
            <w:pPr>
              <w:pStyle w:val="78"/>
              <w:bidi w:val="0"/>
              <w:rPr>
                <w:color w:val="auto"/>
              </w:rPr>
            </w:pPr>
            <w:r>
              <w:rPr>
                <w:color w:val="auto"/>
              </w:rPr>
              <w:t>本项目</w:t>
            </w:r>
          </w:p>
          <w:p w14:paraId="435541D9">
            <w:pPr>
              <w:pStyle w:val="78"/>
              <w:bidi w:val="0"/>
              <w:rPr>
                <w:color w:val="auto"/>
              </w:rPr>
            </w:pPr>
            <w:r>
              <w:rPr>
                <w:color w:val="auto"/>
              </w:rPr>
              <w:t>排放量（固体废物产生量）</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p>
        </w:tc>
        <w:tc>
          <w:tcPr>
            <w:tcW w:w="1667" w:type="dxa"/>
            <w:noWrap w:val="0"/>
            <w:tcMar>
              <w:left w:w="28" w:type="dxa"/>
              <w:right w:w="28" w:type="dxa"/>
            </w:tcMar>
            <w:vAlign w:val="center"/>
          </w:tcPr>
          <w:p w14:paraId="6E518270">
            <w:pPr>
              <w:pStyle w:val="78"/>
              <w:bidi w:val="0"/>
              <w:rPr>
                <w:color w:val="auto"/>
              </w:rPr>
            </w:pPr>
            <w:r>
              <w:rPr>
                <w:color w:val="auto"/>
              </w:rPr>
              <w:t>以新带老削减量</w:t>
            </w:r>
          </w:p>
          <w:p w14:paraId="3C1DD6B0">
            <w:pPr>
              <w:pStyle w:val="78"/>
              <w:bidi w:val="0"/>
              <w:rPr>
                <w:color w:val="auto"/>
              </w:rPr>
            </w:pPr>
            <w:r>
              <w:rPr>
                <w:color w:val="auto"/>
              </w:rPr>
              <w:t>（新建项目不填）</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p>
        </w:tc>
        <w:tc>
          <w:tcPr>
            <w:tcW w:w="1633" w:type="dxa"/>
            <w:noWrap w:val="0"/>
            <w:tcMar>
              <w:left w:w="28" w:type="dxa"/>
              <w:right w:w="28" w:type="dxa"/>
            </w:tcMar>
            <w:vAlign w:val="center"/>
          </w:tcPr>
          <w:p w14:paraId="39F4EAB2">
            <w:pPr>
              <w:pStyle w:val="78"/>
              <w:bidi w:val="0"/>
              <w:rPr>
                <w:color w:val="auto"/>
              </w:rPr>
            </w:pPr>
            <w:r>
              <w:rPr>
                <w:color w:val="auto"/>
              </w:rPr>
              <w:t>本项目建成后</w:t>
            </w:r>
          </w:p>
          <w:p w14:paraId="065AE30C">
            <w:pPr>
              <w:pStyle w:val="78"/>
              <w:bidi w:val="0"/>
              <w:rPr>
                <w:color w:val="auto"/>
              </w:rPr>
            </w:pPr>
            <w:r>
              <w:rPr>
                <w:color w:val="auto"/>
              </w:rPr>
              <w:t>全厂排放量（固体废物产生量）</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p>
        </w:tc>
        <w:tc>
          <w:tcPr>
            <w:tcW w:w="989" w:type="dxa"/>
            <w:noWrap w:val="0"/>
            <w:tcMar>
              <w:left w:w="28" w:type="dxa"/>
              <w:right w:w="28" w:type="dxa"/>
            </w:tcMar>
            <w:vAlign w:val="center"/>
          </w:tcPr>
          <w:p w14:paraId="79B06125">
            <w:pPr>
              <w:pStyle w:val="78"/>
              <w:bidi w:val="0"/>
              <w:rPr>
                <w:color w:val="auto"/>
              </w:rPr>
            </w:pPr>
            <w:r>
              <w:rPr>
                <w:color w:val="auto"/>
              </w:rPr>
              <w:t>变化量</w:t>
            </w:r>
          </w:p>
          <w:p w14:paraId="570FF7B2">
            <w:pPr>
              <w:pStyle w:val="78"/>
              <w:bidi w:val="0"/>
              <w:rPr>
                <w:color w:val="auto"/>
              </w:rPr>
            </w:pP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p>
        </w:tc>
      </w:tr>
      <w:tr w14:paraId="49316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vMerge w:val="restart"/>
            <w:noWrap w:val="0"/>
            <w:vAlign w:val="center"/>
          </w:tcPr>
          <w:p w14:paraId="6F2F14AF">
            <w:pPr>
              <w:pStyle w:val="78"/>
              <w:bidi w:val="0"/>
              <w:rPr>
                <w:rFonts w:hint="eastAsia"/>
                <w:color w:val="auto"/>
                <w:lang w:val="en-US" w:eastAsia="zh-CN"/>
              </w:rPr>
            </w:pPr>
            <w:r>
              <w:rPr>
                <w:rFonts w:hint="eastAsia"/>
                <w:color w:val="auto"/>
                <w:lang w:val="en-US" w:eastAsia="zh-CN"/>
              </w:rPr>
              <w:t>废气</w:t>
            </w:r>
          </w:p>
        </w:tc>
        <w:tc>
          <w:tcPr>
            <w:tcW w:w="3030" w:type="dxa"/>
            <w:noWrap w:val="0"/>
            <w:vAlign w:val="center"/>
          </w:tcPr>
          <w:p w14:paraId="5156E3D0">
            <w:pPr>
              <w:pStyle w:val="78"/>
              <w:bidi w:val="0"/>
              <w:rPr>
                <w:rFonts w:hint="eastAsia" w:eastAsia="宋体"/>
                <w:color w:val="auto"/>
                <w:highlight w:val="none"/>
                <w:lang w:eastAsia="zh-CN"/>
              </w:rPr>
            </w:pPr>
            <w:r>
              <w:rPr>
                <w:rFonts w:hint="eastAsia"/>
                <w:color w:val="auto"/>
                <w:highlight w:val="none"/>
                <w:lang w:val="en-US" w:eastAsia="zh-CN"/>
              </w:rPr>
              <w:t>挥发性有机物</w:t>
            </w:r>
            <w:r>
              <w:rPr>
                <w:rFonts w:hint="eastAsia"/>
                <w:color w:val="auto"/>
                <w:highlight w:val="none"/>
                <w:lang w:eastAsia="zh-CN"/>
              </w:rPr>
              <w:t>（</w:t>
            </w:r>
            <w:r>
              <w:rPr>
                <w:color w:val="auto"/>
                <w:highlight w:val="none"/>
              </w:rPr>
              <w:t>t/a</w:t>
            </w:r>
            <w:r>
              <w:rPr>
                <w:rFonts w:hint="eastAsia"/>
                <w:color w:val="auto"/>
                <w:highlight w:val="none"/>
                <w:lang w:eastAsia="zh-CN"/>
              </w:rPr>
              <w:t>）</w:t>
            </w:r>
          </w:p>
        </w:tc>
        <w:tc>
          <w:tcPr>
            <w:tcW w:w="1436" w:type="dxa"/>
            <w:shd w:val="clear" w:color="auto" w:fill="auto"/>
            <w:noWrap w:val="0"/>
            <w:vAlign w:val="center"/>
          </w:tcPr>
          <w:p w14:paraId="529AF884">
            <w:pPr>
              <w:pStyle w:val="78"/>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0.038</w:t>
            </w:r>
          </w:p>
        </w:tc>
        <w:tc>
          <w:tcPr>
            <w:tcW w:w="1150" w:type="dxa"/>
            <w:shd w:val="clear" w:color="auto" w:fill="auto"/>
            <w:noWrap w:val="0"/>
            <w:vAlign w:val="center"/>
          </w:tcPr>
          <w:p w14:paraId="154382E3">
            <w:pPr>
              <w:pStyle w:val="78"/>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w:t>
            </w:r>
          </w:p>
        </w:tc>
        <w:tc>
          <w:tcPr>
            <w:tcW w:w="1450" w:type="dxa"/>
            <w:shd w:val="clear" w:color="auto" w:fill="auto"/>
            <w:noWrap w:val="0"/>
            <w:vAlign w:val="center"/>
          </w:tcPr>
          <w:p w14:paraId="44EBE297">
            <w:pPr>
              <w:pStyle w:val="78"/>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w:t>
            </w:r>
          </w:p>
        </w:tc>
        <w:tc>
          <w:tcPr>
            <w:tcW w:w="1500" w:type="dxa"/>
            <w:shd w:val="clear" w:color="auto" w:fill="auto"/>
            <w:noWrap w:val="0"/>
            <w:vAlign w:val="center"/>
          </w:tcPr>
          <w:p w14:paraId="2ADB97EF">
            <w:pPr>
              <w:pStyle w:val="78"/>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1.0304</w:t>
            </w:r>
          </w:p>
        </w:tc>
        <w:tc>
          <w:tcPr>
            <w:tcW w:w="1667" w:type="dxa"/>
            <w:noWrap w:val="0"/>
            <w:vAlign w:val="center"/>
          </w:tcPr>
          <w:p w14:paraId="6E42D6DC">
            <w:pPr>
              <w:pStyle w:val="78"/>
              <w:bidi w:val="0"/>
              <w:rPr>
                <w:rFonts w:hint="default" w:eastAsia="宋体"/>
                <w:color w:val="auto"/>
                <w:highlight w:val="none"/>
                <w:lang w:val="en-US" w:eastAsia="zh-CN"/>
              </w:rPr>
            </w:pPr>
            <w:r>
              <w:rPr>
                <w:rFonts w:hint="eastAsia"/>
                <w:color w:val="auto"/>
                <w:highlight w:val="none"/>
                <w:lang w:val="en-US" w:eastAsia="zh-CN"/>
              </w:rPr>
              <w:t>0.029</w:t>
            </w:r>
          </w:p>
        </w:tc>
        <w:tc>
          <w:tcPr>
            <w:tcW w:w="1633" w:type="dxa"/>
            <w:shd w:val="clear" w:color="auto" w:fill="auto"/>
            <w:noWrap w:val="0"/>
            <w:vAlign w:val="center"/>
          </w:tcPr>
          <w:p w14:paraId="0E307F21">
            <w:pPr>
              <w:pStyle w:val="78"/>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1.0394</w:t>
            </w:r>
          </w:p>
        </w:tc>
        <w:tc>
          <w:tcPr>
            <w:tcW w:w="989" w:type="dxa"/>
            <w:shd w:val="clear" w:color="auto" w:fill="auto"/>
            <w:noWrap w:val="0"/>
            <w:vAlign w:val="center"/>
          </w:tcPr>
          <w:p w14:paraId="0CF7DCE8">
            <w:pPr>
              <w:pStyle w:val="78"/>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+1.0014</w:t>
            </w:r>
          </w:p>
        </w:tc>
      </w:tr>
      <w:tr w14:paraId="2A22D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vMerge w:val="continue"/>
            <w:noWrap w:val="0"/>
            <w:vAlign w:val="center"/>
          </w:tcPr>
          <w:p w14:paraId="43D208D5">
            <w:pPr>
              <w:pStyle w:val="78"/>
              <w:bidi w:val="0"/>
              <w:rPr>
                <w:rFonts w:hint="eastAsia"/>
                <w:color w:val="auto"/>
                <w:lang w:val="en-US" w:eastAsia="zh-CN"/>
              </w:rPr>
            </w:pPr>
          </w:p>
        </w:tc>
        <w:tc>
          <w:tcPr>
            <w:tcW w:w="3030" w:type="dxa"/>
            <w:noWrap w:val="0"/>
            <w:vAlign w:val="center"/>
          </w:tcPr>
          <w:p w14:paraId="328C3C6F">
            <w:pPr>
              <w:pStyle w:val="78"/>
              <w:bidi w:val="0"/>
              <w:rPr>
                <w:rFonts w:hint="default" w:eastAsia="宋体"/>
                <w:color w:val="auto"/>
                <w:lang w:val="en-US" w:eastAsia="zh-CN"/>
              </w:rPr>
            </w:pPr>
            <w:r>
              <w:rPr>
                <w:rFonts w:hint="eastAsia"/>
                <w:color w:val="auto"/>
                <w:lang w:val="en-US" w:eastAsia="zh-CN"/>
              </w:rPr>
              <w:t>苯乙烯（t/a）</w:t>
            </w:r>
          </w:p>
        </w:tc>
        <w:tc>
          <w:tcPr>
            <w:tcW w:w="1436" w:type="dxa"/>
            <w:shd w:val="clear" w:color="auto" w:fill="auto"/>
            <w:noWrap w:val="0"/>
            <w:vAlign w:val="center"/>
          </w:tcPr>
          <w:p w14:paraId="28069C64">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150" w:type="dxa"/>
            <w:shd w:val="clear" w:color="auto" w:fill="auto"/>
            <w:noWrap w:val="0"/>
            <w:vAlign w:val="center"/>
          </w:tcPr>
          <w:p w14:paraId="05C8FFC6">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63DAB1EB">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7C0A6B1C">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0.2938</w:t>
            </w:r>
          </w:p>
        </w:tc>
        <w:tc>
          <w:tcPr>
            <w:tcW w:w="1667" w:type="dxa"/>
            <w:noWrap w:val="0"/>
            <w:vAlign w:val="center"/>
          </w:tcPr>
          <w:p w14:paraId="776C0EB4">
            <w:pPr>
              <w:pStyle w:val="78"/>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1BBBD7B2">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0.2938</w:t>
            </w:r>
          </w:p>
        </w:tc>
        <w:tc>
          <w:tcPr>
            <w:tcW w:w="989" w:type="dxa"/>
            <w:shd w:val="clear" w:color="auto" w:fill="auto"/>
            <w:noWrap w:val="0"/>
            <w:vAlign w:val="center"/>
          </w:tcPr>
          <w:p w14:paraId="094B0AEE">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+0.2938</w:t>
            </w:r>
          </w:p>
        </w:tc>
      </w:tr>
      <w:tr w14:paraId="194FB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vMerge w:val="restart"/>
            <w:noWrap w:val="0"/>
            <w:vAlign w:val="center"/>
          </w:tcPr>
          <w:p w14:paraId="7A817273">
            <w:pPr>
              <w:pStyle w:val="78"/>
              <w:bidi w:val="0"/>
              <w:rPr>
                <w:color w:val="auto"/>
              </w:rPr>
            </w:pPr>
            <w:r>
              <w:rPr>
                <w:color w:val="auto"/>
              </w:rPr>
              <w:t>废水</w:t>
            </w:r>
          </w:p>
        </w:tc>
        <w:tc>
          <w:tcPr>
            <w:tcW w:w="3030" w:type="dxa"/>
            <w:noWrap w:val="0"/>
            <w:vAlign w:val="center"/>
          </w:tcPr>
          <w:p w14:paraId="27F96A43">
            <w:pPr>
              <w:pStyle w:val="78"/>
              <w:bidi w:val="0"/>
              <w:rPr>
                <w:rFonts w:hint="eastAsia" w:eastAsia="宋体"/>
                <w:color w:val="auto"/>
                <w:lang w:eastAsia="zh-CN"/>
              </w:rPr>
            </w:pPr>
            <w:r>
              <w:rPr>
                <w:color w:val="auto"/>
              </w:rPr>
              <w:t>COD</w:t>
            </w:r>
            <w:r>
              <w:rPr>
                <w:rFonts w:hint="eastAsia"/>
                <w:color w:val="auto"/>
                <w:lang w:eastAsia="zh-CN"/>
              </w:rPr>
              <w:t>(</w:t>
            </w:r>
            <w:r>
              <w:rPr>
                <w:color w:val="auto"/>
              </w:rPr>
              <w:t>t/a</w:t>
            </w:r>
            <w:r>
              <w:rPr>
                <w:rFonts w:hint="eastAsia"/>
                <w:color w:val="auto"/>
                <w:lang w:eastAsia="zh-CN"/>
              </w:rPr>
              <w:t>)</w:t>
            </w:r>
          </w:p>
        </w:tc>
        <w:tc>
          <w:tcPr>
            <w:tcW w:w="1436" w:type="dxa"/>
            <w:shd w:val="clear" w:color="auto" w:fill="auto"/>
            <w:noWrap w:val="0"/>
            <w:vAlign w:val="center"/>
          </w:tcPr>
          <w:p w14:paraId="103D1696">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0.28</w:t>
            </w:r>
          </w:p>
        </w:tc>
        <w:tc>
          <w:tcPr>
            <w:tcW w:w="1150" w:type="dxa"/>
            <w:shd w:val="clear" w:color="auto" w:fill="auto"/>
            <w:noWrap w:val="0"/>
            <w:vAlign w:val="center"/>
          </w:tcPr>
          <w:p w14:paraId="18E22812">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3CCB9697">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675C6A73">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0.03</w:t>
            </w:r>
          </w:p>
        </w:tc>
        <w:tc>
          <w:tcPr>
            <w:tcW w:w="1667" w:type="dxa"/>
            <w:noWrap w:val="0"/>
            <w:vAlign w:val="center"/>
          </w:tcPr>
          <w:p w14:paraId="1755F35B">
            <w:pPr>
              <w:pStyle w:val="78"/>
              <w:bidi w:val="0"/>
              <w:rPr>
                <w:rFonts w:hint="default" w:eastAsia="宋体"/>
                <w:color w:val="auto"/>
                <w:lang w:val="en-US" w:eastAsia="zh-CN"/>
              </w:rPr>
            </w:pPr>
            <w:r>
              <w:rPr>
                <w:rFonts w:hint="eastAsia"/>
                <w:color w:val="auto"/>
                <w:lang w:val="en-US" w:eastAsia="zh-CN"/>
              </w:rPr>
              <w:t>0.1</w:t>
            </w:r>
          </w:p>
        </w:tc>
        <w:tc>
          <w:tcPr>
            <w:tcW w:w="1633" w:type="dxa"/>
            <w:shd w:val="clear" w:color="auto" w:fill="auto"/>
            <w:noWrap w:val="0"/>
            <w:vAlign w:val="center"/>
          </w:tcPr>
          <w:p w14:paraId="7FC1CCBA">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0.21</w:t>
            </w:r>
          </w:p>
        </w:tc>
        <w:tc>
          <w:tcPr>
            <w:tcW w:w="989" w:type="dxa"/>
            <w:shd w:val="clear" w:color="auto" w:fill="auto"/>
            <w:noWrap w:val="0"/>
            <w:vAlign w:val="center"/>
          </w:tcPr>
          <w:p w14:paraId="16854B84">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-0.07</w:t>
            </w:r>
          </w:p>
        </w:tc>
      </w:tr>
      <w:tr w14:paraId="2A00B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vMerge w:val="continue"/>
            <w:noWrap w:val="0"/>
            <w:vAlign w:val="center"/>
          </w:tcPr>
          <w:p w14:paraId="1F1E6C82">
            <w:pPr>
              <w:pStyle w:val="78"/>
              <w:bidi w:val="0"/>
              <w:rPr>
                <w:color w:val="auto"/>
              </w:rPr>
            </w:pPr>
          </w:p>
        </w:tc>
        <w:tc>
          <w:tcPr>
            <w:tcW w:w="3030" w:type="dxa"/>
            <w:noWrap w:val="0"/>
            <w:vAlign w:val="center"/>
          </w:tcPr>
          <w:p w14:paraId="7B205CF3">
            <w:pPr>
              <w:pStyle w:val="78"/>
              <w:bidi w:val="0"/>
              <w:rPr>
                <w:rFonts w:hint="eastAsia" w:eastAsia="宋体"/>
                <w:color w:val="auto"/>
                <w:lang w:eastAsia="zh-CN"/>
              </w:rPr>
            </w:pPr>
            <w:r>
              <w:rPr>
                <w:color w:val="auto"/>
              </w:rPr>
              <w:t>BOD</w:t>
            </w:r>
            <w:r>
              <w:rPr>
                <w:color w:val="auto"/>
                <w:vertAlign w:val="subscript"/>
              </w:rPr>
              <w:t>5</w:t>
            </w:r>
            <w:r>
              <w:rPr>
                <w:rFonts w:hint="eastAsia"/>
                <w:color w:val="auto"/>
                <w:vertAlign w:val="subscript"/>
                <w:lang w:eastAsia="zh-CN"/>
              </w:rPr>
              <w:t>(</w:t>
            </w:r>
            <w:r>
              <w:rPr>
                <w:color w:val="auto"/>
              </w:rPr>
              <w:t>t/a</w:t>
            </w:r>
            <w:r>
              <w:rPr>
                <w:rFonts w:hint="eastAsia"/>
                <w:color w:val="auto"/>
                <w:lang w:eastAsia="zh-CN"/>
              </w:rPr>
              <w:t>)</w:t>
            </w:r>
          </w:p>
        </w:tc>
        <w:tc>
          <w:tcPr>
            <w:tcW w:w="1436" w:type="dxa"/>
            <w:shd w:val="clear" w:color="auto" w:fill="auto"/>
            <w:noWrap w:val="0"/>
            <w:vAlign w:val="center"/>
          </w:tcPr>
          <w:p w14:paraId="3E6C1900">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c>
          <w:tcPr>
            <w:tcW w:w="1150" w:type="dxa"/>
            <w:shd w:val="clear" w:color="auto" w:fill="auto"/>
            <w:noWrap w:val="0"/>
            <w:vAlign w:val="center"/>
          </w:tcPr>
          <w:p w14:paraId="27C16663">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6E8648B2">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1D198027">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0.01</w:t>
            </w:r>
          </w:p>
        </w:tc>
        <w:tc>
          <w:tcPr>
            <w:tcW w:w="1667" w:type="dxa"/>
            <w:noWrap w:val="0"/>
            <w:vAlign w:val="center"/>
          </w:tcPr>
          <w:p w14:paraId="1B776C16">
            <w:pPr>
              <w:pStyle w:val="78"/>
              <w:bidi w:val="0"/>
              <w:rPr>
                <w:rFonts w:hint="default" w:eastAsia="宋体"/>
                <w:color w:val="auto"/>
                <w:lang w:val="en-US" w:eastAsia="zh-CN"/>
              </w:rPr>
            </w:pPr>
            <w:r>
              <w:rPr>
                <w:rFonts w:hint="eastAsia"/>
                <w:color w:val="auto"/>
                <w:lang w:val="en-US" w:eastAsia="zh-CN"/>
              </w:rPr>
              <w:t>0.11</w:t>
            </w:r>
          </w:p>
        </w:tc>
        <w:tc>
          <w:tcPr>
            <w:tcW w:w="1633" w:type="dxa"/>
            <w:shd w:val="clear" w:color="auto" w:fill="auto"/>
            <w:noWrap w:val="0"/>
            <w:vAlign w:val="center"/>
          </w:tcPr>
          <w:p w14:paraId="19C0085A">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0.10</w:t>
            </w:r>
          </w:p>
        </w:tc>
        <w:tc>
          <w:tcPr>
            <w:tcW w:w="989" w:type="dxa"/>
            <w:shd w:val="clear" w:color="auto" w:fill="auto"/>
            <w:noWrap w:val="0"/>
            <w:vAlign w:val="center"/>
          </w:tcPr>
          <w:p w14:paraId="7F7FDD6A">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w:t>
            </w:r>
          </w:p>
        </w:tc>
      </w:tr>
      <w:tr w14:paraId="2C754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vMerge w:val="continue"/>
            <w:noWrap w:val="0"/>
            <w:vAlign w:val="center"/>
          </w:tcPr>
          <w:p w14:paraId="573C810A">
            <w:pPr>
              <w:pStyle w:val="78"/>
              <w:bidi w:val="0"/>
              <w:rPr>
                <w:color w:val="auto"/>
              </w:rPr>
            </w:pPr>
          </w:p>
        </w:tc>
        <w:tc>
          <w:tcPr>
            <w:tcW w:w="3030" w:type="dxa"/>
            <w:noWrap w:val="0"/>
            <w:vAlign w:val="center"/>
          </w:tcPr>
          <w:p w14:paraId="293B86E4">
            <w:pPr>
              <w:pStyle w:val="78"/>
              <w:bidi w:val="0"/>
              <w:rPr>
                <w:rFonts w:hint="eastAsia" w:eastAsia="宋体"/>
                <w:color w:val="auto"/>
                <w:lang w:eastAsia="zh-CN"/>
              </w:rPr>
            </w:pPr>
            <w:r>
              <w:rPr>
                <w:color w:val="auto"/>
              </w:rPr>
              <w:t>SS</w:t>
            </w:r>
            <w:r>
              <w:rPr>
                <w:rFonts w:hint="eastAsia"/>
                <w:color w:val="auto"/>
                <w:lang w:eastAsia="zh-CN"/>
              </w:rPr>
              <w:t>(</w:t>
            </w:r>
            <w:r>
              <w:rPr>
                <w:color w:val="auto"/>
              </w:rPr>
              <w:t>t/a</w:t>
            </w:r>
            <w:r>
              <w:rPr>
                <w:rFonts w:hint="eastAsia"/>
                <w:color w:val="auto"/>
                <w:lang w:eastAsia="zh-CN"/>
              </w:rPr>
              <w:t>)</w:t>
            </w:r>
          </w:p>
        </w:tc>
        <w:tc>
          <w:tcPr>
            <w:tcW w:w="1436" w:type="dxa"/>
            <w:shd w:val="clear" w:color="auto" w:fill="auto"/>
            <w:noWrap w:val="0"/>
            <w:vAlign w:val="center"/>
          </w:tcPr>
          <w:p w14:paraId="117B2D7B">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0.14</w:t>
            </w:r>
          </w:p>
        </w:tc>
        <w:tc>
          <w:tcPr>
            <w:tcW w:w="1150" w:type="dxa"/>
            <w:shd w:val="clear" w:color="auto" w:fill="auto"/>
            <w:noWrap w:val="0"/>
            <w:vAlign w:val="center"/>
          </w:tcPr>
          <w:p w14:paraId="4298D7B3">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70A68D9D">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1CD46FD8">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0.01</w:t>
            </w:r>
          </w:p>
        </w:tc>
        <w:tc>
          <w:tcPr>
            <w:tcW w:w="1667" w:type="dxa"/>
            <w:noWrap w:val="0"/>
            <w:vAlign w:val="center"/>
          </w:tcPr>
          <w:p w14:paraId="7F2A6589">
            <w:pPr>
              <w:pStyle w:val="78"/>
              <w:bidi w:val="0"/>
              <w:rPr>
                <w:rFonts w:hint="default" w:eastAsia="宋体"/>
                <w:color w:val="auto"/>
                <w:lang w:val="en-US" w:eastAsia="zh-CN"/>
              </w:rPr>
            </w:pPr>
            <w:r>
              <w:rPr>
                <w:rFonts w:hint="eastAsia"/>
                <w:color w:val="auto"/>
                <w:lang w:val="en-US" w:eastAsia="zh-CN"/>
              </w:rPr>
              <w:t>0.08</w:t>
            </w:r>
          </w:p>
        </w:tc>
        <w:tc>
          <w:tcPr>
            <w:tcW w:w="1633" w:type="dxa"/>
            <w:shd w:val="clear" w:color="auto" w:fill="auto"/>
            <w:noWrap w:val="0"/>
            <w:vAlign w:val="center"/>
          </w:tcPr>
          <w:p w14:paraId="0E0AC575">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0.07</w:t>
            </w:r>
          </w:p>
        </w:tc>
        <w:tc>
          <w:tcPr>
            <w:tcW w:w="989" w:type="dxa"/>
            <w:shd w:val="clear" w:color="auto" w:fill="auto"/>
            <w:noWrap w:val="0"/>
            <w:vAlign w:val="center"/>
          </w:tcPr>
          <w:p w14:paraId="57B58689">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-0.07</w:t>
            </w:r>
          </w:p>
        </w:tc>
      </w:tr>
      <w:tr w14:paraId="61069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vMerge w:val="continue"/>
            <w:noWrap w:val="0"/>
            <w:vAlign w:val="center"/>
          </w:tcPr>
          <w:p w14:paraId="15E4FA04">
            <w:pPr>
              <w:pStyle w:val="78"/>
              <w:bidi w:val="0"/>
              <w:rPr>
                <w:color w:val="auto"/>
              </w:rPr>
            </w:pPr>
          </w:p>
        </w:tc>
        <w:tc>
          <w:tcPr>
            <w:tcW w:w="3030" w:type="dxa"/>
            <w:noWrap w:val="0"/>
            <w:vAlign w:val="center"/>
          </w:tcPr>
          <w:p w14:paraId="55889C40">
            <w:pPr>
              <w:pStyle w:val="78"/>
              <w:bidi w:val="0"/>
              <w:rPr>
                <w:rFonts w:hint="eastAsia" w:eastAsia="宋体"/>
                <w:color w:val="auto"/>
                <w:lang w:eastAsia="zh-CN"/>
              </w:rPr>
            </w:pPr>
            <w:r>
              <w:rPr>
                <w:color w:val="auto"/>
              </w:rPr>
              <w:t>NH</w:t>
            </w:r>
            <w:r>
              <w:rPr>
                <w:color w:val="auto"/>
                <w:vertAlign w:val="subscript"/>
              </w:rPr>
              <w:t>3</w:t>
            </w:r>
            <w:r>
              <w:rPr>
                <w:color w:val="auto"/>
              </w:rPr>
              <w:t>-N</w:t>
            </w:r>
            <w:r>
              <w:rPr>
                <w:rFonts w:hint="eastAsia"/>
                <w:color w:val="auto"/>
                <w:lang w:eastAsia="zh-CN"/>
              </w:rPr>
              <w:t>(</w:t>
            </w:r>
            <w:r>
              <w:rPr>
                <w:color w:val="auto"/>
              </w:rPr>
              <w:t>t/a</w:t>
            </w:r>
            <w:r>
              <w:rPr>
                <w:rFonts w:hint="eastAsia"/>
                <w:color w:val="auto"/>
                <w:lang w:eastAsia="zh-CN"/>
              </w:rPr>
              <w:t>)</w:t>
            </w:r>
          </w:p>
        </w:tc>
        <w:tc>
          <w:tcPr>
            <w:tcW w:w="1436" w:type="dxa"/>
            <w:shd w:val="clear" w:color="auto" w:fill="auto"/>
            <w:noWrap w:val="0"/>
            <w:vAlign w:val="center"/>
          </w:tcPr>
          <w:p w14:paraId="4677B5D9">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0.03</w:t>
            </w:r>
          </w:p>
        </w:tc>
        <w:tc>
          <w:tcPr>
            <w:tcW w:w="1150" w:type="dxa"/>
            <w:shd w:val="clear" w:color="auto" w:fill="auto"/>
            <w:noWrap w:val="0"/>
            <w:vAlign w:val="center"/>
          </w:tcPr>
          <w:p w14:paraId="0FF5A504">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2693660C">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40E7A8CE">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0.003</w:t>
            </w:r>
          </w:p>
        </w:tc>
        <w:tc>
          <w:tcPr>
            <w:tcW w:w="1667" w:type="dxa"/>
            <w:noWrap w:val="0"/>
            <w:vAlign w:val="center"/>
          </w:tcPr>
          <w:p w14:paraId="1415276B">
            <w:pPr>
              <w:pStyle w:val="78"/>
              <w:bidi w:val="0"/>
              <w:rPr>
                <w:rFonts w:hint="eastAsia" w:eastAsia="宋体"/>
                <w:color w:val="auto"/>
                <w:lang w:val="en-US" w:eastAsia="zh-CN"/>
              </w:rPr>
            </w:pPr>
            <w:r>
              <w:rPr>
                <w:rFonts w:hint="eastAsia"/>
                <w:color w:val="auto"/>
                <w:lang w:val="en-US" w:eastAsia="zh-CN"/>
              </w:rPr>
              <w:t>/</w:t>
            </w:r>
          </w:p>
        </w:tc>
        <w:tc>
          <w:tcPr>
            <w:tcW w:w="1633" w:type="dxa"/>
            <w:shd w:val="clear" w:color="auto" w:fill="auto"/>
            <w:noWrap w:val="0"/>
            <w:vAlign w:val="center"/>
          </w:tcPr>
          <w:p w14:paraId="2C18480F">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0.03</w:t>
            </w:r>
          </w:p>
        </w:tc>
        <w:tc>
          <w:tcPr>
            <w:tcW w:w="989" w:type="dxa"/>
            <w:shd w:val="clear" w:color="auto" w:fill="auto"/>
            <w:noWrap w:val="0"/>
            <w:vAlign w:val="center"/>
          </w:tcPr>
          <w:p w14:paraId="7AB90188">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w:t>
            </w:r>
          </w:p>
        </w:tc>
      </w:tr>
      <w:tr w14:paraId="47BE7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noWrap w:val="0"/>
            <w:vAlign w:val="center"/>
          </w:tcPr>
          <w:p w14:paraId="6D3D45B1">
            <w:pPr>
              <w:pStyle w:val="78"/>
              <w:bidi w:val="0"/>
              <w:rPr>
                <w:color w:val="auto"/>
              </w:rPr>
            </w:pPr>
            <w:r>
              <w:rPr>
                <w:color w:val="auto"/>
              </w:rPr>
              <w:t>一般工业</w:t>
            </w:r>
          </w:p>
          <w:p w14:paraId="00513C34">
            <w:pPr>
              <w:pStyle w:val="78"/>
              <w:bidi w:val="0"/>
              <w:rPr>
                <w:color w:val="auto"/>
              </w:rPr>
            </w:pPr>
            <w:r>
              <w:rPr>
                <w:color w:val="auto"/>
              </w:rPr>
              <w:t>固体废物</w:t>
            </w:r>
          </w:p>
        </w:tc>
        <w:tc>
          <w:tcPr>
            <w:tcW w:w="3030" w:type="dxa"/>
            <w:noWrap w:val="0"/>
            <w:vAlign w:val="center"/>
          </w:tcPr>
          <w:p w14:paraId="5A3D5710">
            <w:pPr>
              <w:pStyle w:val="78"/>
              <w:bidi w:val="0"/>
              <w:rPr>
                <w:rFonts w:hint="default"/>
                <w:color w:val="auto"/>
                <w:lang w:val="en-US" w:eastAsia="zh-CN"/>
              </w:rPr>
            </w:pPr>
            <w:r>
              <w:rPr>
                <w:rFonts w:hint="eastAsia"/>
                <w:color w:val="auto"/>
                <w:lang w:val="en-US" w:eastAsia="zh-CN"/>
              </w:rPr>
              <w:t>不合格产品（t/a）</w:t>
            </w:r>
          </w:p>
        </w:tc>
        <w:tc>
          <w:tcPr>
            <w:tcW w:w="1436" w:type="dxa"/>
            <w:shd w:val="clear" w:color="auto" w:fill="auto"/>
            <w:noWrap w:val="0"/>
            <w:vAlign w:val="center"/>
          </w:tcPr>
          <w:p w14:paraId="69A1AFF1">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75</w:t>
            </w:r>
          </w:p>
        </w:tc>
        <w:tc>
          <w:tcPr>
            <w:tcW w:w="1150" w:type="dxa"/>
            <w:shd w:val="clear" w:color="auto" w:fill="auto"/>
            <w:noWrap w:val="0"/>
            <w:vAlign w:val="center"/>
          </w:tcPr>
          <w:p w14:paraId="3EB838C8">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40A7D832">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364F7116">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356</w:t>
            </w:r>
          </w:p>
        </w:tc>
        <w:tc>
          <w:tcPr>
            <w:tcW w:w="1667" w:type="dxa"/>
            <w:shd w:val="clear" w:color="auto" w:fill="auto"/>
            <w:noWrap w:val="0"/>
            <w:vAlign w:val="center"/>
          </w:tcPr>
          <w:p w14:paraId="703DA217">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w:t>
            </w:r>
          </w:p>
        </w:tc>
        <w:tc>
          <w:tcPr>
            <w:tcW w:w="1633" w:type="dxa"/>
            <w:shd w:val="clear" w:color="auto" w:fill="auto"/>
            <w:noWrap w:val="0"/>
            <w:vAlign w:val="center"/>
          </w:tcPr>
          <w:p w14:paraId="434B3B98">
            <w:pPr>
              <w:pStyle w:val="78"/>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428</w:t>
            </w:r>
          </w:p>
        </w:tc>
        <w:tc>
          <w:tcPr>
            <w:tcW w:w="989" w:type="dxa"/>
            <w:shd w:val="clear" w:color="auto" w:fill="auto"/>
            <w:noWrap w:val="0"/>
            <w:vAlign w:val="center"/>
          </w:tcPr>
          <w:p w14:paraId="528039E2">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+353</w:t>
            </w:r>
          </w:p>
        </w:tc>
      </w:tr>
      <w:tr w14:paraId="137B0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vMerge w:val="restart"/>
            <w:noWrap w:val="0"/>
            <w:vAlign w:val="center"/>
          </w:tcPr>
          <w:p w14:paraId="56D19B50">
            <w:pPr>
              <w:pStyle w:val="78"/>
              <w:bidi w:val="0"/>
              <w:rPr>
                <w:color w:val="auto"/>
              </w:rPr>
            </w:pPr>
            <w:r>
              <w:rPr>
                <w:color w:val="auto"/>
              </w:rPr>
              <w:t>危险废物</w:t>
            </w:r>
          </w:p>
        </w:tc>
        <w:tc>
          <w:tcPr>
            <w:tcW w:w="3030" w:type="dxa"/>
            <w:noWrap w:val="0"/>
            <w:vAlign w:val="center"/>
          </w:tcPr>
          <w:p w14:paraId="3C43A3C1">
            <w:pPr>
              <w:pStyle w:val="78"/>
              <w:bidi w:val="0"/>
              <w:rPr>
                <w:rFonts w:hint="default"/>
                <w:color w:val="auto"/>
                <w:lang w:val="en-US" w:eastAsia="zh-CN"/>
              </w:rPr>
            </w:pPr>
            <w:r>
              <w:rPr>
                <w:rFonts w:hint="eastAsia"/>
                <w:color w:val="auto"/>
                <w:lang w:val="en-US" w:eastAsia="zh-CN"/>
              </w:rPr>
              <w:t>废活性炭（t/a）</w:t>
            </w:r>
          </w:p>
        </w:tc>
        <w:tc>
          <w:tcPr>
            <w:tcW w:w="1436" w:type="dxa"/>
            <w:shd w:val="clear" w:color="auto" w:fill="auto"/>
            <w:noWrap w:val="0"/>
            <w:vAlign w:val="center"/>
          </w:tcPr>
          <w:p w14:paraId="21699A1E">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150" w:type="dxa"/>
            <w:shd w:val="clear" w:color="auto" w:fill="auto"/>
            <w:noWrap w:val="0"/>
            <w:vAlign w:val="center"/>
          </w:tcPr>
          <w:p w14:paraId="5DBD1C34">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18418B77">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320D2E5A">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15.52</w:t>
            </w:r>
          </w:p>
        </w:tc>
        <w:tc>
          <w:tcPr>
            <w:tcW w:w="1667" w:type="dxa"/>
            <w:shd w:val="clear" w:color="auto" w:fill="auto"/>
            <w:noWrap w:val="0"/>
            <w:vAlign w:val="center"/>
          </w:tcPr>
          <w:p w14:paraId="03EBF6B1">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633" w:type="dxa"/>
            <w:shd w:val="clear" w:color="auto" w:fill="auto"/>
            <w:noWrap w:val="0"/>
            <w:vAlign w:val="center"/>
          </w:tcPr>
          <w:p w14:paraId="1FB4AC5C">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15.52</w:t>
            </w:r>
          </w:p>
        </w:tc>
        <w:tc>
          <w:tcPr>
            <w:tcW w:w="989" w:type="dxa"/>
            <w:shd w:val="clear" w:color="auto" w:fill="auto"/>
            <w:noWrap w:val="0"/>
            <w:vAlign w:val="center"/>
          </w:tcPr>
          <w:p w14:paraId="1BF46572">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+15.52</w:t>
            </w:r>
          </w:p>
        </w:tc>
      </w:tr>
      <w:tr w14:paraId="579B6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vMerge w:val="continue"/>
            <w:noWrap w:val="0"/>
            <w:vAlign w:val="center"/>
          </w:tcPr>
          <w:p w14:paraId="2B6C97D7">
            <w:pPr>
              <w:pStyle w:val="78"/>
              <w:bidi w:val="0"/>
              <w:rPr>
                <w:color w:val="auto"/>
              </w:rPr>
            </w:pPr>
          </w:p>
        </w:tc>
        <w:tc>
          <w:tcPr>
            <w:tcW w:w="3030" w:type="dxa"/>
            <w:noWrap w:val="0"/>
            <w:vAlign w:val="center"/>
          </w:tcPr>
          <w:p w14:paraId="21E8B7C3">
            <w:pPr>
              <w:pStyle w:val="78"/>
              <w:bidi w:val="0"/>
              <w:rPr>
                <w:rFonts w:hint="default"/>
                <w:color w:val="auto"/>
                <w:lang w:val="en-US" w:eastAsia="zh-CN"/>
              </w:rPr>
            </w:pPr>
            <w:r>
              <w:rPr>
                <w:rFonts w:hint="eastAsia"/>
                <w:color w:val="auto"/>
                <w:lang w:val="en-US" w:eastAsia="zh-CN"/>
              </w:rPr>
              <w:t>废液压油（t/a）</w:t>
            </w:r>
          </w:p>
        </w:tc>
        <w:tc>
          <w:tcPr>
            <w:tcW w:w="1436" w:type="dxa"/>
            <w:shd w:val="clear" w:color="auto" w:fill="auto"/>
            <w:noWrap w:val="0"/>
            <w:vAlign w:val="center"/>
          </w:tcPr>
          <w:p w14:paraId="28D0ADBC">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150" w:type="dxa"/>
            <w:shd w:val="clear" w:color="auto" w:fill="auto"/>
            <w:noWrap w:val="0"/>
            <w:vAlign w:val="center"/>
          </w:tcPr>
          <w:p w14:paraId="56A12832">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74BBFF5B">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13A1D4B1">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0.08</w:t>
            </w:r>
          </w:p>
        </w:tc>
        <w:tc>
          <w:tcPr>
            <w:tcW w:w="1667" w:type="dxa"/>
            <w:shd w:val="clear" w:color="auto" w:fill="auto"/>
            <w:noWrap w:val="0"/>
            <w:vAlign w:val="center"/>
          </w:tcPr>
          <w:p w14:paraId="6C2843D5">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633" w:type="dxa"/>
            <w:shd w:val="clear" w:color="auto" w:fill="auto"/>
            <w:noWrap w:val="0"/>
            <w:vAlign w:val="center"/>
          </w:tcPr>
          <w:p w14:paraId="49944F8C">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0.08</w:t>
            </w:r>
          </w:p>
        </w:tc>
        <w:tc>
          <w:tcPr>
            <w:tcW w:w="989" w:type="dxa"/>
            <w:shd w:val="clear" w:color="auto" w:fill="auto"/>
            <w:noWrap w:val="0"/>
            <w:vAlign w:val="center"/>
          </w:tcPr>
          <w:p w14:paraId="789CD8A3">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+0.08</w:t>
            </w:r>
          </w:p>
        </w:tc>
      </w:tr>
      <w:tr w14:paraId="69D76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vMerge w:val="continue"/>
            <w:noWrap w:val="0"/>
            <w:vAlign w:val="center"/>
          </w:tcPr>
          <w:p w14:paraId="41397551">
            <w:pPr>
              <w:pStyle w:val="78"/>
              <w:bidi w:val="0"/>
              <w:rPr>
                <w:color w:val="auto"/>
              </w:rPr>
            </w:pPr>
          </w:p>
        </w:tc>
        <w:tc>
          <w:tcPr>
            <w:tcW w:w="3030" w:type="dxa"/>
            <w:noWrap w:val="0"/>
            <w:vAlign w:val="center"/>
          </w:tcPr>
          <w:p w14:paraId="4EB37B78">
            <w:pPr>
              <w:pStyle w:val="78"/>
              <w:bidi w:val="0"/>
              <w:rPr>
                <w:rFonts w:hint="default"/>
                <w:color w:val="auto"/>
                <w:lang w:val="en-US" w:eastAsia="zh-CN"/>
              </w:rPr>
            </w:pPr>
            <w:r>
              <w:rPr>
                <w:rFonts w:hint="eastAsia"/>
                <w:color w:val="auto"/>
                <w:lang w:val="en-US" w:eastAsia="zh-CN"/>
              </w:rPr>
              <w:t>冷却水循环沉淀池污泥（t/a）</w:t>
            </w:r>
          </w:p>
        </w:tc>
        <w:tc>
          <w:tcPr>
            <w:tcW w:w="1436" w:type="dxa"/>
            <w:shd w:val="clear" w:color="auto" w:fill="auto"/>
            <w:noWrap w:val="0"/>
            <w:vAlign w:val="center"/>
          </w:tcPr>
          <w:p w14:paraId="11F8527C">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150" w:type="dxa"/>
            <w:shd w:val="clear" w:color="auto" w:fill="auto"/>
            <w:noWrap w:val="0"/>
            <w:vAlign w:val="center"/>
          </w:tcPr>
          <w:p w14:paraId="7808A870">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397B8A8B">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7C7D3F8A">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3.63</w:t>
            </w:r>
          </w:p>
        </w:tc>
        <w:tc>
          <w:tcPr>
            <w:tcW w:w="1667" w:type="dxa"/>
            <w:shd w:val="clear" w:color="auto" w:fill="auto"/>
            <w:noWrap w:val="0"/>
            <w:vAlign w:val="center"/>
          </w:tcPr>
          <w:p w14:paraId="1D27C8D9">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633" w:type="dxa"/>
            <w:shd w:val="clear" w:color="auto" w:fill="auto"/>
            <w:noWrap w:val="0"/>
            <w:vAlign w:val="center"/>
          </w:tcPr>
          <w:p w14:paraId="2A188659">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3.63</w:t>
            </w:r>
          </w:p>
        </w:tc>
        <w:tc>
          <w:tcPr>
            <w:tcW w:w="989" w:type="dxa"/>
            <w:shd w:val="clear" w:color="auto" w:fill="auto"/>
            <w:noWrap w:val="0"/>
            <w:vAlign w:val="center"/>
          </w:tcPr>
          <w:p w14:paraId="7C202671">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+3.63</w:t>
            </w:r>
          </w:p>
        </w:tc>
      </w:tr>
      <w:tr w14:paraId="4630F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29" w:type="dxa"/>
            <w:noWrap w:val="0"/>
            <w:vAlign w:val="center"/>
          </w:tcPr>
          <w:p w14:paraId="195CF4D9">
            <w:pPr>
              <w:pStyle w:val="78"/>
              <w:bidi w:val="0"/>
              <w:rPr>
                <w:rFonts w:hint="eastAsia"/>
                <w:color w:val="auto"/>
                <w:lang w:val="en-US" w:eastAsia="zh-CN"/>
              </w:rPr>
            </w:pPr>
            <w:r>
              <w:rPr>
                <w:rFonts w:hint="eastAsia"/>
                <w:color w:val="auto"/>
                <w:lang w:val="en-US" w:eastAsia="zh-CN"/>
              </w:rPr>
              <w:t>生活垃圾</w:t>
            </w:r>
          </w:p>
        </w:tc>
        <w:tc>
          <w:tcPr>
            <w:tcW w:w="3030" w:type="dxa"/>
            <w:shd w:val="clear" w:color="auto" w:fill="auto"/>
            <w:noWrap w:val="0"/>
            <w:vAlign w:val="center"/>
          </w:tcPr>
          <w:p w14:paraId="3903F746">
            <w:pPr>
              <w:pStyle w:val="78"/>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生活垃圾（t/a）</w:t>
            </w:r>
          </w:p>
        </w:tc>
        <w:tc>
          <w:tcPr>
            <w:tcW w:w="1436" w:type="dxa"/>
            <w:shd w:val="clear" w:color="auto" w:fill="auto"/>
            <w:noWrap w:val="0"/>
            <w:vAlign w:val="center"/>
          </w:tcPr>
          <w:p w14:paraId="1357F0A4">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11.55</w:t>
            </w:r>
          </w:p>
        </w:tc>
        <w:tc>
          <w:tcPr>
            <w:tcW w:w="1150" w:type="dxa"/>
            <w:shd w:val="clear" w:color="auto" w:fill="auto"/>
            <w:noWrap w:val="0"/>
            <w:vAlign w:val="center"/>
          </w:tcPr>
          <w:p w14:paraId="67886D03">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450" w:type="dxa"/>
            <w:shd w:val="clear" w:color="auto" w:fill="auto"/>
            <w:noWrap w:val="0"/>
            <w:vAlign w:val="center"/>
          </w:tcPr>
          <w:p w14:paraId="23B6FC1E">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w:t>
            </w:r>
          </w:p>
        </w:tc>
        <w:tc>
          <w:tcPr>
            <w:tcW w:w="1500" w:type="dxa"/>
            <w:shd w:val="clear" w:color="auto" w:fill="auto"/>
            <w:noWrap w:val="0"/>
            <w:vAlign w:val="center"/>
          </w:tcPr>
          <w:p w14:paraId="51C36B31">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1.65</w:t>
            </w:r>
          </w:p>
        </w:tc>
        <w:tc>
          <w:tcPr>
            <w:tcW w:w="1667" w:type="dxa"/>
            <w:shd w:val="clear" w:color="auto" w:fill="auto"/>
            <w:noWrap w:val="0"/>
            <w:vAlign w:val="center"/>
          </w:tcPr>
          <w:p w14:paraId="70AF2CD9">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0.05</w:t>
            </w:r>
          </w:p>
        </w:tc>
        <w:tc>
          <w:tcPr>
            <w:tcW w:w="1633" w:type="dxa"/>
            <w:shd w:val="clear" w:color="auto" w:fill="auto"/>
            <w:noWrap w:val="0"/>
            <w:vAlign w:val="center"/>
          </w:tcPr>
          <w:p w14:paraId="58983D78">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13.2</w:t>
            </w:r>
          </w:p>
        </w:tc>
        <w:tc>
          <w:tcPr>
            <w:tcW w:w="989" w:type="dxa"/>
            <w:shd w:val="clear" w:color="auto" w:fill="auto"/>
            <w:noWrap w:val="0"/>
            <w:vAlign w:val="center"/>
          </w:tcPr>
          <w:p w14:paraId="6D086A20">
            <w:pPr>
              <w:pStyle w:val="78"/>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+1.7</w:t>
            </w:r>
          </w:p>
        </w:tc>
      </w:tr>
    </w:tbl>
    <w:p w14:paraId="71AD64CE">
      <w:pPr>
        <w:pStyle w:val="16"/>
        <w:bidi w:val="0"/>
        <w:rPr>
          <w:color w:val="auto"/>
        </w:rPr>
        <w:sectPr>
          <w:footerReference r:id="rId5" w:type="default"/>
          <w:pgSz w:w="16838" w:h="11906" w:orient="landscape"/>
          <w:pgMar w:top="1417" w:right="1417" w:bottom="1134" w:left="1134" w:header="851" w:footer="992" w:gutter="0"/>
          <w:pgBorders>
            <w:top w:val="none" w:sz="0" w:space="0"/>
            <w:left w:val="none" w:sz="0" w:space="0"/>
            <w:bottom w:val="none" w:sz="0" w:space="0"/>
            <w:right w:val="none" w:sz="0" w:space="0"/>
          </w:pgBorders>
          <w:pgNumType w:fmt="decimal"/>
          <w:cols w:space="0" w:num="1"/>
          <w:rtlGutter w:val="0"/>
          <w:docGrid w:type="lines" w:linePitch="334" w:charSpace="0"/>
        </w:sectPr>
      </w:pPr>
      <w:r>
        <w:rPr>
          <w:color w:val="auto"/>
        </w:rPr>
        <w:t>注：</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r>
        <w:rPr>
          <w:color w:val="auto"/>
        </w:rPr>
        <w:t>=</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p w14:paraId="6740B900">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cs="黑体"/>
          <w:b/>
          <w:bCs/>
          <w:sz w:val="28"/>
          <w:szCs w:val="28"/>
          <w:lang w:val="en-US" w:eastAsia="zh-CN"/>
        </w:rPr>
      </w:pPr>
      <w:bookmarkStart w:id="250" w:name="_Toc9717"/>
      <w:bookmarkStart w:id="251" w:name="_Toc21194"/>
      <w:r>
        <w:rPr>
          <w:rFonts w:hint="eastAsia" w:ascii="黑体" w:hAnsi="黑体" w:eastAsia="黑体" w:cs="黑体"/>
          <w:b/>
          <w:bCs/>
          <w:sz w:val="28"/>
          <w:szCs w:val="28"/>
          <w:lang w:val="en-US" w:eastAsia="zh-CN"/>
        </w:rPr>
        <w:t>附件十七：关于环评文件公开文本删除的涉及国家秘密、商业秘密等内容的删除依据和理由说明</w:t>
      </w:r>
      <w:bookmarkEnd w:id="250"/>
      <w:bookmarkEnd w:id="251"/>
    </w:p>
    <w:p w14:paraId="1657F1B2">
      <w:pPr>
        <w:keepNext/>
        <w:keepLines w:val="0"/>
        <w:pageBreakBefore w:val="0"/>
        <w:widowControl w:val="0"/>
        <w:kinsoku/>
        <w:wordWrap/>
        <w:overflowPunct w:val="0"/>
        <w:topLinePunct w:val="0"/>
        <w:autoSpaceDE/>
        <w:autoSpaceDN/>
        <w:bidi w:val="0"/>
        <w:adjustRightInd/>
        <w:snapToGrid w:val="0"/>
        <w:spacing w:line="260" w:lineRule="auto"/>
        <w:jc w:val="center"/>
        <w:textAlignment w:val="auto"/>
        <w:outlineLvl w:val="9"/>
        <w:rPr>
          <w:rFonts w:hint="eastAsia" w:ascii="黑体" w:hAnsi="黑体" w:eastAsia="黑体" w:cs="黑体"/>
          <w:b/>
          <w:bCs/>
          <w:color w:val="auto"/>
          <w:sz w:val="36"/>
          <w:szCs w:val="36"/>
          <w:highlight w:val="none"/>
          <w:lang w:eastAsia="zh-CN"/>
        </w:rPr>
      </w:pPr>
      <w:bookmarkStart w:id="252" w:name="_Toc4088"/>
      <w:bookmarkStart w:id="253" w:name="_Toc28204"/>
      <w:r>
        <w:drawing>
          <wp:anchor distT="0" distB="0" distL="114300" distR="114300" simplePos="0" relativeHeight="251669504" behindDoc="0" locked="0" layoutInCell="1" allowOverlap="1">
            <wp:simplePos x="0" y="0"/>
            <wp:positionH relativeFrom="column">
              <wp:posOffset>-132080</wp:posOffset>
            </wp:positionH>
            <wp:positionV relativeFrom="paragraph">
              <wp:posOffset>107950</wp:posOffset>
            </wp:positionV>
            <wp:extent cx="6779895" cy="8042910"/>
            <wp:effectExtent l="0" t="0" r="1905" b="15240"/>
            <wp:wrapNone/>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pic:cNvPicPr>
                  </pic:nvPicPr>
                  <pic:blipFill>
                    <a:blip r:embed="rId50"/>
                    <a:stretch>
                      <a:fillRect/>
                    </a:stretch>
                  </pic:blipFill>
                  <pic:spPr>
                    <a:xfrm>
                      <a:off x="0" y="0"/>
                      <a:ext cx="6779895" cy="8042910"/>
                    </a:xfrm>
                    <a:prstGeom prst="rect">
                      <a:avLst/>
                    </a:prstGeom>
                    <a:noFill/>
                    <a:ln>
                      <a:noFill/>
                    </a:ln>
                  </pic:spPr>
                </pic:pic>
              </a:graphicData>
            </a:graphic>
          </wp:anchor>
        </w:drawing>
      </w:r>
    </w:p>
    <w:p w14:paraId="13F30F9E">
      <w:pPr>
        <w:keepNext/>
        <w:keepLines w:val="0"/>
        <w:pageBreakBefore w:val="0"/>
        <w:widowControl w:val="0"/>
        <w:kinsoku/>
        <w:wordWrap/>
        <w:overflowPunct w:val="0"/>
        <w:topLinePunct w:val="0"/>
        <w:autoSpaceDE/>
        <w:autoSpaceDN/>
        <w:bidi w:val="0"/>
        <w:adjustRightInd/>
        <w:snapToGrid w:val="0"/>
        <w:spacing w:line="260" w:lineRule="auto"/>
        <w:jc w:val="center"/>
        <w:textAlignment w:val="auto"/>
        <w:outlineLvl w:val="9"/>
        <w:rPr>
          <w:rFonts w:hint="eastAsia" w:ascii="黑体" w:hAnsi="黑体" w:eastAsia="黑体" w:cs="黑体"/>
          <w:b/>
          <w:bCs/>
          <w:color w:val="auto"/>
          <w:sz w:val="36"/>
          <w:szCs w:val="36"/>
          <w:highlight w:val="none"/>
          <w:lang w:eastAsia="zh-CN"/>
        </w:rPr>
      </w:pPr>
    </w:p>
    <w:p w14:paraId="2E10BF8E">
      <w:pPr>
        <w:keepNext/>
        <w:keepLines w:val="0"/>
        <w:pageBreakBefore w:val="0"/>
        <w:widowControl w:val="0"/>
        <w:kinsoku/>
        <w:wordWrap/>
        <w:overflowPunct w:val="0"/>
        <w:topLinePunct w:val="0"/>
        <w:autoSpaceDE/>
        <w:autoSpaceDN/>
        <w:bidi w:val="0"/>
        <w:adjustRightInd/>
        <w:snapToGrid w:val="0"/>
        <w:spacing w:line="260" w:lineRule="auto"/>
        <w:jc w:val="center"/>
        <w:textAlignment w:val="auto"/>
        <w:outlineLvl w:val="9"/>
        <w:rPr>
          <w:rFonts w:hint="eastAsia" w:ascii="黑体" w:hAnsi="黑体" w:eastAsia="黑体" w:cs="黑体"/>
          <w:b/>
          <w:bCs/>
          <w:color w:val="auto"/>
          <w:sz w:val="36"/>
          <w:szCs w:val="36"/>
          <w:highlight w:val="none"/>
          <w:lang w:eastAsia="zh-CN"/>
        </w:rPr>
      </w:pPr>
    </w:p>
    <w:p w14:paraId="47292186">
      <w:pPr>
        <w:keepNext/>
        <w:keepLines w:val="0"/>
        <w:pageBreakBefore w:val="0"/>
        <w:widowControl w:val="0"/>
        <w:kinsoku/>
        <w:wordWrap/>
        <w:overflowPunct w:val="0"/>
        <w:topLinePunct w:val="0"/>
        <w:autoSpaceDE/>
        <w:autoSpaceDN/>
        <w:bidi w:val="0"/>
        <w:adjustRightInd/>
        <w:snapToGrid w:val="0"/>
        <w:spacing w:line="260" w:lineRule="auto"/>
        <w:jc w:val="center"/>
        <w:textAlignment w:val="auto"/>
        <w:outlineLvl w:val="9"/>
        <w:rPr>
          <w:rFonts w:hint="eastAsia" w:ascii="黑体" w:hAnsi="黑体" w:eastAsia="黑体" w:cs="黑体"/>
          <w:b/>
          <w:bCs/>
          <w:color w:val="auto"/>
          <w:sz w:val="36"/>
          <w:szCs w:val="36"/>
          <w:highlight w:val="none"/>
          <w:lang w:eastAsia="zh-CN"/>
        </w:rPr>
      </w:pPr>
    </w:p>
    <w:p w14:paraId="425FE0D3">
      <w:pPr>
        <w:keepNext/>
        <w:keepLines w:val="0"/>
        <w:pageBreakBefore w:val="0"/>
        <w:widowControl w:val="0"/>
        <w:kinsoku/>
        <w:wordWrap/>
        <w:overflowPunct w:val="0"/>
        <w:topLinePunct w:val="0"/>
        <w:autoSpaceDE/>
        <w:autoSpaceDN/>
        <w:bidi w:val="0"/>
        <w:adjustRightInd/>
        <w:snapToGrid w:val="0"/>
        <w:spacing w:line="260" w:lineRule="auto"/>
        <w:jc w:val="center"/>
        <w:textAlignment w:val="auto"/>
        <w:outlineLvl w:val="9"/>
        <w:rPr>
          <w:rFonts w:hint="eastAsia" w:ascii="黑体" w:hAnsi="黑体" w:eastAsia="黑体" w:cs="黑体"/>
          <w:b/>
          <w:bCs/>
          <w:color w:val="auto"/>
          <w:sz w:val="36"/>
          <w:szCs w:val="36"/>
          <w:highlight w:val="none"/>
          <w:lang w:eastAsia="zh-CN"/>
        </w:rPr>
      </w:pPr>
      <w:r>
        <w:rPr>
          <w:rFonts w:hint="eastAsia" w:ascii="黑体" w:hAnsi="黑体" w:eastAsia="黑体" w:cs="黑体"/>
          <w:b/>
          <w:bCs/>
          <w:color w:val="auto"/>
          <w:sz w:val="36"/>
          <w:szCs w:val="36"/>
          <w:highlight w:val="none"/>
          <w:lang w:eastAsia="zh-CN"/>
        </w:rPr>
        <w:t>关于环评文件未涉及国家秘密、商业秘密等内容的</w:t>
      </w:r>
    </w:p>
    <w:p w14:paraId="664B5DA1">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r>
        <w:rPr>
          <w:rFonts w:hint="eastAsia" w:ascii="黑体" w:hAnsi="黑体" w:eastAsia="黑体" w:cs="黑体"/>
          <w:b/>
          <w:bCs/>
          <w:color w:val="auto"/>
          <w:sz w:val="36"/>
          <w:szCs w:val="36"/>
          <w:highlight w:val="none"/>
          <w:lang w:val="en-US" w:eastAsia="zh-CN"/>
        </w:rPr>
        <w:t>删除依据和理由</w:t>
      </w:r>
      <w:r>
        <w:rPr>
          <w:rFonts w:hint="eastAsia" w:ascii="黑体" w:hAnsi="黑体" w:eastAsia="黑体" w:cs="黑体"/>
          <w:b/>
          <w:bCs/>
          <w:color w:val="auto"/>
          <w:sz w:val="36"/>
          <w:szCs w:val="36"/>
          <w:highlight w:val="none"/>
          <w:lang w:eastAsia="zh-CN"/>
        </w:rPr>
        <w:t>说明</w:t>
      </w:r>
    </w:p>
    <w:p w14:paraId="24CEC727">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538ABFA9">
      <w:pPr>
        <w:keepNext/>
        <w:keepLines w:val="0"/>
        <w:pageBreakBefore w:val="0"/>
        <w:widowControl w:val="0"/>
        <w:kinsoku/>
        <w:wordWrap/>
        <w:overflowPunct w:val="0"/>
        <w:topLinePunct w:val="0"/>
        <w:autoSpaceDE/>
        <w:autoSpaceDN/>
        <w:bidi w:val="0"/>
        <w:adjustRightInd/>
        <w:snapToGrid w:val="0"/>
        <w:spacing w:line="360" w:lineRule="auto"/>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福州市福清生态环境局：</w:t>
      </w:r>
    </w:p>
    <w:p w14:paraId="4E5C1E22">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我司</w:t>
      </w:r>
      <w:r>
        <w:rPr>
          <w:rFonts w:hint="eastAsia" w:cs="Times New Roman"/>
          <w:color w:val="auto"/>
          <w:sz w:val="28"/>
          <w:szCs w:val="28"/>
          <w:lang w:val="en-US" w:eastAsia="zh-CN"/>
        </w:rPr>
        <w:t>福建恒润包装有限公司新增EPS包装泡沫6000吨、EPP包装泡沫1200吨项目</w:t>
      </w:r>
      <w:r>
        <w:rPr>
          <w:rFonts w:hint="default" w:ascii="Times New Roman" w:hAnsi="Times New Roman" w:eastAsia="宋体" w:cs="Times New Roman"/>
          <w:color w:val="auto"/>
          <w:sz w:val="28"/>
          <w:szCs w:val="28"/>
          <w:highlight w:val="none"/>
          <w:lang w:val="en-US" w:eastAsia="zh-CN"/>
        </w:rPr>
        <w:t>已完成环境影响报告表编制，现报送贵局审批。我司已删除涉及国家机密、商业秘密、个人隐私等内容（具体删除内容、删除依据详见附件）。报送贵局的环境影响评价报告表公开文本已经我司审核，我司同意对《</w:t>
      </w:r>
      <w:r>
        <w:rPr>
          <w:rFonts w:hint="eastAsia" w:cs="Times New Roman"/>
          <w:color w:val="auto"/>
          <w:sz w:val="28"/>
          <w:szCs w:val="28"/>
          <w:highlight w:val="none"/>
          <w:lang w:val="en-US" w:eastAsia="zh-CN"/>
        </w:rPr>
        <w:t>福建恒润包装有限公司新增EPS包装泡沫6000吨、EPP包装泡沫1200吨项目</w:t>
      </w:r>
      <w:r>
        <w:rPr>
          <w:rFonts w:hint="default" w:ascii="Times New Roman" w:hAnsi="Times New Roman" w:eastAsia="宋体" w:cs="Times New Roman"/>
          <w:color w:val="auto"/>
          <w:sz w:val="28"/>
          <w:szCs w:val="28"/>
          <w:highlight w:val="none"/>
          <w:lang w:val="en-US" w:eastAsia="zh-CN"/>
        </w:rPr>
        <w:t>环境影响报告表》公开文本全文进行公示，特此声明。</w:t>
      </w:r>
    </w:p>
    <w:p w14:paraId="44585C81">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附件：关于《</w:t>
      </w:r>
      <w:r>
        <w:rPr>
          <w:rFonts w:hint="eastAsia" w:cs="Times New Roman"/>
          <w:color w:val="auto"/>
          <w:sz w:val="28"/>
          <w:szCs w:val="28"/>
          <w:highlight w:val="none"/>
          <w:lang w:val="en-US" w:eastAsia="zh-CN"/>
        </w:rPr>
        <w:t>福建恒润包装有限公司新增EPS包装泡沫6000吨、EPP包装泡沫1200吨项目</w:t>
      </w:r>
      <w:r>
        <w:rPr>
          <w:rFonts w:hint="default" w:ascii="Times New Roman" w:hAnsi="Times New Roman" w:eastAsia="宋体" w:cs="Times New Roman"/>
          <w:color w:val="auto"/>
          <w:sz w:val="28"/>
          <w:szCs w:val="28"/>
          <w:highlight w:val="none"/>
          <w:lang w:val="en-US" w:eastAsia="zh-CN"/>
        </w:rPr>
        <w:t>环境影响报告表》公开删除内容、删除依据的说明</w:t>
      </w:r>
    </w:p>
    <w:p w14:paraId="5362D582">
      <w:pPr>
        <w:pageBreakBefore w:val="0"/>
        <w:widowControl w:val="0"/>
        <w:kinsoku/>
        <w:wordWrap/>
        <w:topLinePunct w:val="0"/>
        <w:autoSpaceDE/>
        <w:autoSpaceDN/>
        <w:bidi w:val="0"/>
        <w:adjustRightInd/>
        <w:textAlignment w:val="auto"/>
        <w:outlineLvl w:val="9"/>
        <w:rPr>
          <w:rFonts w:hint="default"/>
          <w:lang w:val="en-US" w:eastAsia="zh-CN"/>
        </w:rPr>
      </w:pPr>
    </w:p>
    <w:p w14:paraId="229CD383">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06D44E08">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427268F7">
      <w:pPr>
        <w:keepNext/>
        <w:keepLines w:val="0"/>
        <w:pageBreakBefore w:val="0"/>
        <w:widowControl w:val="0"/>
        <w:kinsoku/>
        <w:wordWrap w:val="0"/>
        <w:overflowPunct w:val="0"/>
        <w:topLinePunct w:val="0"/>
        <w:autoSpaceDE/>
        <w:autoSpaceDN/>
        <w:bidi w:val="0"/>
        <w:adjustRightInd/>
        <w:snapToGrid w:val="0"/>
        <w:spacing w:line="360" w:lineRule="auto"/>
        <w:ind w:left="0" w:firstLine="560" w:firstLineChars="200"/>
        <w:jc w:val="right"/>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单位盖章</w:t>
      </w:r>
      <w:r>
        <w:rPr>
          <w:rFonts w:hint="eastAsia" w:cs="Times New Roman"/>
          <w:color w:val="auto"/>
          <w:sz w:val="28"/>
          <w:szCs w:val="28"/>
          <w:highlight w:val="none"/>
          <w:lang w:val="en-US" w:eastAsia="zh-CN"/>
        </w:rPr>
        <w:t xml:space="preserve">      </w:t>
      </w:r>
    </w:p>
    <w:p w14:paraId="6BAE5EE2">
      <w:pPr>
        <w:keepNext/>
        <w:keepLines w:val="0"/>
        <w:pageBreakBefore w:val="0"/>
        <w:widowControl w:val="0"/>
        <w:kinsoku/>
        <w:wordWrap w:val="0"/>
        <w:overflowPunct w:val="0"/>
        <w:topLinePunct w:val="0"/>
        <w:autoSpaceDE/>
        <w:autoSpaceDN/>
        <w:bidi w:val="0"/>
        <w:adjustRightInd/>
        <w:snapToGrid w:val="0"/>
        <w:spacing w:line="360" w:lineRule="auto"/>
        <w:ind w:left="0" w:firstLine="560" w:firstLineChars="200"/>
        <w:jc w:val="right"/>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202</w:t>
      </w:r>
      <w:r>
        <w:rPr>
          <w:rFonts w:hint="eastAsia"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年</w:t>
      </w:r>
      <w:r>
        <w:rPr>
          <w:rFonts w:hint="eastAsia"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月</w:t>
      </w:r>
      <w:r>
        <w:rPr>
          <w:rFonts w:hint="eastAsia"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rPr>
        <w:t>日</w:t>
      </w:r>
      <w:r>
        <w:rPr>
          <w:rFonts w:hint="eastAsia" w:cs="Times New Roman"/>
          <w:color w:val="auto"/>
          <w:sz w:val="28"/>
          <w:szCs w:val="28"/>
          <w:highlight w:val="none"/>
          <w:lang w:val="en-US" w:eastAsia="zh-CN"/>
        </w:rPr>
        <w:t xml:space="preserve">   </w:t>
      </w:r>
    </w:p>
    <w:p w14:paraId="048AFFE5">
      <w:pPr>
        <w:pageBreakBefore w:val="0"/>
        <w:widowControl w:val="0"/>
        <w:kinsoku/>
        <w:wordWrap/>
        <w:topLinePunct w:val="0"/>
        <w:autoSpaceDE/>
        <w:autoSpaceDN/>
        <w:bidi w:val="0"/>
        <w:adjustRightInd/>
        <w:textAlignment w:val="auto"/>
        <w:outlineLvl w:val="9"/>
        <w:rPr>
          <w:rFonts w:hint="eastAsia" w:ascii="黑体" w:hAnsi="黑体" w:eastAsia="黑体" w:cs="黑体"/>
          <w:b/>
          <w:bCs/>
          <w:color w:val="auto"/>
          <w:sz w:val="28"/>
          <w:szCs w:val="28"/>
          <w:highlight w:val="none"/>
          <w:lang w:val="en-US" w:eastAsia="zh-CN"/>
        </w:rPr>
      </w:pPr>
      <w:r>
        <w:rPr>
          <w:rFonts w:hint="eastAsia" w:ascii="黑体" w:hAnsi="黑体" w:eastAsia="黑体" w:cs="黑体"/>
          <w:b/>
          <w:bCs/>
          <w:color w:val="auto"/>
          <w:sz w:val="28"/>
          <w:szCs w:val="28"/>
          <w:highlight w:val="none"/>
          <w:lang w:val="en-US" w:eastAsia="zh-CN"/>
        </w:rPr>
        <w:br w:type="page"/>
      </w:r>
      <w:r>
        <w:drawing>
          <wp:anchor distT="0" distB="0" distL="114300" distR="114300" simplePos="0" relativeHeight="251668480" behindDoc="0" locked="0" layoutInCell="1" allowOverlap="1">
            <wp:simplePos x="0" y="0"/>
            <wp:positionH relativeFrom="column">
              <wp:posOffset>-337185</wp:posOffset>
            </wp:positionH>
            <wp:positionV relativeFrom="paragraph">
              <wp:posOffset>-123825</wp:posOffset>
            </wp:positionV>
            <wp:extent cx="6708140" cy="8997950"/>
            <wp:effectExtent l="0" t="0" r="16510" b="12700"/>
            <wp:wrapNone/>
            <wp:docPr id="1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
                    <pic:cNvPicPr>
                      <a:picLocks noChangeAspect="1"/>
                    </pic:cNvPicPr>
                  </pic:nvPicPr>
                  <pic:blipFill>
                    <a:blip r:embed="rId51"/>
                    <a:stretch>
                      <a:fillRect/>
                    </a:stretch>
                  </pic:blipFill>
                  <pic:spPr>
                    <a:xfrm>
                      <a:off x="0" y="0"/>
                      <a:ext cx="6708140" cy="8997950"/>
                    </a:xfrm>
                    <a:prstGeom prst="rect">
                      <a:avLst/>
                    </a:prstGeom>
                    <a:noFill/>
                    <a:ln>
                      <a:noFill/>
                    </a:ln>
                  </pic:spPr>
                </pic:pic>
              </a:graphicData>
            </a:graphic>
          </wp:anchor>
        </w:drawing>
      </w:r>
      <w:r>
        <w:rPr>
          <w:rFonts w:hint="eastAsia" w:ascii="黑体" w:hAnsi="黑体" w:eastAsia="黑体" w:cs="黑体"/>
          <w:b/>
          <w:bCs/>
          <w:color w:val="auto"/>
          <w:sz w:val="28"/>
          <w:szCs w:val="28"/>
          <w:highlight w:val="none"/>
          <w:lang w:val="en-US" w:eastAsia="zh-CN"/>
        </w:rPr>
        <w:t>附件：</w:t>
      </w:r>
    </w:p>
    <w:p w14:paraId="069D88D0">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br w:type="textWrapping"/>
      </w:r>
      <w:r>
        <w:rPr>
          <w:rFonts w:hint="eastAsia" w:ascii="宋体" w:hAnsi="宋体" w:eastAsia="宋体" w:cs="宋体"/>
          <w:b/>
          <w:bCs/>
          <w:color w:val="auto"/>
          <w:sz w:val="30"/>
          <w:szCs w:val="30"/>
          <w:highlight w:val="none"/>
          <w:lang w:val="en-US" w:eastAsia="zh-CN"/>
        </w:rPr>
        <w:t>关于</w:t>
      </w:r>
      <w:r>
        <w:rPr>
          <w:rFonts w:hint="eastAsia" w:ascii="宋体" w:hAnsi="宋体" w:cs="宋体"/>
          <w:b/>
          <w:bCs/>
          <w:color w:val="auto"/>
          <w:sz w:val="30"/>
          <w:szCs w:val="30"/>
          <w:lang w:val="en-US" w:eastAsia="zh-CN"/>
        </w:rPr>
        <w:t>福建恒润包装有限公司新增EPS包装泡沫6000吨、EPP包装泡沫1200吨项目</w:t>
      </w:r>
      <w:r>
        <w:rPr>
          <w:rFonts w:hint="eastAsia" w:ascii="宋体" w:hAnsi="宋体" w:eastAsia="宋体" w:cs="宋体"/>
          <w:b/>
          <w:bCs/>
          <w:color w:val="auto"/>
          <w:sz w:val="30"/>
          <w:szCs w:val="30"/>
          <w:highlight w:val="none"/>
          <w:lang w:val="en-US" w:eastAsia="zh-CN"/>
        </w:rPr>
        <w:t>环境影响报告表公开文本删除的涉及国家秘密、商业秘密等内容的删除依据和理由说明</w:t>
      </w:r>
    </w:p>
    <w:p w14:paraId="7EFE1984">
      <w:pPr>
        <w:pStyle w:val="19"/>
        <w:rPr>
          <w:rFonts w:hint="eastAsia" w:ascii="宋体" w:hAnsi="宋体" w:eastAsia="宋体" w:cs="宋体"/>
          <w:b/>
          <w:bCs/>
          <w:color w:val="auto"/>
          <w:sz w:val="30"/>
          <w:szCs w:val="30"/>
          <w:highlight w:val="none"/>
          <w:lang w:val="en-US" w:eastAsia="zh-CN"/>
        </w:rPr>
      </w:pPr>
    </w:p>
    <w:p w14:paraId="25D76EF1">
      <w:pPr>
        <w:rPr>
          <w:rFonts w:hint="eastAsia"/>
          <w:lang w:val="en-US" w:eastAsia="zh-CN"/>
        </w:rPr>
      </w:pPr>
    </w:p>
    <w:p w14:paraId="2F4E8FFC">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我司《</w:t>
      </w:r>
      <w:r>
        <w:rPr>
          <w:rFonts w:hint="eastAsia" w:cs="Times New Roman"/>
          <w:color w:val="auto"/>
          <w:sz w:val="28"/>
          <w:szCs w:val="28"/>
          <w:highlight w:val="none"/>
          <w:lang w:val="en-US" w:eastAsia="zh-CN"/>
        </w:rPr>
        <w:t>福建恒润包装有限公司新增EPS包装泡沫6000吨、EPP包装泡沫1200吨项目</w:t>
      </w:r>
      <w:r>
        <w:rPr>
          <w:rFonts w:hint="default" w:ascii="Times New Roman" w:hAnsi="Times New Roman" w:eastAsia="宋体" w:cs="Times New Roman"/>
          <w:color w:val="auto"/>
          <w:sz w:val="28"/>
          <w:szCs w:val="28"/>
          <w:highlight w:val="none"/>
          <w:lang w:val="en-US" w:eastAsia="zh-CN"/>
        </w:rPr>
        <w:t>环境影响报告表</w:t>
      </w:r>
      <w:r>
        <w:rPr>
          <w:rFonts w:hint="eastAsia" w:ascii="宋体" w:hAnsi="宋体" w:eastAsia="宋体" w:cs="宋体"/>
          <w:b w:val="0"/>
          <w:bCs w:val="0"/>
          <w:color w:val="auto"/>
          <w:sz w:val="28"/>
          <w:szCs w:val="28"/>
          <w:highlight w:val="none"/>
          <w:lang w:val="en-US" w:eastAsia="zh-CN"/>
        </w:rPr>
        <w:t>》部分内容因涉及国家秘密、商业秘密、个人隐私。我司删除了环境影响评价报告标准中相应内容。具体删除内容和删除依据如下：</w:t>
      </w:r>
    </w:p>
    <w:p w14:paraId="72A82928">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1、删除项目附件，删除理由：涉及个人隐私；</w:t>
      </w:r>
    </w:p>
    <w:p w14:paraId="212BFDFC">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2、删除我司联系方式，删除理由：涉及个人隐私：</w:t>
      </w:r>
    </w:p>
    <w:p w14:paraId="46076A06">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3、删除项目编制单位统一社会信用代码及编制主持人证书编号、信用编号等，删除理由：涉及商业秘密及个人隐私。</w:t>
      </w:r>
    </w:p>
    <w:p w14:paraId="358E0FB9">
      <w:pPr>
        <w:ind w:firstLine="560" w:firstLineChars="200"/>
        <w:rPr>
          <w:rFonts w:hint="eastAsia" w:ascii="宋体" w:hAnsi="宋体" w:eastAsia="宋体" w:cs="宋体"/>
          <w:b w:val="0"/>
          <w:bCs w:val="0"/>
          <w:color w:val="auto"/>
          <w:sz w:val="28"/>
          <w:szCs w:val="28"/>
          <w:highlight w:val="none"/>
          <w:lang w:val="en-US" w:eastAsia="zh-CN"/>
        </w:rPr>
      </w:pPr>
    </w:p>
    <w:p w14:paraId="63BF3544">
      <w:pPr>
        <w:ind w:firstLine="560" w:firstLineChars="200"/>
        <w:rPr>
          <w:rFonts w:hint="eastAsia" w:ascii="宋体" w:hAnsi="宋体" w:eastAsia="宋体" w:cs="宋体"/>
          <w:b w:val="0"/>
          <w:bCs w:val="0"/>
          <w:color w:val="auto"/>
          <w:sz w:val="28"/>
          <w:szCs w:val="28"/>
          <w:highlight w:val="none"/>
          <w:lang w:val="en-US" w:eastAsia="zh-CN"/>
        </w:rPr>
      </w:pPr>
    </w:p>
    <w:p w14:paraId="2A5ABB36">
      <w:pPr>
        <w:wordWrap w:val="0"/>
        <w:ind w:firstLine="560" w:firstLineChars="200"/>
        <w:jc w:val="right"/>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单位盖章</w:t>
      </w:r>
      <w:r>
        <w:rPr>
          <w:rFonts w:hint="eastAsia" w:ascii="宋体" w:hAnsi="宋体" w:cs="宋体"/>
          <w:b w:val="0"/>
          <w:bCs w:val="0"/>
          <w:color w:val="auto"/>
          <w:sz w:val="28"/>
          <w:szCs w:val="28"/>
          <w:highlight w:val="none"/>
          <w:lang w:val="en-US" w:eastAsia="zh-CN"/>
        </w:rPr>
        <w:t xml:space="preserve">     </w:t>
      </w:r>
    </w:p>
    <w:p w14:paraId="790A20BC">
      <w:pPr>
        <w:ind w:firstLine="560" w:firstLineChars="200"/>
        <w:jc w:val="right"/>
        <w:rPr>
          <w:rFonts w:hint="eastAsia" w:ascii="黑体" w:hAnsi="黑体" w:eastAsia="黑体" w:cs="黑体"/>
          <w:b/>
          <w:bCs/>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202</w:t>
      </w:r>
      <w:r>
        <w:rPr>
          <w:rFonts w:hint="eastAsia" w:ascii="宋体" w:hAnsi="宋体" w:cs="宋体"/>
          <w:b w:val="0"/>
          <w:bCs w:val="0"/>
          <w:color w:val="auto"/>
          <w:sz w:val="28"/>
          <w:szCs w:val="28"/>
          <w:highlight w:val="none"/>
          <w:lang w:val="en-US" w:eastAsia="zh-CN"/>
        </w:rPr>
        <w:t>6</w:t>
      </w:r>
      <w:r>
        <w:rPr>
          <w:rFonts w:hint="eastAsia" w:ascii="宋体" w:hAnsi="宋体" w:eastAsia="宋体" w:cs="宋体"/>
          <w:b w:val="0"/>
          <w:bCs w:val="0"/>
          <w:color w:val="auto"/>
          <w:sz w:val="28"/>
          <w:szCs w:val="28"/>
          <w:highlight w:val="none"/>
          <w:lang w:val="en-US" w:eastAsia="zh-CN"/>
        </w:rPr>
        <w:t>年</w:t>
      </w:r>
      <w:r>
        <w:rPr>
          <w:rFonts w:hint="eastAsia" w:ascii="宋体" w:hAnsi="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lang w:val="en-US" w:eastAsia="zh-CN"/>
        </w:rPr>
        <w:t>月</w:t>
      </w:r>
      <w:r>
        <w:rPr>
          <w:rFonts w:hint="eastAsia" w:ascii="宋体" w:hAnsi="宋体" w:cs="宋体"/>
          <w:b w:val="0"/>
          <w:bCs w:val="0"/>
          <w:color w:val="auto"/>
          <w:sz w:val="28"/>
          <w:szCs w:val="28"/>
          <w:highlight w:val="none"/>
          <w:lang w:val="en-US" w:eastAsia="zh-CN"/>
        </w:rPr>
        <w:t>5</w:t>
      </w:r>
      <w:r>
        <w:rPr>
          <w:rFonts w:hint="eastAsia" w:ascii="宋体" w:hAnsi="宋体" w:eastAsia="宋体" w:cs="宋体"/>
          <w:b w:val="0"/>
          <w:bCs w:val="0"/>
          <w:color w:val="auto"/>
          <w:sz w:val="28"/>
          <w:szCs w:val="28"/>
          <w:highlight w:val="none"/>
          <w:lang w:val="en-US" w:eastAsia="zh-CN"/>
        </w:rPr>
        <w:t>日</w:t>
      </w:r>
      <w:r>
        <w:rPr>
          <w:rFonts w:hint="eastAsia" w:ascii="黑体" w:hAnsi="黑体" w:eastAsia="黑体" w:cs="黑体"/>
          <w:b/>
          <w:bCs/>
          <w:color w:val="auto"/>
          <w:sz w:val="28"/>
          <w:szCs w:val="28"/>
          <w:highlight w:val="none"/>
          <w:lang w:val="en-US" w:eastAsia="zh-CN"/>
        </w:rPr>
        <w:br w:type="page"/>
      </w:r>
    </w:p>
    <w:bookmarkEnd w:id="252"/>
    <w:bookmarkEnd w:id="253"/>
    <w:p w14:paraId="3E0B5D6B">
      <w:pPr>
        <w:pStyle w:val="11"/>
        <w:rPr>
          <w:rFonts w:hint="eastAsia"/>
          <w:lang w:val="en-US" w:eastAsia="zh-CN"/>
        </w:rPr>
      </w:pPr>
    </w:p>
    <w:sectPr>
      <w:footerReference r:id="rId6" w:type="default"/>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D95C2">
    <w:pPr>
      <w:pStyle w:val="17"/>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31BB2">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3631BB2">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1DB7">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58DC0">
                          <w:pPr>
                            <w:pStyle w:val="1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1158DC0">
                    <w:pPr>
                      <w:pStyle w:val="1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F633E">
    <w:pPr>
      <w:pStyle w:val="1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7E60E">
                          <w:pPr>
                            <w:pStyle w:val="17"/>
                          </w:pPr>
                          <w:r>
                            <w:fldChar w:fldCharType="begin"/>
                          </w:r>
                          <w:r>
                            <w:instrText xml:space="preserve"> PAGE  \* MERGEFORMAT </w:instrText>
                          </w:r>
                          <w:r>
                            <w:fldChar w:fldCharType="separate"/>
                          </w:r>
                          <w:r>
                            <w:t>LXXXVI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1937E60E">
                    <w:pPr>
                      <w:pStyle w:val="17"/>
                    </w:pPr>
                    <w:r>
                      <w:fldChar w:fldCharType="begin"/>
                    </w:r>
                    <w:r>
                      <w:instrText xml:space="preserve"> PAGE  \* MERGEFORMAT </w:instrText>
                    </w:r>
                    <w:r>
                      <w:fldChar w:fldCharType="separate"/>
                    </w:r>
                    <w:r>
                      <w:t>LXXXVI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7376F">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DB0B5">
                          <w:pPr>
                            <w:pStyle w:val="17"/>
                          </w:pPr>
                          <w:r>
                            <w:fldChar w:fldCharType="begin"/>
                          </w:r>
                          <w:r>
                            <w:instrText xml:space="preserve"> PAGE  \* MERGEFORMAT </w:instrText>
                          </w:r>
                          <w:r>
                            <w:fldChar w:fldCharType="separate"/>
                          </w:r>
                          <w:r>
                            <w:t>XCVIII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0F9DB0B5">
                    <w:pPr>
                      <w:pStyle w:val="17"/>
                    </w:pPr>
                    <w:r>
                      <w:fldChar w:fldCharType="begin"/>
                    </w:r>
                    <w:r>
                      <w:instrText xml:space="preserve"> PAGE  \* MERGEFORMAT </w:instrText>
                    </w:r>
                    <w:r>
                      <w:fldChar w:fldCharType="separate"/>
                    </w:r>
                    <w:r>
                      <w:t>XCVIII</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E19335"/>
    <w:multiLevelType w:val="singleLevel"/>
    <w:tmpl w:val="CDE19335"/>
    <w:lvl w:ilvl="0" w:tentative="0">
      <w:start w:val="3"/>
      <w:numFmt w:val="decimal"/>
      <w:suff w:val="nothing"/>
      <w:lvlText w:val="（%1）"/>
      <w:lvlJc w:val="left"/>
    </w:lvl>
  </w:abstractNum>
  <w:abstractNum w:abstractNumId="1">
    <w:nsid w:val="E2CAE295"/>
    <w:multiLevelType w:val="singleLevel"/>
    <w:tmpl w:val="E2CAE295"/>
    <w:lvl w:ilvl="0" w:tentative="0">
      <w:start w:val="5"/>
      <w:numFmt w:val="chineseCounting"/>
      <w:suff w:val="nothing"/>
      <w:lvlText w:val="%1、"/>
      <w:lvlJc w:val="left"/>
      <w:rPr>
        <w:rFonts w:hint="eastAsia"/>
      </w:rPr>
    </w:lvl>
  </w:abstractNum>
  <w:abstractNum w:abstractNumId="2">
    <w:nsid w:val="002B350F"/>
    <w:multiLevelType w:val="singleLevel"/>
    <w:tmpl w:val="002B350F"/>
    <w:lvl w:ilvl="0" w:tentative="0">
      <w:start w:val="1"/>
      <w:numFmt w:val="decimal"/>
      <w:suff w:val="nothing"/>
      <w:lvlText w:val="%1、"/>
      <w:lvlJc w:val="left"/>
    </w:lvl>
  </w:abstractNum>
  <w:abstractNum w:abstractNumId="3">
    <w:nsid w:val="5A7818EA"/>
    <w:multiLevelType w:val="multilevel"/>
    <w:tmpl w:val="5A7818EA"/>
    <w:lvl w:ilvl="0" w:tentative="0">
      <w:start w:val="1"/>
      <w:numFmt w:val="decimal"/>
      <w:lvlText w:val="%1."/>
      <w:lvlJc w:val="left"/>
      <w:pPr>
        <w:tabs>
          <w:tab w:val="left" w:pos="1567"/>
        </w:tabs>
        <w:ind w:left="1567"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5"/>
      <w:lvlText w:val="%1.%2.%3.%4"/>
      <w:lvlJc w:val="left"/>
      <w:pPr>
        <w:tabs>
          <w:tab w:val="left" w:pos="1574"/>
        </w:tabs>
        <w:ind w:left="157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6833FA05"/>
    <w:multiLevelType w:val="singleLevel"/>
    <w:tmpl w:val="6833FA05"/>
    <w:lvl w:ilvl="0" w:tentative="0">
      <w:start w:val="1"/>
      <w:numFmt w:val="decimal"/>
      <w:suff w:val="nothing"/>
      <w:lvlText w:val="%1、"/>
      <w:lvlJc w:val="left"/>
    </w:lvl>
  </w:abstractNum>
  <w:abstractNum w:abstractNumId="5">
    <w:nsid w:val="68ED1BD7"/>
    <w:multiLevelType w:val="singleLevel"/>
    <w:tmpl w:val="68ED1BD7"/>
    <w:lvl w:ilvl="0" w:tentative="0">
      <w:start w:val="1"/>
      <w:numFmt w:val="decimal"/>
      <w:suff w:val="nothing"/>
      <w:lvlText w:val="（%1）"/>
      <w:lvlJc w:val="left"/>
    </w:lvl>
  </w:abstractNum>
  <w:abstractNum w:abstractNumId="6">
    <w:nsid w:val="76E68910"/>
    <w:multiLevelType w:val="singleLevel"/>
    <w:tmpl w:val="76E68910"/>
    <w:lvl w:ilvl="0" w:tentative="0">
      <w:start w:val="1"/>
      <w:numFmt w:val="decimal"/>
      <w:suff w:val="nothing"/>
      <w:lvlText w:val="（%1）"/>
      <w:lvlJc w:val="left"/>
    </w:lvl>
  </w:abstractNum>
  <w:abstractNum w:abstractNumId="7">
    <w:nsid w:val="7E752F05"/>
    <w:multiLevelType w:val="singleLevel"/>
    <w:tmpl w:val="7E752F05"/>
    <w:lvl w:ilvl="0" w:tentative="0">
      <w:start w:val="1"/>
      <w:numFmt w:val="decimal"/>
      <w:suff w:val="nothing"/>
      <w:lvlText w:val="%1、"/>
      <w:lvlJc w:val="left"/>
    </w:lvl>
  </w:abstractNum>
  <w:num w:numId="1">
    <w:abstractNumId w:val="3"/>
  </w:num>
  <w:num w:numId="2">
    <w:abstractNumId w:val="0"/>
  </w:num>
  <w:num w:numId="3">
    <w:abstractNumId w:val="2"/>
  </w:num>
  <w:num w:numId="4">
    <w:abstractNumId w:val="7"/>
  </w:num>
  <w:num w:numId="5">
    <w:abstractNumId w:val="4"/>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210"/>
  <w:drawingGridVerticalSpacing w:val="167"/>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E39B3"/>
    <w:rsid w:val="008F270C"/>
    <w:rsid w:val="00A440CA"/>
    <w:rsid w:val="00B65805"/>
    <w:rsid w:val="012855CE"/>
    <w:rsid w:val="01312D03"/>
    <w:rsid w:val="016C7A79"/>
    <w:rsid w:val="018639EF"/>
    <w:rsid w:val="018C0721"/>
    <w:rsid w:val="022C0A8A"/>
    <w:rsid w:val="02972C5F"/>
    <w:rsid w:val="03501EED"/>
    <w:rsid w:val="035A6E90"/>
    <w:rsid w:val="037C7496"/>
    <w:rsid w:val="03B373C8"/>
    <w:rsid w:val="03F434D0"/>
    <w:rsid w:val="05467935"/>
    <w:rsid w:val="0599625C"/>
    <w:rsid w:val="05A74E52"/>
    <w:rsid w:val="05B16FE4"/>
    <w:rsid w:val="05F3138C"/>
    <w:rsid w:val="06D60D20"/>
    <w:rsid w:val="06FE0CEC"/>
    <w:rsid w:val="074F7AC9"/>
    <w:rsid w:val="08506999"/>
    <w:rsid w:val="092D6D74"/>
    <w:rsid w:val="09704E33"/>
    <w:rsid w:val="09BB5BCC"/>
    <w:rsid w:val="0A424D4C"/>
    <w:rsid w:val="0AA6399E"/>
    <w:rsid w:val="0B071A1E"/>
    <w:rsid w:val="0B431F62"/>
    <w:rsid w:val="0B9270CC"/>
    <w:rsid w:val="0BAF230B"/>
    <w:rsid w:val="0C14470F"/>
    <w:rsid w:val="0CD658CB"/>
    <w:rsid w:val="0DC962E6"/>
    <w:rsid w:val="0E94387A"/>
    <w:rsid w:val="0ECC7F03"/>
    <w:rsid w:val="0F005480"/>
    <w:rsid w:val="0F27519E"/>
    <w:rsid w:val="0F947289"/>
    <w:rsid w:val="10686559"/>
    <w:rsid w:val="10D15444"/>
    <w:rsid w:val="10FE0470"/>
    <w:rsid w:val="114762E6"/>
    <w:rsid w:val="119E6CF5"/>
    <w:rsid w:val="11B93500"/>
    <w:rsid w:val="121161DF"/>
    <w:rsid w:val="12320CA3"/>
    <w:rsid w:val="12396910"/>
    <w:rsid w:val="123C2076"/>
    <w:rsid w:val="125B4B29"/>
    <w:rsid w:val="12E2773F"/>
    <w:rsid w:val="12F21BA5"/>
    <w:rsid w:val="130A6291"/>
    <w:rsid w:val="13A30873"/>
    <w:rsid w:val="13DB3C17"/>
    <w:rsid w:val="13F2409C"/>
    <w:rsid w:val="142976A3"/>
    <w:rsid w:val="143B75BD"/>
    <w:rsid w:val="14ED0523"/>
    <w:rsid w:val="15447000"/>
    <w:rsid w:val="15D33694"/>
    <w:rsid w:val="15E440F6"/>
    <w:rsid w:val="175C045F"/>
    <w:rsid w:val="184077D8"/>
    <w:rsid w:val="18535E55"/>
    <w:rsid w:val="18B506EB"/>
    <w:rsid w:val="19392E3F"/>
    <w:rsid w:val="195065E6"/>
    <w:rsid w:val="19AF5431"/>
    <w:rsid w:val="1A9611D4"/>
    <w:rsid w:val="1AEF1640"/>
    <w:rsid w:val="1AFC5857"/>
    <w:rsid w:val="1B0678E6"/>
    <w:rsid w:val="1B110841"/>
    <w:rsid w:val="1B1D7DAD"/>
    <w:rsid w:val="1B20658C"/>
    <w:rsid w:val="1B9519E6"/>
    <w:rsid w:val="1BE97638"/>
    <w:rsid w:val="1C136A38"/>
    <w:rsid w:val="1C723D3B"/>
    <w:rsid w:val="1C752207"/>
    <w:rsid w:val="1C755A82"/>
    <w:rsid w:val="1CC34BB0"/>
    <w:rsid w:val="1D7644E2"/>
    <w:rsid w:val="1E9524B5"/>
    <w:rsid w:val="1ED50A3D"/>
    <w:rsid w:val="1F07118C"/>
    <w:rsid w:val="1F6C1AC3"/>
    <w:rsid w:val="1F867F08"/>
    <w:rsid w:val="212764EA"/>
    <w:rsid w:val="213A08EA"/>
    <w:rsid w:val="21652233"/>
    <w:rsid w:val="21701712"/>
    <w:rsid w:val="21E872AF"/>
    <w:rsid w:val="224A458F"/>
    <w:rsid w:val="22796B9E"/>
    <w:rsid w:val="228C7835"/>
    <w:rsid w:val="22F97F47"/>
    <w:rsid w:val="233056DA"/>
    <w:rsid w:val="23EC5F3A"/>
    <w:rsid w:val="24000D54"/>
    <w:rsid w:val="24423C0B"/>
    <w:rsid w:val="246E3BEE"/>
    <w:rsid w:val="24B148C0"/>
    <w:rsid w:val="268D24CB"/>
    <w:rsid w:val="26FF1810"/>
    <w:rsid w:val="26FF2560"/>
    <w:rsid w:val="27E762EC"/>
    <w:rsid w:val="27F645D9"/>
    <w:rsid w:val="2806232A"/>
    <w:rsid w:val="283810A3"/>
    <w:rsid w:val="28897B1C"/>
    <w:rsid w:val="28A12B3E"/>
    <w:rsid w:val="28C433F0"/>
    <w:rsid w:val="29035282"/>
    <w:rsid w:val="29262CB7"/>
    <w:rsid w:val="29BD3694"/>
    <w:rsid w:val="2A1803B1"/>
    <w:rsid w:val="2A701750"/>
    <w:rsid w:val="2C0F4FCD"/>
    <w:rsid w:val="2CC3445D"/>
    <w:rsid w:val="2D81692A"/>
    <w:rsid w:val="2D984ECD"/>
    <w:rsid w:val="2E183793"/>
    <w:rsid w:val="2E250044"/>
    <w:rsid w:val="2E717347"/>
    <w:rsid w:val="2ECE4F81"/>
    <w:rsid w:val="2F511D30"/>
    <w:rsid w:val="2F686C4D"/>
    <w:rsid w:val="305D5210"/>
    <w:rsid w:val="30F96868"/>
    <w:rsid w:val="321F5BEE"/>
    <w:rsid w:val="32405F41"/>
    <w:rsid w:val="32F03FDA"/>
    <w:rsid w:val="32FC156A"/>
    <w:rsid w:val="331D0F0C"/>
    <w:rsid w:val="332E2F85"/>
    <w:rsid w:val="3359014F"/>
    <w:rsid w:val="33781473"/>
    <w:rsid w:val="33A64327"/>
    <w:rsid w:val="34C67523"/>
    <w:rsid w:val="34DF5D43"/>
    <w:rsid w:val="350F349A"/>
    <w:rsid w:val="353636EA"/>
    <w:rsid w:val="35CA5CBB"/>
    <w:rsid w:val="35EF54F1"/>
    <w:rsid w:val="362C2FB9"/>
    <w:rsid w:val="36632AEA"/>
    <w:rsid w:val="368B560A"/>
    <w:rsid w:val="36F46607"/>
    <w:rsid w:val="3716170E"/>
    <w:rsid w:val="37BC5AD7"/>
    <w:rsid w:val="37CF2348"/>
    <w:rsid w:val="38CA5FD2"/>
    <w:rsid w:val="38DC3EDC"/>
    <w:rsid w:val="39721E98"/>
    <w:rsid w:val="39F02D11"/>
    <w:rsid w:val="3A0D43C8"/>
    <w:rsid w:val="3A7B3269"/>
    <w:rsid w:val="3A8952C9"/>
    <w:rsid w:val="3B3C25D7"/>
    <w:rsid w:val="3B5F50F7"/>
    <w:rsid w:val="3BDE2BA6"/>
    <w:rsid w:val="3BE56743"/>
    <w:rsid w:val="3C09460C"/>
    <w:rsid w:val="3C8E01DC"/>
    <w:rsid w:val="3CCE564F"/>
    <w:rsid w:val="3CE45C48"/>
    <w:rsid w:val="3CF86493"/>
    <w:rsid w:val="3D962E9A"/>
    <w:rsid w:val="3F0F1503"/>
    <w:rsid w:val="3F127E08"/>
    <w:rsid w:val="3FB633FB"/>
    <w:rsid w:val="3FB9596C"/>
    <w:rsid w:val="3FC54551"/>
    <w:rsid w:val="40FD5B5C"/>
    <w:rsid w:val="4186530E"/>
    <w:rsid w:val="41E756B8"/>
    <w:rsid w:val="4216717B"/>
    <w:rsid w:val="426024C3"/>
    <w:rsid w:val="42644CFC"/>
    <w:rsid w:val="42712D90"/>
    <w:rsid w:val="428E37C9"/>
    <w:rsid w:val="43250271"/>
    <w:rsid w:val="43652BBD"/>
    <w:rsid w:val="438A7C97"/>
    <w:rsid w:val="43D43925"/>
    <w:rsid w:val="441F174E"/>
    <w:rsid w:val="44647233"/>
    <w:rsid w:val="44776EF3"/>
    <w:rsid w:val="449657A6"/>
    <w:rsid w:val="46084AF2"/>
    <w:rsid w:val="484C41BF"/>
    <w:rsid w:val="48A54B0F"/>
    <w:rsid w:val="48B545A9"/>
    <w:rsid w:val="48C14817"/>
    <w:rsid w:val="490A12E5"/>
    <w:rsid w:val="49460182"/>
    <w:rsid w:val="49E470F1"/>
    <w:rsid w:val="4A300E14"/>
    <w:rsid w:val="4A430135"/>
    <w:rsid w:val="4B302306"/>
    <w:rsid w:val="4B517646"/>
    <w:rsid w:val="4C3A59E2"/>
    <w:rsid w:val="4C7E5B9D"/>
    <w:rsid w:val="4CBC43F6"/>
    <w:rsid w:val="4CCB2C98"/>
    <w:rsid w:val="4DA02C0F"/>
    <w:rsid w:val="4DAD76E3"/>
    <w:rsid w:val="4DCB34AF"/>
    <w:rsid w:val="4E453CD9"/>
    <w:rsid w:val="4E6320D0"/>
    <w:rsid w:val="4EA73979"/>
    <w:rsid w:val="4EC739FF"/>
    <w:rsid w:val="4F075432"/>
    <w:rsid w:val="4F457D08"/>
    <w:rsid w:val="4F7C26F1"/>
    <w:rsid w:val="4F7C6D36"/>
    <w:rsid w:val="50113EFC"/>
    <w:rsid w:val="50797DFA"/>
    <w:rsid w:val="50F41DB2"/>
    <w:rsid w:val="50FE1D93"/>
    <w:rsid w:val="51052079"/>
    <w:rsid w:val="51152D85"/>
    <w:rsid w:val="5288019F"/>
    <w:rsid w:val="52AD5CF4"/>
    <w:rsid w:val="52E03B4B"/>
    <w:rsid w:val="53ED7E15"/>
    <w:rsid w:val="54092EF7"/>
    <w:rsid w:val="541128AF"/>
    <w:rsid w:val="545869CF"/>
    <w:rsid w:val="561C01EA"/>
    <w:rsid w:val="562464C8"/>
    <w:rsid w:val="5664664B"/>
    <w:rsid w:val="56856B80"/>
    <w:rsid w:val="56D219CC"/>
    <w:rsid w:val="57CC7219"/>
    <w:rsid w:val="5919648E"/>
    <w:rsid w:val="595E2E89"/>
    <w:rsid w:val="59854F6F"/>
    <w:rsid w:val="598F6523"/>
    <w:rsid w:val="59A12058"/>
    <w:rsid w:val="5A145AD8"/>
    <w:rsid w:val="5A6A34FF"/>
    <w:rsid w:val="5A6D4863"/>
    <w:rsid w:val="5AD2718F"/>
    <w:rsid w:val="5BE049C1"/>
    <w:rsid w:val="5C261B5A"/>
    <w:rsid w:val="5C3B007A"/>
    <w:rsid w:val="5C3B6762"/>
    <w:rsid w:val="5C574E82"/>
    <w:rsid w:val="5C7819AF"/>
    <w:rsid w:val="5CD252D1"/>
    <w:rsid w:val="5CF76AE6"/>
    <w:rsid w:val="5D1475BA"/>
    <w:rsid w:val="5E352B67"/>
    <w:rsid w:val="5F94195C"/>
    <w:rsid w:val="5FFF2688"/>
    <w:rsid w:val="600D264D"/>
    <w:rsid w:val="603A6284"/>
    <w:rsid w:val="604C4F0B"/>
    <w:rsid w:val="60B06C30"/>
    <w:rsid w:val="60BB31B3"/>
    <w:rsid w:val="612A5DE1"/>
    <w:rsid w:val="6134186F"/>
    <w:rsid w:val="61C342E5"/>
    <w:rsid w:val="61D53C9C"/>
    <w:rsid w:val="61EC6729"/>
    <w:rsid w:val="61ED71E9"/>
    <w:rsid w:val="620E2129"/>
    <w:rsid w:val="628C1E57"/>
    <w:rsid w:val="62F2581B"/>
    <w:rsid w:val="643313A9"/>
    <w:rsid w:val="65764C68"/>
    <w:rsid w:val="65A90B99"/>
    <w:rsid w:val="66801F8E"/>
    <w:rsid w:val="678F3DBF"/>
    <w:rsid w:val="67DF3732"/>
    <w:rsid w:val="67EB36EB"/>
    <w:rsid w:val="6826051E"/>
    <w:rsid w:val="688356D2"/>
    <w:rsid w:val="689E3902"/>
    <w:rsid w:val="69537901"/>
    <w:rsid w:val="695A2772"/>
    <w:rsid w:val="69602F7D"/>
    <w:rsid w:val="69BB75A3"/>
    <w:rsid w:val="6A911D64"/>
    <w:rsid w:val="6AE30E7D"/>
    <w:rsid w:val="6B09652B"/>
    <w:rsid w:val="6B8B1382"/>
    <w:rsid w:val="6BF57752"/>
    <w:rsid w:val="6C3F3B3F"/>
    <w:rsid w:val="6CA542AC"/>
    <w:rsid w:val="6D6B0293"/>
    <w:rsid w:val="6DA07A76"/>
    <w:rsid w:val="6E2F5A53"/>
    <w:rsid w:val="6E3D0876"/>
    <w:rsid w:val="6E91728B"/>
    <w:rsid w:val="6E9817AB"/>
    <w:rsid w:val="6EB17135"/>
    <w:rsid w:val="6EE37A6B"/>
    <w:rsid w:val="6F194C54"/>
    <w:rsid w:val="6F5409EC"/>
    <w:rsid w:val="6F711321"/>
    <w:rsid w:val="6FB57106"/>
    <w:rsid w:val="6FB87AD8"/>
    <w:rsid w:val="70335223"/>
    <w:rsid w:val="707C4BCE"/>
    <w:rsid w:val="70935EC8"/>
    <w:rsid w:val="70A7195F"/>
    <w:rsid w:val="70CC32CF"/>
    <w:rsid w:val="71281524"/>
    <w:rsid w:val="71A35974"/>
    <w:rsid w:val="720D1817"/>
    <w:rsid w:val="72137A0F"/>
    <w:rsid w:val="72146479"/>
    <w:rsid w:val="722A2C74"/>
    <w:rsid w:val="72A845A9"/>
    <w:rsid w:val="73730B78"/>
    <w:rsid w:val="73F67ACD"/>
    <w:rsid w:val="74161AF0"/>
    <w:rsid w:val="74827F96"/>
    <w:rsid w:val="74A013B9"/>
    <w:rsid w:val="75A0327F"/>
    <w:rsid w:val="75CB6EB8"/>
    <w:rsid w:val="76640175"/>
    <w:rsid w:val="769447C8"/>
    <w:rsid w:val="76AD0529"/>
    <w:rsid w:val="77C840CC"/>
    <w:rsid w:val="785E0CFE"/>
    <w:rsid w:val="798B10E1"/>
    <w:rsid w:val="799E34B2"/>
    <w:rsid w:val="79B56793"/>
    <w:rsid w:val="7A4A482E"/>
    <w:rsid w:val="7AC202DC"/>
    <w:rsid w:val="7B1D47C7"/>
    <w:rsid w:val="7BED0F85"/>
    <w:rsid w:val="7BF22B95"/>
    <w:rsid w:val="7BFD1F22"/>
    <w:rsid w:val="7C414D87"/>
    <w:rsid w:val="7D466F15"/>
    <w:rsid w:val="7DC861E9"/>
    <w:rsid w:val="7DD13EF3"/>
    <w:rsid w:val="7DE22616"/>
    <w:rsid w:val="7E8E5ED6"/>
    <w:rsid w:val="7E9E1D43"/>
    <w:rsid w:val="7ED37F08"/>
    <w:rsid w:val="7F353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unhideWhenUsed/>
    <w:qFormat/>
    <w:uiPriority w:val="0"/>
    <w:pPr>
      <w:keepNext/>
      <w:keepLines/>
      <w:numPr>
        <w:ilvl w:val="3"/>
        <w:numId w:val="1"/>
      </w:numPr>
      <w:spacing w:line="360" w:lineRule="auto"/>
      <w:ind w:left="1574" w:hanging="864"/>
      <w:outlineLvl w:val="3"/>
    </w:pPr>
    <w:rPr>
      <w:rFonts w:ascii="Arial" w:hAnsi="Arial" w:eastAsia="宋体" w:cs="Times New Roman"/>
      <w:sz w:val="24"/>
      <w:szCs w:val="20"/>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semiHidden/>
    <w:qFormat/>
    <w:uiPriority w:val="0"/>
    <w:pPr>
      <w:ind w:left="420" w:leftChars="200"/>
    </w:pPr>
  </w:style>
  <w:style w:type="paragraph" w:styleId="7">
    <w:name w:val="Note Heading"/>
    <w:basedOn w:val="1"/>
    <w:next w:val="1"/>
    <w:qFormat/>
    <w:uiPriority w:val="0"/>
    <w:pPr>
      <w:jc w:val="left"/>
    </w:pPr>
  </w:style>
  <w:style w:type="paragraph" w:styleId="8">
    <w:name w:val="Normal Indent"/>
    <w:basedOn w:val="1"/>
    <w:next w:val="1"/>
    <w:qFormat/>
    <w:uiPriority w:val="0"/>
    <w:pPr>
      <w:ind w:firstLine="420"/>
    </w:pPr>
  </w:style>
  <w:style w:type="paragraph" w:styleId="9">
    <w:name w:val="annotation text"/>
    <w:basedOn w:val="1"/>
    <w:qFormat/>
    <w:uiPriority w:val="0"/>
    <w:pPr>
      <w:jc w:val="left"/>
    </w:pPr>
  </w:style>
  <w:style w:type="paragraph" w:styleId="10">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1">
    <w:name w:val="Body Text"/>
    <w:basedOn w:val="1"/>
    <w:next w:val="7"/>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69"/>
    <w:qFormat/>
    <w:uiPriority w:val="0"/>
    <w:pPr>
      <w:spacing w:after="120"/>
      <w:ind w:left="420" w:leftChars="200"/>
    </w:pPr>
    <w:rPr>
      <w:kern w:val="0"/>
      <w:sz w:val="24"/>
      <w:szCs w:val="20"/>
    </w:rPr>
  </w:style>
  <w:style w:type="paragraph" w:styleId="13">
    <w:name w:val="Body Text First Indent 2"/>
    <w:basedOn w:val="12"/>
    <w:next w:val="14"/>
    <w:qFormat/>
    <w:uiPriority w:val="0"/>
    <w:pPr>
      <w:spacing w:after="120"/>
      <w:ind w:left="420" w:leftChars="200" w:firstLine="210" w:firstLineChars="200"/>
    </w:pPr>
    <w:rPr>
      <w:sz w:val="21"/>
    </w:rPr>
  </w:style>
  <w:style w:type="paragraph" w:styleId="14">
    <w:name w:val="Body Text First Indent"/>
    <w:basedOn w:val="11"/>
    <w:next w:val="1"/>
    <w:qFormat/>
    <w:uiPriority w:val="0"/>
    <w:pPr>
      <w:spacing w:line="480" w:lineRule="auto"/>
      <w:ind w:firstLine="630" w:firstLineChars="225"/>
    </w:pPr>
    <w:rPr>
      <w:rFonts w:ascii="宋体" w:hAnsi="宋体"/>
      <w:sz w:val="28"/>
      <w:szCs w:val="28"/>
      <w:u w:val="single"/>
      <w:lang w:val="en-US" w:eastAsia="zh-CN" w:bidi="ar-SA"/>
    </w:rPr>
  </w:style>
  <w:style w:type="paragraph" w:styleId="15">
    <w:name w:val="toc 3"/>
    <w:basedOn w:val="1"/>
    <w:next w:val="1"/>
    <w:qFormat/>
    <w:uiPriority w:val="0"/>
    <w:pPr>
      <w:ind w:left="840" w:leftChars="400"/>
    </w:pPr>
  </w:style>
  <w:style w:type="paragraph" w:styleId="16">
    <w:name w:val="Plain Text"/>
    <w:basedOn w:val="1"/>
    <w:next w:val="11"/>
    <w:qFormat/>
    <w:uiPriority w:val="0"/>
    <w:rPr>
      <w:rFonts w:ascii="宋体" w:hAnsi="Courier New" w:cs="Courier New"/>
      <w:szCs w:val="21"/>
    </w:r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List"/>
    <w:basedOn w:val="1"/>
    <w:qFormat/>
    <w:uiPriority w:val="0"/>
    <w:pPr>
      <w:ind w:left="200" w:hanging="200" w:hangingChars="200"/>
    </w:pPr>
  </w:style>
  <w:style w:type="paragraph" w:styleId="21">
    <w:name w:val="toc 2"/>
    <w:basedOn w:val="1"/>
    <w:next w:val="1"/>
    <w:qFormat/>
    <w:uiPriority w:val="0"/>
    <w:pPr>
      <w:ind w:left="420" w:leftChars="200"/>
    </w:p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Hyperlink"/>
    <w:basedOn w:val="25"/>
    <w:qFormat/>
    <w:uiPriority w:val="0"/>
    <w:rPr>
      <w:color w:val="0000FF"/>
      <w:u w:val="single"/>
    </w:rPr>
  </w:style>
  <w:style w:type="paragraph" w:customStyle="1" w:styleId="29">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3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31">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Cs w:val="21"/>
    </w:rPr>
  </w:style>
  <w:style w:type="paragraph" w:customStyle="1" w:styleId="32">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33">
    <w:name w:val="Table Text"/>
    <w:basedOn w:val="1"/>
    <w:semiHidden/>
    <w:qFormat/>
    <w:uiPriority w:val="0"/>
    <w:rPr>
      <w:rFonts w:ascii="宋体" w:hAnsi="宋体" w:eastAsia="宋体" w:cs="宋体"/>
      <w:sz w:val="24"/>
      <w:szCs w:val="24"/>
      <w:lang w:val="en-US" w:eastAsia="en-US" w:bidi="ar-SA"/>
    </w:rPr>
  </w:style>
  <w:style w:type="paragraph" w:customStyle="1" w:styleId="34">
    <w:name w:val="表内容"/>
    <w:qFormat/>
    <w:uiPriority w:val="0"/>
    <w:pPr>
      <w:adjustRightInd w:val="0"/>
      <w:jc w:val="center"/>
    </w:pPr>
    <w:rPr>
      <w:rFonts w:ascii="Times New Roman" w:hAnsi="Times New Roman" w:eastAsia="宋体" w:cs="Times New Roman"/>
      <w:sz w:val="21"/>
      <w:szCs w:val="22"/>
      <w:lang w:val="en-US" w:eastAsia="zh-CN" w:bidi="ar-SA"/>
    </w:rPr>
  </w:style>
  <w:style w:type="paragraph" w:customStyle="1" w:styleId="35">
    <w:name w:val="H图表内容"/>
    <w:basedOn w:val="1"/>
    <w:qFormat/>
    <w:uiPriority w:val="0"/>
    <w:rPr>
      <w:szCs w:val="20"/>
    </w:rPr>
  </w:style>
  <w:style w:type="paragraph" w:customStyle="1" w:styleId="36">
    <w:name w:val="正文（）"/>
    <w:basedOn w:val="1"/>
    <w:qFormat/>
    <w:uiPriority w:val="0"/>
    <w:pPr>
      <w:adjustRightInd w:val="0"/>
      <w:snapToGrid w:val="0"/>
      <w:spacing w:line="360" w:lineRule="auto"/>
      <w:ind w:firstLine="200" w:firstLineChars="200"/>
    </w:pPr>
    <w:rPr>
      <w:color w:val="5B9BD5"/>
      <w:sz w:val="24"/>
      <w:szCs w:val="20"/>
    </w:rPr>
  </w:style>
  <w:style w:type="paragraph" w:customStyle="1" w:styleId="37">
    <w:name w:val="6表格"/>
    <w:basedOn w:val="1"/>
    <w:qFormat/>
    <w:uiPriority w:val="0"/>
    <w:pPr>
      <w:jc w:val="center"/>
    </w:pPr>
  </w:style>
  <w:style w:type="paragraph" w:customStyle="1" w:styleId="38">
    <w:name w:val="表格内容（）"/>
    <w:basedOn w:val="1"/>
    <w:qFormat/>
    <w:uiPriority w:val="0"/>
    <w:pPr>
      <w:widowControl w:val="0"/>
      <w:spacing w:line="240" w:lineRule="auto"/>
      <w:ind w:firstLine="0" w:firstLineChars="0"/>
      <w:jc w:val="center"/>
    </w:pPr>
    <w:rPr>
      <w:color w:val="00B0F0"/>
      <w:sz w:val="21"/>
      <w:szCs w:val="21"/>
    </w:rPr>
  </w:style>
  <w:style w:type="paragraph" w:customStyle="1" w:styleId="39">
    <w:name w:val="表格固定文字"/>
    <w:basedOn w:val="1"/>
    <w:qFormat/>
    <w:uiPriority w:val="0"/>
    <w:pPr>
      <w:ind w:firstLine="0"/>
    </w:pPr>
    <w:rPr>
      <w:rFonts w:eastAsia="宋体"/>
      <w:sz w:val="21"/>
      <w:szCs w:val="24"/>
    </w:rPr>
  </w:style>
  <w:style w:type="paragraph" w:customStyle="1" w:styleId="40">
    <w:name w:val="个人  标题2"/>
    <w:basedOn w:val="1"/>
    <w:qFormat/>
    <w:uiPriority w:val="0"/>
    <w:pPr>
      <w:ind w:firstLine="0" w:firstLineChars="0"/>
      <w:outlineLvl w:val="1"/>
    </w:pPr>
    <w:rPr>
      <w:b/>
      <w:sz w:val="30"/>
    </w:rPr>
  </w:style>
  <w:style w:type="paragraph" w:customStyle="1" w:styleId="4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表格表头"/>
    <w:basedOn w:val="43"/>
    <w:qFormat/>
    <w:uiPriority w:val="0"/>
    <w:pPr>
      <w:spacing w:before="50" w:beforeLines="50" w:line="240" w:lineRule="auto"/>
      <w:ind w:firstLine="0"/>
      <w:jc w:val="center"/>
    </w:pPr>
    <w:rPr>
      <w:rFonts w:eastAsia="黑体"/>
    </w:rPr>
  </w:style>
  <w:style w:type="paragraph" w:customStyle="1" w:styleId="43">
    <w:name w:val="zhang正文"/>
    <w:basedOn w:val="12"/>
    <w:next w:val="1"/>
    <w:link w:val="68"/>
    <w:qFormat/>
    <w:uiPriority w:val="0"/>
    <w:pPr>
      <w:widowControl w:val="0"/>
      <w:autoSpaceDE w:val="0"/>
      <w:autoSpaceDN w:val="0"/>
      <w:adjustRightInd w:val="0"/>
      <w:snapToGrid w:val="0"/>
      <w:spacing w:after="0" w:afterLines="0" w:line="500" w:lineRule="exact"/>
      <w:ind w:left="0" w:leftChars="0" w:firstLine="539"/>
      <w:jc w:val="both"/>
      <w:textAlignment w:val="baseline"/>
    </w:pPr>
    <w:rPr>
      <w:rFonts w:eastAsia="楷体_GB2312"/>
      <w:sz w:val="28"/>
    </w:rPr>
  </w:style>
  <w:style w:type="paragraph" w:customStyle="1" w:styleId="44">
    <w:name w:val="表正文"/>
    <w:basedOn w:val="1"/>
    <w:qFormat/>
    <w:uiPriority w:val="0"/>
    <w:pPr>
      <w:spacing w:line="360" w:lineRule="auto"/>
      <w:ind w:firstLine="200" w:firstLineChars="200"/>
    </w:pPr>
    <w:rPr>
      <w:sz w:val="24"/>
    </w:rPr>
  </w:style>
  <w:style w:type="paragraph" w:customStyle="1" w:styleId="45">
    <w:name w:val="个人标题3"/>
    <w:basedOn w:val="1"/>
    <w:qFormat/>
    <w:uiPriority w:val="0"/>
    <w:pPr>
      <w:ind w:firstLine="0" w:firstLineChars="0"/>
      <w:outlineLvl w:val="2"/>
    </w:pPr>
    <w:rPr>
      <w:b/>
      <w:sz w:val="28"/>
    </w:rPr>
  </w:style>
  <w:style w:type="paragraph" w:customStyle="1" w:styleId="46">
    <w:name w:val="正文内容"/>
    <w:basedOn w:val="1"/>
    <w:qFormat/>
    <w:uiPriority w:val="0"/>
    <w:pPr>
      <w:adjustRightInd w:val="0"/>
      <w:spacing w:line="360" w:lineRule="auto"/>
      <w:ind w:firstLine="480" w:firstLineChars="200"/>
    </w:pPr>
    <w:rPr>
      <w:rFonts w:ascii="宋体" w:hAnsi="宋体" w:cs="宋体"/>
      <w:sz w:val="24"/>
    </w:rPr>
  </w:style>
  <w:style w:type="paragraph" w:customStyle="1" w:styleId="47">
    <w:name w:val="三级aaa"/>
    <w:basedOn w:val="4"/>
    <w:next w:val="1"/>
    <w:qFormat/>
    <w:uiPriority w:val="0"/>
    <w:pPr>
      <w:keepNext w:val="0"/>
      <w:keepLines w:val="0"/>
      <w:widowControl w:val="0"/>
      <w:adjustRightInd w:val="0"/>
      <w:snapToGrid w:val="0"/>
      <w:spacing w:before="0" w:after="0" w:line="360" w:lineRule="auto"/>
    </w:pPr>
    <w:rPr>
      <w:sz w:val="28"/>
    </w:rPr>
  </w:style>
  <w:style w:type="paragraph" w:customStyle="1" w:styleId="48">
    <w:name w:val="正文hhhhhh"/>
    <w:basedOn w:val="1"/>
    <w:next w:val="5"/>
    <w:qFormat/>
    <w:uiPriority w:val="0"/>
    <w:pPr>
      <w:widowControl w:val="0"/>
      <w:adjustRightInd w:val="0"/>
      <w:snapToGrid w:val="0"/>
      <w:spacing w:line="360" w:lineRule="auto"/>
      <w:ind w:firstLine="200" w:firstLineChars="200"/>
    </w:pPr>
    <w:rPr>
      <w:sz w:val="24"/>
    </w:rPr>
  </w:style>
  <w:style w:type="paragraph" w:customStyle="1" w:styleId="49">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50">
    <w:name w:val="常用"/>
    <w:basedOn w:val="1"/>
    <w:qFormat/>
    <w:uiPriority w:val="0"/>
    <w:pPr>
      <w:widowControl/>
      <w:spacing w:line="360" w:lineRule="auto"/>
      <w:ind w:firstLine="200" w:firstLineChars="200"/>
      <w:jc w:val="left"/>
    </w:pPr>
    <w:rPr>
      <w:rFonts w:ascii="宋体" w:hAnsi="宋体" w:eastAsia="宋体" w:cs="Courier New"/>
      <w:kern w:val="0"/>
      <w:szCs w:val="28"/>
    </w:rPr>
  </w:style>
  <w:style w:type="paragraph" w:customStyle="1" w:styleId="51">
    <w:name w:val="闽创报告正文"/>
    <w:basedOn w:val="52"/>
    <w:qFormat/>
    <w:uiPriority w:val="0"/>
    <w:pPr>
      <w:tabs>
        <w:tab w:val="left" w:pos="0"/>
      </w:tabs>
      <w:spacing w:line="360" w:lineRule="auto"/>
      <w:ind w:firstLine="200" w:firstLineChars="200"/>
    </w:pPr>
    <w:rPr>
      <w:color w:val="000000"/>
      <w:sz w:val="24"/>
      <w:szCs w:val="20"/>
    </w:rPr>
  </w:style>
  <w:style w:type="paragraph" w:customStyle="1" w:styleId="52">
    <w:name w:val="0正文"/>
    <w:basedOn w:val="12"/>
    <w:unhideWhenUsed/>
    <w:qFormat/>
    <w:uiPriority w:val="0"/>
    <w:pPr>
      <w:widowControl w:val="0"/>
      <w:spacing w:line="360" w:lineRule="auto"/>
      <w:ind w:firstLine="720" w:firstLineChars="200"/>
    </w:pPr>
    <w:rPr>
      <w:sz w:val="24"/>
      <w:szCs w:val="22"/>
    </w:rPr>
  </w:style>
  <w:style w:type="paragraph" w:customStyle="1" w:styleId="53">
    <w:name w:val="表格名称1"/>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54">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5">
    <w:name w:val="22标题2"/>
    <w:basedOn w:val="56"/>
    <w:qFormat/>
    <w:uiPriority w:val="0"/>
    <w:pPr>
      <w:adjustRightInd w:val="0"/>
      <w:snapToGrid w:val="0"/>
    </w:pPr>
    <w:rPr>
      <w:color w:val="0000FF"/>
    </w:rPr>
  </w:style>
  <w:style w:type="paragraph" w:customStyle="1" w:styleId="56">
    <w:name w:val="标题2"/>
    <w:basedOn w:val="6"/>
    <w:qFormat/>
    <w:uiPriority w:val="0"/>
    <w:pPr>
      <w:spacing w:line="360" w:lineRule="auto"/>
      <w:outlineLvl w:val="1"/>
    </w:pPr>
    <w:rPr>
      <w:rFonts w:ascii="Times New Roman" w:hAnsi="Times New Roman" w:eastAsia="黑体" w:cs="Times New Roman"/>
      <w:sz w:val="30"/>
      <w:szCs w:val="30"/>
    </w:rPr>
  </w:style>
  <w:style w:type="paragraph" w:customStyle="1" w:styleId="57">
    <w:name w:val="样式 首行缩进:  2 字符1"/>
    <w:basedOn w:val="1"/>
    <w:qFormat/>
    <w:uiPriority w:val="0"/>
    <w:pPr>
      <w:adjustRightInd w:val="0"/>
      <w:snapToGrid w:val="0"/>
      <w:spacing w:line="360" w:lineRule="auto"/>
      <w:ind w:firstLine="480" w:firstLineChars="200"/>
    </w:pPr>
    <w:rPr>
      <w:rFonts w:hint="eastAsia" w:ascii="宋体" w:hAnsi="宋体" w:eastAsia="宋体" w:cs="宋体"/>
      <w:sz w:val="24"/>
      <w:szCs w:val="32"/>
    </w:rPr>
  </w:style>
  <w:style w:type="table" w:customStyle="1" w:styleId="58">
    <w:name w:val="样式6"/>
    <w:basedOn w:val="23"/>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59">
    <w:name w:val="样式 样式 正文01 + 黑色 首行缩进:  2 字符 段前: 0 磅 行距: 1.5 倍行距 + 首行缩进:  2 字符"/>
    <w:basedOn w:val="60"/>
    <w:qFormat/>
    <w:uiPriority w:val="0"/>
    <w:pPr>
      <w:spacing w:line="440" w:lineRule="exact"/>
      <w:ind w:firstLine="200"/>
    </w:pPr>
    <w:rPr>
      <w:rFonts w:eastAsia="宋体"/>
      <w:bCs/>
    </w:rPr>
  </w:style>
  <w:style w:type="paragraph" w:customStyle="1" w:styleId="60">
    <w:name w:val="样式 正文（首行缩进两字） + (中文) 仿宋_GB2312 小四 行距: 1.5 倍行距"/>
    <w:basedOn w:val="8"/>
    <w:qFormat/>
    <w:uiPriority w:val="0"/>
    <w:pPr>
      <w:adjustRightInd/>
      <w:spacing w:line="360" w:lineRule="auto"/>
      <w:ind w:firstLine="480" w:firstLineChars="200"/>
      <w:textAlignment w:val="auto"/>
    </w:pPr>
    <w:rPr>
      <w:rFonts w:eastAsia="仿宋_GB2312"/>
      <w:kern w:val="2"/>
      <w:sz w:val="24"/>
    </w:rPr>
  </w:style>
  <w:style w:type="paragraph" w:customStyle="1" w:styleId="61">
    <w:name w:val="表格标题（）"/>
    <w:basedOn w:val="1"/>
    <w:qFormat/>
    <w:uiPriority w:val="0"/>
    <w:pPr>
      <w:widowControl w:val="0"/>
      <w:spacing w:line="240" w:lineRule="auto"/>
      <w:ind w:firstLine="0" w:firstLineChars="0"/>
      <w:jc w:val="center"/>
    </w:pPr>
    <w:rPr>
      <w:rFonts w:eastAsia="黑体"/>
      <w:color w:val="000000"/>
      <w:lang w:val="zh-CN" w:bidi="he-IL"/>
    </w:rPr>
  </w:style>
  <w:style w:type="paragraph" w:customStyle="1" w:styleId="62">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3">
    <w:name w:val="表格标题"/>
    <w:basedOn w:val="51"/>
    <w:next w:val="64"/>
    <w:qFormat/>
    <w:uiPriority w:val="0"/>
    <w:pPr>
      <w:tabs>
        <w:tab w:val="left" w:pos="4507"/>
        <w:tab w:val="clear" w:pos="0"/>
      </w:tabs>
      <w:wordWrap/>
      <w:overflowPunct/>
      <w:topLinePunct w:val="0"/>
      <w:adjustRightInd/>
      <w:spacing w:beforeLines="50" w:line="240" w:lineRule="auto"/>
      <w:jc w:val="center"/>
    </w:pPr>
    <w:rPr>
      <w:rFonts w:ascii="等线" w:hAnsi="等线" w:eastAsia="黑体" w:cs="等线"/>
      <w:spacing w:val="4"/>
      <w:kern w:val="2"/>
      <w:sz w:val="24"/>
      <w:szCs w:val="24"/>
    </w:rPr>
  </w:style>
  <w:style w:type="paragraph" w:customStyle="1" w:styleId="64">
    <w:name w:val="表格内容"/>
    <w:basedOn w:val="65"/>
    <w:next w:val="11"/>
    <w:qFormat/>
    <w:uiPriority w:val="0"/>
    <w:pPr>
      <w:autoSpaceDE w:val="0"/>
      <w:autoSpaceDN w:val="0"/>
      <w:ind w:firstLine="0"/>
      <w:jc w:val="center"/>
    </w:pPr>
    <w:rPr>
      <w:kern w:val="0"/>
      <w:sz w:val="24"/>
      <w:lang w:bidi="he-IL"/>
    </w:rPr>
  </w:style>
  <w:style w:type="paragraph" w:customStyle="1" w:styleId="65">
    <w:name w:val="表头（图表题）"/>
    <w:basedOn w:val="1"/>
    <w:next w:val="1"/>
    <w:qFormat/>
    <w:uiPriority w:val="0"/>
    <w:pPr>
      <w:jc w:val="center"/>
    </w:pPr>
    <w:rPr>
      <w:b/>
      <w:kern w:val="0"/>
      <w:szCs w:val="20"/>
    </w:rPr>
  </w:style>
  <w:style w:type="paragraph" w:customStyle="1" w:styleId="66">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character" w:customStyle="1" w:styleId="67">
    <w:name w:val="样式 zhang正文 + 宋体 小四 Char"/>
    <w:basedOn w:val="68"/>
    <w:link w:val="70"/>
    <w:qFormat/>
    <w:uiPriority w:val="0"/>
    <w:rPr>
      <w:rFonts w:ascii="宋体" w:hAnsi="宋体" w:eastAsia="宋体"/>
      <w:sz w:val="24"/>
    </w:rPr>
  </w:style>
  <w:style w:type="character" w:customStyle="1" w:styleId="68">
    <w:name w:val="zhang正文 Char1"/>
    <w:basedOn w:val="69"/>
    <w:link w:val="43"/>
    <w:qFormat/>
    <w:uiPriority w:val="0"/>
    <w:rPr>
      <w:rFonts w:eastAsia="楷体_GB2312"/>
      <w:sz w:val="28"/>
    </w:rPr>
  </w:style>
  <w:style w:type="character" w:customStyle="1" w:styleId="69">
    <w:name w:val="正文文本缩进 Char1"/>
    <w:basedOn w:val="25"/>
    <w:link w:val="12"/>
    <w:qFormat/>
    <w:uiPriority w:val="0"/>
    <w:rPr>
      <w:kern w:val="0"/>
      <w:sz w:val="24"/>
      <w:szCs w:val="20"/>
    </w:rPr>
  </w:style>
  <w:style w:type="paragraph" w:customStyle="1" w:styleId="70">
    <w:name w:val="样式 zhang正文 + 宋体 小四"/>
    <w:basedOn w:val="43"/>
    <w:link w:val="67"/>
    <w:qFormat/>
    <w:uiPriority w:val="0"/>
    <w:rPr>
      <w:rFonts w:ascii="宋体" w:hAnsi="宋体" w:eastAsia="宋体"/>
      <w:sz w:val="24"/>
    </w:rPr>
  </w:style>
  <w:style w:type="paragraph" w:customStyle="1" w:styleId="71">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72">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73">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cs="Times New Roman"/>
      <w:bCs/>
      <w:color w:val="000000"/>
      <w:kern w:val="44"/>
      <w:szCs w:val="30"/>
    </w:rPr>
  </w:style>
  <w:style w:type="table" w:customStyle="1" w:styleId="74">
    <w:name w:val="表格样式1"/>
    <w:basedOn w:val="23"/>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75">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6">
    <w:name w:val="标题111"/>
    <w:basedOn w:val="22"/>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77">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78">
    <w:name w:val="表格文本"/>
    <w:basedOn w:val="1"/>
    <w:autoRedefine/>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79">
    <w:name w:val="表格正文"/>
    <w:basedOn w:val="1"/>
    <w:qFormat/>
    <w:uiPriority w:val="0"/>
    <w:pPr>
      <w:ind w:firstLine="420"/>
    </w:pPr>
  </w:style>
  <w:style w:type="paragraph" w:customStyle="1" w:styleId="80">
    <w:name w:val="正文格式111"/>
    <w:basedOn w:val="1"/>
    <w:qFormat/>
    <w:uiPriority w:val="0"/>
    <w:pPr>
      <w:widowControl/>
      <w:spacing w:line="420" w:lineRule="auto"/>
      <w:ind w:firstLine="480" w:firstLineChars="200"/>
      <w:jc w:val="left"/>
    </w:pPr>
    <w:rPr>
      <w:rFonts w:eastAsia="Times New Roman"/>
      <w:bCs/>
      <w:kern w:val="0"/>
      <w:sz w:val="24"/>
    </w:rPr>
  </w:style>
  <w:style w:type="paragraph" w:customStyle="1" w:styleId="8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2">
    <w:name w:val="11正文"/>
    <w:basedOn w:val="83"/>
    <w:qFormat/>
    <w:uiPriority w:val="0"/>
  </w:style>
  <w:style w:type="paragraph" w:customStyle="1" w:styleId="83">
    <w:name w:val="正文111"/>
    <w:basedOn w:val="84"/>
    <w:qFormat/>
    <w:uiPriority w:val="0"/>
    <w:pPr>
      <w:ind w:firstLine="480"/>
    </w:pPr>
  </w:style>
  <w:style w:type="paragraph" w:customStyle="1" w:styleId="84">
    <w:name w:val="正文的格式52"/>
    <w:basedOn w:val="1"/>
    <w:qFormat/>
    <w:uiPriority w:val="0"/>
    <w:pPr>
      <w:spacing w:line="360" w:lineRule="auto"/>
      <w:ind w:firstLine="200" w:firstLineChars="200"/>
    </w:pPr>
    <w:rPr>
      <w:kern w:val="0"/>
      <w:sz w:val="24"/>
      <w:szCs w:val="20"/>
    </w:rPr>
  </w:style>
  <w:style w:type="paragraph" w:customStyle="1" w:styleId="85">
    <w:name w:val="表哥的格式"/>
    <w:basedOn w:val="1"/>
    <w:qFormat/>
    <w:uiPriority w:val="0"/>
    <w:pPr>
      <w:widowControl/>
      <w:autoSpaceDE w:val="0"/>
      <w:autoSpaceDN w:val="0"/>
      <w:adjustRightInd w:val="0"/>
      <w:snapToGrid w:val="0"/>
      <w:spacing w:line="360" w:lineRule="auto"/>
      <w:ind w:firstLine="200" w:firstLineChars="200"/>
      <w:jc w:val="center"/>
    </w:pPr>
    <w:rPr>
      <w:kern w:val="0"/>
      <w:szCs w:val="21"/>
    </w:rPr>
  </w:style>
  <w:style w:type="paragraph" w:customStyle="1" w:styleId="86">
    <w:name w:val="表表表表"/>
    <w:basedOn w:val="1"/>
    <w:qFormat/>
    <w:uiPriority w:val="0"/>
    <w:pPr>
      <w:widowControl/>
      <w:jc w:val="center"/>
    </w:pPr>
    <w:rPr>
      <w:rFonts w:eastAsia="宋体"/>
      <w:szCs w:val="21"/>
    </w:rPr>
  </w:style>
  <w:style w:type="paragraph" w:customStyle="1" w:styleId="87">
    <w:name w:val="正文1"/>
    <w:basedOn w:val="12"/>
    <w:qFormat/>
    <w:uiPriority w:val="0"/>
    <w:pPr>
      <w:ind w:firstLine="200" w:firstLineChars="200"/>
    </w:pPr>
    <w:rPr>
      <w:rFonts w:cs="宋体"/>
    </w:rPr>
  </w:style>
  <w:style w:type="paragraph" w:customStyle="1" w:styleId="88">
    <w:name w:val="22表格"/>
    <w:basedOn w:val="86"/>
    <w:qFormat/>
    <w:uiPriority w:val="0"/>
    <w:pPr>
      <w:adjustRightInd w:val="0"/>
      <w:snapToGrid w:val="0"/>
      <w:textAlignment w:val="center"/>
    </w:pPr>
    <w:rPr>
      <w:rFonts w:eastAsia="宋体"/>
      <w:color w:val="000000"/>
    </w:rPr>
  </w:style>
  <w:style w:type="paragraph" w:customStyle="1" w:styleId="89">
    <w:name w:val="【表格文字】"/>
    <w:basedOn w:val="1"/>
    <w:next w:val="1"/>
    <w:qFormat/>
    <w:uiPriority w:val="0"/>
    <w:pPr>
      <w:adjustRightInd w:val="0"/>
      <w:snapToGrid w:val="0"/>
      <w:jc w:val="center"/>
    </w:pPr>
  </w:style>
  <w:style w:type="paragraph" w:customStyle="1" w:styleId="90">
    <w:name w:val="环评正文"/>
    <w:basedOn w:val="1"/>
    <w:qFormat/>
    <w:uiPriority w:val="0"/>
    <w:pPr>
      <w:spacing w:line="360" w:lineRule="auto"/>
      <w:ind w:firstLine="560" w:firstLineChars="200"/>
      <w:jc w:val="left"/>
    </w:pPr>
    <w:rPr>
      <w:rFonts w:ascii="Times New Roman" w:hAnsi="Times New Roman" w:eastAsia="宋体" w:cs="Times New Roman"/>
      <w:sz w:val="24"/>
      <w:szCs w:val="28"/>
    </w:rPr>
  </w:style>
  <w:style w:type="paragraph" w:customStyle="1" w:styleId="91">
    <w:name w:val="标题3"/>
    <w:basedOn w:val="6"/>
    <w:qFormat/>
    <w:uiPriority w:val="0"/>
    <w:pPr>
      <w:spacing w:line="360" w:lineRule="auto"/>
      <w:outlineLvl w:val="2"/>
    </w:pPr>
    <w:rPr>
      <w:b/>
      <w:sz w:val="24"/>
    </w:rPr>
  </w:style>
  <w:style w:type="paragraph" w:customStyle="1" w:styleId="92">
    <w:name w:val="111表格的格式"/>
    <w:basedOn w:val="93"/>
    <w:qFormat/>
    <w:uiPriority w:val="0"/>
    <w:pPr>
      <w:adjustRightInd w:val="0"/>
      <w:snapToGrid w:val="0"/>
      <w:jc w:val="center"/>
    </w:pPr>
    <w:rPr>
      <w:kern w:val="2"/>
      <w:sz w:val="21"/>
      <w:szCs w:val="24"/>
    </w:rPr>
  </w:style>
  <w:style w:type="paragraph" w:customStyle="1" w:styleId="93">
    <w:name w:val="规范表格文"/>
    <w:basedOn w:val="11"/>
    <w:qFormat/>
    <w:uiPriority w:val="0"/>
    <w:pPr>
      <w:spacing w:after="0"/>
      <w:jc w:val="center"/>
    </w:pPr>
    <w:rPr>
      <w:rFonts w:ascii="Times New Roman" w:hAnsi="Times New Roman" w:eastAsia="宋体"/>
      <w:sz w:val="21"/>
    </w:rPr>
  </w:style>
  <w:style w:type="paragraph" w:customStyle="1" w:styleId="94">
    <w:name w:val="环评 表格"/>
    <w:basedOn w:val="95"/>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95">
    <w:name w:val="无间隔1"/>
    <w:next w:val="1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styleId="96">
    <w:name w:val="List Paragraph"/>
    <w:basedOn w:val="1"/>
    <w:qFormat/>
    <w:uiPriority w:val="34"/>
    <w:pPr>
      <w:spacing w:line="360" w:lineRule="auto"/>
      <w:ind w:firstLine="420" w:firstLineChars="200"/>
    </w:pPr>
    <w:rPr>
      <w:rFonts w:ascii="Calibri" w:hAnsi="Calibri" w:eastAsia="宋体"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footer" Target="footer3.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jpeg"/><Relationship Id="rId43" Type="http://schemas.openxmlformats.org/officeDocument/2006/relationships/image" Target="file:///C:\Users\Admin\AppData\Local\Temp\ksohtml12936\wps12.png" TargetMode="External"/><Relationship Id="rId42" Type="http://schemas.openxmlformats.org/officeDocument/2006/relationships/image" Target="media/image25.png"/><Relationship Id="rId41" Type="http://schemas.openxmlformats.org/officeDocument/2006/relationships/image" Target="file:///C:\Users\Admin\AppData\Local\Temp\ksohtml12936\wps11.png" TargetMode="External"/><Relationship Id="rId40" Type="http://schemas.openxmlformats.org/officeDocument/2006/relationships/image" Target="media/image24.png"/><Relationship Id="rId4" Type="http://schemas.openxmlformats.org/officeDocument/2006/relationships/footer" Target="footer2.xml"/><Relationship Id="rId39" Type="http://schemas.openxmlformats.org/officeDocument/2006/relationships/image" Target="file:///C:\Users\Admin\AppData\Local\Temp\ksohtml12936\wps10.png" TargetMode="External"/><Relationship Id="rId38" Type="http://schemas.openxmlformats.org/officeDocument/2006/relationships/image" Target="media/image23.png"/><Relationship Id="rId37" Type="http://schemas.openxmlformats.org/officeDocument/2006/relationships/image" Target="file:///C:\Users\Admin\AppData\Local\Temp\ksohtml12936\wps9.png" TargetMode="External"/><Relationship Id="rId36" Type="http://schemas.openxmlformats.org/officeDocument/2006/relationships/image" Target="media/image22.png"/><Relationship Id="rId35" Type="http://schemas.openxmlformats.org/officeDocument/2006/relationships/image" Target="file:///C:\Users\Admin\AppData\Local\Temp\ksohtml12936\wps8.png" TargetMode="External"/><Relationship Id="rId34" Type="http://schemas.openxmlformats.org/officeDocument/2006/relationships/image" Target="media/image21.png"/><Relationship Id="rId33" Type="http://schemas.openxmlformats.org/officeDocument/2006/relationships/image" Target="file:///C:\Users\Admin\AppData\Local\Temp\ksohtml12936\wps7.png" TargetMode="External"/><Relationship Id="rId32" Type="http://schemas.openxmlformats.org/officeDocument/2006/relationships/image" Target="media/image20.png"/><Relationship Id="rId31" Type="http://schemas.openxmlformats.org/officeDocument/2006/relationships/image" Target="file:///C:\Users\Admin\AppData\Local\Temp\ksohtml12936\wps6.png" TargetMode="External"/><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file:///C:\Users\Admin\AppData\Local\Temp\ksohtml12936\wps5.png" TargetMode="External"/><Relationship Id="rId28" Type="http://schemas.openxmlformats.org/officeDocument/2006/relationships/image" Target="media/image18.png"/><Relationship Id="rId27" Type="http://schemas.openxmlformats.org/officeDocument/2006/relationships/image" Target="file:///C:\Users\Admin\AppData\Local\Temp\ksohtml12936\wps4.png" TargetMode="External"/><Relationship Id="rId26" Type="http://schemas.openxmlformats.org/officeDocument/2006/relationships/image" Target="media/image17.png"/><Relationship Id="rId25" Type="http://schemas.openxmlformats.org/officeDocument/2006/relationships/image" Target="file:///C:\Users\Admin\AppData\Local\Temp\ksohtml12936\wps3.png" TargetMode="External"/><Relationship Id="rId24" Type="http://schemas.openxmlformats.org/officeDocument/2006/relationships/image" Target="media/image16.png"/><Relationship Id="rId23" Type="http://schemas.openxmlformats.org/officeDocument/2006/relationships/image" Target="file:///C:\Users\Admin\AppData\Local\Temp\ksohtml12936\wps2.png" TargetMode="Externa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"/>
    </extobj>
    <extobj name="F360BE8B-6686-4F3D-AEAF-501FE73E4058-2">
      <extobjdata type="F360BE8B-6686-4F3D-AEAF-501FE73E4058" data="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63448</Words>
  <Characters>72674</Characters>
  <Lines>0</Lines>
  <Paragraphs>0</Paragraphs>
  <TotalTime>11</TotalTime>
  <ScaleCrop>false</ScaleCrop>
  <LinksUpToDate>false</LinksUpToDate>
  <CharactersWithSpaces>76219</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2025-09-23T14:57:00Z</dcterms:created>
  <dc:creator>波波</dc:creator>
  <cp:lastModifiedBy>admin</cp:lastModifiedBy>
  <cp:lastPrinted>2026-03-05T02:41:00Z</cp:lastPrinted>
  <dcterms:modified xsi:type="dcterms:W3CDTF">2026-03-26T06:55:08Z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KSOTemplateDocerSaveRecord">
    <vt:lpwstr>eyJoZGlkIjoiZGQ5YmI0MTA5YzgzMmVmOGM2MWM4Nzg2MmQ3Yjc2ZjAiLCJ1c2VySWQiOiIxMjAwMTc5OTE0In0=</vt:lpwstr>
  </property>
  <property fmtid="{D5CDD505-2E9C-101B-9397-08002B2CF9AE}" pid="4" name="ICV">
    <vt:lpwstr>F460E0CD7CCC48E9B9232D7054404789_13</vt:lpwstr>
  </property>
</Properties>
</file>